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August, 2022.</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Cybin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7"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Note</w:t>
      </w:r>
      <w:r>
        <w:rPr>
          <w:rFonts w:ascii="Arial" w:cs="Arial" w:eastAsia="Arial" w:hAnsi="Arial"/>
          <w:sz w:val="15"/>
          <w:szCs w:val="15"/>
          <w:color w:val="auto"/>
        </w:rPr>
        <w:t>: Regulation S-T Rule 101(b)(1) only permits the submission in paper of a Form 6-K if submitted solely to provide an attached annual report to security holders.</w:t>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191" w:lineRule="exact"/>
        <w:rPr>
          <w:sz w:val="24"/>
          <w:szCs w:val="24"/>
          <w:color w:val="auto"/>
        </w:rPr>
      </w:pPr>
    </w:p>
    <w:p>
      <w:pPr>
        <w:spacing w:after="0" w:line="24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 registrant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479"/>
        <w:spacing w:after="0"/>
        <w:rPr>
          <w:sz w:val="20"/>
          <w:szCs w:val="20"/>
          <w:color w:val="auto"/>
        </w:rPr>
      </w:pPr>
      <w:r>
        <w:rPr>
          <w:rFonts w:ascii="Arial" w:cs="Arial" w:eastAsia="Arial" w:hAnsi="Arial"/>
          <w:sz w:val="16"/>
          <w:szCs w:val="16"/>
          <w:b w:val="1"/>
          <w:bCs w:val="1"/>
          <w:color w:val="auto"/>
        </w:rPr>
        <w:t>SIGNATURE</w:t>
      </w:r>
    </w:p>
    <w:p>
      <w:pPr>
        <w:spacing w:after="0" w:line="89" w:lineRule="exact"/>
        <w:rPr>
          <w:sz w:val="20"/>
          <w:szCs w:val="20"/>
          <w:color w:val="auto"/>
        </w:rPr>
      </w:pPr>
    </w:p>
    <w:p>
      <w:pPr>
        <w:ind w:firstLine="587"/>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CYBIN INC.</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(Registrant)</w:t>
            </w:r>
          </w:p>
        </w:tc>
      </w:tr>
      <w:tr>
        <w:trPr>
          <w:trHeight w:val="471"/>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60"/>
              <w:spacing w:after="0"/>
              <w:rPr>
                <w:sz w:val="20"/>
                <w:szCs w:val="20"/>
                <w:color w:val="auto"/>
              </w:rPr>
            </w:pPr>
            <w:r>
              <w:rPr>
                <w:rFonts w:ascii="Arial" w:cs="Arial" w:eastAsia="Arial" w:hAnsi="Arial"/>
                <w:sz w:val="16"/>
                <w:szCs w:val="16"/>
                <w:color w:val="auto"/>
              </w:rPr>
              <w:t>August 8, 2022</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8"/>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Name:</w:t>
            </w:r>
          </w:p>
        </w:tc>
        <w:tc>
          <w:tcPr>
            <w:tcW w:w="404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Title:</w:t>
            </w:r>
          </w:p>
        </w:tc>
        <w:tc>
          <w:tcPr>
            <w:tcW w:w="404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780"/>
          </w:cols>
          <w:pgMar w:left="320" w:top="1297" w:right="7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INDEX</w:t>
            </w:r>
          </w:p>
        </w:tc>
        <w:tc>
          <w:tcPr>
            <w:tcW w:w="400" w:type="dxa"/>
            <w:vAlign w:val="bottom"/>
            <w:gridSpan w:val="2"/>
          </w:tcPr>
          <w:p>
            <w:pPr>
              <w:spacing w:after="0"/>
              <w:rPr>
                <w:sz w:val="16"/>
                <w:szCs w:val="16"/>
                <w:color w:val="auto"/>
              </w:rPr>
            </w:pPr>
          </w:p>
        </w:tc>
      </w:tr>
      <w:tr>
        <w:trPr>
          <w:trHeight w:val="518"/>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99.1</w:t>
            </w:r>
          </w:p>
        </w:tc>
        <w:tc>
          <w:tcPr>
            <w:tcW w:w="5520" w:type="dxa"/>
            <w:vAlign w:val="bottom"/>
            <w:tcBorders>
              <w:bottom w:val="single" w:sz="8" w:color="0000FF"/>
            </w:tcBorders>
            <w:gridSpan w:val="6"/>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 xml:space="preserve">Interim Consolidated Financial Statements for the three months ended June </w:t>
              </w:r>
            </w:hyperlink>
            <w:r>
              <w:rPr>
                <w:rFonts w:ascii="Arial" w:cs="Arial" w:eastAsia="Arial" w:hAnsi="Arial"/>
                <w:sz w:val="16"/>
                <w:szCs w:val="16"/>
                <w:color w:val="0000FF"/>
                <w:w w:val="91"/>
              </w:rPr>
              <w:t>30, 2022</w:t>
            </w: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99.2</w:t>
            </w:r>
          </w:p>
        </w:tc>
        <w:tc>
          <w:tcPr>
            <w:tcW w:w="5520" w:type="dxa"/>
            <w:vAlign w:val="bottom"/>
            <w:gridSpan w:val="6"/>
          </w:tcPr>
          <w:p>
            <w:pPr>
              <w:spacing w:after="0"/>
              <w:rPr>
                <w:rFonts w:ascii="Arial" w:cs="Arial" w:eastAsia="Arial" w:hAnsi="Arial"/>
                <w:sz w:val="16"/>
                <w:szCs w:val="16"/>
                <w:color w:val="0000FF"/>
                <w:w w:val="94"/>
              </w:rPr>
            </w:pPr>
            <w:hyperlink w:anchor="page28">
              <w:r>
                <w:rPr>
                  <w:rFonts w:ascii="Arial" w:cs="Arial" w:eastAsia="Arial" w:hAnsi="Arial"/>
                  <w:sz w:val="16"/>
                  <w:szCs w:val="16"/>
                  <w:color w:val="0000FF"/>
                  <w:w w:val="94"/>
                </w:rPr>
                <w:t xml:space="preserve">Management’s Discussion and Analysis for the three months ended June </w:t>
              </w:r>
            </w:hyperlink>
            <w:r>
              <w:rPr>
                <w:rFonts w:ascii="Arial" w:cs="Arial" w:eastAsia="Arial" w:hAnsi="Arial"/>
                <w:sz w:val="16"/>
                <w:szCs w:val="16"/>
                <w:color w:val="0000FF"/>
                <w:w w:val="94"/>
              </w:rPr>
              <w:t>30, 2022</w:t>
            </w: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99.3</w:t>
            </w:r>
          </w:p>
        </w:tc>
        <w:tc>
          <w:tcPr>
            <w:tcW w:w="402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4"/>
              </w:rPr>
            </w:pPr>
            <w:hyperlink w:anchor="page98">
              <w:r>
                <w:rPr>
                  <w:rFonts w:ascii="Arial" w:cs="Arial" w:eastAsia="Arial" w:hAnsi="Arial"/>
                  <w:sz w:val="16"/>
                  <w:szCs w:val="16"/>
                  <w:color w:val="0000FF"/>
                  <w:w w:val="94"/>
                </w:rPr>
                <w:t xml:space="preserve">Certification of Interim Filings by CFO dated August </w:t>
              </w:r>
            </w:hyperlink>
            <w:r>
              <w:rPr>
                <w:rFonts w:ascii="Arial" w:cs="Arial" w:eastAsia="Arial" w:hAnsi="Arial"/>
                <w:sz w:val="16"/>
                <w:szCs w:val="16"/>
                <w:color w:val="0000FF"/>
                <w:w w:val="94"/>
              </w:rPr>
              <w:t xml:space="preserve">8, </w:t>
            </w:r>
            <w:hyperlink w:anchor="page98">
              <w:r>
                <w:rPr>
                  <w:rFonts w:ascii="Arial" w:cs="Arial" w:eastAsia="Arial" w:hAnsi="Arial"/>
                  <w:sz w:val="16"/>
                  <w:szCs w:val="16"/>
                  <w:color w:val="0000FF"/>
                  <w:w w:val="94"/>
                </w:rPr>
                <w:t>2022</w:t>
              </w:r>
            </w:hyperlink>
          </w:p>
        </w:tc>
        <w:tc>
          <w:tcPr>
            <w:tcW w:w="132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99.4</w:t>
            </w:r>
          </w:p>
        </w:tc>
        <w:tc>
          <w:tcPr>
            <w:tcW w:w="402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99">
              <w:r>
                <w:rPr>
                  <w:rFonts w:ascii="Arial" w:cs="Arial" w:eastAsia="Arial" w:hAnsi="Arial"/>
                  <w:sz w:val="16"/>
                  <w:szCs w:val="16"/>
                  <w:color w:val="0000FF"/>
                  <w:w w:val="94"/>
                </w:rPr>
                <w:t xml:space="preserve">Certification of Interim Filings by CEO dated August </w:t>
              </w:r>
            </w:hyperlink>
            <w:r>
              <w:rPr>
                <w:rFonts w:ascii="Arial" w:cs="Arial" w:eastAsia="Arial" w:hAnsi="Arial"/>
                <w:sz w:val="16"/>
                <w:szCs w:val="16"/>
                <w:color w:val="0000FF"/>
                <w:w w:val="94"/>
              </w:rPr>
              <w:t xml:space="preserve">8, </w:t>
            </w:r>
            <w:hyperlink w:anchor="page99">
              <w:r>
                <w:rPr>
                  <w:rFonts w:ascii="Arial" w:cs="Arial" w:eastAsia="Arial" w:hAnsi="Arial"/>
                  <w:sz w:val="16"/>
                  <w:szCs w:val="16"/>
                  <w:color w:val="0000FF"/>
                  <w:w w:val="94"/>
                </w:rPr>
                <w:t>2022</w:t>
              </w:r>
            </w:hyperlink>
          </w:p>
        </w:tc>
        <w:tc>
          <w:tcPr>
            <w:tcW w:w="1500" w:type="dxa"/>
            <w:vAlign w:val="bottom"/>
            <w:gridSpan w:val="3"/>
          </w:tcPr>
          <w:p>
            <w:pPr>
              <w:spacing w:after="0"/>
              <w:rPr>
                <w:sz w:val="18"/>
                <w:szCs w:val="18"/>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99.5</w:t>
            </w:r>
          </w:p>
        </w:tc>
        <w:tc>
          <w:tcPr>
            <w:tcW w:w="2360" w:type="dxa"/>
            <w:vAlign w:val="bottom"/>
            <w:tcBorders>
              <w:bottom w:val="single" w:sz="8" w:color="0000FF"/>
            </w:tcBorders>
          </w:tcPr>
          <w:p>
            <w:pPr>
              <w:spacing w:after="0"/>
              <w:rPr>
                <w:rFonts w:ascii="Arial" w:cs="Arial" w:eastAsia="Arial" w:hAnsi="Arial"/>
                <w:sz w:val="16"/>
                <w:szCs w:val="16"/>
                <w:color w:val="0000FF"/>
                <w:w w:val="90"/>
              </w:rPr>
            </w:pPr>
            <w:hyperlink w:anchor="page100">
              <w:r>
                <w:rPr>
                  <w:rFonts w:ascii="Arial" w:cs="Arial" w:eastAsia="Arial" w:hAnsi="Arial"/>
                  <w:sz w:val="16"/>
                  <w:szCs w:val="16"/>
                  <w:color w:val="0000FF"/>
                  <w:w w:val="90"/>
                </w:rPr>
                <w:t xml:space="preserve">News Release dated August </w:t>
              </w:r>
            </w:hyperlink>
            <w:r>
              <w:rPr>
                <w:rFonts w:ascii="Arial" w:cs="Arial" w:eastAsia="Arial" w:hAnsi="Arial"/>
                <w:sz w:val="16"/>
                <w:szCs w:val="16"/>
                <w:color w:val="0000FF"/>
                <w:w w:val="90"/>
              </w:rPr>
              <w:t xml:space="preserve">8, </w:t>
            </w:r>
            <w:hyperlink w:anchor="page100">
              <w:r>
                <w:rPr>
                  <w:rFonts w:ascii="Arial" w:cs="Arial" w:eastAsia="Arial" w:hAnsi="Arial"/>
                  <w:sz w:val="16"/>
                  <w:szCs w:val="16"/>
                  <w:color w:val="0000FF"/>
                  <w:w w:val="90"/>
                </w:rPr>
                <w:t>2022</w:t>
              </w:r>
            </w:hyperlink>
          </w:p>
        </w:tc>
        <w:tc>
          <w:tcPr>
            <w:tcW w:w="3160" w:type="dxa"/>
            <w:vAlign w:val="bottom"/>
            <w:gridSpan w:val="5"/>
          </w:tcPr>
          <w:p>
            <w:pPr>
              <w:spacing w:after="0"/>
              <w:rPr>
                <w:sz w:val="18"/>
                <w:szCs w:val="18"/>
                <w:color w:val="auto"/>
              </w:rPr>
            </w:pPr>
          </w:p>
        </w:tc>
      </w:tr>
    </w:tbl>
    <w:p>
      <w:pPr>
        <w:sectPr>
          <w:pgSz w:w="11900" w:h="16838" w:orient="portrait"/>
          <w:cols w:equalWidth="0" w:num="1">
            <w:col w:w="10119"/>
          </w:cols>
          <w:pgMar w:left="340" w:top="1289"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3075305</wp:posOffset>
            </wp:positionH>
            <wp:positionV relativeFrom="page">
              <wp:posOffset>2613025</wp:posOffset>
            </wp:positionV>
            <wp:extent cx="1398270" cy="869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98270" cy="86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198" w:lineRule="exact"/>
        <w:rPr>
          <w:sz w:val="20"/>
          <w:szCs w:val="20"/>
          <w:color w:val="auto"/>
        </w:rPr>
      </w:pPr>
    </w:p>
    <w:p>
      <w:pPr>
        <w:jc w:val="center"/>
        <w:ind w:left="900" w:right="919"/>
        <w:spacing w:after="0" w:line="460" w:lineRule="auto"/>
        <w:rPr>
          <w:sz w:val="20"/>
          <w:szCs w:val="20"/>
          <w:color w:val="auto"/>
        </w:rPr>
      </w:pPr>
      <w:r>
        <w:rPr>
          <w:rFonts w:ascii="Arial" w:cs="Arial" w:eastAsia="Arial" w:hAnsi="Arial"/>
          <w:sz w:val="23"/>
          <w:szCs w:val="23"/>
          <w:b w:val="1"/>
          <w:bCs w:val="1"/>
          <w:color w:val="auto"/>
        </w:rPr>
        <w:t>CONDENSED INTERIM CONSOLIDATED FINANCIAL STATEMENTS FOR THE THREE MONTHS ENDED JUNE 30, 2022</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2022, which are available on SEDAR at </w:t>
      </w:r>
      <w:r>
        <w:rPr>
          <w:rFonts w:ascii="Arial" w:cs="Arial" w:eastAsia="Arial" w:hAnsi="Arial"/>
          <w:sz w:val="20"/>
          <w:szCs w:val="20"/>
          <w:u w:val="single" w:color="auto"/>
          <w:color w:val="0000E1"/>
        </w:rPr>
        <w:t>www.sedar.com</w:t>
      </w:r>
      <w:r>
        <w:rPr>
          <w:rFonts w:ascii="Arial" w:cs="Arial" w:eastAsia="Arial" w:hAnsi="Arial"/>
          <w:sz w:val="20"/>
          <w:szCs w:val="20"/>
          <w:color w:val="auto"/>
        </w:rPr>
        <w:t>.</w:t>
      </w:r>
    </w:p>
    <w:p>
      <w:pPr>
        <w:sectPr>
          <w:pgSz w:w="11900" w:h="16838" w:orient="portrait"/>
          <w:cols w:equalWidth="0" w:num="1">
            <w:col w:w="11260"/>
          </w:cols>
          <w:pgMar w:left="320" w:top="1440" w:right="319"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right="3700"/>
        <w:spacing w:after="0" w:line="245" w:lineRule="auto"/>
        <w:rPr>
          <w:sz w:val="20"/>
          <w:szCs w:val="20"/>
          <w:color w:val="auto"/>
        </w:rPr>
      </w:pPr>
      <w:r>
        <w:rPr>
          <w:rFonts w:ascii="Arial" w:cs="Arial" w:eastAsia="Arial" w:hAnsi="Arial"/>
          <w:sz w:val="20"/>
          <w:szCs w:val="20"/>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460" w:type="dxa"/>
            <w:vAlign w:val="bottom"/>
            <w:tcBorders>
              <w:bottom w:val="single" w:sz="8" w:color="auto"/>
            </w:tcBorders>
          </w:tcPr>
          <w:p>
            <w:pPr>
              <w:jc w:val="center"/>
              <w:ind w:left="767"/>
              <w:spacing w:after="0"/>
              <w:rPr>
                <w:sz w:val="20"/>
                <w:szCs w:val="20"/>
                <w:color w:val="auto"/>
              </w:rPr>
            </w:pPr>
            <w:r>
              <w:rPr>
                <w:rFonts w:ascii="Arial" w:cs="Arial" w:eastAsia="Arial" w:hAnsi="Arial"/>
                <w:sz w:val="15"/>
                <w:szCs w:val="15"/>
                <w:i w:val="1"/>
                <w:iCs w:val="1"/>
                <w:color w:val="auto"/>
                <w:w w:val="96"/>
              </w:rPr>
              <w:t>Notes</w:t>
            </w:r>
          </w:p>
        </w:tc>
        <w:tc>
          <w:tcPr>
            <w:tcW w:w="20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June 30, 2022</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March 31, 2022</w:t>
            </w:r>
          </w:p>
        </w:tc>
      </w:tr>
      <w:tr>
        <w:trPr>
          <w:trHeight w:val="381"/>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Cash</w:t>
            </w:r>
          </w:p>
        </w:tc>
        <w:tc>
          <w:tcPr>
            <w:tcW w:w="2460" w:type="dxa"/>
            <w:vAlign w:val="bottom"/>
          </w:tcPr>
          <w:p>
            <w:pPr>
              <w:spacing w:after="0"/>
              <w:rPr>
                <w:sz w:val="20"/>
                <w:szCs w:val="20"/>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42,460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53,641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460" w:type="dxa"/>
            <w:vAlign w:val="bottom"/>
          </w:tcPr>
          <w:p>
            <w:pPr>
              <w:spacing w:after="0"/>
              <w:rPr>
                <w:sz w:val="19"/>
                <w:szCs w:val="19"/>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2,264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2,102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460" w:type="dxa"/>
            <w:vAlign w:val="bottom"/>
          </w:tcPr>
          <w:p>
            <w:pPr>
              <w:spacing w:after="0"/>
              <w:rPr>
                <w:sz w:val="19"/>
                <w:szCs w:val="19"/>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1,260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1,271</w:t>
            </w:r>
          </w:p>
        </w:tc>
      </w:tr>
      <w:tr>
        <w:trPr>
          <w:trHeight w:val="220"/>
        </w:trPr>
        <w:tc>
          <w:tcPr>
            <w:tcW w:w="5260" w:type="dxa"/>
            <w:vAlign w:val="bottom"/>
          </w:tcPr>
          <w:p>
            <w:pPr>
              <w:ind w:left="620"/>
              <w:spacing w:after="0"/>
              <w:rPr>
                <w:sz w:val="20"/>
                <w:szCs w:val="20"/>
                <w:color w:val="auto"/>
              </w:rPr>
            </w:pPr>
            <w:r>
              <w:rPr>
                <w:rFonts w:ascii="Arial" w:cs="Arial" w:eastAsia="Arial" w:hAnsi="Arial"/>
                <w:sz w:val="15"/>
                <w:szCs w:val="15"/>
                <w:color w:val="auto"/>
              </w:rPr>
              <w:t>Other current assets</w:t>
            </w:r>
          </w:p>
        </w:tc>
        <w:tc>
          <w:tcPr>
            <w:tcW w:w="2460" w:type="dxa"/>
            <w:vAlign w:val="bottom"/>
          </w:tcPr>
          <w:p>
            <w:pPr>
              <w:spacing w:after="0"/>
              <w:rPr>
                <w:sz w:val="19"/>
                <w:szCs w:val="19"/>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1,936</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1,341</w:t>
            </w:r>
          </w:p>
        </w:tc>
      </w:tr>
      <w:tr>
        <w:trPr>
          <w:trHeight w:val="196"/>
        </w:trPr>
        <w:tc>
          <w:tcPr>
            <w:tcW w:w="526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3</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260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103"/>
        </w:trPr>
        <w:tc>
          <w:tcPr>
            <w:tcW w:w="526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48,180</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58,355</w:t>
            </w:r>
          </w:p>
        </w:tc>
      </w:tr>
      <w:tr>
        <w:trPr>
          <w:trHeight w:val="355"/>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3</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242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Equipment</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4</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590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491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Intangible assets</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5</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2,213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2,083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Goodwill</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6</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23,607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22,892</w:t>
            </w:r>
          </w:p>
        </w:tc>
      </w:tr>
      <w:tr>
        <w:trPr>
          <w:trHeight w:val="103"/>
        </w:trPr>
        <w:tc>
          <w:tcPr>
            <w:tcW w:w="526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Non-Current Assets</w:t>
            </w:r>
          </w:p>
        </w:tc>
        <w:tc>
          <w:tcPr>
            <w:tcW w:w="2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26,410</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25,708</w:t>
            </w:r>
          </w:p>
        </w:tc>
      </w:tr>
      <w:tr>
        <w:trPr>
          <w:trHeight w:val="29"/>
        </w:trPr>
        <w:tc>
          <w:tcPr>
            <w:tcW w:w="5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46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74,590</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84,063</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460" w:type="dxa"/>
            <w:vAlign w:val="bottom"/>
          </w:tcPr>
          <w:p>
            <w:pPr>
              <w:spacing w:after="0"/>
              <w:rPr>
                <w:sz w:val="20"/>
                <w:szCs w:val="20"/>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5,938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5,262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Current portion of contingent consideration payable</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7</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467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2,646</w:t>
            </w:r>
          </w:p>
        </w:tc>
      </w:tr>
      <w:tr>
        <w:trPr>
          <w:trHeight w:val="103"/>
        </w:trPr>
        <w:tc>
          <w:tcPr>
            <w:tcW w:w="526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Liabilities</w:t>
            </w:r>
          </w:p>
        </w:tc>
        <w:tc>
          <w:tcPr>
            <w:tcW w:w="2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6,405</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7,908</w:t>
            </w:r>
          </w:p>
        </w:tc>
      </w:tr>
      <w:tr>
        <w:trPr>
          <w:trHeight w:val="152"/>
        </w:trPr>
        <w:tc>
          <w:tcPr>
            <w:tcW w:w="5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46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6,405</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7,908</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Share capital</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8</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144,401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141,451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460" w:type="dxa"/>
            <w:vAlign w:val="bottom"/>
          </w:tcPr>
          <w:p>
            <w:pPr>
              <w:spacing w:after="0"/>
              <w:rPr>
                <w:sz w:val="19"/>
                <w:szCs w:val="19"/>
                <w:color w:val="auto"/>
              </w:rPr>
            </w:pP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631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525</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Options reserve</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8</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25,828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23,783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Warrants reserve</w:t>
            </w:r>
          </w:p>
        </w:tc>
        <w:tc>
          <w:tcPr>
            <w:tcW w:w="2460" w:type="dxa"/>
            <w:vAlign w:val="bottom"/>
          </w:tcPr>
          <w:p>
            <w:pPr>
              <w:jc w:val="center"/>
              <w:ind w:left="747"/>
              <w:spacing w:after="0"/>
              <w:rPr>
                <w:sz w:val="20"/>
                <w:szCs w:val="20"/>
                <w:color w:val="auto"/>
              </w:rPr>
            </w:pPr>
            <w:r>
              <w:rPr>
                <w:rFonts w:ascii="Arial" w:cs="Arial" w:eastAsia="Arial" w:hAnsi="Arial"/>
                <w:sz w:val="15"/>
                <w:szCs w:val="15"/>
                <w:i w:val="1"/>
                <w:iCs w:val="1"/>
                <w:color w:val="auto"/>
                <w:w w:val="95"/>
              </w:rPr>
              <w:t>8</w:t>
            </w:r>
          </w:p>
        </w:tc>
        <w:tc>
          <w:tcPr>
            <w:tcW w:w="2000" w:type="dxa"/>
            <w:vAlign w:val="bottom"/>
          </w:tcPr>
          <w:p>
            <w:pPr>
              <w:jc w:val="right"/>
              <w:ind w:right="387"/>
              <w:spacing w:after="0"/>
              <w:rPr>
                <w:sz w:val="20"/>
                <w:szCs w:val="20"/>
                <w:color w:val="auto"/>
              </w:rPr>
            </w:pPr>
            <w:r>
              <w:rPr>
                <w:rFonts w:ascii="Arial" w:cs="Arial" w:eastAsia="Arial" w:hAnsi="Arial"/>
                <w:sz w:val="15"/>
                <w:szCs w:val="15"/>
                <w:b w:val="1"/>
                <w:bCs w:val="1"/>
                <w:color w:val="auto"/>
              </w:rPr>
              <w:t>11,291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11,423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Accumulated other comprehensive</w:t>
            </w:r>
          </w:p>
        </w:tc>
        <w:tc>
          <w:tcPr>
            <w:tcW w:w="2460" w:type="dxa"/>
            <w:vAlign w:val="bottom"/>
          </w:tcPr>
          <w:p>
            <w:pPr>
              <w:spacing w:after="0"/>
              <w:rPr>
                <w:sz w:val="19"/>
                <w:szCs w:val="19"/>
                <w:color w:val="auto"/>
              </w:rPr>
            </w:pPr>
          </w:p>
        </w:tc>
        <w:tc>
          <w:tcPr>
            <w:tcW w:w="2000" w:type="dxa"/>
            <w:vAlign w:val="bottom"/>
          </w:tcPr>
          <w:p>
            <w:pPr>
              <w:jc w:val="right"/>
              <w:ind w:right="347"/>
              <w:spacing w:after="0"/>
              <w:rPr>
                <w:sz w:val="20"/>
                <w:szCs w:val="20"/>
                <w:color w:val="auto"/>
              </w:rPr>
            </w:pPr>
            <w:r>
              <w:rPr>
                <w:rFonts w:ascii="Arial" w:cs="Arial" w:eastAsia="Arial" w:hAnsi="Arial"/>
                <w:sz w:val="15"/>
                <w:szCs w:val="15"/>
                <w:b w:val="1"/>
                <w:bCs w:val="1"/>
                <w:color w:val="auto"/>
              </w:rPr>
              <w:t>(250)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(366)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Deficit</w:t>
            </w:r>
          </w:p>
        </w:tc>
        <w:tc>
          <w:tcPr>
            <w:tcW w:w="2460" w:type="dxa"/>
            <w:vAlign w:val="bottom"/>
          </w:tcPr>
          <w:p>
            <w:pPr>
              <w:spacing w:after="0"/>
              <w:rPr>
                <w:sz w:val="19"/>
                <w:szCs w:val="19"/>
                <w:color w:val="auto"/>
              </w:rPr>
            </w:pPr>
          </w:p>
        </w:tc>
        <w:tc>
          <w:tcPr>
            <w:tcW w:w="2000" w:type="dxa"/>
            <w:vAlign w:val="bottom"/>
          </w:tcPr>
          <w:p>
            <w:pPr>
              <w:jc w:val="right"/>
              <w:ind w:right="347"/>
              <w:spacing w:after="0"/>
              <w:rPr>
                <w:sz w:val="20"/>
                <w:szCs w:val="20"/>
                <w:color w:val="auto"/>
              </w:rPr>
            </w:pPr>
            <w:r>
              <w:rPr>
                <w:rFonts w:ascii="Arial" w:cs="Arial" w:eastAsia="Arial" w:hAnsi="Arial"/>
                <w:sz w:val="15"/>
                <w:szCs w:val="15"/>
                <w:b w:val="1"/>
                <w:bCs w:val="1"/>
                <w:color w:val="auto"/>
              </w:rPr>
              <w:t>(113,716)</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(100,661)</w:t>
            </w:r>
          </w:p>
        </w:tc>
      </w:tr>
      <w:tr>
        <w:trPr>
          <w:trHeight w:val="103"/>
        </w:trPr>
        <w:tc>
          <w:tcPr>
            <w:tcW w:w="526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46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68,185</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76,155</w:t>
            </w:r>
          </w:p>
        </w:tc>
      </w:tr>
      <w:tr>
        <w:trPr>
          <w:trHeight w:val="29"/>
        </w:trPr>
        <w:tc>
          <w:tcPr>
            <w:tcW w:w="5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46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74,590</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84,063</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information (note 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and commitments (note 12)</w:t>
      </w:r>
    </w:p>
    <w:p>
      <w:pPr>
        <w:spacing w:after="0"/>
        <w:rPr>
          <w:sz w:val="20"/>
          <w:szCs w:val="20"/>
          <w:color w:val="auto"/>
        </w:rPr>
      </w:pPr>
      <w:r>
        <w:rPr>
          <w:rFonts w:ascii="Arial" w:cs="Arial" w:eastAsia="Arial" w:hAnsi="Arial"/>
          <w:sz w:val="15"/>
          <w:szCs w:val="15"/>
          <w:i w:val="1"/>
          <w:iCs w:val="1"/>
          <w:color w:val="auto"/>
        </w:rPr>
        <w:t>Subsequent events (note 16)</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interim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consolidation financial statements were approved for issue on August 7, 2022 by the board of directors and signed on its behalf by:</w:t>
      </w:r>
    </w:p>
    <w:p>
      <w:pPr>
        <w:spacing w:after="0" w:line="118"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i w:val="1"/>
          <w:iCs w:val="1"/>
          <w:color w:val="auto"/>
        </w:rPr>
        <w:t xml:space="preserve">/s/ Paul Glavine </w:t>
      </w:r>
      <w:r>
        <w:rPr>
          <w:rFonts w:ascii="Arial" w:cs="Arial" w:eastAsia="Arial" w:hAnsi="Arial"/>
          <w:sz w:val="16"/>
          <w:szCs w:val="16"/>
          <w:color w:val="auto"/>
        </w:rPr>
        <w:t>Director</w:t>
      </w:r>
      <w:r>
        <w:rPr>
          <w:sz w:val="20"/>
          <w:szCs w:val="20"/>
          <w:color w:val="auto"/>
        </w:rPr>
        <w:tab/>
      </w:r>
      <w:r>
        <w:rPr>
          <w:rFonts w:ascii="Arial" w:cs="Arial" w:eastAsia="Arial" w:hAnsi="Arial"/>
          <w:sz w:val="16"/>
          <w:szCs w:val="16"/>
          <w:i w:val="1"/>
          <w:iCs w:val="1"/>
          <w:color w:val="auto"/>
        </w:rPr>
        <w:t xml:space="preserve">/s/ Eric So </w:t>
      </w:r>
      <w:r>
        <w:rPr>
          <w:rFonts w:ascii="Arial" w:cs="Arial" w:eastAsia="Arial" w:hAnsi="Arial"/>
          <w:sz w:val="16"/>
          <w:szCs w:val="16"/>
          <w:color w:val="auto"/>
        </w:rPr>
        <w:t>Director</w:t>
      </w:r>
    </w:p>
    <w:p>
      <w:pPr>
        <w:sectPr>
          <w:pgSz w:w="11900" w:h="16838" w:orient="portrait"/>
          <w:cols w:equalWidth="0" w:num="1">
            <w:col w:w="11260"/>
          </w:cols>
          <w:pgMar w:left="320" w:top="171"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16"/>
          <w:szCs w:val="16"/>
          <w:b w:val="1"/>
          <w:bCs w:val="1"/>
          <w:color w:val="auto"/>
        </w:rPr>
        <w:t>CYBIN INC.</w:t>
      </w:r>
    </w:p>
    <w:p>
      <w:pPr>
        <w:spacing w:after="0" w:line="32" w:lineRule="exact"/>
        <w:rPr>
          <w:sz w:val="20"/>
          <w:szCs w:val="20"/>
          <w:color w:val="auto"/>
        </w:rPr>
      </w:pPr>
    </w:p>
    <w:p>
      <w:pPr>
        <w:jc w:val="both"/>
        <w:ind w:left="60" w:right="3720"/>
        <w:spacing w:after="0" w:line="262" w:lineRule="auto"/>
        <w:rPr>
          <w:sz w:val="20"/>
          <w:szCs w:val="20"/>
          <w:color w:val="auto"/>
        </w:rPr>
      </w:pPr>
      <w:r>
        <w:rPr>
          <w:rFonts w:ascii="Arial" w:cs="Arial" w:eastAsia="Arial" w:hAnsi="Arial"/>
          <w:sz w:val="16"/>
          <w:szCs w:val="16"/>
          <w:b w:val="1"/>
          <w:bCs w:val="1"/>
          <w:color w:val="auto"/>
        </w:rPr>
        <w:t>CONDENSED INTERIM CONSOLIDATED STATEMENTS OF LOSS AND COMPREHENSIVE LOSS (All amounts expressed in thousands of Canadian dollars, except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5"/>
                <w:szCs w:val="15"/>
                <w:i w:val="1"/>
                <w:iCs w:val="1"/>
                <w:color w:val="auto"/>
              </w:rPr>
              <w:t>Notes</w:t>
            </w:r>
          </w:p>
        </w:tc>
        <w:tc>
          <w:tcPr>
            <w:tcW w:w="156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403"/>
        </w:trPr>
        <w:tc>
          <w:tcPr>
            <w:tcW w:w="648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6480" w:type="dxa"/>
            <w:vAlign w:val="bottom"/>
          </w:tcPr>
          <w:p>
            <w:pPr>
              <w:ind w:left="200"/>
              <w:spacing w:after="0"/>
              <w:rPr>
                <w:sz w:val="20"/>
                <w:szCs w:val="20"/>
                <w:color w:val="auto"/>
              </w:rPr>
            </w:pPr>
            <w:r>
              <w:rPr>
                <w:rFonts w:ascii="Arial" w:cs="Arial" w:eastAsia="Arial" w:hAnsi="Arial"/>
                <w:sz w:val="15"/>
                <w:szCs w:val="15"/>
                <w:color w:val="auto"/>
              </w:rPr>
              <w:t>Research</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11</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6,048</w:t>
            </w:r>
          </w:p>
        </w:tc>
        <w:tc>
          <w:tcPr>
            <w:tcW w:w="1240" w:type="dxa"/>
            <w:vAlign w:val="bottom"/>
          </w:tcPr>
          <w:p>
            <w:pPr>
              <w:jc w:val="right"/>
              <w:spacing w:after="0"/>
              <w:rPr>
                <w:sz w:val="20"/>
                <w:szCs w:val="20"/>
                <w:color w:val="auto"/>
              </w:rPr>
            </w:pPr>
            <w:r>
              <w:rPr>
                <w:rFonts w:ascii="Arial" w:cs="Arial" w:eastAsia="Arial" w:hAnsi="Arial"/>
                <w:sz w:val="15"/>
                <w:szCs w:val="15"/>
                <w:color w:val="auto"/>
              </w:rPr>
              <w:t>2,976</w:t>
            </w:r>
          </w:p>
        </w:tc>
      </w:tr>
      <w:tr>
        <w:trPr>
          <w:trHeight w:val="220"/>
        </w:trPr>
        <w:tc>
          <w:tcPr>
            <w:tcW w:w="648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10</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5,192</w:t>
            </w:r>
          </w:p>
        </w:tc>
        <w:tc>
          <w:tcPr>
            <w:tcW w:w="1240" w:type="dxa"/>
            <w:vAlign w:val="bottom"/>
          </w:tcPr>
          <w:p>
            <w:pPr>
              <w:jc w:val="right"/>
              <w:spacing w:after="0"/>
              <w:rPr>
                <w:sz w:val="20"/>
                <w:szCs w:val="20"/>
                <w:color w:val="auto"/>
              </w:rPr>
            </w:pPr>
            <w:r>
              <w:rPr>
                <w:rFonts w:ascii="Arial" w:cs="Arial" w:eastAsia="Arial" w:hAnsi="Arial"/>
                <w:sz w:val="15"/>
                <w:szCs w:val="15"/>
                <w:color w:val="auto"/>
              </w:rPr>
              <w:t>6,190</w:t>
            </w:r>
          </w:p>
        </w:tc>
      </w:tr>
      <w:tr>
        <w:trPr>
          <w:trHeight w:val="220"/>
        </w:trPr>
        <w:tc>
          <w:tcPr>
            <w:tcW w:w="648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8, 9</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2,155</w:t>
            </w:r>
          </w:p>
        </w:tc>
        <w:tc>
          <w:tcPr>
            <w:tcW w:w="1240" w:type="dxa"/>
            <w:vAlign w:val="bottom"/>
          </w:tcPr>
          <w:p>
            <w:pPr>
              <w:jc w:val="right"/>
              <w:spacing w:after="0"/>
              <w:rPr>
                <w:sz w:val="20"/>
                <w:szCs w:val="20"/>
                <w:color w:val="auto"/>
              </w:rPr>
            </w:pPr>
            <w:r>
              <w:rPr>
                <w:rFonts w:ascii="Arial" w:cs="Arial" w:eastAsia="Arial" w:hAnsi="Arial"/>
                <w:sz w:val="15"/>
                <w:szCs w:val="15"/>
                <w:color w:val="auto"/>
              </w:rPr>
              <w:t>4,773</w:t>
            </w:r>
          </w:p>
        </w:tc>
      </w:tr>
      <w:tr>
        <w:trPr>
          <w:trHeight w:val="237"/>
        </w:trPr>
        <w:tc>
          <w:tcPr>
            <w:tcW w:w="6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7"/>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EXPENSES</w:t>
            </w:r>
          </w:p>
        </w:tc>
        <w:tc>
          <w:tcPr>
            <w:tcW w:w="1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13,395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13,939</w:t>
            </w:r>
          </w:p>
        </w:tc>
      </w:tr>
      <w:tr>
        <w:trPr>
          <w:trHeight w:val="404"/>
        </w:trPr>
        <w:tc>
          <w:tcPr>
            <w:tcW w:w="648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6480" w:type="dxa"/>
            <w:vAlign w:val="bottom"/>
          </w:tcPr>
          <w:p>
            <w:pPr>
              <w:ind w:left="200"/>
              <w:spacing w:after="0"/>
              <w:rPr>
                <w:sz w:val="20"/>
                <w:szCs w:val="20"/>
                <w:color w:val="auto"/>
              </w:rPr>
            </w:pPr>
            <w:r>
              <w:rPr>
                <w:rFonts w:ascii="Arial" w:cs="Arial" w:eastAsia="Arial" w:hAnsi="Arial"/>
                <w:sz w:val="15"/>
                <w:szCs w:val="15"/>
                <w:color w:val="auto"/>
              </w:rPr>
              <w:t>Foreign currency translation gain (loss)</w:t>
            </w:r>
          </w:p>
        </w:tc>
        <w:tc>
          <w:tcPr>
            <w:tcW w:w="1940" w:type="dxa"/>
            <w:vAlign w:val="bottom"/>
          </w:tcPr>
          <w:p>
            <w:pPr>
              <w:spacing w:after="0"/>
              <w:rPr>
                <w:sz w:val="19"/>
                <w:szCs w:val="19"/>
                <w:color w:val="auto"/>
              </w:rPr>
            </w:pP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525</w:t>
            </w:r>
          </w:p>
        </w:tc>
        <w:tc>
          <w:tcPr>
            <w:tcW w:w="12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20"/>
        </w:trPr>
        <w:tc>
          <w:tcPr>
            <w:tcW w:w="648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1940" w:type="dxa"/>
            <w:vAlign w:val="bottom"/>
          </w:tcPr>
          <w:p>
            <w:pPr>
              <w:spacing w:after="0"/>
              <w:rPr>
                <w:sz w:val="19"/>
                <w:szCs w:val="19"/>
                <w:color w:val="auto"/>
              </w:rPr>
            </w:pP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124</w:t>
            </w:r>
          </w:p>
        </w:tc>
        <w:tc>
          <w:tcPr>
            <w:tcW w:w="12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96"/>
        </w:trPr>
        <w:tc>
          <w:tcPr>
            <w:tcW w:w="6480" w:type="dxa"/>
            <w:vAlign w:val="bottom"/>
          </w:tcPr>
          <w:p>
            <w:pPr>
              <w:ind w:left="200"/>
              <w:spacing w:after="0"/>
              <w:rPr>
                <w:sz w:val="20"/>
                <w:szCs w:val="20"/>
                <w:color w:val="auto"/>
              </w:rPr>
            </w:pPr>
            <w:r>
              <w:rPr>
                <w:rFonts w:ascii="Arial" w:cs="Arial" w:eastAsia="Arial" w:hAnsi="Arial"/>
                <w:sz w:val="15"/>
                <w:szCs w:val="15"/>
                <w:color w:val="auto"/>
              </w:rPr>
              <w:t>Change in fair value of investments measured at fair value through profit or loss</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3, 14</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12</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648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7</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(13)</w:t>
            </w:r>
          </w:p>
        </w:tc>
        <w:tc>
          <w:tcPr>
            <w:tcW w:w="124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08"/>
        </w:trPr>
        <w:tc>
          <w:tcPr>
            <w:tcW w:w="6480" w:type="dxa"/>
            <w:vAlign w:val="bottom"/>
          </w:tcPr>
          <w:p>
            <w:pPr>
              <w:ind w:left="200"/>
              <w:spacing w:after="0"/>
              <w:rPr>
                <w:sz w:val="20"/>
                <w:szCs w:val="20"/>
                <w:color w:val="auto"/>
              </w:rPr>
            </w:pPr>
            <w:r>
              <w:rPr>
                <w:rFonts w:ascii="Arial" w:cs="Arial" w:eastAsia="Arial" w:hAnsi="Arial"/>
                <w:sz w:val="15"/>
                <w:szCs w:val="15"/>
                <w:color w:val="auto"/>
              </w:rPr>
              <w:t>Change in fair value of contingent consideration</w:t>
            </w:r>
          </w:p>
        </w:tc>
        <w:tc>
          <w:tcPr>
            <w:tcW w:w="1940" w:type="dxa"/>
            <w:vAlign w:val="bottom"/>
          </w:tcPr>
          <w:p>
            <w:pPr>
              <w:jc w:val="center"/>
              <w:ind w:left="547"/>
              <w:spacing w:after="0"/>
              <w:rPr>
                <w:sz w:val="20"/>
                <w:szCs w:val="20"/>
                <w:color w:val="auto"/>
              </w:rPr>
            </w:pPr>
            <w:r>
              <w:rPr>
                <w:rFonts w:ascii="Arial" w:cs="Arial" w:eastAsia="Arial" w:hAnsi="Arial"/>
                <w:sz w:val="15"/>
                <w:szCs w:val="15"/>
                <w:i w:val="1"/>
                <w:iCs w:val="1"/>
                <w:color w:val="auto"/>
                <w:w w:val="95"/>
              </w:rPr>
              <w:t>7</w:t>
            </w:r>
          </w:p>
        </w:tc>
        <w:tc>
          <w:tcPr>
            <w:tcW w:w="1560" w:type="dxa"/>
            <w:vAlign w:val="bottom"/>
          </w:tcPr>
          <w:p>
            <w:pPr>
              <w:jc w:val="right"/>
              <w:ind w:right="287"/>
              <w:spacing w:after="0"/>
              <w:rPr>
                <w:sz w:val="20"/>
                <w:szCs w:val="20"/>
                <w:color w:val="auto"/>
              </w:rPr>
            </w:pPr>
            <w:r>
              <w:rPr>
                <w:rFonts w:ascii="Arial" w:cs="Arial" w:eastAsia="Arial" w:hAnsi="Arial"/>
                <w:sz w:val="15"/>
                <w:szCs w:val="15"/>
                <w:b w:val="1"/>
                <w:bCs w:val="1"/>
                <w:color w:val="auto"/>
              </w:rPr>
              <w:t>(308)</w:t>
            </w:r>
          </w:p>
        </w:tc>
        <w:tc>
          <w:tcPr>
            <w:tcW w:w="124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250"/>
        </w:trPr>
        <w:tc>
          <w:tcPr>
            <w:tcW w:w="64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187"/>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1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340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w:t>
            </w:r>
          </w:p>
        </w:tc>
      </w:tr>
      <w:tr>
        <w:trPr>
          <w:trHeight w:val="213"/>
        </w:trPr>
        <w:tc>
          <w:tcPr>
            <w:tcW w:w="6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87"/>
        </w:trPr>
        <w:tc>
          <w:tcPr>
            <w:tcW w:w="64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940" w:type="dxa"/>
            <w:vAlign w:val="bottom"/>
            <w:tcBorders>
              <w:bottom w:val="single" w:sz="8" w:color="auto"/>
            </w:tcBorders>
            <w:shd w:val="clear" w:color="auto" w:fill="D9D9D9"/>
          </w:tcPr>
          <w:p>
            <w:pPr>
              <w:spacing w:after="0"/>
              <w:rPr>
                <w:sz w:val="16"/>
                <w:szCs w:val="16"/>
                <w:color w:val="auto"/>
              </w:rPr>
            </w:pPr>
          </w:p>
        </w:tc>
        <w:tc>
          <w:tcPr>
            <w:tcW w:w="1560" w:type="dxa"/>
            <w:vAlign w:val="bottom"/>
            <w:tcBorders>
              <w:bottom w:val="single" w:sz="8" w:color="auto"/>
            </w:tcBorders>
            <w:shd w:val="clear" w:color="auto" w:fill="D9D9D9"/>
          </w:tcPr>
          <w:p>
            <w:pPr>
              <w:jc w:val="right"/>
              <w:ind w:right="287"/>
              <w:spacing w:after="0"/>
              <w:rPr>
                <w:sz w:val="20"/>
                <w:szCs w:val="20"/>
                <w:color w:val="auto"/>
              </w:rPr>
            </w:pPr>
            <w:r>
              <w:rPr>
                <w:rFonts w:ascii="Arial" w:cs="Arial" w:eastAsia="Arial" w:hAnsi="Arial"/>
                <w:sz w:val="15"/>
                <w:szCs w:val="15"/>
                <w:b w:val="1"/>
                <w:bCs w:val="1"/>
                <w:color w:val="auto"/>
              </w:rPr>
              <w:t>(13,055)</w:t>
            </w:r>
          </w:p>
        </w:tc>
        <w:tc>
          <w:tcPr>
            <w:tcW w:w="1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(14,717)</w:t>
            </w:r>
          </w:p>
        </w:tc>
      </w:tr>
      <w:tr>
        <w:trPr>
          <w:trHeight w:val="404"/>
        </w:trPr>
        <w:tc>
          <w:tcPr>
            <w:tcW w:w="648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LOSS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64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Foreign currency translation differences for foreign operations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116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w:t>
            </w:r>
          </w:p>
        </w:tc>
      </w:tr>
      <w:tr>
        <w:trPr>
          <w:trHeight w:val="190"/>
        </w:trPr>
        <w:tc>
          <w:tcPr>
            <w:tcW w:w="64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1940" w:type="dxa"/>
            <w:vAlign w:val="bottom"/>
            <w:tcBorders>
              <w:bottom w:val="single" w:sz="8" w:color="auto"/>
            </w:tcBorders>
            <w:shd w:val="clear" w:color="auto" w:fill="D9D9D9"/>
          </w:tcPr>
          <w:p>
            <w:pPr>
              <w:spacing w:after="0"/>
              <w:rPr>
                <w:sz w:val="16"/>
                <w:szCs w:val="16"/>
                <w:color w:val="auto"/>
              </w:rPr>
            </w:pPr>
          </w:p>
        </w:tc>
        <w:tc>
          <w:tcPr>
            <w:tcW w:w="1560" w:type="dxa"/>
            <w:vAlign w:val="bottom"/>
            <w:tcBorders>
              <w:bottom w:val="single" w:sz="8" w:color="auto"/>
            </w:tcBorders>
            <w:shd w:val="clear" w:color="auto" w:fill="D9D9D9"/>
          </w:tcPr>
          <w:p>
            <w:pPr>
              <w:jc w:val="right"/>
              <w:ind w:right="287"/>
              <w:spacing w:after="0"/>
              <w:rPr>
                <w:sz w:val="20"/>
                <w:szCs w:val="20"/>
                <w:color w:val="auto"/>
              </w:rPr>
            </w:pPr>
            <w:r>
              <w:rPr>
                <w:rFonts w:ascii="Arial" w:cs="Arial" w:eastAsia="Arial" w:hAnsi="Arial"/>
                <w:sz w:val="15"/>
                <w:szCs w:val="15"/>
                <w:b w:val="1"/>
                <w:bCs w:val="1"/>
                <w:color w:val="auto"/>
              </w:rPr>
              <w:t>(12,939)</w:t>
            </w:r>
          </w:p>
        </w:tc>
        <w:tc>
          <w:tcPr>
            <w:tcW w:w="1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(15,409)</w:t>
            </w:r>
          </w:p>
        </w:tc>
      </w:tr>
      <w:tr>
        <w:trPr>
          <w:trHeight w:val="406"/>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 shareholders</w:t>
            </w:r>
          </w:p>
        </w:tc>
        <w:tc>
          <w:tcPr>
            <w:tcW w:w="1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(0.07)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(0.09)</w:t>
            </w:r>
          </w:p>
        </w:tc>
      </w:tr>
      <w:tr>
        <w:trPr>
          <w:trHeight w:val="190"/>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1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175,874,475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157,711,518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20"/>
          </w:cols>
          <w:pgMar w:left="320" w:top="168" w:right="359" w:bottom="1440" w:gutter="0" w:footer="0" w:header="0"/>
        </w:sectPr>
      </w:pPr>
    </w:p>
    <w:bookmarkStart w:id="7" w:name="page8"/>
    <w:bookmarkEnd w:id="7"/>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right="2000"/>
        <w:spacing w:after="0" w:line="238" w:lineRule="auto"/>
        <w:rPr>
          <w:sz w:val="20"/>
          <w:szCs w:val="20"/>
          <w:color w:val="auto"/>
        </w:rPr>
      </w:pPr>
      <w:r>
        <w:rPr>
          <w:rFonts w:ascii="Arial" w:cs="Arial" w:eastAsia="Arial" w:hAnsi="Arial"/>
          <w:sz w:val="20"/>
          <w:szCs w:val="20"/>
          <w:b w:val="1"/>
          <w:bCs w:val="1"/>
          <w:color w:val="auto"/>
        </w:rPr>
        <w:t>CONDENSED INTERIM CONSOLIDATED STATEMENTS OF CHANGES IN SHAREHOLDERS’ EQUITY For the three months ended June 30, 2022 and June 30, 2021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3"/>
                <w:szCs w:val="13"/>
                <w:b w:val="1"/>
                <w:bCs w:val="1"/>
                <w:color w:val="auto"/>
              </w:rPr>
              <w:t>Share capital</w:t>
            </w: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Reserves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Contributed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8"/>
              </w:rPr>
              <w:t>other</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Note</w:t>
            </w: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auto"/>
              </w:rPr>
              <w:t>Warrants</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Options</w:t>
            </w: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0"/>
                <w:szCs w:val="10"/>
                <w:color w:val="auto"/>
              </w:rPr>
            </w:pPr>
          </w:p>
        </w:tc>
        <w:tc>
          <w:tcPr>
            <w:tcW w:w="900" w:type="dxa"/>
            <w:vAlign w:val="bottom"/>
            <w:vMerge w:val="restart"/>
          </w:tcPr>
          <w:p>
            <w:pPr>
              <w:jc w:val="right"/>
              <w:ind w:right="2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20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surplus</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335"/>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3"/>
        </w:trPr>
        <w:tc>
          <w:tcPr>
            <w:tcW w:w="3200" w:type="dxa"/>
            <w:vAlign w:val="bottom"/>
            <w:tcBorders>
              <w:top w:val="single" w:sz="8" w:color="auto"/>
              <w:bottom w:val="single" w:sz="8" w:color="929292"/>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2021</w:t>
            </w:r>
          </w:p>
        </w:tc>
        <w:tc>
          <w:tcPr>
            <w:tcW w:w="600" w:type="dxa"/>
            <w:vAlign w:val="bottom"/>
            <w:tcBorders>
              <w:top w:val="single" w:sz="8" w:color="auto"/>
              <w:bottom w:val="single" w:sz="8" w:color="929292"/>
            </w:tcBorders>
            <w:shd w:val="clear" w:color="auto" w:fill="D9D9D9"/>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900" w:type="dxa"/>
            <w:vAlign w:val="bottom"/>
            <w:tcBorders>
              <w:top w:val="single" w:sz="8" w:color="auto"/>
              <w:bottom w:val="single" w:sz="8" w:color="929292"/>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157,454,415</w:t>
            </w:r>
          </w:p>
        </w:tc>
        <w:tc>
          <w:tcPr>
            <w:tcW w:w="80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100,676</w:t>
            </w:r>
          </w:p>
        </w:tc>
        <w:tc>
          <w:tcPr>
            <w:tcW w:w="80" w:type="dxa"/>
            <w:vAlign w:val="bottom"/>
            <w:tcBorders>
              <w:top w:val="single" w:sz="8" w:color="auto"/>
              <w:bottom w:val="single" w:sz="8" w:color="929292"/>
            </w:tcBorders>
          </w:tcPr>
          <w:p>
            <w:pPr>
              <w:spacing w:after="0"/>
              <w:rPr>
                <w:sz w:val="14"/>
                <w:szCs w:val="14"/>
                <w:color w:val="auto"/>
              </w:rPr>
            </w:pP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11,166</w:t>
            </w:r>
          </w:p>
        </w:tc>
        <w:tc>
          <w:tcPr>
            <w:tcW w:w="860" w:type="dxa"/>
            <w:vAlign w:val="bottom"/>
            <w:tcBorders>
              <w:top w:val="single" w:sz="8" w:color="auto"/>
              <w:bottom w:val="single" w:sz="8" w:color="929292"/>
            </w:tcBorders>
            <w:shd w:val="clear" w:color="auto" w:fill="D9D9D9"/>
          </w:tcPr>
          <w:p>
            <w:pPr>
              <w:jc w:val="right"/>
              <w:ind w:right="14"/>
              <w:spacing w:after="0"/>
              <w:rPr>
                <w:sz w:val="20"/>
                <w:szCs w:val="20"/>
                <w:color w:val="auto"/>
              </w:rPr>
            </w:pPr>
            <w:r>
              <w:rPr>
                <w:rFonts w:ascii="Arial" w:cs="Arial" w:eastAsia="Arial" w:hAnsi="Arial"/>
                <w:sz w:val="13"/>
                <w:szCs w:val="13"/>
                <w:b w:val="1"/>
                <w:bCs w:val="1"/>
                <w:color w:val="auto"/>
              </w:rPr>
              <w:t>7,158</w:t>
            </w: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929292"/>
            </w:tcBorders>
          </w:tcPr>
          <w:p>
            <w:pPr>
              <w:spacing w:after="0"/>
              <w:rPr>
                <w:sz w:val="14"/>
                <w:szCs w:val="14"/>
                <w:color w:val="auto"/>
              </w:rPr>
            </w:pP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(33,030)</w:t>
            </w:r>
          </w:p>
        </w:tc>
        <w:tc>
          <w:tcPr>
            <w:tcW w:w="100" w:type="dxa"/>
            <w:vAlign w:val="bottom"/>
            <w:tcBorders>
              <w:top w:val="single" w:sz="8" w:color="auto"/>
              <w:bottom w:val="single" w:sz="8" w:color="929292"/>
            </w:tcBorders>
          </w:tcPr>
          <w:p>
            <w:pPr>
              <w:spacing w:after="0"/>
              <w:rPr>
                <w:sz w:val="14"/>
                <w:szCs w:val="14"/>
                <w:color w:val="auto"/>
              </w:rPr>
            </w:pPr>
          </w:p>
        </w:tc>
        <w:tc>
          <w:tcPr>
            <w:tcW w:w="10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top w:val="single" w:sz="8" w:color="auto"/>
              <w:bottom w:val="single" w:sz="8" w:color="929292"/>
            </w:tcBorders>
          </w:tcPr>
          <w:p>
            <w:pPr>
              <w:spacing w:after="0"/>
              <w:rPr>
                <w:sz w:val="14"/>
                <w:szCs w:val="14"/>
                <w:color w:val="auto"/>
              </w:rPr>
            </w:pPr>
          </w:p>
        </w:tc>
        <w:tc>
          <w:tcPr>
            <w:tcW w:w="900" w:type="dxa"/>
            <w:vAlign w:val="bottom"/>
            <w:tcBorders>
              <w:top w:val="single" w:sz="8" w:color="auto"/>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86,118</w:t>
            </w:r>
          </w:p>
        </w:tc>
        <w:tc>
          <w:tcPr>
            <w:tcW w:w="0" w:type="dxa"/>
            <w:vAlign w:val="bottom"/>
          </w:tcPr>
          <w:p>
            <w:pPr>
              <w:spacing w:after="0"/>
              <w:rPr>
                <w:sz w:val="1"/>
                <w:szCs w:val="1"/>
                <w:color w:val="auto"/>
              </w:rPr>
            </w:pPr>
          </w:p>
        </w:tc>
      </w:tr>
      <w:tr>
        <w:trPr>
          <w:trHeight w:val="131"/>
        </w:trPr>
        <w:tc>
          <w:tcPr>
            <w:tcW w:w="3200" w:type="dxa"/>
            <w:vAlign w:val="bottom"/>
          </w:tcPr>
          <w:p>
            <w:pPr>
              <w:ind w:left="60"/>
              <w:spacing w:after="0" w:line="131" w:lineRule="exact"/>
              <w:rPr>
                <w:sz w:val="20"/>
                <w:szCs w:val="20"/>
                <w:color w:val="auto"/>
              </w:rPr>
            </w:pPr>
            <w:r>
              <w:rPr>
                <w:rFonts w:ascii="Arial" w:cs="Arial" w:eastAsia="Arial" w:hAnsi="Arial"/>
                <w:sz w:val="13"/>
                <w:szCs w:val="13"/>
                <w:color w:val="auto"/>
              </w:rPr>
              <w:t>Shares issued on contingent liability Adelia</w:t>
            </w:r>
          </w:p>
        </w:tc>
        <w:tc>
          <w:tcPr>
            <w:tcW w:w="600" w:type="dxa"/>
            <w:vAlign w:val="bottom"/>
          </w:tcPr>
          <w:p>
            <w:pPr>
              <w:spacing w:after="0"/>
              <w:rPr>
                <w:sz w:val="11"/>
                <w:szCs w:val="11"/>
                <w:color w:val="auto"/>
              </w:rPr>
            </w:pPr>
          </w:p>
        </w:tc>
        <w:tc>
          <w:tcPr>
            <w:tcW w:w="980" w:type="dxa"/>
            <w:vAlign w:val="bottom"/>
            <w:gridSpan w:val="2"/>
          </w:tcPr>
          <w:p>
            <w:pPr>
              <w:jc w:val="right"/>
              <w:ind w:right="55"/>
              <w:spacing w:after="0" w:line="131" w:lineRule="exact"/>
              <w:rPr>
                <w:sz w:val="20"/>
                <w:szCs w:val="20"/>
                <w:color w:val="auto"/>
              </w:rPr>
            </w:pPr>
            <w:r>
              <w:rPr>
                <w:rFonts w:ascii="Arial" w:cs="Arial" w:eastAsia="Arial" w:hAnsi="Arial"/>
                <w:sz w:val="13"/>
                <w:szCs w:val="13"/>
                <w:color w:val="auto"/>
              </w:rPr>
              <w:t>157,771</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458</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95"/>
        </w:trPr>
        <w:tc>
          <w:tcPr>
            <w:tcW w:w="3200" w:type="dxa"/>
            <w:vAlign w:val="bottom"/>
            <w:vMerge w:val="restart"/>
          </w:tcPr>
          <w:p>
            <w:pPr>
              <w:ind w:left="60"/>
              <w:spacing w:after="0"/>
              <w:rPr>
                <w:sz w:val="20"/>
                <w:szCs w:val="20"/>
                <w:color w:val="auto"/>
              </w:rPr>
            </w:pPr>
            <w:r>
              <w:rPr>
                <w:rFonts w:ascii="Arial" w:cs="Arial" w:eastAsia="Arial" w:hAnsi="Arial"/>
                <w:sz w:val="13"/>
                <w:szCs w:val="13"/>
                <w:color w:val="auto"/>
              </w:rPr>
              <w:t>milestones</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2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00" w:type="dxa"/>
            <w:vAlign w:val="bottom"/>
          </w:tcPr>
          <w:p>
            <w:pPr>
              <w:spacing w:after="0"/>
              <w:rPr>
                <w:sz w:val="14"/>
                <w:szCs w:val="14"/>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3"/>
                <w:szCs w:val="13"/>
                <w:color w:val="auto"/>
              </w:rPr>
              <w:t>256,031</w:t>
            </w:r>
          </w:p>
        </w:tc>
        <w:tc>
          <w:tcPr>
            <w:tcW w:w="800" w:type="dxa"/>
            <w:vAlign w:val="bottom"/>
          </w:tcPr>
          <w:p>
            <w:pPr>
              <w:jc w:val="right"/>
              <w:spacing w:after="0"/>
              <w:rPr>
                <w:sz w:val="20"/>
                <w:szCs w:val="20"/>
                <w:color w:val="auto"/>
              </w:rPr>
            </w:pPr>
            <w:r>
              <w:rPr>
                <w:rFonts w:ascii="Arial" w:cs="Arial" w:eastAsia="Arial" w:hAnsi="Arial"/>
                <w:sz w:val="13"/>
                <w:szCs w:val="13"/>
                <w:color w:val="auto"/>
              </w:rPr>
              <w:t>286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(87)</w:t>
            </w:r>
          </w:p>
        </w:tc>
        <w:tc>
          <w:tcPr>
            <w:tcW w:w="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600" w:type="dxa"/>
            <w:vAlign w:val="bottom"/>
          </w:tcPr>
          <w:p>
            <w:pPr>
              <w:spacing w:after="0"/>
              <w:rPr>
                <w:sz w:val="14"/>
                <w:szCs w:val="14"/>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3"/>
                <w:szCs w:val="13"/>
                <w:color w:val="auto"/>
              </w:rPr>
              <w:t>325,000</w:t>
            </w:r>
          </w:p>
        </w:tc>
        <w:tc>
          <w:tcPr>
            <w:tcW w:w="80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(93)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70"/>
        </w:trPr>
        <w:tc>
          <w:tcPr>
            <w:tcW w:w="320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105</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4,668</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4,773</w:t>
            </w:r>
          </w:p>
        </w:tc>
        <w:tc>
          <w:tcPr>
            <w:tcW w:w="0" w:type="dxa"/>
            <w:vAlign w:val="bottom"/>
          </w:tcPr>
          <w:p>
            <w:pPr>
              <w:spacing w:after="0"/>
              <w:rPr>
                <w:sz w:val="1"/>
                <w:szCs w:val="1"/>
                <w:color w:val="auto"/>
              </w:rPr>
            </w:pPr>
          </w:p>
        </w:tc>
      </w:tr>
      <w:tr>
        <w:trPr>
          <w:trHeight w:val="151"/>
        </w:trPr>
        <w:tc>
          <w:tcPr>
            <w:tcW w:w="3200" w:type="dxa"/>
            <w:vAlign w:val="bottom"/>
          </w:tcPr>
          <w:p>
            <w:pPr>
              <w:ind w:left="60"/>
              <w:spacing w:after="0"/>
              <w:rPr>
                <w:sz w:val="20"/>
                <w:szCs w:val="20"/>
                <w:color w:val="auto"/>
              </w:rPr>
            </w:pPr>
            <w:r>
              <w:rPr>
                <w:rFonts w:ascii="Arial" w:cs="Arial" w:eastAsia="Arial" w:hAnsi="Arial"/>
                <w:sz w:val="13"/>
                <w:szCs w:val="13"/>
                <w:color w:val="auto"/>
              </w:rPr>
              <w:t>Unrealized loss on translation of foreign operations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(692)</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1"/>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period</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(14,717)</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(14,717)</w:t>
            </w:r>
          </w:p>
        </w:tc>
        <w:tc>
          <w:tcPr>
            <w:tcW w:w="0" w:type="dxa"/>
            <w:vAlign w:val="bottom"/>
          </w:tcPr>
          <w:p>
            <w:pPr>
              <w:spacing w:after="0"/>
              <w:rPr>
                <w:sz w:val="1"/>
                <w:szCs w:val="1"/>
                <w:color w:val="auto"/>
              </w:rPr>
            </w:pPr>
          </w:p>
        </w:tc>
      </w:tr>
      <w:tr>
        <w:trPr>
          <w:trHeight w:val="163"/>
        </w:trPr>
        <w:tc>
          <w:tcPr>
            <w:tcW w:w="32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June 30, 2021</w:t>
            </w:r>
          </w:p>
        </w:tc>
        <w:tc>
          <w:tcPr>
            <w:tcW w:w="600" w:type="dxa"/>
            <w:vAlign w:val="bottom"/>
            <w:tcBorders>
              <w:bottom w:val="single" w:sz="8" w:color="auto"/>
            </w:tcBorders>
            <w:shd w:val="clear" w:color="auto" w:fill="D9D9D9"/>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158,193,217</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101,603</w:t>
            </w:r>
          </w:p>
        </w:tc>
        <w:tc>
          <w:tcPr>
            <w:tcW w:w="9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11,224</w:t>
            </w:r>
          </w:p>
        </w:tc>
        <w:tc>
          <w:tcPr>
            <w:tcW w:w="860" w:type="dxa"/>
            <w:vAlign w:val="bottom"/>
            <w:tcBorders>
              <w:bottom w:val="single" w:sz="8" w:color="auto"/>
            </w:tcBorders>
            <w:shd w:val="clear" w:color="auto" w:fill="D9D9D9"/>
          </w:tcPr>
          <w:p>
            <w:pPr>
              <w:jc w:val="right"/>
              <w:ind w:right="14"/>
              <w:spacing w:after="0"/>
              <w:rPr>
                <w:sz w:val="20"/>
                <w:szCs w:val="20"/>
                <w:color w:val="auto"/>
              </w:rPr>
            </w:pPr>
            <w:r>
              <w:rPr>
                <w:rFonts w:ascii="Arial" w:cs="Arial" w:eastAsia="Arial" w:hAnsi="Arial"/>
                <w:sz w:val="13"/>
                <w:szCs w:val="13"/>
                <w:b w:val="1"/>
                <w:bCs w:val="1"/>
                <w:color w:val="auto"/>
              </w:rPr>
              <w:t>11,733</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(47,747)</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(668)</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76,269</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29292"/>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2022</w:t>
            </w:r>
          </w:p>
        </w:tc>
        <w:tc>
          <w:tcPr>
            <w:tcW w:w="600" w:type="dxa"/>
            <w:vAlign w:val="bottom"/>
            <w:tcBorders>
              <w:bottom w:val="single" w:sz="8" w:color="929292"/>
            </w:tcBorders>
            <w:shd w:val="clear" w:color="auto" w:fill="D9D9D9"/>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900" w:type="dxa"/>
            <w:vAlign w:val="bottom"/>
            <w:tcBorders>
              <w:bottom w:val="single" w:sz="8" w:color="929292"/>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175,111,654</w:t>
            </w:r>
          </w:p>
        </w:tc>
        <w:tc>
          <w:tcPr>
            <w:tcW w:w="80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141,451</w:t>
            </w:r>
          </w:p>
        </w:tc>
        <w:tc>
          <w:tcPr>
            <w:tcW w:w="80" w:type="dxa"/>
            <w:vAlign w:val="bottom"/>
            <w:tcBorders>
              <w:bottom w:val="single" w:sz="8" w:color="929292"/>
            </w:tcBorders>
          </w:tcPr>
          <w:p>
            <w:pPr>
              <w:spacing w:after="0"/>
              <w:rPr>
                <w:sz w:val="14"/>
                <w:szCs w:val="14"/>
                <w:color w:val="auto"/>
              </w:rPr>
            </w:pPr>
          </w:p>
        </w:tc>
        <w:tc>
          <w:tcPr>
            <w:tcW w:w="8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11,423</w:t>
            </w:r>
          </w:p>
        </w:tc>
        <w:tc>
          <w:tcPr>
            <w:tcW w:w="860" w:type="dxa"/>
            <w:vAlign w:val="bottom"/>
            <w:tcBorders>
              <w:bottom w:val="single" w:sz="8" w:color="929292"/>
            </w:tcBorders>
            <w:shd w:val="clear" w:color="auto" w:fill="D9D9D9"/>
          </w:tcPr>
          <w:p>
            <w:pPr>
              <w:jc w:val="right"/>
              <w:ind w:right="14"/>
              <w:spacing w:after="0"/>
              <w:rPr>
                <w:sz w:val="20"/>
                <w:szCs w:val="20"/>
                <w:color w:val="auto"/>
              </w:rPr>
            </w:pPr>
            <w:r>
              <w:rPr>
                <w:rFonts w:ascii="Arial" w:cs="Arial" w:eastAsia="Arial" w:hAnsi="Arial"/>
                <w:sz w:val="13"/>
                <w:szCs w:val="13"/>
                <w:b w:val="1"/>
                <w:bCs w:val="1"/>
                <w:color w:val="auto"/>
              </w:rPr>
              <w:t>23,783</w:t>
            </w:r>
          </w:p>
        </w:tc>
        <w:tc>
          <w:tcPr>
            <w:tcW w:w="8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525</w:t>
            </w:r>
          </w:p>
        </w:tc>
        <w:tc>
          <w:tcPr>
            <w:tcW w:w="100" w:type="dxa"/>
            <w:vAlign w:val="bottom"/>
            <w:tcBorders>
              <w:bottom w:val="single" w:sz="8" w:color="929292"/>
            </w:tcBorders>
          </w:tcPr>
          <w:p>
            <w:pPr>
              <w:spacing w:after="0"/>
              <w:rPr>
                <w:sz w:val="14"/>
                <w:szCs w:val="14"/>
                <w:color w:val="auto"/>
              </w:rPr>
            </w:pPr>
          </w:p>
        </w:tc>
        <w:tc>
          <w:tcPr>
            <w:tcW w:w="8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(100,661)</w:t>
            </w:r>
          </w:p>
        </w:tc>
        <w:tc>
          <w:tcPr>
            <w:tcW w:w="10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(366)</w:t>
            </w:r>
          </w:p>
        </w:tc>
        <w:tc>
          <w:tcPr>
            <w:tcW w:w="80" w:type="dxa"/>
            <w:vAlign w:val="bottom"/>
            <w:tcBorders>
              <w:bottom w:val="single" w:sz="8" w:color="929292"/>
            </w:tcBorders>
          </w:tcPr>
          <w:p>
            <w:pPr>
              <w:spacing w:after="0"/>
              <w:rPr>
                <w:sz w:val="14"/>
                <w:szCs w:val="14"/>
                <w:color w:val="auto"/>
              </w:rPr>
            </w:pPr>
          </w:p>
        </w:tc>
        <w:tc>
          <w:tcPr>
            <w:tcW w:w="900" w:type="dxa"/>
            <w:vAlign w:val="bottom"/>
            <w:tcBorders>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76,155</w:t>
            </w:r>
          </w:p>
        </w:tc>
        <w:tc>
          <w:tcPr>
            <w:tcW w:w="0" w:type="dxa"/>
            <w:vAlign w:val="bottom"/>
          </w:tcPr>
          <w:p>
            <w:pPr>
              <w:spacing w:after="0"/>
              <w:rPr>
                <w:sz w:val="1"/>
                <w:szCs w:val="1"/>
                <w:color w:val="auto"/>
              </w:rPr>
            </w:pPr>
          </w:p>
        </w:tc>
      </w:tr>
      <w:tr>
        <w:trPr>
          <w:trHeight w:val="165"/>
        </w:trPr>
        <w:tc>
          <w:tcPr>
            <w:tcW w:w="3200" w:type="dxa"/>
            <w:vAlign w:val="bottom"/>
          </w:tcPr>
          <w:p>
            <w:pPr>
              <w:ind w:left="60"/>
              <w:spacing w:after="0"/>
              <w:rPr>
                <w:sz w:val="20"/>
                <w:szCs w:val="20"/>
                <w:color w:val="auto"/>
              </w:rPr>
            </w:pPr>
            <w:r>
              <w:rPr>
                <w:rFonts w:ascii="Arial" w:cs="Arial" w:eastAsia="Arial" w:hAnsi="Arial"/>
                <w:sz w:val="13"/>
                <w:szCs w:val="13"/>
                <w:color w:val="auto"/>
              </w:rPr>
              <w:t>Shares issued on Adelia milestones</w:t>
            </w:r>
          </w:p>
        </w:tc>
        <w:tc>
          <w:tcPr>
            <w:tcW w:w="600" w:type="dxa"/>
            <w:vAlign w:val="bottom"/>
          </w:tcPr>
          <w:p>
            <w:pPr>
              <w:jc w:val="center"/>
              <w:spacing w:after="0"/>
              <w:rPr>
                <w:sz w:val="20"/>
                <w:szCs w:val="20"/>
                <w:color w:val="auto"/>
              </w:rPr>
            </w:pPr>
            <w:r>
              <w:rPr>
                <w:rFonts w:ascii="Arial" w:cs="Arial" w:eastAsia="Arial" w:hAnsi="Arial"/>
                <w:sz w:val="13"/>
                <w:szCs w:val="13"/>
                <w:color w:val="auto"/>
              </w:rPr>
              <w:t>7, 8</w:t>
            </w:r>
          </w:p>
        </w:tc>
        <w:tc>
          <w:tcPr>
            <w:tcW w:w="980" w:type="dxa"/>
            <w:vAlign w:val="bottom"/>
            <w:gridSpan w:val="2"/>
          </w:tcPr>
          <w:p>
            <w:pPr>
              <w:jc w:val="right"/>
              <w:ind w:right="55"/>
              <w:spacing w:after="0"/>
              <w:rPr>
                <w:sz w:val="20"/>
                <w:szCs w:val="20"/>
                <w:color w:val="auto"/>
              </w:rPr>
            </w:pPr>
            <w:r>
              <w:rPr>
                <w:rFonts w:ascii="Arial" w:cs="Arial" w:eastAsia="Arial" w:hAnsi="Arial"/>
                <w:sz w:val="13"/>
                <w:szCs w:val="13"/>
                <w:color w:val="auto"/>
              </w:rPr>
              <w:t>3,271,841</w:t>
            </w:r>
          </w:p>
        </w:tc>
        <w:tc>
          <w:tcPr>
            <w:tcW w:w="800" w:type="dxa"/>
            <w:vAlign w:val="bottom"/>
          </w:tcPr>
          <w:p>
            <w:pPr>
              <w:jc w:val="right"/>
              <w:spacing w:after="0"/>
              <w:rPr>
                <w:sz w:val="20"/>
                <w:szCs w:val="20"/>
                <w:color w:val="auto"/>
              </w:rPr>
            </w:pPr>
            <w:r>
              <w:rPr>
                <w:rFonts w:ascii="Arial" w:cs="Arial" w:eastAsia="Arial" w:hAnsi="Arial"/>
                <w:sz w:val="13"/>
                <w:szCs w:val="13"/>
                <w:color w:val="auto"/>
              </w:rPr>
              <w:t>2,500</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00" w:type="dxa"/>
            <w:vAlign w:val="bottom"/>
          </w:tcPr>
          <w:p>
            <w:pPr>
              <w:jc w:val="center"/>
              <w:spacing w:after="0"/>
              <w:rPr>
                <w:sz w:val="20"/>
                <w:szCs w:val="20"/>
                <w:color w:val="auto"/>
              </w:rPr>
            </w:pPr>
            <w:r>
              <w:rPr>
                <w:rFonts w:ascii="Arial" w:cs="Arial" w:eastAsia="Arial" w:hAnsi="Arial"/>
                <w:sz w:val="13"/>
                <w:szCs w:val="13"/>
                <w:color w:val="auto"/>
              </w:rPr>
              <w:t>8</w:t>
            </w:r>
          </w:p>
        </w:tc>
        <w:tc>
          <w:tcPr>
            <w:tcW w:w="980" w:type="dxa"/>
            <w:vAlign w:val="bottom"/>
            <w:gridSpan w:val="2"/>
          </w:tcPr>
          <w:p>
            <w:pPr>
              <w:jc w:val="right"/>
              <w:ind w:right="55"/>
              <w:spacing w:after="0"/>
              <w:rPr>
                <w:sz w:val="20"/>
                <w:szCs w:val="20"/>
                <w:color w:val="auto"/>
              </w:rPr>
            </w:pPr>
            <w:r>
              <w:rPr>
                <w:rFonts w:ascii="Arial" w:cs="Arial" w:eastAsia="Arial" w:hAnsi="Arial"/>
                <w:sz w:val="13"/>
                <w:szCs w:val="13"/>
                <w:color w:val="auto"/>
              </w:rPr>
              <w:t>1,099,638</w:t>
            </w:r>
          </w:p>
        </w:tc>
        <w:tc>
          <w:tcPr>
            <w:tcW w:w="800" w:type="dxa"/>
            <w:vAlign w:val="bottom"/>
          </w:tcPr>
          <w:p>
            <w:pPr>
              <w:jc w:val="right"/>
              <w:spacing w:after="0"/>
              <w:rPr>
                <w:sz w:val="20"/>
                <w:szCs w:val="20"/>
                <w:color w:val="auto"/>
              </w:rPr>
            </w:pPr>
            <w:r>
              <w:rPr>
                <w:rFonts w:ascii="Arial" w:cs="Arial" w:eastAsia="Arial" w:hAnsi="Arial"/>
                <w:sz w:val="13"/>
                <w:szCs w:val="13"/>
                <w:color w:val="auto"/>
              </w:rPr>
              <w:t>456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(142)</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Options forfeited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(106)</w:t>
            </w:r>
          </w:p>
        </w:tc>
        <w:tc>
          <w:tcPr>
            <w:tcW w:w="84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jc w:val="center"/>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jc w:val="center"/>
              <w:spacing w:after="0"/>
              <w:rPr>
                <w:sz w:val="20"/>
                <w:szCs w:val="20"/>
                <w:color w:val="auto"/>
              </w:rPr>
            </w:pPr>
            <w:r>
              <w:rPr>
                <w:rFonts w:ascii="Arial" w:cs="Arial" w:eastAsia="Arial" w:hAnsi="Arial"/>
                <w:sz w:val="13"/>
                <w:szCs w:val="13"/>
                <w:color w:val="auto"/>
              </w:rPr>
              <w:t>8, 9</w:t>
            </w: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2,151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Arial" w:cs="Arial" w:eastAsia="Arial" w:hAnsi="Arial"/>
                <w:sz w:val="13"/>
                <w:szCs w:val="13"/>
                <w:color w:val="auto"/>
              </w:rPr>
              <w:t>Unrealized gain on translation of foreign operations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period</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(13,055)</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(13,055)</w:t>
            </w:r>
          </w:p>
        </w:tc>
        <w:tc>
          <w:tcPr>
            <w:tcW w:w="0" w:type="dxa"/>
            <w:vAlign w:val="bottom"/>
          </w:tcPr>
          <w:p>
            <w:pPr>
              <w:spacing w:after="0"/>
              <w:rPr>
                <w:sz w:val="1"/>
                <w:szCs w:val="1"/>
                <w:color w:val="auto"/>
              </w:rPr>
            </w:pPr>
          </w:p>
        </w:tc>
      </w:tr>
      <w:tr>
        <w:trPr>
          <w:trHeight w:val="163"/>
        </w:trPr>
        <w:tc>
          <w:tcPr>
            <w:tcW w:w="32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June 30, 2022</w:t>
            </w:r>
          </w:p>
        </w:tc>
        <w:tc>
          <w:tcPr>
            <w:tcW w:w="600" w:type="dxa"/>
            <w:vAlign w:val="bottom"/>
            <w:tcBorders>
              <w:bottom w:val="single" w:sz="8" w:color="auto"/>
            </w:tcBorders>
            <w:shd w:val="clear" w:color="auto" w:fill="D9D9D9"/>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179,483,133</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144,401</w:t>
            </w:r>
          </w:p>
        </w:tc>
        <w:tc>
          <w:tcPr>
            <w:tcW w:w="80" w:type="dxa"/>
            <w:vAlign w:val="bottom"/>
          </w:tcPr>
          <w:p>
            <w:pPr>
              <w:spacing w:after="0"/>
              <w:rPr>
                <w:sz w:val="14"/>
                <w:szCs w:val="14"/>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11,291</w:t>
            </w:r>
          </w:p>
        </w:tc>
        <w:tc>
          <w:tcPr>
            <w:tcW w:w="860" w:type="dxa"/>
            <w:vAlign w:val="bottom"/>
            <w:tcBorders>
              <w:bottom w:val="single" w:sz="8" w:color="auto"/>
            </w:tcBorders>
            <w:shd w:val="clear" w:color="auto" w:fill="D9D9D9"/>
          </w:tcPr>
          <w:p>
            <w:pPr>
              <w:jc w:val="right"/>
              <w:ind w:right="14"/>
              <w:spacing w:after="0"/>
              <w:rPr>
                <w:sz w:val="20"/>
                <w:szCs w:val="20"/>
                <w:color w:val="auto"/>
              </w:rPr>
            </w:pPr>
            <w:r>
              <w:rPr>
                <w:rFonts w:ascii="Arial" w:cs="Arial" w:eastAsia="Arial" w:hAnsi="Arial"/>
                <w:sz w:val="13"/>
                <w:szCs w:val="13"/>
                <w:b w:val="1"/>
                <w:bCs w:val="1"/>
                <w:color w:val="auto"/>
              </w:rPr>
              <w:t>25,828</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631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(113,716)</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(250)</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68,185</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71"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CONSOLIDATED STATEMENT OF CASH FLOWS</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80"/>
        <w:spacing w:after="0"/>
        <w:rPr>
          <w:sz w:val="20"/>
          <w:szCs w:val="20"/>
          <w:color w:val="auto"/>
        </w:rPr>
      </w:pPr>
      <w:r>
        <w:rPr>
          <w:rFonts w:ascii="Arial" w:cs="Arial" w:eastAsia="Arial" w:hAnsi="Arial"/>
          <w:sz w:val="15"/>
          <w:szCs w:val="15"/>
          <w:b w:val="1"/>
          <w:bCs w:val="1"/>
          <w:color w:val="auto"/>
        </w:rPr>
        <w:t>Three months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5"/>
                <w:szCs w:val="15"/>
                <w:b w:val="1"/>
                <w:bCs w:val="1"/>
                <w:color w:val="auto"/>
              </w:rPr>
              <w:t>Notes</w:t>
            </w:r>
          </w:p>
        </w:tc>
        <w:tc>
          <w:tcPr>
            <w:tcW w:w="18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2022</w:t>
            </w:r>
          </w:p>
        </w:tc>
        <w:tc>
          <w:tcPr>
            <w:tcW w:w="10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2021</w:t>
            </w:r>
          </w:p>
        </w:tc>
      </w:tr>
      <w:tr>
        <w:trPr>
          <w:trHeight w:val="256"/>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16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680" w:type="dxa"/>
            <w:vAlign w:val="bottom"/>
          </w:tcPr>
          <w:p>
            <w:pPr>
              <w:spacing w:after="0"/>
              <w:rPr>
                <w:sz w:val="17"/>
                <w:szCs w:val="17"/>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(13,055)</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(14,717)</w:t>
            </w:r>
          </w:p>
        </w:tc>
      </w:tr>
      <w:tr>
        <w:trPr>
          <w:trHeight w:val="196"/>
        </w:trPr>
        <w:tc>
          <w:tcPr>
            <w:tcW w:w="6700" w:type="dxa"/>
            <w:vAlign w:val="bottom"/>
          </w:tcPr>
          <w:p>
            <w:pPr>
              <w:ind w:left="160"/>
              <w:spacing w:after="0"/>
              <w:rPr>
                <w:sz w:val="20"/>
                <w:szCs w:val="20"/>
                <w:color w:val="auto"/>
              </w:rPr>
            </w:pPr>
            <w:r>
              <w:rPr>
                <w:rFonts w:ascii="Arial" w:cs="Arial" w:eastAsia="Arial" w:hAnsi="Arial"/>
                <w:sz w:val="15"/>
                <w:szCs w:val="15"/>
                <w:b w:val="1"/>
                <w:bCs w:val="1"/>
                <w:color w:val="auto"/>
              </w:rPr>
              <w:t>Adjustments for items not affecting cash:</w:t>
            </w:r>
          </w:p>
        </w:tc>
        <w:tc>
          <w:tcPr>
            <w:tcW w:w="1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6700" w:type="dxa"/>
            <w:vAlign w:val="bottom"/>
          </w:tcPr>
          <w:p>
            <w:pPr>
              <w:ind w:left="360"/>
              <w:spacing w:after="0"/>
              <w:rPr>
                <w:sz w:val="20"/>
                <w:szCs w:val="20"/>
                <w:color w:val="auto"/>
              </w:rPr>
            </w:pPr>
            <w:r>
              <w:rPr>
                <w:rFonts w:ascii="Arial" w:cs="Arial" w:eastAsia="Arial" w:hAnsi="Arial"/>
                <w:sz w:val="15"/>
                <w:szCs w:val="15"/>
                <w:color w:val="auto"/>
              </w:rPr>
              <w:t>Interest income</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3, 14</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(6)</w:t>
            </w:r>
          </w:p>
        </w:tc>
        <w:tc>
          <w:tcPr>
            <w:tcW w:w="10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Depreciation</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4</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53</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38</w:t>
            </w: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Share-based compensation</w:t>
            </w:r>
          </w:p>
        </w:tc>
        <w:tc>
          <w:tcPr>
            <w:tcW w:w="1680" w:type="dxa"/>
            <w:vAlign w:val="bottom"/>
          </w:tcPr>
          <w:p>
            <w:pPr>
              <w:spacing w:after="0"/>
              <w:rPr>
                <w:sz w:val="19"/>
                <w:szCs w:val="19"/>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2,155</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4,773</w:t>
            </w:r>
          </w:p>
        </w:tc>
      </w:tr>
      <w:tr>
        <w:trPr>
          <w:trHeight w:val="196"/>
        </w:trPr>
        <w:tc>
          <w:tcPr>
            <w:tcW w:w="6700" w:type="dxa"/>
            <w:vAlign w:val="bottom"/>
          </w:tcPr>
          <w:p>
            <w:pPr>
              <w:ind w:left="420"/>
              <w:spacing w:after="0"/>
              <w:rPr>
                <w:sz w:val="20"/>
                <w:szCs w:val="20"/>
                <w:color w:val="auto"/>
              </w:rPr>
            </w:pPr>
            <w:r>
              <w:rPr>
                <w:rFonts w:ascii="Arial" w:cs="Arial" w:eastAsia="Arial" w:hAnsi="Arial"/>
                <w:sz w:val="15"/>
                <w:szCs w:val="15"/>
                <w:color w:val="auto"/>
              </w:rPr>
              <w:t>Change in fair value of investments measured at fair value through profit or loss</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3, 14</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(12)</w:t>
            </w:r>
          </w:p>
        </w:tc>
        <w:tc>
          <w:tcPr>
            <w:tcW w:w="10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Contingent consideration accretion</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7</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13</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161</w:t>
            </w: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Change in fair value of contingent consideration</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7</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308</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612</w:t>
            </w:r>
          </w:p>
        </w:tc>
      </w:tr>
      <w:tr>
        <w:trPr>
          <w:trHeight w:val="223"/>
        </w:trPr>
        <w:tc>
          <w:tcPr>
            <w:tcW w:w="670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Unrealized foreign currency translation (gain) loss</w:t>
            </w:r>
          </w:p>
        </w:tc>
        <w:tc>
          <w:tcPr>
            <w:tcW w:w="1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(525)</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31</w:t>
            </w:r>
          </w:p>
        </w:tc>
      </w:tr>
      <w:tr>
        <w:trPr>
          <w:trHeight w:val="186"/>
        </w:trPr>
        <w:tc>
          <w:tcPr>
            <w:tcW w:w="6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(11,069)</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(9,102)</w:t>
            </w:r>
          </w:p>
        </w:tc>
      </w:tr>
      <w:tr>
        <w:trPr>
          <w:trHeight w:val="195"/>
        </w:trPr>
        <w:tc>
          <w:tcPr>
            <w:tcW w:w="670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1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Accounts receivable</w:t>
            </w:r>
          </w:p>
        </w:tc>
        <w:tc>
          <w:tcPr>
            <w:tcW w:w="1680" w:type="dxa"/>
            <w:vAlign w:val="bottom"/>
          </w:tcPr>
          <w:p>
            <w:pPr>
              <w:spacing w:after="0"/>
              <w:rPr>
                <w:sz w:val="19"/>
                <w:szCs w:val="19"/>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(162)</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(346)</w:t>
            </w: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Prepaid expenses</w:t>
            </w:r>
          </w:p>
        </w:tc>
        <w:tc>
          <w:tcPr>
            <w:tcW w:w="1680" w:type="dxa"/>
            <w:vAlign w:val="bottom"/>
          </w:tcPr>
          <w:p>
            <w:pPr>
              <w:spacing w:after="0"/>
              <w:rPr>
                <w:sz w:val="19"/>
                <w:szCs w:val="19"/>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11</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309</w:t>
            </w:r>
          </w:p>
        </w:tc>
      </w:tr>
      <w:tr>
        <w:trPr>
          <w:trHeight w:val="196"/>
        </w:trPr>
        <w:tc>
          <w:tcPr>
            <w:tcW w:w="6700" w:type="dxa"/>
            <w:vAlign w:val="bottom"/>
          </w:tcPr>
          <w:p>
            <w:pPr>
              <w:ind w:left="60"/>
              <w:spacing w:after="0"/>
              <w:rPr>
                <w:sz w:val="20"/>
                <w:szCs w:val="20"/>
                <w:color w:val="auto"/>
              </w:rPr>
            </w:pPr>
            <w:r>
              <w:rPr>
                <w:rFonts w:ascii="Arial" w:cs="Arial" w:eastAsia="Arial" w:hAnsi="Arial"/>
                <w:sz w:val="15"/>
                <w:szCs w:val="15"/>
                <w:color w:val="auto"/>
              </w:rPr>
              <w:t>Other current assets</w:t>
            </w:r>
          </w:p>
        </w:tc>
        <w:tc>
          <w:tcPr>
            <w:tcW w:w="1680" w:type="dxa"/>
            <w:vAlign w:val="bottom"/>
          </w:tcPr>
          <w:p>
            <w:pPr>
              <w:spacing w:after="0"/>
              <w:rPr>
                <w:sz w:val="17"/>
                <w:szCs w:val="17"/>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(595)</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23"/>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1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676</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259</w:t>
            </w:r>
          </w:p>
        </w:tc>
      </w:tr>
      <w:tr>
        <w:trPr>
          <w:trHeight w:val="190"/>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operating activities</w:t>
            </w:r>
          </w:p>
        </w:tc>
        <w:tc>
          <w:tcPr>
            <w:tcW w:w="1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(11,139)</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(8,880)</w:t>
            </w:r>
          </w:p>
        </w:tc>
      </w:tr>
      <w:tr>
        <w:trPr>
          <w:trHeight w:val="257"/>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16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6700" w:type="dxa"/>
            <w:vAlign w:val="bottom"/>
          </w:tcPr>
          <w:p>
            <w:pPr>
              <w:ind w:left="340"/>
              <w:spacing w:after="0"/>
              <w:rPr>
                <w:sz w:val="20"/>
                <w:szCs w:val="20"/>
                <w:color w:val="auto"/>
              </w:rPr>
            </w:pPr>
            <w:r>
              <w:rPr>
                <w:rFonts w:ascii="Arial" w:cs="Arial" w:eastAsia="Arial" w:hAnsi="Arial"/>
                <w:sz w:val="15"/>
                <w:szCs w:val="15"/>
                <w:color w:val="auto"/>
              </w:rPr>
              <w:t>Purchase of investment</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3</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(250)</w:t>
            </w:r>
          </w:p>
        </w:tc>
      </w:tr>
      <w:tr>
        <w:trPr>
          <w:trHeight w:val="196"/>
        </w:trPr>
        <w:tc>
          <w:tcPr>
            <w:tcW w:w="670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5</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(66)</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(96)</w:t>
            </w:r>
          </w:p>
        </w:tc>
      </w:tr>
      <w:tr>
        <w:trPr>
          <w:trHeight w:val="223"/>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Purchase of equipment</w:t>
            </w:r>
          </w:p>
        </w:tc>
        <w:tc>
          <w:tcPr>
            <w:tcW w:w="1680" w:type="dxa"/>
            <w:vAlign w:val="bottom"/>
            <w:tcBorders>
              <w:bottom w:val="single" w:sz="8" w:color="auto"/>
            </w:tcBorders>
          </w:tcPr>
          <w:p>
            <w:pPr>
              <w:jc w:val="center"/>
              <w:ind w:left="927"/>
              <w:spacing w:after="0"/>
              <w:rPr>
                <w:sz w:val="20"/>
                <w:szCs w:val="20"/>
                <w:color w:val="auto"/>
              </w:rPr>
            </w:pPr>
            <w:r>
              <w:rPr>
                <w:rFonts w:ascii="Arial" w:cs="Arial" w:eastAsia="Arial" w:hAnsi="Arial"/>
                <w:sz w:val="15"/>
                <w:szCs w:val="15"/>
                <w:i w:val="1"/>
                <w:iCs w:val="1"/>
                <w:color w:val="auto"/>
                <w:w w:val="95"/>
              </w:rPr>
              <w:t>4</w:t>
            </w: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(142)</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(49)</w:t>
            </w:r>
          </w:p>
        </w:tc>
      </w:tr>
      <w:tr>
        <w:trPr>
          <w:trHeight w:val="190"/>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investing activities</w:t>
            </w:r>
          </w:p>
        </w:tc>
        <w:tc>
          <w:tcPr>
            <w:tcW w:w="1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(208)</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(395)</w:t>
            </w:r>
          </w:p>
        </w:tc>
      </w:tr>
      <w:tr>
        <w:trPr>
          <w:trHeight w:val="257"/>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16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0"/>
        </w:trPr>
        <w:tc>
          <w:tcPr>
            <w:tcW w:w="6700" w:type="dxa"/>
            <w:vAlign w:val="bottom"/>
          </w:tcPr>
          <w:p>
            <w:pPr>
              <w:ind w:left="60"/>
              <w:spacing w:after="0"/>
              <w:rPr>
                <w:sz w:val="20"/>
                <w:szCs w:val="20"/>
                <w:color w:val="auto"/>
              </w:rPr>
            </w:pPr>
            <w:r>
              <w:rPr>
                <w:rFonts w:ascii="Arial" w:cs="Arial" w:eastAsia="Arial" w:hAnsi="Arial"/>
                <w:sz w:val="15"/>
                <w:szCs w:val="15"/>
                <w:color w:val="auto"/>
              </w:rPr>
              <w:t>Shares issued for cash - warrant exercise</w:t>
            </w:r>
          </w:p>
        </w:tc>
        <w:tc>
          <w:tcPr>
            <w:tcW w:w="16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8</w:t>
            </w: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314</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199</w:t>
            </w:r>
          </w:p>
        </w:tc>
      </w:tr>
      <w:tr>
        <w:trPr>
          <w:trHeight w:val="223"/>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Shares issued for cash - options exercise</w:t>
            </w:r>
          </w:p>
        </w:tc>
        <w:tc>
          <w:tcPr>
            <w:tcW w:w="1680" w:type="dxa"/>
            <w:vAlign w:val="bottom"/>
            <w:tcBorders>
              <w:bottom w:val="single" w:sz="8" w:color="auto"/>
            </w:tcBorders>
          </w:tcPr>
          <w:p>
            <w:pPr>
              <w:jc w:val="center"/>
              <w:ind w:left="927"/>
              <w:spacing w:after="0"/>
              <w:rPr>
                <w:sz w:val="20"/>
                <w:szCs w:val="20"/>
                <w:color w:val="auto"/>
              </w:rPr>
            </w:pPr>
            <w:r>
              <w:rPr>
                <w:rFonts w:ascii="Arial" w:cs="Arial" w:eastAsia="Arial" w:hAnsi="Arial"/>
                <w:sz w:val="15"/>
                <w:szCs w:val="15"/>
                <w:i w:val="1"/>
                <w:iCs w:val="1"/>
                <w:color w:val="auto"/>
                <w:w w:val="95"/>
              </w:rPr>
              <w:t>8</w:t>
            </w: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130</w:t>
            </w:r>
          </w:p>
        </w:tc>
      </w:tr>
      <w:tr>
        <w:trPr>
          <w:trHeight w:val="190"/>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from financing activities</w:t>
            </w:r>
          </w:p>
        </w:tc>
        <w:tc>
          <w:tcPr>
            <w:tcW w:w="1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314</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329</w:t>
            </w:r>
          </w:p>
        </w:tc>
      </w:tr>
      <w:tr>
        <w:trPr>
          <w:trHeight w:val="406"/>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Effects of exchange rate changes on cash</w:t>
            </w:r>
          </w:p>
        </w:tc>
        <w:tc>
          <w:tcPr>
            <w:tcW w:w="16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(148)</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w:t>
            </w:r>
          </w:p>
        </w:tc>
      </w:tr>
      <w:tr>
        <w:trPr>
          <w:trHeight w:val="406"/>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Change in cash</w:t>
            </w:r>
          </w:p>
        </w:tc>
        <w:tc>
          <w:tcPr>
            <w:tcW w:w="1680" w:type="dxa"/>
            <w:vAlign w:val="bottom"/>
          </w:tcPr>
          <w:p>
            <w:pPr>
              <w:spacing w:after="0"/>
              <w:rPr>
                <w:sz w:val="24"/>
                <w:szCs w:val="24"/>
                <w:color w:val="auto"/>
              </w:rPr>
            </w:pPr>
          </w:p>
        </w:tc>
        <w:tc>
          <w:tcPr>
            <w:tcW w:w="1820" w:type="dxa"/>
            <w:vAlign w:val="bottom"/>
          </w:tcPr>
          <w:p>
            <w:pPr>
              <w:jc w:val="right"/>
              <w:ind w:right="367"/>
              <w:spacing w:after="0"/>
              <w:rPr>
                <w:sz w:val="20"/>
                <w:szCs w:val="20"/>
                <w:color w:val="auto"/>
              </w:rPr>
            </w:pPr>
            <w:r>
              <w:rPr>
                <w:rFonts w:ascii="Arial" w:cs="Arial" w:eastAsia="Arial" w:hAnsi="Arial"/>
                <w:sz w:val="15"/>
                <w:szCs w:val="15"/>
                <w:b w:val="1"/>
                <w:bCs w:val="1"/>
                <w:color w:val="auto"/>
              </w:rPr>
              <w:t>(11,181)</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(8,951)</w:t>
            </w:r>
          </w:p>
        </w:tc>
      </w:tr>
      <w:tr>
        <w:trPr>
          <w:trHeight w:val="198"/>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beginning of period</w:t>
            </w:r>
          </w:p>
        </w:tc>
        <w:tc>
          <w:tcPr>
            <w:tcW w:w="1680" w:type="dxa"/>
            <w:vAlign w:val="bottom"/>
            <w:tcBorders>
              <w:bottom w:val="single" w:sz="8" w:color="auto"/>
            </w:tcBorders>
          </w:tcPr>
          <w:p>
            <w:pPr>
              <w:spacing w:after="0"/>
              <w:rPr>
                <w:sz w:val="17"/>
                <w:szCs w:val="17"/>
                <w:color w:val="auto"/>
              </w:rPr>
            </w:pPr>
          </w:p>
        </w:tc>
        <w:tc>
          <w:tcPr>
            <w:tcW w:w="1820" w:type="dxa"/>
            <w:vAlign w:val="bottom"/>
            <w:tcBorders>
              <w:bottom w:val="single" w:sz="8" w:color="6D6D6D"/>
            </w:tcBorders>
          </w:tcPr>
          <w:p>
            <w:pPr>
              <w:jc w:val="right"/>
              <w:ind w:right="367"/>
              <w:spacing w:after="0"/>
              <w:rPr>
                <w:sz w:val="20"/>
                <w:szCs w:val="20"/>
                <w:color w:val="auto"/>
              </w:rPr>
            </w:pPr>
            <w:r>
              <w:rPr>
                <w:rFonts w:ascii="Arial" w:cs="Arial" w:eastAsia="Arial" w:hAnsi="Arial"/>
                <w:sz w:val="15"/>
                <w:szCs w:val="15"/>
                <w:b w:val="1"/>
                <w:bCs w:val="1"/>
                <w:color w:val="auto"/>
              </w:rPr>
              <w:t>53,641</w:t>
            </w:r>
          </w:p>
        </w:tc>
        <w:tc>
          <w:tcPr>
            <w:tcW w:w="1060" w:type="dxa"/>
            <w:vAlign w:val="bottom"/>
            <w:tcBorders>
              <w:bottom w:val="single" w:sz="8" w:color="6D6D6D"/>
            </w:tcBorders>
          </w:tcPr>
          <w:p>
            <w:pPr>
              <w:jc w:val="right"/>
              <w:ind w:right="7"/>
              <w:spacing w:after="0"/>
              <w:rPr>
                <w:sz w:val="20"/>
                <w:szCs w:val="20"/>
                <w:color w:val="auto"/>
              </w:rPr>
            </w:pPr>
            <w:r>
              <w:rPr>
                <w:rFonts w:ascii="Arial" w:cs="Arial" w:eastAsia="Arial" w:hAnsi="Arial"/>
                <w:sz w:val="15"/>
                <w:szCs w:val="15"/>
                <w:color w:val="auto"/>
              </w:rPr>
              <w:t>64,026</w:t>
            </w:r>
          </w:p>
        </w:tc>
      </w:tr>
      <w:tr>
        <w:trPr>
          <w:trHeight w:val="190"/>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end of period</w:t>
            </w:r>
          </w:p>
        </w:tc>
        <w:tc>
          <w:tcPr>
            <w:tcW w:w="1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42,460</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55,075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71" w:right="319" w:bottom="1440" w:gutter="0" w:footer="0" w:header="0"/>
        </w:sectPr>
      </w:pPr>
    </w:p>
    <w:bookmarkStart w:id="9" w:name="page10"/>
    <w:bookmarkEnd w:id="9"/>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2" w:hanging="322"/>
        <w:spacing w:after="0"/>
        <w:tabs>
          <w:tab w:leader="none" w:pos="322"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w:t>
      </w:r>
    </w:p>
    <w:p>
      <w:pPr>
        <w:spacing w:after="0" w:line="203" w:lineRule="exact"/>
        <w:rPr>
          <w:sz w:val="20"/>
          <w:szCs w:val="20"/>
          <w:color w:val="auto"/>
        </w:rPr>
      </w:pPr>
    </w:p>
    <w:p>
      <w:pPr>
        <w:jc w:val="both"/>
        <w:ind w:left="302" w:right="20"/>
        <w:spacing w:after="0" w:line="260" w:lineRule="auto"/>
        <w:rPr>
          <w:sz w:val="20"/>
          <w:szCs w:val="20"/>
          <w:color w:val="auto"/>
        </w:rPr>
      </w:pPr>
      <w:r>
        <w:rPr>
          <w:rFonts w:ascii="Arial" w:cs="Arial" w:eastAsia="Arial" w:hAnsi="Arial"/>
          <w:sz w:val="16"/>
          <w:szCs w:val="16"/>
          <w:color w:val="auto"/>
        </w:rPr>
        <w:t>Cybin Inc. (“Cybin”), was incorporated under the Business Corporations Act (British Columbia) on October 13, 2016. These condensed interim consolidated financial statements include the accounts of Cybin’s six subsidiaries (together, with Cybin, the “Company”): Cybin Corp., Natures Journey Inc. (“Journey”), Serenity Life Sciences Inc. (“Serenity”), Cybin US Holdings Inc. (“Cybin US”), Adelia Therapeutics Inc. (“Adelia”) and Cybin IRL Limited. Cybin’s head office, principal address and registered address and records office is 100 King Street West, Suite 5600, Toronto, Ontario M5X 1C9.</w:t>
      </w:r>
    </w:p>
    <w:p>
      <w:pPr>
        <w:spacing w:after="0" w:line="144"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The Company is a biotechnology company focused on progressing psychedelic therapeutics. The Company is structuring and supporting clinical studies in North America and other regions, through strategic academic and institutional partnerships and plans to launch psilocybin-based products in jurisdictions where the substance is not banned.</w:t>
      </w:r>
    </w:p>
    <w:p>
      <w:pPr>
        <w:spacing w:after="0" w:line="144"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These condensed interim consolidated financial statements as at, and for the three months ended, June 30, 2022 were approved and authorized for issue by the board of directors on August 7, 2022.</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COVID 19</w:t>
      </w:r>
    </w:p>
    <w:p>
      <w:pPr>
        <w:spacing w:after="0" w:line="191" w:lineRule="exact"/>
        <w:rPr>
          <w:sz w:val="20"/>
          <w:szCs w:val="20"/>
          <w:color w:val="auto"/>
        </w:rPr>
      </w:pPr>
    </w:p>
    <w:p>
      <w:pPr>
        <w:jc w:val="both"/>
        <w:ind w:left="302" w:right="20"/>
        <w:spacing w:after="0" w:line="257" w:lineRule="auto"/>
        <w:rPr>
          <w:sz w:val="20"/>
          <w:szCs w:val="20"/>
          <w:color w:val="auto"/>
        </w:rPr>
      </w:pPr>
      <w:r>
        <w:rPr>
          <w:rFonts w:ascii="Arial" w:cs="Arial" w:eastAsia="Arial" w:hAnsi="Arial"/>
          <w:sz w:val="16"/>
          <w:szCs w:val="16"/>
          <w:color w:val="auto"/>
        </w:rPr>
        <w:t>In March 2020, the outbreak of the novel strain of coronavirus, specifically identified as “COVID-19”,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in future periods.</w:t>
      </w:r>
    </w:p>
    <w:p>
      <w:pPr>
        <w:spacing w:after="0" w:line="150"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is not currently aware of any changes in laws, regulations or guidelines, including tax and accounting requirements, arising from COVID-19 which would be reasonably anticipated to materially affect the Company’s business.</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Stock exchange listing</w:t>
      </w:r>
    </w:p>
    <w:p>
      <w:pPr>
        <w:spacing w:after="0" w:line="191"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Cybin’s common shares (“Common Shares”) are listed for trading on the Neo Exchange Inc., and NYSE American LLC under the symbol “CYBN” and are quoted on the Frankfurt Stock Exchange under the symbol “R7E1”.</w:t>
      </w:r>
    </w:p>
    <w:p>
      <w:pPr>
        <w:spacing w:after="0" w:line="116"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Going Concern</w:t>
      </w:r>
    </w:p>
    <w:p>
      <w:pPr>
        <w:spacing w:after="0" w:line="191" w:lineRule="exact"/>
        <w:rPr>
          <w:sz w:val="20"/>
          <w:szCs w:val="20"/>
          <w:color w:val="auto"/>
        </w:rPr>
      </w:pPr>
    </w:p>
    <w:p>
      <w:pPr>
        <w:jc w:val="both"/>
        <w:ind w:left="302" w:right="20"/>
        <w:spacing w:after="0" w:line="228" w:lineRule="auto"/>
        <w:rPr>
          <w:sz w:val="20"/>
          <w:szCs w:val="20"/>
          <w:color w:val="auto"/>
        </w:rPr>
      </w:pPr>
      <w:r>
        <w:rPr>
          <w:rFonts w:ascii="Arial" w:cs="Arial" w:eastAsia="Arial" w:hAnsi="Arial"/>
          <w:sz w:val="16"/>
          <w:szCs w:val="16"/>
          <w:color w:val="auto"/>
        </w:rPr>
        <w:t>These condensed interim consolidated financial statements are prepared on a going concern basis, which contemplates that the Company will continue in operation for the foreseeable future and will be able to realize its assets and discharge its liabilities in the normal course of business. At present, the Company’s operations do not generate cash flow. The Company has incurred losses since inception and had an accumulated deficit of $113,716 as at June 30, 2022 (March 31, 2022 - $100,661). As at June 30, 2022, the Company had a cash balance of $42,460 (March 31, 2022 - $53,641) and working capital of $41,775 (March 31, 2022 - $50,447). In order to continue as a going concern and meet its corporate objectives, the Company is dependent on its ability to obtain additional financing. Although the Company has been successful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7 of 24</w:t>
      </w:r>
    </w:p>
    <w:p>
      <w:pPr>
        <w:sectPr>
          <w:pgSz w:w="11900" w:h="16838" w:orient="portrait"/>
          <w:cols w:equalWidth="0" w:num="1">
            <w:col w:w="11262"/>
          </w:cols>
          <w:pgMar w:left="318" w:top="171" w:right="319" w:bottom="1440" w:gutter="0" w:footer="0" w:header="0"/>
        </w:sectPr>
      </w:pPr>
    </w:p>
    <w:bookmarkStart w:id="10" w:name="page11"/>
    <w:bookmarkEnd w:id="10"/>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02"/>
        <w:spacing w:after="0" w:line="239" w:lineRule="auto"/>
        <w:rPr>
          <w:sz w:val="20"/>
          <w:szCs w:val="20"/>
          <w:color w:val="auto"/>
        </w:rPr>
      </w:pPr>
      <w:r>
        <w:rPr>
          <w:rFonts w:ascii="Arial" w:cs="Arial" w:eastAsia="Arial" w:hAnsi="Arial"/>
          <w:sz w:val="16"/>
          <w:szCs w:val="16"/>
          <w:color w:val="auto"/>
        </w:rPr>
        <w:t>in obtaining financing, there is no assurance that the Company will be able to obtain adequate financing in the future or that such financing will be on terms advantageous to the Company.</w:t>
      </w:r>
    </w:p>
    <w:p>
      <w:pPr>
        <w:spacing w:after="0" w:line="147" w:lineRule="exact"/>
        <w:rPr>
          <w:sz w:val="20"/>
          <w:szCs w:val="20"/>
          <w:color w:val="auto"/>
        </w:rPr>
      </w:pPr>
    </w:p>
    <w:p>
      <w:pPr>
        <w:jc w:val="both"/>
        <w:ind w:left="302"/>
        <w:spacing w:after="0" w:line="231" w:lineRule="auto"/>
        <w:rPr>
          <w:sz w:val="20"/>
          <w:szCs w:val="20"/>
          <w:color w:val="auto"/>
        </w:rPr>
      </w:pPr>
      <w:r>
        <w:rPr>
          <w:rFonts w:ascii="Arial" w:cs="Arial" w:eastAsia="Arial" w:hAnsi="Arial"/>
          <w:sz w:val="16"/>
          <w:szCs w:val="16"/>
          <w:color w:val="auto"/>
        </w:rPr>
        <w:t>These condensed interim consolidated financial statements do not reflect the adjustments or reclassifications of assets and liabilities which would be necessary if the Company were unable to continue as a going concern and therefore were required to realize its assets and liquidate its liabilities and commitments in the normal course of business operations and at amounts different from those in the accompanying condensed interim consolidated financial statements.</w:t>
      </w:r>
    </w:p>
    <w:p>
      <w:pPr>
        <w:spacing w:after="0" w:line="348" w:lineRule="exact"/>
        <w:rPr>
          <w:sz w:val="20"/>
          <w:szCs w:val="20"/>
          <w:color w:val="auto"/>
        </w:rPr>
      </w:pPr>
    </w:p>
    <w:p>
      <w:pPr>
        <w:ind w:left="322" w:hanging="322"/>
        <w:spacing w:after="0"/>
        <w:tabs>
          <w:tab w:leader="none" w:pos="322"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SIGNIFICANT ACCOUNTING POLICIES AND BASIS OF PREPARATION</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Statement of compliance</w:t>
      </w:r>
    </w:p>
    <w:p>
      <w:pPr>
        <w:spacing w:after="0" w:line="166" w:lineRule="exact"/>
        <w:rPr>
          <w:sz w:val="20"/>
          <w:szCs w:val="20"/>
          <w:color w:val="auto"/>
        </w:rPr>
      </w:pPr>
    </w:p>
    <w:p>
      <w:pPr>
        <w:jc w:val="both"/>
        <w:ind w:left="302"/>
        <w:spacing w:after="0" w:line="233" w:lineRule="auto"/>
        <w:rPr>
          <w:sz w:val="20"/>
          <w:szCs w:val="20"/>
          <w:color w:val="auto"/>
        </w:rPr>
      </w:pPr>
      <w:r>
        <w:rPr>
          <w:rFonts w:ascii="Arial" w:cs="Arial" w:eastAsia="Arial" w:hAnsi="Arial"/>
          <w:sz w:val="16"/>
          <w:szCs w:val="16"/>
          <w:color w:val="auto"/>
        </w:rPr>
        <w:t>These condensed interim consolidated financial statements for the three months ended June 30, 2022 have been prepared in accordance with International Accounting Standard 34 “Interim Financial Reporting”. Accordingly, certain information and footnote disclosure normally included in annual financial statements prepared in accordance with International Financial Reporting Standards (“IFRS”) have been omitted or condensed.</w:t>
      </w:r>
    </w:p>
    <w:p>
      <w:pPr>
        <w:spacing w:after="0" w:line="16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2022.</w:t>
      </w:r>
    </w:p>
    <w:p>
      <w:pPr>
        <w:spacing w:after="0" w:line="332"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These condensed interim consolidated financial statements should be read in conjunction with the consolidated financial statements for the year ended March 31, 2022.</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Basis of measurement</w:t>
      </w:r>
    </w:p>
    <w:p>
      <w:pPr>
        <w:spacing w:after="0" w:line="166" w:lineRule="exact"/>
        <w:rPr>
          <w:sz w:val="20"/>
          <w:szCs w:val="20"/>
          <w:color w:val="auto"/>
        </w:rPr>
      </w:pPr>
    </w:p>
    <w:p>
      <w:pPr>
        <w:jc w:val="both"/>
        <w:ind w:left="302"/>
        <w:spacing w:after="0" w:line="239" w:lineRule="auto"/>
        <w:rPr>
          <w:sz w:val="20"/>
          <w:szCs w:val="20"/>
          <w:color w:val="auto"/>
        </w:rPr>
      </w:pPr>
      <w:r>
        <w:rPr>
          <w:rFonts w:ascii="Arial" w:cs="Arial" w:eastAsia="Arial" w:hAnsi="Arial"/>
          <w:sz w:val="16"/>
          <w:szCs w:val="16"/>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Consolidation and Currency</w:t>
      </w:r>
    </w:p>
    <w:p>
      <w:pPr>
        <w:spacing w:after="0" w:line="178" w:lineRule="exact"/>
        <w:rPr>
          <w:sz w:val="20"/>
          <w:szCs w:val="20"/>
          <w:color w:val="auto"/>
        </w:rPr>
      </w:pPr>
    </w:p>
    <w:p>
      <w:pPr>
        <w:jc w:val="both"/>
        <w:ind w:left="302"/>
        <w:spacing w:after="0" w:line="239" w:lineRule="auto"/>
        <w:rPr>
          <w:sz w:val="20"/>
          <w:szCs w:val="20"/>
          <w:color w:val="auto"/>
        </w:rPr>
      </w:pPr>
      <w:r>
        <w:rPr>
          <w:rFonts w:ascii="Arial" w:cs="Arial" w:eastAsia="Arial" w:hAnsi="Arial"/>
          <w:sz w:val="16"/>
          <w:szCs w:val="16"/>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35" w:lineRule="exact"/>
        <w:rPr>
          <w:sz w:val="20"/>
          <w:szCs w:val="20"/>
          <w:color w:val="auto"/>
        </w:rPr>
      </w:pPr>
    </w:p>
    <w:p>
      <w:pPr>
        <w:jc w:val="both"/>
        <w:ind w:left="302"/>
        <w:spacing w:after="0" w:line="239" w:lineRule="auto"/>
        <w:rPr>
          <w:sz w:val="20"/>
          <w:szCs w:val="20"/>
          <w:color w:val="auto"/>
        </w:rPr>
      </w:pPr>
      <w:r>
        <w:rPr>
          <w:rFonts w:ascii="Arial" w:cs="Arial" w:eastAsia="Arial" w:hAnsi="Arial"/>
          <w:sz w:val="16"/>
          <w:szCs w:val="16"/>
          <w:color w:val="auto"/>
        </w:rPr>
        <w:t>These condensed interim consolidated financial statements are presented in Canadian dollars, the Company’s presentation currency. The Company’s and its subsidiaries functional currencies are as follows:</w:t>
      </w:r>
    </w:p>
    <w:p>
      <w:pPr>
        <w:spacing w:after="0" w:line="164"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3480" w:type="dxa"/>
            <w:vAlign w:val="bottom"/>
          </w:tcPr>
          <w:p>
            <w:pPr>
              <w:ind w:left="1120"/>
              <w:spacing w:after="0"/>
              <w:rPr>
                <w:sz w:val="20"/>
                <w:szCs w:val="20"/>
                <w:color w:val="auto"/>
              </w:rPr>
            </w:pPr>
            <w:r>
              <w:rPr>
                <w:rFonts w:ascii="Arial" w:cs="Arial" w:eastAsia="Arial" w:hAnsi="Arial"/>
                <w:sz w:val="16"/>
                <w:szCs w:val="16"/>
                <w:b w:val="1"/>
                <w:bCs w:val="1"/>
                <w:color w:val="auto"/>
              </w:rPr>
              <w:t>Currency</w:t>
            </w:r>
          </w:p>
        </w:tc>
        <w:tc>
          <w:tcPr>
            <w:tcW w:w="4920" w:type="dxa"/>
            <w:vAlign w:val="bottom"/>
            <w:gridSpan w:val="2"/>
          </w:tcPr>
          <w:p>
            <w:pPr>
              <w:ind w:left="1140"/>
              <w:spacing w:after="0"/>
              <w:rPr>
                <w:sz w:val="20"/>
                <w:szCs w:val="20"/>
                <w:color w:val="auto"/>
              </w:rPr>
            </w:pPr>
            <w:r>
              <w:rPr>
                <w:rFonts w:ascii="Arial" w:cs="Arial" w:eastAsia="Arial" w:hAnsi="Arial"/>
                <w:sz w:val="16"/>
                <w:szCs w:val="16"/>
                <w:b w:val="1"/>
                <w:bCs w:val="1"/>
                <w:color w:val="auto"/>
              </w:rPr>
              <w:t>Ownership</w:t>
            </w:r>
          </w:p>
        </w:tc>
      </w:tr>
      <w:tr>
        <w:trPr>
          <w:trHeight w:val="200"/>
        </w:trPr>
        <w:tc>
          <w:tcPr>
            <w:tcW w:w="2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Cybin Corp.</w:t>
            </w:r>
          </w:p>
        </w:tc>
        <w:tc>
          <w:tcPr>
            <w:tcW w:w="3480" w:type="dxa"/>
            <w:vAlign w:val="bottom"/>
            <w:tcBorders>
              <w:top w:val="single" w:sz="8" w:color="auto"/>
            </w:tcBorders>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Journey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Serenity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Cybin US</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r>
      <w:tr>
        <w:trPr>
          <w:trHeight w:val="196"/>
        </w:trPr>
        <w:tc>
          <w:tcPr>
            <w:tcW w:w="2400" w:type="dxa"/>
            <w:vAlign w:val="bottom"/>
          </w:tcPr>
          <w:p>
            <w:pPr>
              <w:spacing w:after="0"/>
              <w:rPr>
                <w:sz w:val="20"/>
                <w:szCs w:val="20"/>
                <w:color w:val="auto"/>
              </w:rPr>
            </w:pPr>
            <w:r>
              <w:rPr>
                <w:rFonts w:ascii="Arial" w:cs="Arial" w:eastAsia="Arial" w:hAnsi="Arial"/>
                <w:sz w:val="16"/>
                <w:szCs w:val="16"/>
                <w:color w:val="auto"/>
              </w:rPr>
              <w:t>Adelia</w:t>
            </w:r>
          </w:p>
        </w:tc>
        <w:tc>
          <w:tcPr>
            <w:tcW w:w="3480" w:type="dxa"/>
            <w:vAlign w:val="bottom"/>
          </w:tcPr>
          <w:p>
            <w:pPr>
              <w:ind w:left="1120"/>
              <w:spacing w:after="0"/>
              <w:rPr>
                <w:sz w:val="20"/>
                <w:szCs w:val="20"/>
                <w:color w:val="auto"/>
              </w:rPr>
            </w:pPr>
            <w:r>
              <w:rPr>
                <w:rFonts w:ascii="Arial" w:cs="Arial" w:eastAsia="Arial" w:hAnsi="Arial"/>
                <w:sz w:val="16"/>
                <w:szCs w:val="16"/>
                <w:color w:val="auto"/>
              </w:rPr>
              <w:t>U.S.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r>
      <w:tr>
        <w:trPr>
          <w:trHeight w:val="169"/>
        </w:trPr>
        <w:tc>
          <w:tcPr>
            <w:tcW w:w="2400" w:type="dxa"/>
            <w:vAlign w:val="bottom"/>
          </w:tcPr>
          <w:p>
            <w:pPr>
              <w:spacing w:after="0" w:line="169" w:lineRule="exact"/>
              <w:rPr>
                <w:sz w:val="20"/>
                <w:szCs w:val="20"/>
                <w:color w:val="auto"/>
              </w:rPr>
            </w:pPr>
            <w:r>
              <w:rPr>
                <w:rFonts w:ascii="Arial" w:cs="Arial" w:eastAsia="Arial" w:hAnsi="Arial"/>
                <w:sz w:val="16"/>
                <w:szCs w:val="16"/>
                <w:color w:val="auto"/>
              </w:rPr>
              <w:t>Cybin IRL Limited</w:t>
            </w:r>
          </w:p>
        </w:tc>
        <w:tc>
          <w:tcPr>
            <w:tcW w:w="3480" w:type="dxa"/>
            <w:vAlign w:val="bottom"/>
          </w:tcPr>
          <w:p>
            <w:pPr>
              <w:ind w:left="1120"/>
              <w:spacing w:after="0" w:line="169" w:lineRule="exact"/>
              <w:rPr>
                <w:sz w:val="20"/>
                <w:szCs w:val="20"/>
                <w:color w:val="auto"/>
              </w:rPr>
            </w:pPr>
            <w:r>
              <w:rPr>
                <w:rFonts w:ascii="Arial" w:cs="Arial" w:eastAsia="Arial" w:hAnsi="Arial"/>
                <w:sz w:val="16"/>
                <w:szCs w:val="16"/>
                <w:color w:val="auto"/>
              </w:rPr>
              <w:t>U.S. dollars</w:t>
            </w:r>
          </w:p>
        </w:tc>
        <w:tc>
          <w:tcPr>
            <w:tcW w:w="4640" w:type="dxa"/>
            <w:vAlign w:val="bottom"/>
          </w:tcPr>
          <w:p>
            <w:pPr>
              <w:ind w:left="1140"/>
              <w:spacing w:after="0" w:line="169" w:lineRule="exact"/>
              <w:rPr>
                <w:sz w:val="20"/>
                <w:szCs w:val="20"/>
                <w:color w:val="auto"/>
              </w:rPr>
            </w:pPr>
            <w:r>
              <w:rPr>
                <w:rFonts w:ascii="Arial" w:cs="Arial" w:eastAsia="Arial" w:hAnsi="Arial"/>
                <w:sz w:val="16"/>
                <w:szCs w:val="16"/>
                <w:color w:val="auto"/>
              </w:rPr>
              <w:t>100%</w:t>
            </w:r>
          </w:p>
        </w:tc>
        <w:tc>
          <w:tcPr>
            <w:tcW w:w="2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920" w:type="dxa"/>
            <w:vAlign w:val="bottom"/>
            <w:gridSpan w:val="2"/>
          </w:tcPr>
          <w:p>
            <w:pPr>
              <w:ind w:left="4640"/>
              <w:spacing w:after="0" w:line="167" w:lineRule="exact"/>
              <w:rPr>
                <w:sz w:val="20"/>
                <w:szCs w:val="20"/>
                <w:color w:val="auto"/>
              </w:rPr>
            </w:pPr>
            <w:r>
              <w:rPr>
                <w:rFonts w:ascii="Arial" w:cs="Arial" w:eastAsia="Arial" w:hAnsi="Arial"/>
                <w:sz w:val="16"/>
                <w:szCs w:val="16"/>
                <w:color w:val="auto"/>
                <w:w w:val="89"/>
                <w:vertAlign w:val="superscript"/>
              </w:rPr>
              <w:t>1</w:t>
            </w:r>
            <w:r>
              <w:rPr>
                <w:rFonts w:ascii="Arial" w:cs="Arial" w:eastAsia="Arial" w:hAnsi="Arial"/>
                <w:sz w:val="13"/>
                <w:szCs w:val="13"/>
                <w:color w:val="auto"/>
                <w:w w:val="89"/>
              </w:rPr>
              <w:t xml:space="preserve"> For</w:t>
            </w:r>
          </w:p>
        </w:tc>
      </w:tr>
    </w:tbl>
    <w:p>
      <w:pPr>
        <w:ind w:left="302"/>
        <w:spacing w:after="0"/>
        <w:rPr>
          <w:sz w:val="20"/>
          <w:szCs w:val="20"/>
          <w:color w:val="auto"/>
        </w:rPr>
      </w:pPr>
      <w:r>
        <w:rPr>
          <w:rFonts w:ascii="Arial" w:cs="Arial" w:eastAsia="Arial" w:hAnsi="Arial"/>
          <w:sz w:val="13"/>
          <w:szCs w:val="13"/>
          <w:color w:val="auto"/>
        </w:rPr>
        <w:t>accounting purposes, Cybin US is a wholly-owned subsidiary of Cybin. Certain Former Adelia Shareholders hold Class B Shares (defined below) in Cybin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8 of 24</w:t>
      </w:r>
    </w:p>
    <w:p>
      <w:pPr>
        <w:sectPr>
          <w:pgSz w:w="11900" w:h="16838" w:orient="portrait"/>
          <w:cols w:equalWidth="0" w:num="1">
            <w:col w:w="11242"/>
          </w:cols>
          <w:pgMar w:left="318" w:top="171" w:right="339" w:bottom="1440" w:gutter="0" w:footer="0" w:header="0"/>
        </w:sectPr>
      </w:pPr>
    </w:p>
    <w:bookmarkStart w:id="11" w:name="page12"/>
    <w:bookmarkEnd w:id="1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Significant accounting policies</w:t>
      </w:r>
    </w:p>
    <w:p>
      <w:pPr>
        <w:spacing w:after="0" w:line="178"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These condensed interim consolidated financial statements have been prepared using the same accounting policies and methods as those used in the Company’s annual consolidated financial statements for the year ended March 31, 2022.</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Use of significant estimates and assumptions</w:t>
      </w:r>
    </w:p>
    <w:p>
      <w:pPr>
        <w:spacing w:after="0" w:line="191"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2022.</w:t>
      </w:r>
    </w:p>
    <w:p>
      <w:pPr>
        <w:spacing w:after="0" w:line="172"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New standards and interpretations not yet adopted</w:t>
      </w:r>
    </w:p>
    <w:p>
      <w:pPr>
        <w:spacing w:after="0" w:line="166" w:lineRule="exact"/>
        <w:rPr>
          <w:sz w:val="20"/>
          <w:szCs w:val="20"/>
          <w:color w:val="auto"/>
        </w:rPr>
      </w:pPr>
    </w:p>
    <w:p>
      <w:pPr>
        <w:jc w:val="both"/>
        <w:ind w:left="302" w:right="20"/>
        <w:spacing w:after="0" w:line="233" w:lineRule="auto"/>
        <w:rPr>
          <w:sz w:val="20"/>
          <w:szCs w:val="20"/>
          <w:color w:val="auto"/>
        </w:rPr>
      </w:pPr>
      <w:r>
        <w:rPr>
          <w:rFonts w:ascii="Arial" w:cs="Arial" w:eastAsia="Arial" w:hAnsi="Arial"/>
          <w:sz w:val="16"/>
          <w:szCs w:val="16"/>
          <w:color w:val="auto"/>
        </w:rPr>
        <w:t>A number of new standards, amendments to standards and interpretations are not yet effective at June 30, 2022, and have not been applied in preparing these condensed interim consolidated financial statements. Management has determined that none of these will have a significant effect on the condensed interim consolidated financial statements of the Company.</w:t>
      </w:r>
    </w:p>
    <w:p>
      <w:pPr>
        <w:spacing w:after="0" w:line="141" w:lineRule="exact"/>
        <w:rPr>
          <w:sz w:val="20"/>
          <w:szCs w:val="20"/>
          <w:color w:val="auto"/>
        </w:rPr>
      </w:pPr>
    </w:p>
    <w:p>
      <w:pPr>
        <w:ind w:left="322" w:hanging="322"/>
        <w:spacing w:after="0"/>
        <w:tabs>
          <w:tab w:leader="none" w:pos="322" w:val="left"/>
        </w:tabs>
        <w:numPr>
          <w:ilvl w:val="0"/>
          <w:numId w:val="3"/>
        </w:numPr>
        <w:rPr>
          <w:rFonts w:ascii="Arial" w:cs="Arial" w:eastAsia="Arial" w:hAnsi="Arial"/>
          <w:sz w:val="16"/>
          <w:szCs w:val="16"/>
          <w:b w:val="1"/>
          <w:bCs w:val="1"/>
          <w:color w:val="2D5F91"/>
        </w:rPr>
      </w:pPr>
      <w:r>
        <w:rPr>
          <w:rFonts w:ascii="Arial" w:cs="Arial" w:eastAsia="Arial" w:hAnsi="Arial"/>
          <w:sz w:val="16"/>
          <w:szCs w:val="16"/>
          <w:b w:val="1"/>
          <w:bCs w:val="1"/>
          <w:color w:val="2D5F91"/>
        </w:rPr>
        <w:t>INVESTMENTS</w:t>
      </w:r>
    </w:p>
    <w:p>
      <w:pPr>
        <w:spacing w:after="0" w:line="252" w:lineRule="exact"/>
        <w:rPr>
          <w:sz w:val="20"/>
          <w:szCs w:val="20"/>
          <w:color w:val="auto"/>
        </w:rPr>
      </w:pPr>
    </w:p>
    <w:p>
      <w:pPr>
        <w:jc w:val="both"/>
        <w:ind w:left="302"/>
        <w:spacing w:after="0"/>
        <w:rPr>
          <w:sz w:val="20"/>
          <w:szCs w:val="20"/>
          <w:color w:val="auto"/>
        </w:rPr>
      </w:pPr>
      <w:r>
        <w:rPr>
          <w:rFonts w:ascii="Arial" w:cs="Arial" w:eastAsia="Arial" w:hAnsi="Arial"/>
          <w:sz w:val="16"/>
          <w:szCs w:val="16"/>
          <w:color w:val="auto"/>
        </w:rPr>
        <w:t>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 and become due on June 8, 2022. The Rx Debentures were to be exchangeable or convertible into units at a price of equal to 80% of the offering price of any equity financing completed by 1301376 B.C. Ltd. (“Finco”) concurrent with a go public transaction. Each unit was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initial fair value of the Rx Hybrid Instrument was $250 determined by the sum of the fair values of the Rx Debenture and Rx Conversion Feature derived respectively using the discounted cash flow approach and the Black-Scholes model.</w:t>
      </w:r>
    </w:p>
    <w:p>
      <w:pPr>
        <w:spacing w:after="0" w:line="215" w:lineRule="exact"/>
        <w:rPr>
          <w:sz w:val="20"/>
          <w:szCs w:val="20"/>
          <w:color w:val="auto"/>
        </w:rPr>
      </w:pPr>
    </w:p>
    <w:p>
      <w:pPr>
        <w:jc w:val="both"/>
        <w:ind w:left="302" w:right="20"/>
        <w:spacing w:after="0" w:line="244" w:lineRule="auto"/>
        <w:rPr>
          <w:sz w:val="20"/>
          <w:szCs w:val="20"/>
          <w:color w:val="auto"/>
        </w:rPr>
      </w:pPr>
      <w:r>
        <w:rPr>
          <w:rFonts w:ascii="Arial" w:cs="Arial" w:eastAsia="Arial" w:hAnsi="Arial"/>
          <w:sz w:val="16"/>
          <w:szCs w:val="16"/>
          <w:color w:val="auto"/>
        </w:rPr>
        <w:t>The go public transaction did not occur, and the Rx Debentures did not convert into units prior to the initial maturity date. As a result, the maturity date of the Rx Debentures was amended to December 31, 2022. Furthermore, the Rx Debentures were amended to be convertible into units at a price of equal to 70% of the offering price of any equity financing. As at June 30, 2022, the amount of $260 was determined to represent the fair value of the Rx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9 of 24</w:t>
      </w:r>
    </w:p>
    <w:p>
      <w:pPr>
        <w:sectPr>
          <w:pgSz w:w="11900" w:h="16838" w:orient="portrait"/>
          <w:cols w:equalWidth="0" w:num="1">
            <w:col w:w="11262"/>
          </w:cols>
          <w:pgMar w:left="318" w:top="171" w:right="319" w:bottom="1440" w:gutter="0" w:footer="0" w:header="0"/>
        </w:sectPr>
      </w:pPr>
    </w:p>
    <w:bookmarkStart w:id="12" w:name="page13"/>
    <w:bookmarkEnd w:id="12"/>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NOTES TO THE CONSOLIDATED FINANCIAL STATEMENTS</w:t>
      </w:r>
    </w:p>
    <w:p>
      <w:pPr>
        <w:ind w:left="60"/>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8"/>
              <w:spacing w:after="0"/>
              <w:rPr>
                <w:sz w:val="20"/>
                <w:szCs w:val="20"/>
                <w:color w:val="auto"/>
              </w:rPr>
            </w:pPr>
            <w:r>
              <w:rPr>
                <w:rFonts w:ascii="Arial" w:cs="Arial" w:eastAsia="Arial" w:hAnsi="Arial"/>
                <w:sz w:val="16"/>
                <w:szCs w:val="16"/>
                <w:b w:val="1"/>
                <w:bCs w:val="1"/>
                <w:color w:val="2D5F91"/>
                <w:w w:val="89"/>
              </w:rPr>
              <w:t>4.</w:t>
            </w:r>
          </w:p>
        </w:tc>
        <w:tc>
          <w:tcPr>
            <w:tcW w:w="4000" w:type="dxa"/>
            <w:vAlign w:val="bottom"/>
          </w:tcPr>
          <w:p>
            <w:pPr>
              <w:ind w:left="20"/>
              <w:spacing w:after="0"/>
              <w:rPr>
                <w:sz w:val="20"/>
                <w:szCs w:val="20"/>
                <w:color w:val="auto"/>
              </w:rPr>
            </w:pPr>
            <w:r>
              <w:rPr>
                <w:rFonts w:ascii="Arial" w:cs="Arial" w:eastAsia="Arial" w:hAnsi="Arial"/>
                <w:sz w:val="16"/>
                <w:szCs w:val="16"/>
                <w:b w:val="1"/>
                <w:bCs w:val="1"/>
                <w:color w:val="2D5F91"/>
              </w:rPr>
              <w:t>EQUIPMENT</w:t>
            </w:r>
          </w:p>
        </w:tc>
        <w:tc>
          <w:tcPr>
            <w:tcW w:w="2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7"/>
        </w:trPr>
        <w:tc>
          <w:tcPr>
            <w:tcW w:w="3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Equipment consists as follows:</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3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2880" w:type="dxa"/>
            <w:vAlign w:val="bottom"/>
          </w:tcPr>
          <w:p>
            <w:pPr>
              <w:jc w:val="right"/>
              <w:ind w:right="418"/>
              <w:spacing w:after="0"/>
              <w:rPr>
                <w:sz w:val="20"/>
                <w:szCs w:val="20"/>
                <w:color w:val="auto"/>
              </w:rPr>
            </w:pPr>
            <w:r>
              <w:rPr>
                <w:rFonts w:ascii="Arial" w:cs="Arial" w:eastAsia="Arial" w:hAnsi="Arial"/>
                <w:sz w:val="16"/>
                <w:szCs w:val="16"/>
                <w:b w:val="1"/>
                <w:bCs w:val="1"/>
                <w:color w:val="auto"/>
              </w:rPr>
              <w:t>Lab Equipment</w:t>
            </w:r>
          </w:p>
        </w:tc>
        <w:tc>
          <w:tcPr>
            <w:tcW w:w="2460" w:type="dxa"/>
            <w:vAlign w:val="bottom"/>
          </w:tcPr>
          <w:p>
            <w:pPr>
              <w:jc w:val="right"/>
              <w:ind w:right="538"/>
              <w:spacing w:after="0"/>
              <w:rPr>
                <w:sz w:val="20"/>
                <w:szCs w:val="20"/>
                <w:color w:val="auto"/>
              </w:rPr>
            </w:pPr>
            <w:r>
              <w:rPr>
                <w:rFonts w:ascii="Arial" w:cs="Arial" w:eastAsia="Arial" w:hAnsi="Arial"/>
                <w:sz w:val="16"/>
                <w:szCs w:val="16"/>
                <w:b w:val="1"/>
                <w:bCs w:val="1"/>
                <w:color w:val="auto"/>
              </w:rPr>
              <w:t>Computer Equipment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$000’s</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$000’s</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$000’s</w:t>
            </w:r>
          </w:p>
        </w:tc>
      </w:tr>
      <w:tr>
        <w:trPr>
          <w:trHeight w:val="208"/>
        </w:trPr>
        <w:tc>
          <w:tcPr>
            <w:tcW w:w="3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b w:val="1"/>
                <w:bCs w:val="1"/>
                <w:color w:val="auto"/>
              </w:rPr>
              <w:t>Balance as at March 31, 2022</w:t>
            </w:r>
          </w:p>
        </w:tc>
        <w:tc>
          <w:tcPr>
            <w:tcW w:w="2880" w:type="dxa"/>
            <w:vAlign w:val="bottom"/>
          </w:tcPr>
          <w:p>
            <w:pPr>
              <w:jc w:val="right"/>
              <w:ind w:right="418"/>
              <w:spacing w:after="0"/>
              <w:rPr>
                <w:sz w:val="20"/>
                <w:szCs w:val="20"/>
                <w:color w:val="auto"/>
              </w:rPr>
            </w:pPr>
            <w:r>
              <w:rPr>
                <w:rFonts w:ascii="Arial" w:cs="Arial" w:eastAsia="Arial" w:hAnsi="Arial"/>
                <w:sz w:val="16"/>
                <w:szCs w:val="16"/>
                <w:b w:val="1"/>
                <w:bCs w:val="1"/>
                <w:color w:val="auto"/>
              </w:rPr>
              <w:t>475</w:t>
            </w:r>
          </w:p>
        </w:tc>
        <w:tc>
          <w:tcPr>
            <w:tcW w:w="2460" w:type="dxa"/>
            <w:vAlign w:val="bottom"/>
          </w:tcPr>
          <w:p>
            <w:pPr>
              <w:jc w:val="right"/>
              <w:ind w:right="538"/>
              <w:spacing w:after="0"/>
              <w:rPr>
                <w:sz w:val="20"/>
                <w:szCs w:val="20"/>
                <w:color w:val="auto"/>
              </w:rPr>
            </w:pPr>
            <w:r>
              <w:rPr>
                <w:rFonts w:ascii="Arial" w:cs="Arial" w:eastAsia="Arial" w:hAnsi="Arial"/>
                <w:sz w:val="16"/>
                <w:szCs w:val="16"/>
                <w:b w:val="1"/>
                <w:bCs w:val="1"/>
                <w:color w:val="auto"/>
              </w:rPr>
              <w:t>238</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713</w:t>
            </w:r>
          </w:p>
        </w:tc>
      </w:tr>
      <w:tr>
        <w:trPr>
          <w:trHeight w:val="199"/>
        </w:trPr>
        <w:tc>
          <w:tcPr>
            <w:tcW w:w="3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Additions</w:t>
            </w:r>
          </w:p>
        </w:tc>
        <w:tc>
          <w:tcPr>
            <w:tcW w:w="2880" w:type="dxa"/>
            <w:vAlign w:val="bottom"/>
          </w:tcPr>
          <w:p>
            <w:pPr>
              <w:jc w:val="right"/>
              <w:ind w:right="418"/>
              <w:spacing w:after="0"/>
              <w:rPr>
                <w:sz w:val="20"/>
                <w:szCs w:val="20"/>
                <w:color w:val="auto"/>
              </w:rPr>
            </w:pPr>
            <w:r>
              <w:rPr>
                <w:rFonts w:ascii="Arial" w:cs="Arial" w:eastAsia="Arial" w:hAnsi="Arial"/>
                <w:sz w:val="16"/>
                <w:szCs w:val="16"/>
                <w:color w:val="auto"/>
              </w:rPr>
              <w:t>142</w:t>
            </w:r>
          </w:p>
        </w:tc>
        <w:tc>
          <w:tcPr>
            <w:tcW w:w="2460" w:type="dxa"/>
            <w:vAlign w:val="bottom"/>
          </w:tcPr>
          <w:p>
            <w:pPr>
              <w:jc w:val="right"/>
              <w:ind w:right="538"/>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r>
      <w:tr>
        <w:trPr>
          <w:trHeight w:val="208"/>
        </w:trPr>
        <w:tc>
          <w:tcPr>
            <w:tcW w:w="30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color w:val="auto"/>
              </w:rPr>
              <w:t>15</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201"/>
        </w:trPr>
        <w:tc>
          <w:tcPr>
            <w:tcW w:w="30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June 30, 2022</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632</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238</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870</w:t>
            </w:r>
          </w:p>
        </w:tc>
      </w:tr>
      <w:tr>
        <w:trPr>
          <w:trHeight w:val="420"/>
        </w:trPr>
        <w:tc>
          <w:tcPr>
            <w:tcW w:w="300" w:type="dxa"/>
            <w:vAlign w:val="bottom"/>
          </w:tcPr>
          <w:p>
            <w:pPr>
              <w:spacing w:after="0"/>
              <w:rPr>
                <w:sz w:val="24"/>
                <w:szCs w:val="24"/>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Accumulated Depreciation</w:t>
            </w:r>
          </w:p>
        </w:tc>
        <w:tc>
          <w:tcPr>
            <w:tcW w:w="28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8"/>
        </w:trPr>
        <w:tc>
          <w:tcPr>
            <w:tcW w:w="3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b w:val="1"/>
                <w:bCs w:val="1"/>
                <w:color w:val="auto"/>
              </w:rPr>
              <w:t>Balance as at March 31, 2022</w:t>
            </w:r>
          </w:p>
        </w:tc>
        <w:tc>
          <w:tcPr>
            <w:tcW w:w="2880" w:type="dxa"/>
            <w:vAlign w:val="bottom"/>
          </w:tcPr>
          <w:p>
            <w:pPr>
              <w:jc w:val="right"/>
              <w:ind w:right="418"/>
              <w:spacing w:after="0"/>
              <w:rPr>
                <w:sz w:val="20"/>
                <w:szCs w:val="20"/>
                <w:color w:val="auto"/>
              </w:rPr>
            </w:pPr>
            <w:r>
              <w:rPr>
                <w:rFonts w:ascii="Arial" w:cs="Arial" w:eastAsia="Arial" w:hAnsi="Arial"/>
                <w:sz w:val="16"/>
                <w:szCs w:val="16"/>
                <w:b w:val="1"/>
                <w:bCs w:val="1"/>
                <w:color w:val="auto"/>
              </w:rPr>
              <w:t>138</w:t>
            </w:r>
          </w:p>
        </w:tc>
        <w:tc>
          <w:tcPr>
            <w:tcW w:w="2460" w:type="dxa"/>
            <w:vAlign w:val="bottom"/>
          </w:tcPr>
          <w:p>
            <w:pPr>
              <w:jc w:val="right"/>
              <w:ind w:right="538"/>
              <w:spacing w:after="0"/>
              <w:rPr>
                <w:sz w:val="20"/>
                <w:szCs w:val="20"/>
                <w:color w:val="auto"/>
              </w:rPr>
            </w:pPr>
            <w:r>
              <w:rPr>
                <w:rFonts w:ascii="Arial" w:cs="Arial" w:eastAsia="Arial" w:hAnsi="Arial"/>
                <w:sz w:val="16"/>
                <w:szCs w:val="16"/>
                <w:b w:val="1"/>
                <w:bCs w:val="1"/>
                <w:color w:val="auto"/>
              </w:rPr>
              <w:t>84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222</w:t>
            </w:r>
          </w:p>
        </w:tc>
      </w:tr>
      <w:tr>
        <w:trPr>
          <w:trHeight w:val="199"/>
        </w:trPr>
        <w:tc>
          <w:tcPr>
            <w:tcW w:w="3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Depreciation charge</w:t>
            </w:r>
          </w:p>
        </w:tc>
        <w:tc>
          <w:tcPr>
            <w:tcW w:w="2880" w:type="dxa"/>
            <w:vAlign w:val="bottom"/>
          </w:tcPr>
          <w:p>
            <w:pPr>
              <w:jc w:val="right"/>
              <w:ind w:right="418"/>
              <w:spacing w:after="0"/>
              <w:rPr>
                <w:sz w:val="20"/>
                <w:szCs w:val="20"/>
                <w:color w:val="auto"/>
              </w:rPr>
            </w:pPr>
            <w:r>
              <w:rPr>
                <w:rFonts w:ascii="Arial" w:cs="Arial" w:eastAsia="Arial" w:hAnsi="Arial"/>
                <w:sz w:val="16"/>
                <w:szCs w:val="16"/>
                <w:color w:val="auto"/>
              </w:rPr>
              <w:t>33</w:t>
            </w:r>
          </w:p>
        </w:tc>
        <w:tc>
          <w:tcPr>
            <w:tcW w:w="2460" w:type="dxa"/>
            <w:vAlign w:val="bottom"/>
          </w:tcPr>
          <w:p>
            <w:pPr>
              <w:jc w:val="right"/>
              <w:ind w:right="538"/>
              <w:spacing w:after="0"/>
              <w:rPr>
                <w:sz w:val="20"/>
                <w:szCs w:val="20"/>
                <w:color w:val="auto"/>
              </w:rPr>
            </w:pPr>
            <w:r>
              <w:rPr>
                <w:rFonts w:ascii="Arial" w:cs="Arial" w:eastAsia="Arial" w:hAnsi="Arial"/>
                <w:sz w:val="16"/>
                <w:szCs w:val="16"/>
                <w:color w:val="auto"/>
              </w:rPr>
              <w:t>20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r>
      <w:tr>
        <w:trPr>
          <w:trHeight w:val="208"/>
        </w:trPr>
        <w:tc>
          <w:tcPr>
            <w:tcW w:w="30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color w:val="auto"/>
              </w:rPr>
              <w:t>5</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201"/>
        </w:trPr>
        <w:tc>
          <w:tcPr>
            <w:tcW w:w="30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June 30, 2022</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176</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104</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280</w:t>
            </w:r>
          </w:p>
        </w:tc>
      </w:tr>
      <w:tr>
        <w:trPr>
          <w:trHeight w:val="212"/>
        </w:trPr>
        <w:tc>
          <w:tcPr>
            <w:tcW w:w="30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0"/>
        </w:trPr>
        <w:tc>
          <w:tcPr>
            <w:tcW w:w="30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March 31, 2022</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337</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154</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491</w:t>
            </w:r>
          </w:p>
        </w:tc>
      </w:tr>
      <w:tr>
        <w:trPr>
          <w:trHeight w:val="200"/>
        </w:trPr>
        <w:tc>
          <w:tcPr>
            <w:tcW w:w="30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June 30, 2022</w:t>
            </w:r>
          </w:p>
        </w:tc>
        <w:tc>
          <w:tcPr>
            <w:tcW w:w="28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456</w:t>
            </w:r>
          </w:p>
        </w:tc>
        <w:tc>
          <w:tcPr>
            <w:tcW w:w="24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134</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590</w:t>
            </w:r>
          </w:p>
        </w:tc>
      </w:tr>
      <w:tr>
        <w:trPr>
          <w:trHeight w:val="432"/>
        </w:trPr>
        <w:tc>
          <w:tcPr>
            <w:tcW w:w="300" w:type="dxa"/>
            <w:vAlign w:val="bottom"/>
          </w:tcPr>
          <w:p>
            <w:pPr>
              <w:jc w:val="right"/>
              <w:ind w:right="78"/>
              <w:spacing w:after="0"/>
              <w:rPr>
                <w:sz w:val="20"/>
                <w:szCs w:val="20"/>
                <w:color w:val="auto"/>
              </w:rPr>
            </w:pPr>
            <w:r>
              <w:rPr>
                <w:rFonts w:ascii="Arial" w:cs="Arial" w:eastAsia="Arial" w:hAnsi="Arial"/>
                <w:sz w:val="16"/>
                <w:szCs w:val="16"/>
                <w:b w:val="1"/>
                <w:bCs w:val="1"/>
                <w:color w:val="2D5F91"/>
                <w:w w:val="89"/>
              </w:rPr>
              <w:t>5.</w:t>
            </w:r>
          </w:p>
        </w:tc>
        <w:tc>
          <w:tcPr>
            <w:tcW w:w="4000" w:type="dxa"/>
            <w:vAlign w:val="bottom"/>
          </w:tcPr>
          <w:p>
            <w:pPr>
              <w:ind w:left="20"/>
              <w:spacing w:after="0"/>
              <w:rPr>
                <w:sz w:val="20"/>
                <w:szCs w:val="20"/>
                <w:color w:val="auto"/>
              </w:rPr>
            </w:pPr>
            <w:r>
              <w:rPr>
                <w:rFonts w:ascii="Arial" w:cs="Arial" w:eastAsia="Arial" w:hAnsi="Arial"/>
                <w:sz w:val="16"/>
                <w:szCs w:val="16"/>
                <w:b w:val="1"/>
                <w:bCs w:val="1"/>
                <w:color w:val="2D5F91"/>
              </w:rPr>
              <w:t>INTANGIBLE ASSETS</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30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880" w:type="dxa"/>
            <w:vAlign w:val="bottom"/>
          </w:tcPr>
          <w:p>
            <w:pPr>
              <w:jc w:val="right"/>
              <w:ind w:right="98"/>
              <w:spacing w:after="0"/>
              <w:rPr>
                <w:sz w:val="20"/>
                <w:szCs w:val="20"/>
                <w:color w:val="auto"/>
              </w:rPr>
            </w:pPr>
            <w:r>
              <w:rPr>
                <w:rFonts w:ascii="Arial" w:cs="Arial" w:eastAsia="Arial" w:hAnsi="Arial"/>
                <w:sz w:val="16"/>
                <w:szCs w:val="16"/>
                <w:b w:val="1"/>
                <w:bCs w:val="1"/>
                <w:color w:val="auto"/>
              </w:rPr>
              <w:t>Patents</w:t>
            </w:r>
          </w:p>
        </w:tc>
        <w:tc>
          <w:tcPr>
            <w:tcW w:w="2460" w:type="dxa"/>
            <w:vAlign w:val="bottom"/>
          </w:tcPr>
          <w:p>
            <w:pPr>
              <w:jc w:val="right"/>
              <w:ind w:right="678"/>
              <w:spacing w:after="0"/>
              <w:rPr>
                <w:sz w:val="20"/>
                <w:szCs w:val="20"/>
                <w:color w:val="auto"/>
              </w:rPr>
            </w:pPr>
            <w:r>
              <w:rPr>
                <w:rFonts w:ascii="Arial" w:cs="Arial" w:eastAsia="Arial" w:hAnsi="Arial"/>
                <w:sz w:val="16"/>
                <w:szCs w:val="16"/>
                <w:b w:val="1"/>
                <w:bCs w:val="1"/>
                <w:color w:val="auto"/>
              </w:rPr>
              <w:t>Software</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80" w:type="dxa"/>
            <w:vAlign w:val="bottom"/>
          </w:tcPr>
          <w:p>
            <w:pPr>
              <w:jc w:val="right"/>
              <w:ind w:right="98"/>
              <w:spacing w:after="0"/>
              <w:rPr>
                <w:sz w:val="20"/>
                <w:szCs w:val="20"/>
                <w:color w:val="auto"/>
              </w:rPr>
            </w:pPr>
            <w:r>
              <w:rPr>
                <w:rFonts w:ascii="Arial" w:cs="Arial" w:eastAsia="Arial" w:hAnsi="Arial"/>
                <w:sz w:val="16"/>
                <w:szCs w:val="16"/>
                <w:b w:val="1"/>
                <w:bCs w:val="1"/>
                <w:color w:val="auto"/>
              </w:rPr>
              <w:t>$000’s</w:t>
            </w:r>
          </w:p>
        </w:tc>
        <w:tc>
          <w:tcPr>
            <w:tcW w:w="2460" w:type="dxa"/>
            <w:vAlign w:val="bottom"/>
          </w:tcPr>
          <w:p>
            <w:pPr>
              <w:jc w:val="right"/>
              <w:ind w:right="678"/>
              <w:spacing w:after="0"/>
              <w:rPr>
                <w:sz w:val="20"/>
                <w:szCs w:val="20"/>
                <w:color w:val="auto"/>
              </w:rPr>
            </w:pPr>
            <w:r>
              <w:rPr>
                <w:rFonts w:ascii="Arial" w:cs="Arial" w:eastAsia="Arial" w:hAnsi="Arial"/>
                <w:sz w:val="16"/>
                <w:szCs w:val="16"/>
                <w:b w:val="1"/>
                <w:bCs w:val="1"/>
                <w:color w:val="auto"/>
              </w:rPr>
              <w:t>$000’s</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$000’s</w:t>
            </w:r>
          </w:p>
        </w:tc>
      </w:tr>
      <w:tr>
        <w:trPr>
          <w:trHeight w:val="208"/>
        </w:trPr>
        <w:tc>
          <w:tcPr>
            <w:tcW w:w="300" w:type="dxa"/>
            <w:vAlign w:val="bottom"/>
          </w:tcPr>
          <w:p>
            <w:pPr>
              <w:spacing w:after="0"/>
              <w:rPr>
                <w:sz w:val="18"/>
                <w:szCs w:val="18"/>
                <w:color w:val="auto"/>
              </w:rPr>
            </w:pPr>
          </w:p>
        </w:tc>
        <w:tc>
          <w:tcPr>
            <w:tcW w:w="40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March 31, 2022</w:t>
            </w:r>
          </w:p>
        </w:tc>
        <w:tc>
          <w:tcPr>
            <w:tcW w:w="28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2,009</w:t>
            </w:r>
          </w:p>
        </w:tc>
        <w:tc>
          <w:tcPr>
            <w:tcW w:w="2460" w:type="dxa"/>
            <w:vAlign w:val="bottom"/>
            <w:tcBorders>
              <w:top w:val="single" w:sz="8" w:color="auto"/>
            </w:tcBorders>
          </w:tcPr>
          <w:p>
            <w:pPr>
              <w:jc w:val="right"/>
              <w:ind w:right="678"/>
              <w:spacing w:after="0"/>
              <w:rPr>
                <w:sz w:val="20"/>
                <w:szCs w:val="20"/>
                <w:color w:val="auto"/>
              </w:rPr>
            </w:pPr>
            <w:r>
              <w:rPr>
                <w:rFonts w:ascii="Arial" w:cs="Arial" w:eastAsia="Arial" w:hAnsi="Arial"/>
                <w:sz w:val="16"/>
                <w:szCs w:val="16"/>
                <w:b w:val="1"/>
                <w:bCs w:val="1"/>
                <w:color w:val="auto"/>
              </w:rPr>
              <w:t>74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2,083</w:t>
            </w:r>
          </w:p>
        </w:tc>
        <w:tc>
          <w:tcPr>
            <w:tcW w:w="80" w:type="dxa"/>
            <w:vAlign w:val="bottom"/>
          </w:tcPr>
          <w:p>
            <w:pPr>
              <w:spacing w:after="0"/>
              <w:rPr>
                <w:sz w:val="18"/>
                <w:szCs w:val="18"/>
                <w:color w:val="auto"/>
              </w:rPr>
            </w:pPr>
          </w:p>
        </w:tc>
      </w:tr>
      <w:tr>
        <w:trPr>
          <w:trHeight w:val="199"/>
        </w:trPr>
        <w:tc>
          <w:tcPr>
            <w:tcW w:w="300" w:type="dxa"/>
            <w:vAlign w:val="bottom"/>
          </w:tcPr>
          <w:p>
            <w:pPr>
              <w:spacing w:after="0"/>
              <w:rPr>
                <w:sz w:val="17"/>
                <w:szCs w:val="17"/>
                <w:color w:val="auto"/>
              </w:rPr>
            </w:pPr>
          </w:p>
        </w:tc>
        <w:tc>
          <w:tcPr>
            <w:tcW w:w="400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880" w:type="dxa"/>
            <w:vAlign w:val="bottom"/>
          </w:tcPr>
          <w:p>
            <w:pPr>
              <w:jc w:val="right"/>
              <w:ind w:right="98"/>
              <w:spacing w:after="0"/>
              <w:rPr>
                <w:sz w:val="20"/>
                <w:szCs w:val="20"/>
                <w:color w:val="auto"/>
              </w:rPr>
            </w:pPr>
            <w:r>
              <w:rPr>
                <w:rFonts w:ascii="Arial" w:cs="Arial" w:eastAsia="Arial" w:hAnsi="Arial"/>
                <w:sz w:val="16"/>
                <w:szCs w:val="16"/>
                <w:color w:val="auto"/>
              </w:rPr>
              <w:t>66</w:t>
            </w:r>
          </w:p>
        </w:tc>
        <w:tc>
          <w:tcPr>
            <w:tcW w:w="2460" w:type="dxa"/>
            <w:vAlign w:val="bottom"/>
          </w:tcPr>
          <w:p>
            <w:pPr>
              <w:jc w:val="right"/>
              <w:ind w:right="678"/>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Effect of foreign exchange</w:t>
            </w:r>
          </w:p>
        </w:tc>
        <w:tc>
          <w:tcPr>
            <w:tcW w:w="28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64</w:t>
            </w:r>
          </w:p>
        </w:tc>
        <w:tc>
          <w:tcPr>
            <w:tcW w:w="246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r>
      <w:tr>
        <w:trPr>
          <w:trHeight w:val="201"/>
        </w:trPr>
        <w:tc>
          <w:tcPr>
            <w:tcW w:w="300" w:type="dxa"/>
            <w:vAlign w:val="bottom"/>
          </w:tcPr>
          <w:p>
            <w:pPr>
              <w:spacing w:after="0"/>
              <w:rPr>
                <w:sz w:val="17"/>
                <w:szCs w:val="17"/>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June 30, 2022</w:t>
            </w:r>
          </w:p>
        </w:tc>
        <w:tc>
          <w:tcPr>
            <w:tcW w:w="28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2,139</w:t>
            </w:r>
          </w:p>
        </w:tc>
        <w:tc>
          <w:tcPr>
            <w:tcW w:w="246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b w:val="1"/>
                <w:bCs w:val="1"/>
                <w:color w:val="auto"/>
              </w:rPr>
              <w:t>74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80" w:type="dxa"/>
            <w:vAlign w:val="bottom"/>
          </w:tcPr>
          <w:p>
            <w:pPr>
              <w:spacing w:after="0"/>
              <w:rPr>
                <w:sz w:val="17"/>
                <w:szCs w:val="17"/>
                <w:color w:val="auto"/>
              </w:rPr>
            </w:pPr>
          </w:p>
        </w:tc>
      </w:tr>
      <w:tr>
        <w:trPr>
          <w:trHeight w:val="432"/>
        </w:trPr>
        <w:tc>
          <w:tcPr>
            <w:tcW w:w="300" w:type="dxa"/>
            <w:vAlign w:val="bottom"/>
          </w:tcPr>
          <w:p>
            <w:pPr>
              <w:jc w:val="right"/>
              <w:ind w:right="78"/>
              <w:spacing w:after="0"/>
              <w:rPr>
                <w:sz w:val="20"/>
                <w:szCs w:val="20"/>
                <w:color w:val="auto"/>
              </w:rPr>
            </w:pPr>
            <w:r>
              <w:rPr>
                <w:rFonts w:ascii="Arial" w:cs="Arial" w:eastAsia="Arial" w:hAnsi="Arial"/>
                <w:sz w:val="16"/>
                <w:szCs w:val="16"/>
                <w:b w:val="1"/>
                <w:bCs w:val="1"/>
                <w:color w:val="2D5F91"/>
                <w:w w:val="89"/>
              </w:rPr>
              <w:t>6.</w:t>
            </w:r>
          </w:p>
        </w:tc>
        <w:tc>
          <w:tcPr>
            <w:tcW w:w="4000" w:type="dxa"/>
            <w:vAlign w:val="bottom"/>
          </w:tcPr>
          <w:p>
            <w:pPr>
              <w:ind w:left="20"/>
              <w:spacing w:after="0"/>
              <w:rPr>
                <w:sz w:val="20"/>
                <w:szCs w:val="20"/>
                <w:color w:val="auto"/>
              </w:rPr>
            </w:pPr>
            <w:r>
              <w:rPr>
                <w:rFonts w:ascii="Arial" w:cs="Arial" w:eastAsia="Arial" w:hAnsi="Arial"/>
                <w:sz w:val="16"/>
                <w:szCs w:val="16"/>
                <w:b w:val="1"/>
                <w:bCs w:val="1"/>
                <w:color w:val="2D5F91"/>
              </w:rPr>
              <w:t>GOODWILL</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9340" w:type="dxa"/>
            <w:vAlign w:val="bottom"/>
            <w:gridSpan w:val="3"/>
          </w:tcPr>
          <w:p>
            <w:pPr>
              <w:spacing w:after="0"/>
              <w:rPr>
                <w:sz w:val="20"/>
                <w:szCs w:val="20"/>
                <w:color w:val="auto"/>
              </w:rPr>
            </w:pPr>
            <w:r>
              <w:rPr>
                <w:rFonts w:ascii="Arial" w:cs="Arial" w:eastAsia="Arial" w:hAnsi="Arial"/>
                <w:sz w:val="16"/>
                <w:szCs w:val="16"/>
                <w:color w:val="auto"/>
              </w:rPr>
              <w:t>Goodwill is recognized at the acquisition date when total consideration exceeds the net identifiable assets acquired</w:t>
            </w:r>
            <w:r>
              <w:rPr>
                <w:rFonts w:ascii="Arial" w:cs="Arial" w:eastAsia="Arial" w:hAnsi="Arial"/>
                <w:sz w:val="19"/>
                <w:szCs w:val="19"/>
                <w:color w:val="auto"/>
              </w:rPr>
              <w:t>.</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Cost</w:t>
            </w:r>
          </w:p>
        </w:tc>
        <w:tc>
          <w:tcPr>
            <w:tcW w:w="2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$000’s</w:t>
            </w:r>
          </w:p>
        </w:tc>
      </w:tr>
      <w:tr>
        <w:trPr>
          <w:trHeight w:val="200"/>
        </w:trPr>
        <w:tc>
          <w:tcPr>
            <w:tcW w:w="3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Balance as at March 31, 2022</w:t>
            </w:r>
          </w:p>
        </w:tc>
        <w:tc>
          <w:tcPr>
            <w:tcW w:w="2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22,892</w:t>
            </w:r>
          </w:p>
        </w:tc>
      </w:tr>
      <w:tr>
        <w:trPr>
          <w:trHeight w:val="208"/>
        </w:trPr>
        <w:tc>
          <w:tcPr>
            <w:tcW w:w="30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8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715</w:t>
            </w:r>
          </w:p>
        </w:tc>
      </w:tr>
      <w:tr>
        <w:trPr>
          <w:trHeight w:val="201"/>
        </w:trPr>
        <w:tc>
          <w:tcPr>
            <w:tcW w:w="30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June 30, 2022</w:t>
            </w:r>
          </w:p>
        </w:tc>
        <w:tc>
          <w:tcPr>
            <w:tcW w:w="28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23,607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Page 10 of 24</w:t>
      </w:r>
    </w:p>
    <w:p>
      <w:pPr>
        <w:sectPr>
          <w:pgSz w:w="11900" w:h="16838" w:orient="portrait"/>
          <w:cols w:equalWidth="0" w:num="1">
            <w:col w:w="11000"/>
          </w:cols>
          <w:pgMar w:left="320" w:top="171" w:right="579" w:bottom="1440" w:gutter="0" w:footer="0" w:header="0"/>
        </w:sectPr>
      </w:pPr>
    </w:p>
    <w:bookmarkStart w:id="13" w:name="page14"/>
    <w:bookmarkEnd w:id="1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2" w:hanging="322"/>
        <w:spacing w:after="0"/>
        <w:tabs>
          <w:tab w:leader="none" w:pos="322" w:val="left"/>
        </w:tabs>
        <w:numPr>
          <w:ilvl w:val="0"/>
          <w:numId w:val="4"/>
        </w:numPr>
        <w:rPr>
          <w:rFonts w:ascii="Arial" w:cs="Arial" w:eastAsia="Arial" w:hAnsi="Arial"/>
          <w:sz w:val="16"/>
          <w:szCs w:val="16"/>
          <w:b w:val="1"/>
          <w:bCs w:val="1"/>
          <w:color w:val="2D5F91"/>
        </w:rPr>
      </w:pPr>
      <w:r>
        <w:rPr>
          <w:rFonts w:ascii="Arial" w:cs="Arial" w:eastAsia="Arial" w:hAnsi="Arial"/>
          <w:sz w:val="16"/>
          <w:szCs w:val="16"/>
          <w:b w:val="1"/>
          <w:bCs w:val="1"/>
          <w:color w:val="2D5F91"/>
        </w:rPr>
        <w:t>CONTINGENT CONSIDERATION PAYABLE</w:t>
      </w:r>
    </w:p>
    <w:p>
      <w:pPr>
        <w:spacing w:after="0" w:line="183"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Former Adelia Shareholders</w:t>
      </w:r>
    </w:p>
    <w:p>
      <w:pPr>
        <w:spacing w:after="0" w:line="191" w:lineRule="exact"/>
        <w:rPr>
          <w:sz w:val="20"/>
          <w:szCs w:val="20"/>
          <w:color w:val="auto"/>
        </w:rPr>
      </w:pPr>
    </w:p>
    <w:p>
      <w:pPr>
        <w:jc w:val="both"/>
        <w:ind w:left="302" w:right="20"/>
        <w:spacing w:after="0" w:line="259" w:lineRule="auto"/>
        <w:rPr>
          <w:sz w:val="20"/>
          <w:szCs w:val="20"/>
          <w:color w:val="auto"/>
        </w:rPr>
      </w:pPr>
      <w:r>
        <w:rPr>
          <w:rFonts w:ascii="Arial" w:cs="Arial" w:eastAsia="Arial" w:hAnsi="Arial"/>
          <w:sz w:val="16"/>
          <w:szCs w:val="16"/>
          <w:color w:val="auto"/>
        </w:rPr>
        <w:t>The Company has commitments to the former shareholders of Adelia (“Former Adelia Shareholders”) based on the achievement of certain milestones (the “Milestones”) as set out in the contribution agreement entered in connection with Cybin’s acquisition of Adelia (the “Contribution Agreement”). Milestone payments of approximately $467 are remaining and expected to be paid within the year ending March 31, 2023, assuming all Milestones are met prior to the applicable deadlines. These Milestones are to be paid in class B common shares of Cybin US (“Class B Shares”) at a price per Class B Share equal to ten times the current trading price of the Common Shares on the relevant pricing date (note 8).</w:t>
      </w:r>
    </w:p>
    <w:p>
      <w:pPr>
        <w:spacing w:after="0" w:line="145"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presents the change in the carrying value of the contingent consideration for the three-month period ended June 30, 2022.</w:t>
      </w:r>
    </w:p>
    <w:p>
      <w:pPr>
        <w:spacing w:after="0" w:line="224" w:lineRule="exact"/>
        <w:rPr>
          <w:sz w:val="20"/>
          <w:szCs w:val="20"/>
          <w:color w:val="auto"/>
        </w:rPr>
      </w:pPr>
    </w:p>
    <w:tbl>
      <w:tblPr>
        <w:tblLayout w:type="fixed"/>
        <w:tblInd w:w="302" w:type="dxa"/>
        <w:tblCellMar>
          <w:top w:w="0" w:type="dxa"/>
          <w:left w:w="0" w:type="dxa"/>
          <w:bottom w:w="0" w:type="dxa"/>
          <w:right w:w="0" w:type="dxa"/>
        </w:tblCellMar>
      </w:tblPr>
      <w:tr>
        <w:trPr>
          <w:trHeight w:val="222"/>
        </w:trPr>
        <w:tc>
          <w:tcPr>
            <w:tcW w:w="606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Balance as at March 31, 2022</w:t>
            </w:r>
          </w:p>
        </w:tc>
        <w:tc>
          <w:tcPr>
            <w:tcW w:w="4420" w:type="dxa"/>
            <w:vAlign w:val="bottom"/>
          </w:tcPr>
          <w:p>
            <w:pPr>
              <w:jc w:val="right"/>
              <w:spacing w:after="0"/>
              <w:rPr>
                <w:sz w:val="20"/>
                <w:szCs w:val="20"/>
                <w:color w:val="auto"/>
              </w:rPr>
            </w:pPr>
            <w:r>
              <w:rPr>
                <w:rFonts w:ascii="Arial" w:cs="Arial" w:eastAsia="Arial" w:hAnsi="Arial"/>
                <w:sz w:val="16"/>
                <w:szCs w:val="16"/>
                <w:b w:val="1"/>
                <w:bCs w:val="1"/>
                <w:color w:val="auto"/>
              </w:rPr>
              <w:t>2,646</w:t>
            </w:r>
          </w:p>
        </w:tc>
      </w:tr>
      <w:tr>
        <w:trPr>
          <w:trHeight w:val="212"/>
        </w:trPr>
        <w:tc>
          <w:tcPr>
            <w:tcW w:w="6060" w:type="dxa"/>
            <w:vAlign w:val="bottom"/>
          </w:tcPr>
          <w:p>
            <w:pPr>
              <w:spacing w:after="0"/>
              <w:rPr>
                <w:sz w:val="20"/>
                <w:szCs w:val="20"/>
                <w:color w:val="auto"/>
              </w:rPr>
            </w:pPr>
            <w:r>
              <w:rPr>
                <w:rFonts w:ascii="Arial" w:cs="Arial" w:eastAsia="Arial" w:hAnsi="Arial"/>
                <w:sz w:val="16"/>
                <w:szCs w:val="16"/>
                <w:color w:val="auto"/>
              </w:rPr>
              <w:t>Milestone achieved</w:t>
            </w:r>
          </w:p>
        </w:tc>
        <w:tc>
          <w:tcPr>
            <w:tcW w:w="442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20"/>
        </w:trPr>
        <w:tc>
          <w:tcPr>
            <w:tcW w:w="6060" w:type="dxa"/>
            <w:vAlign w:val="bottom"/>
          </w:tcPr>
          <w:p>
            <w:pPr>
              <w:spacing w:after="0"/>
              <w:rPr>
                <w:sz w:val="20"/>
                <w:szCs w:val="20"/>
                <w:color w:val="auto"/>
              </w:rPr>
            </w:pPr>
            <w:r>
              <w:rPr>
                <w:rFonts w:ascii="Arial" w:cs="Arial" w:eastAsia="Arial" w:hAnsi="Arial"/>
                <w:sz w:val="16"/>
                <w:szCs w:val="16"/>
                <w:color w:val="auto"/>
              </w:rPr>
              <w:t>Change in fair value</w:t>
            </w:r>
          </w:p>
        </w:tc>
        <w:tc>
          <w:tcPr>
            <w:tcW w:w="44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27"/>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Accretion expense</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June 30, 2022</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r>
    </w:tbl>
    <w:p>
      <w:pPr>
        <w:spacing w:after="0" w:line="244"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As a result of changes in fair value of the contingent consideration, for the three months ended June 30, 2022, the Company recorded an expense of $308 in the statement of loss and comprehensive loss as “change in fair value of contingent consideration”. In addition, for the three-month period ended June 30, 2022, the Company recorded an accretion expense of $13 in the statement of loss and comprehensive loss as “contingent consideration accretion”.</w:t>
      </w:r>
    </w:p>
    <w:p>
      <w:pPr>
        <w:spacing w:after="0" w:line="331" w:lineRule="exact"/>
        <w:rPr>
          <w:sz w:val="20"/>
          <w:szCs w:val="20"/>
          <w:color w:val="auto"/>
        </w:rPr>
      </w:pPr>
    </w:p>
    <w:p>
      <w:pPr>
        <w:ind w:left="322" w:hanging="322"/>
        <w:spacing w:after="0"/>
        <w:tabs>
          <w:tab w:leader="none" w:pos="322" w:val="left"/>
        </w:tabs>
        <w:numPr>
          <w:ilvl w:val="0"/>
          <w:numId w:val="5"/>
        </w:numPr>
        <w:rPr>
          <w:rFonts w:ascii="Arial" w:cs="Arial" w:eastAsia="Arial" w:hAnsi="Arial"/>
          <w:sz w:val="16"/>
          <w:szCs w:val="16"/>
          <w:b w:val="1"/>
          <w:bCs w:val="1"/>
          <w:color w:val="2D5F91"/>
        </w:rPr>
      </w:pPr>
      <w:r>
        <w:rPr>
          <w:rFonts w:ascii="Arial" w:cs="Arial" w:eastAsia="Arial" w:hAnsi="Arial"/>
          <w:sz w:val="16"/>
          <w:szCs w:val="16"/>
          <w:b w:val="1"/>
          <w:bCs w:val="1"/>
          <w:color w:val="2D5F91"/>
        </w:rPr>
        <w:t>SHARE CAPITAL</w:t>
      </w:r>
    </w:p>
    <w:p>
      <w:pPr>
        <w:spacing w:after="0" w:line="170" w:lineRule="exact"/>
        <w:rPr>
          <w:rFonts w:ascii="Arial" w:cs="Arial" w:eastAsia="Arial" w:hAnsi="Arial"/>
          <w:sz w:val="16"/>
          <w:szCs w:val="16"/>
          <w:b w:val="1"/>
          <w:bCs w:val="1"/>
          <w:color w:val="2D5F91"/>
        </w:rPr>
      </w:pPr>
    </w:p>
    <w:p>
      <w:pPr>
        <w:ind w:left="602" w:hanging="309"/>
        <w:spacing w:after="0"/>
        <w:tabs>
          <w:tab w:leader="none" w:pos="602"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191" w:lineRule="exact"/>
        <w:rPr>
          <w:sz w:val="20"/>
          <w:szCs w:val="20"/>
          <w:color w:val="auto"/>
        </w:rPr>
      </w:pPr>
    </w:p>
    <w:p>
      <w:pPr>
        <w:ind w:left="302" w:right="20"/>
        <w:spacing w:after="0" w:line="270" w:lineRule="auto"/>
        <w:rPr>
          <w:sz w:val="20"/>
          <w:szCs w:val="20"/>
          <w:color w:val="auto"/>
        </w:rPr>
      </w:pPr>
      <w:r>
        <w:rPr>
          <w:rFonts w:ascii="Arial" w:cs="Arial" w:eastAsia="Arial" w:hAnsi="Arial"/>
          <w:sz w:val="16"/>
          <w:szCs w:val="16"/>
          <w:color w:val="auto"/>
        </w:rPr>
        <w:t>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129" w:lineRule="exact"/>
        <w:rPr>
          <w:sz w:val="20"/>
          <w:szCs w:val="20"/>
          <w:color w:val="auto"/>
        </w:rPr>
      </w:pPr>
    </w:p>
    <w:p>
      <w:pPr>
        <w:ind w:left="602" w:hanging="309"/>
        <w:spacing w:after="0"/>
        <w:tabs>
          <w:tab w:leader="none" w:pos="60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171"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9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at June 30, 2022 the Company has nil preferred shares outstanding (March 31, 2022 -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11 of 25</w:t>
      </w:r>
    </w:p>
    <w:p>
      <w:pPr>
        <w:sectPr>
          <w:pgSz w:w="11900" w:h="16838" w:orient="portrait"/>
          <w:cols w:equalWidth="0" w:num="1">
            <w:col w:w="11262"/>
          </w:cols>
          <w:pgMar w:left="318" w:top="171" w:right="31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Cybin US Class B Shares</w:t>
      </w:r>
    </w:p>
    <w:p>
      <w:pPr>
        <w:spacing w:after="0" w:line="256"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6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Class B Shares</w:t>
            </w:r>
          </w:p>
        </w:tc>
      </w:tr>
      <w:tr>
        <w:trPr>
          <w:trHeight w:val="208"/>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Balance as at March 31, 2022</w:t>
            </w:r>
          </w:p>
        </w:tc>
        <w:tc>
          <w:tcPr>
            <w:tcW w:w="4960" w:type="dxa"/>
            <w:vAlign w:val="bottom"/>
          </w:tcPr>
          <w:p>
            <w:pPr>
              <w:jc w:val="right"/>
              <w:spacing w:after="0"/>
              <w:rPr>
                <w:sz w:val="20"/>
                <w:szCs w:val="20"/>
                <w:color w:val="auto"/>
              </w:rPr>
            </w:pPr>
            <w:r>
              <w:rPr>
                <w:rFonts w:ascii="Arial" w:cs="Arial" w:eastAsia="Arial" w:hAnsi="Arial"/>
                <w:sz w:val="16"/>
                <w:szCs w:val="16"/>
                <w:b w:val="1"/>
                <w:bCs w:val="1"/>
                <w:color w:val="auto"/>
              </w:rPr>
              <w:t>1,047,135.1</w:t>
            </w:r>
          </w:p>
        </w:tc>
      </w:tr>
      <w:tr>
        <w:trPr>
          <w:trHeight w:val="199"/>
        </w:trPr>
        <w:tc>
          <w:tcPr>
            <w:tcW w:w="5600" w:type="dxa"/>
            <w:vAlign w:val="bottom"/>
          </w:tcPr>
          <w:p>
            <w:pPr>
              <w:ind w:left="40"/>
              <w:spacing w:after="0"/>
              <w:rPr>
                <w:sz w:val="20"/>
                <w:szCs w:val="20"/>
                <w:color w:val="auto"/>
              </w:rPr>
            </w:pPr>
            <w:r>
              <w:rPr>
                <w:rFonts w:ascii="Arial" w:cs="Arial" w:eastAsia="Arial" w:hAnsi="Arial"/>
                <w:sz w:val="16"/>
                <w:szCs w:val="16"/>
                <w:color w:val="auto"/>
              </w:rPr>
              <w:t>Issued on achievement of milestones</w:t>
            </w:r>
          </w:p>
        </w:tc>
        <w:tc>
          <w:tcPr>
            <w:tcW w:w="4960" w:type="dxa"/>
            <w:vAlign w:val="bottom"/>
          </w:tcPr>
          <w:p>
            <w:pPr>
              <w:jc w:val="right"/>
              <w:spacing w:after="0"/>
              <w:rPr>
                <w:sz w:val="20"/>
                <w:szCs w:val="20"/>
                <w:color w:val="auto"/>
              </w:rPr>
            </w:pPr>
            <w:r>
              <w:rPr>
                <w:rFonts w:ascii="Arial" w:cs="Arial" w:eastAsia="Arial" w:hAnsi="Arial"/>
                <w:sz w:val="16"/>
                <w:szCs w:val="16"/>
                <w:color w:val="auto"/>
              </w:rPr>
              <w:t>327,184.1</w:t>
            </w:r>
          </w:p>
        </w:tc>
      </w:tr>
      <w:tr>
        <w:trPr>
          <w:trHeight w:val="208"/>
        </w:trPr>
        <w:tc>
          <w:tcPr>
            <w:tcW w:w="5600" w:type="dxa"/>
            <w:vAlign w:val="bottom"/>
            <w:tcBorders>
              <w:bottom w:val="single" w:sz="8" w:color="929292"/>
            </w:tcBorders>
          </w:tcPr>
          <w:p>
            <w:pPr>
              <w:ind w:left="40"/>
              <w:spacing w:after="0"/>
              <w:rPr>
                <w:sz w:val="20"/>
                <w:szCs w:val="20"/>
                <w:color w:val="auto"/>
              </w:rPr>
            </w:pPr>
            <w:r>
              <w:rPr>
                <w:rFonts w:ascii="Arial" w:cs="Arial" w:eastAsia="Arial" w:hAnsi="Arial"/>
                <w:sz w:val="16"/>
                <w:szCs w:val="16"/>
                <w:color w:val="auto"/>
              </w:rPr>
              <w:t>Converted into Common Shares</w:t>
            </w:r>
          </w:p>
        </w:tc>
        <w:tc>
          <w:tcPr>
            <w:tcW w:w="49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(38,023.0)</w:t>
            </w:r>
          </w:p>
        </w:tc>
      </w:tr>
      <w:tr>
        <w:trPr>
          <w:trHeight w:val="201"/>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at June 30, 2022</w:t>
            </w: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1,336,296.2</w:t>
            </w:r>
          </w:p>
        </w:tc>
      </w:tr>
    </w:tbl>
    <w:p>
      <w:pPr>
        <w:spacing w:after="0" w:line="244"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As at June 30, 2022, 1,336,296.2 Class B Shares were outstanding (March 31, 2022 - 1,047,135.1), which are exchangeable for a total of 13,362,962 Common Shares (March 31, 2022 - 10,471,351) (note 7). No Class B Shares were exchangeable prior to December 14, 2021, and not more than: (i) 33 1/3% of the Class B Shares are to be exchangeable prior to December 14, 2022; (ii) 66 2/3% of the Class B Shares are to be exchangeable prior to December 14, 2023; and (iii) thereafter, 100% of the Class B Shares are to be exchangeable. These condensed interim consolidated financial statements reflect all of the issued Class B Shares on an as-converted basis.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During the three-month period ended June 30, 2022, the Company completed the following Class B Shares issuances and conversions:</w:t>
      </w:r>
    </w:p>
    <w:p>
      <w:pPr>
        <w:spacing w:after="0" w:line="178" w:lineRule="exact"/>
        <w:rPr>
          <w:sz w:val="20"/>
          <w:szCs w:val="20"/>
          <w:color w:val="auto"/>
        </w:rPr>
      </w:pPr>
    </w:p>
    <w:p>
      <w:pPr>
        <w:jc w:val="both"/>
        <w:ind w:left="240" w:right="20"/>
        <w:spacing w:after="0" w:line="259" w:lineRule="auto"/>
        <w:rPr>
          <w:sz w:val="20"/>
          <w:szCs w:val="20"/>
          <w:color w:val="auto"/>
        </w:rPr>
      </w:pPr>
      <w:r>
        <w:rPr>
          <w:rFonts w:ascii="Arial" w:cs="Arial" w:eastAsia="Arial" w:hAnsi="Arial"/>
          <w:sz w:val="16"/>
          <w:szCs w:val="16"/>
          <w:color w:val="auto"/>
        </w:rPr>
        <w:t>On April 1, 2022, pursuant to the terms of the Contribution Agreement,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May 5, 2022, a Former Adelia Shareholder exchanged 38,023 Class B Shares for 380,230 Common Shares.</w:t>
      </w:r>
    </w:p>
    <w:p>
      <w:pPr>
        <w:spacing w:after="0" w:line="171" w:lineRule="exact"/>
        <w:rPr>
          <w:sz w:val="20"/>
          <w:szCs w:val="20"/>
          <w:color w:val="auto"/>
        </w:rPr>
      </w:pPr>
    </w:p>
    <w:p>
      <w:pPr>
        <w:jc w:val="both"/>
        <w:ind w:left="240" w:right="20"/>
        <w:spacing w:after="0" w:line="260" w:lineRule="auto"/>
        <w:rPr>
          <w:sz w:val="20"/>
          <w:szCs w:val="20"/>
          <w:color w:val="auto"/>
        </w:rPr>
      </w:pPr>
      <w:r>
        <w:rPr>
          <w:rFonts w:ascii="Arial" w:cs="Arial" w:eastAsia="Arial" w:hAnsi="Arial"/>
          <w:sz w:val="16"/>
          <w:szCs w:val="16"/>
          <w:color w:val="auto"/>
        </w:rPr>
        <w:t>On June 24, 2022, pursuant to the terms of the Contribution Agreement, 266,933.1 Class B Shares were issued to Former Adelia Shareholders due to the achievement of certain Milestones identified as Y2, Q2 (i), (vi), Y2, Q3 (ii), Year 2 Q4 (i) and Year 3 Q1 (i), (ii), (iii), as contemplated by the terms of the Contribution Agreement, having an aggregate value of $2,033 at a price per Class B Share of $7.62. These Class B Shares are exchangeable for a total of 2,669,331 Common Shares, representing an effective issue price of $0.762 per Common Share.</w:t>
      </w:r>
    </w:p>
    <w:p>
      <w:pPr>
        <w:spacing w:after="0" w:line="144" w:lineRule="exact"/>
        <w:rPr>
          <w:sz w:val="20"/>
          <w:szCs w:val="20"/>
          <w:color w:val="auto"/>
        </w:rPr>
      </w:pPr>
    </w:p>
    <w:p>
      <w:pPr>
        <w:jc w:val="both"/>
        <w:ind w:left="240" w:right="20"/>
        <w:spacing w:after="0" w:line="260" w:lineRule="auto"/>
        <w:rPr>
          <w:sz w:val="20"/>
          <w:szCs w:val="20"/>
          <w:color w:val="auto"/>
        </w:rPr>
      </w:pPr>
      <w:r>
        <w:rPr>
          <w:rFonts w:ascii="Arial" w:cs="Arial" w:eastAsia="Arial" w:hAnsi="Arial"/>
          <w:sz w:val="16"/>
          <w:szCs w:val="16"/>
          <w:color w:val="auto"/>
        </w:rPr>
        <w:t>On June 27, 2022, pursuant to the terms of the Contribution Agreement, 37,366.2 Class B Shares were issued to Former Adelia Shareholders due to the achievement of the Milestone identified as Y2, Q3 (i), as contemplated by the terms of the Contribution Agreement, having an aggregate value of $280 at a price per Class B Share of $7.50. These Class B Shares are exchangeable for a total of 373,662 Common Shares, representing an effective issue price of $0.75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12 of 24</w:t>
      </w:r>
    </w:p>
    <w:p>
      <w:pPr>
        <w:sectPr>
          <w:pgSz w:w="11900" w:h="16838" w:orient="portrait"/>
          <w:cols w:equalWidth="0" w:num="1">
            <w:col w:w="11200"/>
          </w:cols>
          <w:pgMar w:left="380" w:top="171" w:right="3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hanging="309"/>
        <w:spacing w:after="0"/>
        <w:tabs>
          <w:tab w:leader="none" w:pos="54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u w:val="single" w:color="auto"/>
          <w:color w:val="auto"/>
        </w:rPr>
        <w:t>Warrants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continuity of the outstanding warrants for the three-month period ended June 30, 2022 is as follows:</w:t>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394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Number of Warrants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6"/>
        </w:trPr>
        <w:tc>
          <w:tcPr>
            <w:tcW w:w="49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920" w:type="dxa"/>
            <w:vAlign w:val="bottom"/>
            <w:tcBorders>
              <w:bottom w:val="single" w:sz="8" w:color="auto"/>
            </w:tcBorders>
            <w:vMerge w:val="continue"/>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2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3940" w:type="dxa"/>
            <w:vAlign w:val="bottom"/>
          </w:tcPr>
          <w:p>
            <w:pPr>
              <w:jc w:val="right"/>
              <w:ind w:right="158"/>
              <w:spacing w:after="0"/>
              <w:rPr>
                <w:sz w:val="20"/>
                <w:szCs w:val="20"/>
                <w:color w:val="auto"/>
              </w:rPr>
            </w:pPr>
            <w:r>
              <w:rPr>
                <w:rFonts w:ascii="Arial" w:cs="Arial" w:eastAsia="Arial" w:hAnsi="Arial"/>
                <w:sz w:val="16"/>
                <w:szCs w:val="16"/>
                <w:color w:val="auto"/>
              </w:rPr>
              <w:t>25,548,836</w:t>
            </w:r>
          </w:p>
        </w:tc>
        <w:tc>
          <w:tcPr>
            <w:tcW w:w="17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8"/>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Exercised</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(1,099,638)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1"/>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June 30, 2022</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24,449,198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0"/>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June 30, 2022</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24,249,198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335"/>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3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92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3940" w:type="dxa"/>
            <w:vAlign w:val="bottom"/>
          </w:tcPr>
          <w:p>
            <w:pPr>
              <w:jc w:val="right"/>
              <w:ind w:right="158"/>
              <w:spacing w:after="0"/>
              <w:rPr>
                <w:sz w:val="20"/>
                <w:szCs w:val="20"/>
                <w:color w:val="auto"/>
              </w:rPr>
            </w:pPr>
            <w:r>
              <w:rPr>
                <w:rFonts w:ascii="Arial" w:cs="Arial" w:eastAsia="Arial" w:hAnsi="Arial"/>
                <w:sz w:val="16"/>
                <w:szCs w:val="16"/>
                <w:color w:val="auto"/>
              </w:rPr>
              <w:t>868,740</w:t>
            </w:r>
          </w:p>
        </w:tc>
        <w:tc>
          <w:tcPr>
            <w:tcW w:w="17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8"/>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Exercised</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June 30, 2022</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868,740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200"/>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June 30, 2022</w:t>
            </w:r>
          </w:p>
        </w:tc>
        <w:tc>
          <w:tcPr>
            <w:tcW w:w="3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868,740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9"/>
        <w:spacing w:after="0" w:line="222" w:lineRule="auto"/>
        <w:tabs>
          <w:tab w:leader="none" w:pos="408"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12" w:lineRule="exact"/>
        <w:rPr>
          <w:sz w:val="20"/>
          <w:szCs w:val="20"/>
          <w:color w:val="auto"/>
        </w:rPr>
      </w:pPr>
    </w:p>
    <w:p>
      <w:pPr>
        <w:ind w:left="240" w:right="20"/>
        <w:spacing w:after="0" w:line="254" w:lineRule="auto"/>
        <w:rPr>
          <w:sz w:val="20"/>
          <w:szCs w:val="20"/>
          <w:color w:val="auto"/>
        </w:rPr>
      </w:pPr>
      <w:r>
        <w:rPr>
          <w:rFonts w:ascii="Arial" w:cs="Arial" w:eastAsia="Arial" w:hAnsi="Arial"/>
          <w:sz w:val="16"/>
          <w:szCs w:val="16"/>
          <w:color w:val="auto"/>
        </w:rPr>
        <w:t>During the three-month period ended June 30, 2022, 1,099,638 Common Share purchase warrants were exercised by various holders for aggregate proceeds to the Company of $314.</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warrants outstanding at June 30, 2022:</w:t>
      </w:r>
    </w:p>
    <w:p>
      <w:pPr>
        <w:spacing w:after="0" w:line="1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w:t>
            </w:r>
          </w:p>
        </w:tc>
        <w:tc>
          <w:tcPr>
            <w:tcW w:w="1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88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Warrants</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460" w:type="dxa"/>
            <w:vAlign w:val="bottom"/>
            <w:vMerge w:val="continue"/>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remaining of</w:t>
            </w:r>
          </w:p>
        </w:tc>
        <w:tc>
          <w:tcPr>
            <w:tcW w:w="0" w:type="dxa"/>
            <w:vAlign w:val="bottom"/>
          </w:tcPr>
          <w:p>
            <w:pPr>
              <w:spacing w:after="0"/>
              <w:rPr>
                <w:sz w:val="1"/>
                <w:szCs w:val="1"/>
                <w:color w:val="auto"/>
              </w:rPr>
            </w:pPr>
          </w:p>
        </w:tc>
      </w:tr>
      <w:tr>
        <w:trPr>
          <w:trHeight w:val="159"/>
        </w:trPr>
        <w:tc>
          <w:tcPr>
            <w:tcW w:w="3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Date of Expiry</w:t>
            </w:r>
          </w:p>
        </w:tc>
        <w:tc>
          <w:tcPr>
            <w:tcW w:w="18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average of</w:t>
            </w:r>
          </w:p>
        </w:tc>
        <w:tc>
          <w:tcPr>
            <w:tcW w:w="140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199"/>
        </w:trPr>
        <w:tc>
          <w:tcPr>
            <w:tcW w:w="3480" w:type="dxa"/>
            <w:vAlign w:val="bottom"/>
            <w:vMerge w:val="continue"/>
          </w:tcPr>
          <w:p>
            <w:pPr>
              <w:spacing w:after="0"/>
              <w:rPr>
                <w:sz w:val="17"/>
                <w:szCs w:val="17"/>
                <w:color w:val="auto"/>
              </w:rPr>
            </w:pPr>
          </w:p>
        </w:tc>
        <w:tc>
          <w:tcPr>
            <w:tcW w:w="1880" w:type="dxa"/>
            <w:vAlign w:val="bottom"/>
          </w:tcPr>
          <w:p>
            <w:pPr>
              <w:jc w:val="right"/>
              <w:ind w:right="178"/>
              <w:spacing w:after="0"/>
              <w:rPr>
                <w:sz w:val="20"/>
                <w:szCs w:val="20"/>
                <w:color w:val="auto"/>
              </w:rPr>
            </w:pPr>
            <w:r>
              <w:rPr>
                <w:rFonts w:ascii="Arial" w:cs="Arial" w:eastAsia="Arial" w:hAnsi="Arial"/>
                <w:sz w:val="16"/>
                <w:szCs w:val="16"/>
                <w:b w:val="1"/>
                <w:bCs w:val="1"/>
                <w:color w:val="auto"/>
              </w:rPr>
              <w:t>outstanding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exercisable price</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8"/>
        </w:trPr>
        <w:tc>
          <w:tcPr>
            <w:tcW w:w="34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80" w:type="dxa"/>
            <w:vAlign w:val="bottom"/>
          </w:tcPr>
          <w:p>
            <w:pPr>
              <w:spacing w:after="0"/>
              <w:rPr>
                <w:sz w:val="20"/>
                <w:szCs w:val="20"/>
                <w:color w:val="auto"/>
              </w:rPr>
            </w:pPr>
            <w:r>
              <w:rPr>
                <w:rFonts w:ascii="Arial" w:cs="Arial" w:eastAsia="Arial" w:hAnsi="Arial"/>
                <w:sz w:val="16"/>
                <w:szCs w:val="16"/>
                <w:color w:val="auto"/>
              </w:rPr>
              <w:t>October 19, 2022</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113,713</w:t>
            </w:r>
          </w:p>
        </w:tc>
        <w:tc>
          <w:tcPr>
            <w:tcW w:w="1220" w:type="dxa"/>
            <w:vAlign w:val="bottom"/>
          </w:tcPr>
          <w:p>
            <w:pPr>
              <w:jc w:val="right"/>
              <w:spacing w:after="0"/>
              <w:rPr>
                <w:sz w:val="20"/>
                <w:szCs w:val="20"/>
                <w:color w:val="auto"/>
              </w:rPr>
            </w:pPr>
            <w:r>
              <w:rPr>
                <w:rFonts w:ascii="Arial" w:cs="Arial" w:eastAsia="Arial" w:hAnsi="Arial"/>
                <w:sz w:val="16"/>
                <w:szCs w:val="16"/>
                <w:color w:val="auto"/>
              </w:rPr>
              <w:t>113,713</w:t>
            </w:r>
          </w:p>
        </w:tc>
        <w:tc>
          <w:tcPr>
            <w:tcW w:w="1460" w:type="dxa"/>
            <w:vAlign w:val="bottom"/>
          </w:tcPr>
          <w:p>
            <w:pPr>
              <w:jc w:val="right"/>
              <w:spacing w:after="0"/>
              <w:rPr>
                <w:sz w:val="20"/>
                <w:szCs w:val="20"/>
                <w:color w:val="auto"/>
              </w:rPr>
            </w:pPr>
            <w:r>
              <w:rPr>
                <w:rFonts w:ascii="Arial" w:cs="Arial" w:eastAsia="Arial" w:hAnsi="Arial"/>
                <w:sz w:val="16"/>
                <w:szCs w:val="16"/>
                <w:color w:val="auto"/>
              </w:rPr>
              <w:t>0.75</w:t>
            </w: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1520" w:type="dxa"/>
            <w:vAlign w:val="bottom"/>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November 3, 2022</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1,105,000</w:t>
            </w:r>
          </w:p>
        </w:tc>
        <w:tc>
          <w:tcPr>
            <w:tcW w:w="1220" w:type="dxa"/>
            <w:vAlign w:val="bottom"/>
          </w:tcPr>
          <w:p>
            <w:pPr>
              <w:jc w:val="right"/>
              <w:spacing w:after="0"/>
              <w:rPr>
                <w:sz w:val="20"/>
                <w:szCs w:val="20"/>
                <w:color w:val="auto"/>
              </w:rPr>
            </w:pPr>
            <w:r>
              <w:rPr>
                <w:rFonts w:ascii="Arial" w:cs="Arial" w:eastAsia="Arial" w:hAnsi="Arial"/>
                <w:sz w:val="16"/>
                <w:szCs w:val="16"/>
                <w:color w:val="auto"/>
              </w:rPr>
              <w:t>1,105,000</w:t>
            </w:r>
          </w:p>
        </w:tc>
        <w:tc>
          <w:tcPr>
            <w:tcW w:w="1460" w:type="dxa"/>
            <w:vAlign w:val="bottom"/>
          </w:tcPr>
          <w:p>
            <w:pPr>
              <w:jc w:val="right"/>
              <w:spacing w:after="0"/>
              <w:rPr>
                <w:sz w:val="20"/>
                <w:szCs w:val="20"/>
                <w:color w:val="auto"/>
              </w:rPr>
            </w:pPr>
            <w:r>
              <w:rPr>
                <w:rFonts w:ascii="Arial" w:cs="Arial" w:eastAsia="Arial" w:hAnsi="Arial"/>
                <w:sz w:val="16"/>
                <w:szCs w:val="16"/>
                <w:color w:val="auto"/>
              </w:rPr>
              <w:t>0.75</w:t>
            </w:r>
          </w:p>
        </w:tc>
        <w:tc>
          <w:tcPr>
            <w:tcW w:w="1400" w:type="dxa"/>
            <w:vAlign w:val="bottom"/>
          </w:tcPr>
          <w:p>
            <w:pPr>
              <w:jc w:val="right"/>
              <w:spacing w:after="0"/>
              <w:rPr>
                <w:sz w:val="20"/>
                <w:szCs w:val="20"/>
                <w:color w:val="auto"/>
              </w:rPr>
            </w:pPr>
            <w:r>
              <w:rPr>
                <w:rFonts w:ascii="Arial" w:cs="Arial" w:eastAsia="Arial" w:hAnsi="Arial"/>
                <w:sz w:val="16"/>
                <w:szCs w:val="16"/>
                <w:color w:val="auto"/>
              </w:rPr>
              <w:t>376</w:t>
            </w:r>
          </w:p>
        </w:tc>
        <w:tc>
          <w:tcPr>
            <w:tcW w:w="152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August 3, 2023</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658,860</w:t>
            </w:r>
          </w:p>
        </w:tc>
        <w:tc>
          <w:tcPr>
            <w:tcW w:w="1220" w:type="dxa"/>
            <w:vAlign w:val="bottom"/>
          </w:tcPr>
          <w:p>
            <w:pPr>
              <w:jc w:val="right"/>
              <w:spacing w:after="0"/>
              <w:rPr>
                <w:sz w:val="20"/>
                <w:szCs w:val="20"/>
                <w:color w:val="auto"/>
              </w:rPr>
            </w:pPr>
            <w:r>
              <w:rPr>
                <w:rFonts w:ascii="Arial" w:cs="Arial" w:eastAsia="Arial" w:hAnsi="Arial"/>
                <w:sz w:val="16"/>
                <w:szCs w:val="16"/>
                <w:color w:val="auto"/>
              </w:rPr>
              <w:t>658,860</w:t>
            </w:r>
          </w:p>
        </w:tc>
        <w:tc>
          <w:tcPr>
            <w:tcW w:w="1460" w:type="dxa"/>
            <w:vAlign w:val="bottom"/>
          </w:tcPr>
          <w:p>
            <w:pPr>
              <w:jc w:val="right"/>
              <w:spacing w:after="0"/>
              <w:rPr>
                <w:sz w:val="20"/>
                <w:szCs w:val="20"/>
                <w:color w:val="auto"/>
              </w:rPr>
            </w:pPr>
            <w:r>
              <w:rPr>
                <w:rFonts w:ascii="Arial" w:cs="Arial" w:eastAsia="Arial" w:hAnsi="Arial"/>
                <w:sz w:val="16"/>
                <w:szCs w:val="16"/>
                <w:color w:val="auto"/>
              </w:rPr>
              <w:t>3.40</w:t>
            </w:r>
          </w:p>
        </w:tc>
        <w:tc>
          <w:tcPr>
            <w:tcW w:w="1400" w:type="dxa"/>
            <w:vAlign w:val="bottom"/>
          </w:tcPr>
          <w:p>
            <w:pPr>
              <w:jc w:val="right"/>
              <w:spacing w:after="0"/>
              <w:rPr>
                <w:sz w:val="20"/>
                <w:szCs w:val="20"/>
                <w:color w:val="auto"/>
              </w:rPr>
            </w:pPr>
            <w:r>
              <w:rPr>
                <w:rFonts w:ascii="Arial" w:cs="Arial" w:eastAsia="Arial" w:hAnsi="Arial"/>
                <w:sz w:val="16"/>
                <w:szCs w:val="16"/>
                <w:color w:val="auto"/>
              </w:rPr>
              <w:t>1,229</w:t>
            </w:r>
          </w:p>
        </w:tc>
        <w:tc>
          <w:tcPr>
            <w:tcW w:w="15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February 1, 2024</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7,146,500</w:t>
            </w:r>
          </w:p>
        </w:tc>
        <w:tc>
          <w:tcPr>
            <w:tcW w:w="1220" w:type="dxa"/>
            <w:vAlign w:val="bottom"/>
          </w:tcPr>
          <w:p>
            <w:pPr>
              <w:jc w:val="right"/>
              <w:spacing w:after="0"/>
              <w:rPr>
                <w:sz w:val="20"/>
                <w:szCs w:val="20"/>
                <w:color w:val="auto"/>
              </w:rPr>
            </w:pPr>
            <w:r>
              <w:rPr>
                <w:rFonts w:ascii="Arial" w:cs="Arial" w:eastAsia="Arial" w:hAnsi="Arial"/>
                <w:sz w:val="16"/>
                <w:szCs w:val="16"/>
                <w:color w:val="auto"/>
              </w:rPr>
              <w:t>7,146,500</w:t>
            </w:r>
          </w:p>
        </w:tc>
        <w:tc>
          <w:tcPr>
            <w:tcW w:w="1460" w:type="dxa"/>
            <w:vAlign w:val="bottom"/>
          </w:tcPr>
          <w:p>
            <w:pPr>
              <w:jc w:val="right"/>
              <w:spacing w:after="0"/>
              <w:rPr>
                <w:sz w:val="20"/>
                <w:szCs w:val="20"/>
                <w:color w:val="auto"/>
              </w:rPr>
            </w:pPr>
            <w:r>
              <w:rPr>
                <w:rFonts w:ascii="Arial" w:cs="Arial" w:eastAsia="Arial" w:hAnsi="Arial"/>
                <w:sz w:val="16"/>
                <w:szCs w:val="16"/>
                <w:color w:val="auto"/>
              </w:rPr>
              <w:t>3.25</w:t>
            </w:r>
          </w:p>
        </w:tc>
        <w:tc>
          <w:tcPr>
            <w:tcW w:w="1400" w:type="dxa"/>
            <w:vAlign w:val="bottom"/>
          </w:tcPr>
          <w:p>
            <w:pPr>
              <w:jc w:val="right"/>
              <w:spacing w:after="0"/>
              <w:rPr>
                <w:sz w:val="20"/>
                <w:szCs w:val="20"/>
                <w:color w:val="auto"/>
              </w:rPr>
            </w:pPr>
            <w:r>
              <w:rPr>
                <w:rFonts w:ascii="Arial" w:cs="Arial" w:eastAsia="Arial" w:hAnsi="Arial"/>
                <w:sz w:val="16"/>
                <w:szCs w:val="16"/>
                <w:color w:val="auto"/>
              </w:rPr>
              <w:t>5,454</w:t>
            </w:r>
          </w:p>
        </w:tc>
        <w:tc>
          <w:tcPr>
            <w:tcW w:w="15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June 15, 2025</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12,800,000</w:t>
            </w:r>
          </w:p>
        </w:tc>
        <w:tc>
          <w:tcPr>
            <w:tcW w:w="1220" w:type="dxa"/>
            <w:vAlign w:val="bottom"/>
          </w:tcPr>
          <w:p>
            <w:pPr>
              <w:jc w:val="right"/>
              <w:spacing w:after="0"/>
              <w:rPr>
                <w:sz w:val="20"/>
                <w:szCs w:val="20"/>
                <w:color w:val="auto"/>
              </w:rPr>
            </w:pPr>
            <w:r>
              <w:rPr>
                <w:rFonts w:ascii="Arial" w:cs="Arial" w:eastAsia="Arial" w:hAnsi="Arial"/>
                <w:sz w:val="16"/>
                <w:szCs w:val="16"/>
                <w:color w:val="auto"/>
              </w:rPr>
              <w:t>12,600,000</w:t>
            </w:r>
          </w:p>
        </w:tc>
        <w:tc>
          <w:tcPr>
            <w:tcW w:w="1460" w:type="dxa"/>
            <w:vAlign w:val="bottom"/>
          </w:tcPr>
          <w:p>
            <w:pPr>
              <w:jc w:val="right"/>
              <w:spacing w:after="0"/>
              <w:rPr>
                <w:sz w:val="20"/>
                <w:szCs w:val="20"/>
                <w:color w:val="auto"/>
              </w:rPr>
            </w:pPr>
            <w:r>
              <w:rPr>
                <w:rFonts w:ascii="Arial" w:cs="Arial" w:eastAsia="Arial" w:hAnsi="Arial"/>
                <w:sz w:val="16"/>
                <w:szCs w:val="16"/>
                <w:color w:val="auto"/>
              </w:rPr>
              <w:t>0.25</w:t>
            </w:r>
          </w:p>
        </w:tc>
        <w:tc>
          <w:tcPr>
            <w:tcW w:w="1400" w:type="dxa"/>
            <w:vAlign w:val="bottom"/>
          </w:tcPr>
          <w:p>
            <w:pPr>
              <w:jc w:val="right"/>
              <w:spacing w:after="0"/>
              <w:rPr>
                <w:sz w:val="20"/>
                <w:szCs w:val="20"/>
                <w:color w:val="auto"/>
              </w:rPr>
            </w:pPr>
            <w:r>
              <w:rPr>
                <w:rFonts w:ascii="Arial" w:cs="Arial" w:eastAsia="Arial" w:hAnsi="Arial"/>
                <w:sz w:val="16"/>
                <w:szCs w:val="16"/>
                <w:color w:val="auto"/>
              </w:rPr>
              <w:t>2,318</w:t>
            </w:r>
          </w:p>
        </w:tc>
        <w:tc>
          <w:tcPr>
            <w:tcW w:w="152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August 20, 2025</w:t>
            </w:r>
          </w:p>
        </w:tc>
        <w:tc>
          <w:tcPr>
            <w:tcW w:w="1880" w:type="dxa"/>
            <w:vAlign w:val="bottom"/>
          </w:tcPr>
          <w:p>
            <w:pPr>
              <w:jc w:val="right"/>
              <w:ind w:right="178"/>
              <w:spacing w:after="0"/>
              <w:rPr>
                <w:sz w:val="20"/>
                <w:szCs w:val="20"/>
                <w:color w:val="auto"/>
              </w:rPr>
            </w:pPr>
            <w:r>
              <w:rPr>
                <w:rFonts w:ascii="Arial" w:cs="Arial" w:eastAsia="Arial" w:hAnsi="Arial"/>
                <w:sz w:val="16"/>
                <w:szCs w:val="16"/>
                <w:color w:val="auto"/>
              </w:rPr>
              <w:t>1,475,125</w:t>
            </w:r>
          </w:p>
        </w:tc>
        <w:tc>
          <w:tcPr>
            <w:tcW w:w="1220" w:type="dxa"/>
            <w:vAlign w:val="bottom"/>
          </w:tcPr>
          <w:p>
            <w:pPr>
              <w:jc w:val="right"/>
              <w:spacing w:after="0"/>
              <w:rPr>
                <w:sz w:val="20"/>
                <w:szCs w:val="20"/>
                <w:color w:val="auto"/>
              </w:rPr>
            </w:pPr>
            <w:r>
              <w:rPr>
                <w:rFonts w:ascii="Arial" w:cs="Arial" w:eastAsia="Arial" w:hAnsi="Arial"/>
                <w:sz w:val="16"/>
                <w:szCs w:val="16"/>
                <w:color w:val="auto"/>
              </w:rPr>
              <w:t>1,475,125</w:t>
            </w:r>
          </w:p>
        </w:tc>
        <w:tc>
          <w:tcPr>
            <w:tcW w:w="1460" w:type="dxa"/>
            <w:vAlign w:val="bottom"/>
          </w:tcPr>
          <w:p>
            <w:pPr>
              <w:jc w:val="right"/>
              <w:spacing w:after="0"/>
              <w:rPr>
                <w:sz w:val="20"/>
                <w:szCs w:val="20"/>
                <w:color w:val="auto"/>
              </w:rPr>
            </w:pPr>
            <w:r>
              <w:rPr>
                <w:rFonts w:ascii="Arial" w:cs="Arial" w:eastAsia="Arial" w:hAnsi="Arial"/>
                <w:sz w:val="16"/>
                <w:szCs w:val="16"/>
                <w:color w:val="auto"/>
              </w:rPr>
              <w:t>0.64</w:t>
            </w:r>
          </w:p>
        </w:tc>
        <w:tc>
          <w:tcPr>
            <w:tcW w:w="1400" w:type="dxa"/>
            <w:vAlign w:val="bottom"/>
          </w:tcPr>
          <w:p>
            <w:pPr>
              <w:jc w:val="right"/>
              <w:spacing w:after="0"/>
              <w:rPr>
                <w:sz w:val="20"/>
                <w:szCs w:val="20"/>
                <w:color w:val="auto"/>
              </w:rPr>
            </w:pPr>
            <w:r>
              <w:rPr>
                <w:rFonts w:ascii="Arial" w:cs="Arial" w:eastAsia="Arial" w:hAnsi="Arial"/>
                <w:sz w:val="16"/>
                <w:szCs w:val="16"/>
                <w:color w:val="auto"/>
              </w:rPr>
              <w:t>682</w:t>
            </w:r>
          </w:p>
        </w:tc>
        <w:tc>
          <w:tcPr>
            <w:tcW w:w="152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8"/>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November 15, 2025</w:t>
            </w:r>
          </w:p>
        </w:tc>
        <w:tc>
          <w:tcPr>
            <w:tcW w:w="1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1,150,000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1,150,000</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1"/>
        </w:trPr>
        <w:tc>
          <w:tcPr>
            <w:tcW w:w="3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24,449,198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24,249,198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13 of 24</w:t>
      </w:r>
    </w:p>
    <w:p>
      <w:pPr>
        <w:sectPr>
          <w:pgSz w:w="11900" w:h="16838" w:orient="portrait"/>
          <w:cols w:equalWidth="0" w:num="1">
            <w:col w:w="11200"/>
          </w:cols>
          <w:pgMar w:left="380" w:top="171" w:right="31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Weighted</w:t>
            </w:r>
          </w:p>
        </w:tc>
        <w:tc>
          <w:tcPr>
            <w:tcW w:w="1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234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Warrants</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500" w:type="dxa"/>
            <w:vAlign w:val="bottom"/>
            <w:vMerge w:val="continue"/>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remaining of</w:t>
            </w:r>
          </w:p>
        </w:tc>
        <w:tc>
          <w:tcPr>
            <w:tcW w:w="0" w:type="dxa"/>
            <w:vAlign w:val="bottom"/>
          </w:tcPr>
          <w:p>
            <w:pPr>
              <w:spacing w:after="0"/>
              <w:rPr>
                <w:sz w:val="1"/>
                <w:szCs w:val="1"/>
                <w:color w:val="auto"/>
              </w:rPr>
            </w:pPr>
          </w:p>
        </w:tc>
      </w:tr>
      <w:tr>
        <w:trPr>
          <w:trHeight w:val="159"/>
        </w:trPr>
        <w:tc>
          <w:tcPr>
            <w:tcW w:w="3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Date of Expiry</w:t>
            </w:r>
          </w:p>
        </w:tc>
        <w:tc>
          <w:tcPr>
            <w:tcW w:w="2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00" w:type="dxa"/>
            <w:vAlign w:val="bottom"/>
          </w:tcPr>
          <w:p>
            <w:pPr>
              <w:jc w:val="right"/>
              <w:ind w:right="18"/>
              <w:spacing w:after="0" w:line="159" w:lineRule="exact"/>
              <w:rPr>
                <w:sz w:val="20"/>
                <w:szCs w:val="20"/>
                <w:color w:val="auto"/>
              </w:rPr>
            </w:pPr>
            <w:r>
              <w:rPr>
                <w:rFonts w:ascii="Arial" w:cs="Arial" w:eastAsia="Arial" w:hAnsi="Arial"/>
                <w:sz w:val="16"/>
                <w:szCs w:val="16"/>
                <w:b w:val="1"/>
                <w:bCs w:val="1"/>
                <w:color w:val="auto"/>
              </w:rPr>
              <w:t>average of</w:t>
            </w:r>
          </w:p>
        </w:tc>
        <w:tc>
          <w:tcPr>
            <w:tcW w:w="136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199"/>
        </w:trPr>
        <w:tc>
          <w:tcPr>
            <w:tcW w:w="3020" w:type="dxa"/>
            <w:vAlign w:val="bottom"/>
            <w:vMerge w:val="continue"/>
          </w:tcPr>
          <w:p>
            <w:pPr>
              <w:spacing w:after="0"/>
              <w:rPr>
                <w:sz w:val="17"/>
                <w:szCs w:val="17"/>
                <w:color w:val="auto"/>
              </w:rPr>
            </w:pPr>
          </w:p>
        </w:tc>
        <w:tc>
          <w:tcPr>
            <w:tcW w:w="2340" w:type="dxa"/>
            <w:vAlign w:val="bottom"/>
          </w:tcPr>
          <w:p>
            <w:pPr>
              <w:jc w:val="right"/>
              <w:ind w:right="178"/>
              <w:spacing w:after="0"/>
              <w:rPr>
                <w:sz w:val="20"/>
                <w:szCs w:val="20"/>
                <w:color w:val="auto"/>
              </w:rPr>
            </w:pPr>
            <w:r>
              <w:rPr>
                <w:rFonts w:ascii="Arial" w:cs="Arial" w:eastAsia="Arial" w:hAnsi="Arial"/>
                <w:sz w:val="16"/>
                <w:szCs w:val="16"/>
                <w:b w:val="1"/>
                <w:bCs w:val="1"/>
                <w:color w:val="auto"/>
              </w:rPr>
              <w:t>outstanding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500" w:type="dxa"/>
            <w:vAlign w:val="bottom"/>
          </w:tcPr>
          <w:p>
            <w:pPr>
              <w:jc w:val="right"/>
              <w:ind w:right="18"/>
              <w:spacing w:after="0"/>
              <w:rPr>
                <w:sz w:val="20"/>
                <w:szCs w:val="20"/>
                <w:color w:val="auto"/>
              </w:rPr>
            </w:pPr>
            <w:r>
              <w:rPr>
                <w:rFonts w:ascii="Arial" w:cs="Arial" w:eastAsia="Arial" w:hAnsi="Arial"/>
                <w:sz w:val="16"/>
                <w:szCs w:val="16"/>
                <w:b w:val="1"/>
                <w:bCs w:val="1"/>
                <w:color w:val="auto"/>
              </w:rPr>
              <w:t>exercisable price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530"/>
        </w:trPr>
        <w:tc>
          <w:tcPr>
            <w:tcW w:w="30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February 4, 2024</w:t>
            </w:r>
          </w:p>
        </w:tc>
        <w:tc>
          <w:tcPr>
            <w:tcW w:w="23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1"/>
        </w:trPr>
        <w:tc>
          <w:tcPr>
            <w:tcW w:w="3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Company recognized share-based payments compensation related to the issuance of Common Share purchase warrants for the three-month period ended June 30, 2022 of $4.</w:t>
      </w:r>
    </w:p>
    <w:p>
      <w:pPr>
        <w:spacing w:after="0" w:line="129" w:lineRule="exact"/>
        <w:rPr>
          <w:sz w:val="20"/>
          <w:szCs w:val="20"/>
          <w:color w:val="auto"/>
        </w:rPr>
      </w:pPr>
    </w:p>
    <w:p>
      <w:pPr>
        <w:ind w:left="540" w:hanging="309"/>
        <w:spacing w:after="0"/>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options</w:t>
      </w:r>
    </w:p>
    <w:p>
      <w:pPr>
        <w:spacing w:after="0" w:line="191" w:lineRule="exact"/>
        <w:rPr>
          <w:sz w:val="20"/>
          <w:szCs w:val="20"/>
          <w:color w:val="auto"/>
        </w:rPr>
      </w:pPr>
    </w:p>
    <w:p>
      <w:pPr>
        <w:jc w:val="both"/>
        <w:ind w:left="240" w:right="20"/>
        <w:spacing w:after="0" w:line="259" w:lineRule="auto"/>
        <w:rPr>
          <w:sz w:val="20"/>
          <w:szCs w:val="20"/>
          <w:color w:val="auto"/>
        </w:rPr>
      </w:pPr>
      <w:r>
        <w:rPr>
          <w:rFonts w:ascii="Arial" w:cs="Arial" w:eastAsia="Arial" w:hAnsi="Arial"/>
          <w:sz w:val="16"/>
          <w:szCs w:val="16"/>
          <w:color w:val="auto"/>
        </w:rPr>
        <w:t>On November 5, 2020, Cybin adopted a new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plan) and certain other housekeeping amendments.</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The changes in options for the three-month period ended June 30, 2022 are as follows:</w:t>
            </w:r>
          </w:p>
        </w:tc>
        <w:tc>
          <w:tcPr>
            <w:tcW w:w="2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6680" w:type="dxa"/>
            <w:vAlign w:val="bottom"/>
          </w:tcPr>
          <w:p>
            <w:pPr>
              <w:spacing w:after="0"/>
              <w:rPr>
                <w:sz w:val="24"/>
                <w:szCs w:val="24"/>
                <w:color w:val="auto"/>
              </w:rPr>
            </w:pPr>
          </w:p>
        </w:tc>
        <w:tc>
          <w:tcPr>
            <w:tcW w:w="214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Number of Options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8"/>
        </w:trPr>
        <w:tc>
          <w:tcPr>
            <w:tcW w:w="66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668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2140" w:type="dxa"/>
            <w:vAlign w:val="bottom"/>
          </w:tcPr>
          <w:p>
            <w:pPr>
              <w:jc w:val="right"/>
              <w:ind w:right="178"/>
              <w:spacing w:after="0"/>
              <w:rPr>
                <w:sz w:val="20"/>
                <w:szCs w:val="20"/>
                <w:color w:val="auto"/>
              </w:rPr>
            </w:pPr>
            <w:r>
              <w:rPr>
                <w:rFonts w:ascii="Arial" w:cs="Arial" w:eastAsia="Arial" w:hAnsi="Arial"/>
                <w:sz w:val="16"/>
                <w:szCs w:val="16"/>
                <w:color w:val="auto"/>
              </w:rPr>
              <w:t>28,885,002</w:t>
            </w:r>
          </w:p>
        </w:tc>
        <w:tc>
          <w:tcPr>
            <w:tcW w:w="16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8"/>
        </w:trPr>
        <w:tc>
          <w:tcPr>
            <w:tcW w:w="6680" w:type="dxa"/>
            <w:vAlign w:val="bottom"/>
          </w:tcPr>
          <w:p>
            <w:pPr>
              <w:ind w:left="60"/>
              <w:spacing w:after="0"/>
              <w:rPr>
                <w:sz w:val="20"/>
                <w:szCs w:val="20"/>
                <w:color w:val="auto"/>
              </w:rPr>
            </w:pPr>
            <w:r>
              <w:rPr>
                <w:rFonts w:ascii="Arial" w:cs="Arial" w:eastAsia="Arial" w:hAnsi="Arial"/>
                <w:sz w:val="16"/>
                <w:szCs w:val="16"/>
                <w:color w:val="auto"/>
              </w:rPr>
              <w:t>Granted</w:t>
            </w:r>
          </w:p>
        </w:tc>
        <w:tc>
          <w:tcPr>
            <w:tcW w:w="2140" w:type="dxa"/>
            <w:vAlign w:val="bottom"/>
          </w:tcPr>
          <w:p>
            <w:pPr>
              <w:jc w:val="right"/>
              <w:ind w:right="178"/>
              <w:spacing w:after="0"/>
              <w:rPr>
                <w:sz w:val="20"/>
                <w:szCs w:val="20"/>
                <w:color w:val="auto"/>
              </w:rPr>
            </w:pPr>
            <w:r>
              <w:rPr>
                <w:rFonts w:ascii="Arial" w:cs="Arial" w:eastAsia="Arial" w:hAnsi="Arial"/>
                <w:sz w:val="16"/>
                <w:szCs w:val="16"/>
                <w:color w:val="auto"/>
              </w:rPr>
              <w:t>565,000</w:t>
            </w:r>
          </w:p>
        </w:tc>
        <w:tc>
          <w:tcPr>
            <w:tcW w:w="1680" w:type="dxa"/>
            <w:vAlign w:val="bottom"/>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8"/>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Forfeited</w:t>
            </w:r>
          </w:p>
        </w:tc>
        <w:tc>
          <w:tcPr>
            <w:tcW w:w="21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(85,000)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1"/>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June 30, 2022</w:t>
            </w:r>
          </w:p>
        </w:tc>
        <w:tc>
          <w:tcPr>
            <w:tcW w:w="21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29,365,002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June 30, 2022</w:t>
            </w:r>
          </w:p>
        </w:tc>
        <w:tc>
          <w:tcPr>
            <w:tcW w:w="21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22,756,383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14 of 24</w:t>
      </w:r>
    </w:p>
    <w:p>
      <w:pPr>
        <w:sectPr>
          <w:pgSz w:w="11900" w:h="16838" w:orient="portrait"/>
          <w:cols w:equalWidth="0" w:num="1">
            <w:col w:w="11200"/>
          </w:cols>
          <w:pgMar w:left="380" w:top="171" w:right="3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During the three-month period ended June 30, 2022, the Company completed the following option issuances:</w:t>
      </w:r>
    </w:p>
    <w:p>
      <w:pPr>
        <w:spacing w:after="0" w:line="252"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June 30, 2022, the Company granted options to purchase up to: 45,000 Common Shares to employees, and 20,000 Common Shares to consultants, with an exercise price of $1.00 per Common Share and vesting over two years. The options will expire on June 30, 2027. The aggregate estimated grant date fair value was determined to be $32, calculated using the Black-Scholes option pricing model with the following assumptions:</w:t>
      </w:r>
    </w:p>
    <w:p>
      <w:pPr>
        <w:spacing w:after="0" w:line="200" w:lineRule="exact"/>
        <w:rPr>
          <w:sz w:val="20"/>
          <w:szCs w:val="20"/>
          <w:color w:val="auto"/>
        </w:rPr>
      </w:pP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bl>
    <w:p>
      <w:pPr>
        <w:spacing w:after="0" w:line="293"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June 30, 2022, the Company granted options to purchase up to 500,000 Common Shares to consultants, with an exercise price of $0.90 per Common Share. The options vested immediately and will expire on June 30, 2025. The estimated grant date fair value was determined to be $183,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r>
    </w:tbl>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stock options outstanding on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15 of 24</w:t>
      </w:r>
    </w:p>
    <w:p>
      <w:pPr>
        <w:sectPr>
          <w:pgSz w:w="11900" w:h="16838" w:orient="portrait"/>
          <w:cols w:equalWidth="0" w:num="1">
            <w:col w:w="11180"/>
          </w:cols>
          <w:pgMar w:left="380" w:top="17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190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Exercise Price</w:t>
            </w:r>
          </w:p>
        </w:tc>
        <w:tc>
          <w:tcPr>
            <w:tcW w:w="17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4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estimated grant date</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outstanding</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remaining life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Expiry date</w:t>
            </w:r>
          </w:p>
        </w:tc>
        <w:tc>
          <w:tcPr>
            <w:tcW w:w="19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2140" w:type="dxa"/>
            <w:vAlign w:val="bottom"/>
          </w:tcPr>
          <w:p>
            <w:pPr>
              <w:spacing w:after="0"/>
              <w:rPr>
                <w:sz w:val="20"/>
                <w:szCs w:val="20"/>
                <w:color w:val="auto"/>
              </w:rPr>
            </w:pPr>
            <w:r>
              <w:rPr>
                <w:rFonts w:ascii="Arial" w:cs="Arial" w:eastAsia="Arial" w:hAnsi="Arial"/>
                <w:sz w:val="16"/>
                <w:szCs w:val="16"/>
                <w:color w:val="auto"/>
              </w:rPr>
              <w:t>July 7,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10,000</w:t>
            </w:r>
          </w:p>
        </w:tc>
        <w:tc>
          <w:tcPr>
            <w:tcW w:w="1660" w:type="dxa"/>
            <w:vAlign w:val="bottom"/>
          </w:tcPr>
          <w:p>
            <w:pPr>
              <w:jc w:val="right"/>
              <w:spacing w:after="0"/>
              <w:rPr>
                <w:sz w:val="20"/>
                <w:szCs w:val="20"/>
                <w:color w:val="auto"/>
              </w:rPr>
            </w:pPr>
            <w:r>
              <w:rPr>
                <w:rFonts w:ascii="Arial" w:cs="Arial" w:eastAsia="Arial" w:hAnsi="Arial"/>
                <w:sz w:val="16"/>
                <w:szCs w:val="16"/>
                <w:color w:val="auto"/>
              </w:rPr>
              <w:t>0.02</w:t>
            </w:r>
          </w:p>
        </w:tc>
        <w:tc>
          <w:tcPr>
            <w:tcW w:w="17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July 30,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9,000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9,000</w:t>
            </w:r>
          </w:p>
        </w:tc>
        <w:tc>
          <w:tcPr>
            <w:tcW w:w="1660" w:type="dxa"/>
            <w:vAlign w:val="bottom"/>
          </w:tcPr>
          <w:p>
            <w:pPr>
              <w:jc w:val="right"/>
              <w:spacing w:after="0"/>
              <w:rPr>
                <w:sz w:val="20"/>
                <w:szCs w:val="20"/>
                <w:color w:val="auto"/>
              </w:rPr>
            </w:pPr>
            <w:r>
              <w:rPr>
                <w:rFonts w:ascii="Arial" w:cs="Arial" w:eastAsia="Arial" w:hAnsi="Arial"/>
                <w:sz w:val="16"/>
                <w:szCs w:val="16"/>
                <w:color w:val="auto"/>
              </w:rPr>
              <w:t>0.08</w:t>
            </w:r>
          </w:p>
        </w:tc>
        <w:tc>
          <w:tcPr>
            <w:tcW w:w="1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14,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w:t>
            </w:r>
          </w:p>
        </w:tc>
        <w:tc>
          <w:tcPr>
            <w:tcW w:w="1660" w:type="dxa"/>
            <w:vAlign w:val="bottom"/>
          </w:tcPr>
          <w:p>
            <w:pPr>
              <w:jc w:val="right"/>
              <w:spacing w:after="0"/>
              <w:rPr>
                <w:sz w:val="20"/>
                <w:szCs w:val="20"/>
                <w:color w:val="auto"/>
              </w:rPr>
            </w:pPr>
            <w:r>
              <w:rPr>
                <w:rFonts w:ascii="Arial" w:cs="Arial" w:eastAsia="Arial" w:hAnsi="Arial"/>
                <w:sz w:val="16"/>
                <w:szCs w:val="16"/>
                <w:color w:val="auto"/>
              </w:rPr>
              <w:t>0.21</w:t>
            </w: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12,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660" w:type="dxa"/>
            <w:vAlign w:val="bottom"/>
          </w:tcPr>
          <w:p>
            <w:pPr>
              <w:jc w:val="right"/>
              <w:spacing w:after="0"/>
              <w:rPr>
                <w:sz w:val="20"/>
                <w:szCs w:val="20"/>
                <w:color w:val="auto"/>
              </w:rPr>
            </w:pPr>
            <w:r>
              <w:rPr>
                <w:rFonts w:ascii="Arial" w:cs="Arial" w:eastAsia="Arial" w:hAnsi="Arial"/>
                <w:sz w:val="16"/>
                <w:szCs w:val="16"/>
                <w:color w:val="auto"/>
              </w:rPr>
              <w:t>0.12</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November 27,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0.91</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660" w:type="dxa"/>
            <w:vAlign w:val="bottom"/>
          </w:tcPr>
          <w:p>
            <w:pPr>
              <w:jc w:val="right"/>
              <w:spacing w:after="0"/>
              <w:rPr>
                <w:sz w:val="20"/>
                <w:szCs w:val="20"/>
                <w:color w:val="auto"/>
              </w:rPr>
            </w:pPr>
            <w:r>
              <w:rPr>
                <w:rFonts w:ascii="Arial" w:cs="Arial" w:eastAsia="Arial" w:hAnsi="Arial"/>
                <w:sz w:val="16"/>
                <w:szCs w:val="16"/>
                <w:color w:val="auto"/>
              </w:rPr>
              <w:t>0.41</w:t>
            </w: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11,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0.67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660" w:type="dxa"/>
            <w:vAlign w:val="bottom"/>
          </w:tcPr>
          <w:p>
            <w:pPr>
              <w:jc w:val="right"/>
              <w:spacing w:after="0"/>
              <w:rPr>
                <w:sz w:val="20"/>
                <w:szCs w:val="20"/>
                <w:color w:val="auto"/>
              </w:rPr>
            </w:pPr>
            <w:r>
              <w:rPr>
                <w:rFonts w:ascii="Arial" w:cs="Arial" w:eastAsia="Arial" w:hAnsi="Arial"/>
                <w:sz w:val="16"/>
                <w:szCs w:val="16"/>
                <w:color w:val="auto"/>
              </w:rPr>
              <w:t>0.45</w:t>
            </w: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31, 2022</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660" w:type="dxa"/>
            <w:vAlign w:val="bottom"/>
          </w:tcPr>
          <w:p>
            <w:pPr>
              <w:jc w:val="right"/>
              <w:spacing w:after="0"/>
              <w:rPr>
                <w:sz w:val="20"/>
                <w:szCs w:val="20"/>
                <w:color w:val="auto"/>
              </w:rPr>
            </w:pPr>
            <w:r>
              <w:rPr>
                <w:rFonts w:ascii="Arial" w:cs="Arial" w:eastAsia="Arial" w:hAnsi="Arial"/>
                <w:sz w:val="16"/>
                <w:szCs w:val="16"/>
                <w:color w:val="auto"/>
              </w:rPr>
              <w:t>0.50</w:t>
            </w:r>
          </w:p>
        </w:tc>
        <w:tc>
          <w:tcPr>
            <w:tcW w:w="1740" w:type="dxa"/>
            <w:vAlign w:val="bottom"/>
          </w:tcPr>
          <w:p>
            <w:pPr>
              <w:jc w:val="right"/>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30, 2023</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c>
          <w:tcPr>
            <w:tcW w:w="17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15,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0.25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2,350,000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2,350,000</w:t>
            </w:r>
          </w:p>
        </w:tc>
        <w:tc>
          <w:tcPr>
            <w:tcW w:w="1660" w:type="dxa"/>
            <w:vAlign w:val="bottom"/>
          </w:tcPr>
          <w:p>
            <w:pPr>
              <w:jc w:val="right"/>
              <w:spacing w:after="0"/>
              <w:rPr>
                <w:sz w:val="20"/>
                <w:szCs w:val="20"/>
                <w:color w:val="auto"/>
              </w:rPr>
            </w:pPr>
            <w:r>
              <w:rPr>
                <w:rFonts w:ascii="Arial" w:cs="Arial" w:eastAsia="Arial" w:hAnsi="Arial"/>
                <w:sz w:val="16"/>
                <w:szCs w:val="16"/>
                <w:color w:val="auto"/>
              </w:rPr>
              <w:t>2.96</w:t>
            </w:r>
          </w:p>
        </w:tc>
        <w:tc>
          <w:tcPr>
            <w:tcW w:w="174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30,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500,000</w:t>
            </w:r>
          </w:p>
        </w:tc>
        <w:tc>
          <w:tcPr>
            <w:tcW w:w="1660" w:type="dxa"/>
            <w:vAlign w:val="bottom"/>
          </w:tcPr>
          <w:p>
            <w:pPr>
              <w:jc w:val="right"/>
              <w:spacing w:after="0"/>
              <w:rPr>
                <w:sz w:val="20"/>
                <w:szCs w:val="20"/>
                <w:color w:val="auto"/>
              </w:rPr>
            </w:pPr>
            <w:r>
              <w:rPr>
                <w:rFonts w:ascii="Arial" w:cs="Arial" w:eastAsia="Arial" w:hAnsi="Arial"/>
                <w:sz w:val="16"/>
                <w:szCs w:val="16"/>
                <w:color w:val="auto"/>
              </w:rPr>
              <w:t>3.00</w:t>
            </w:r>
          </w:p>
        </w:tc>
        <w:tc>
          <w:tcPr>
            <w:tcW w:w="17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October 12,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2,625,000</w:t>
            </w:r>
          </w:p>
        </w:tc>
        <w:tc>
          <w:tcPr>
            <w:tcW w:w="1660" w:type="dxa"/>
            <w:vAlign w:val="bottom"/>
          </w:tcPr>
          <w:p>
            <w:pPr>
              <w:jc w:val="right"/>
              <w:spacing w:after="0"/>
              <w:rPr>
                <w:sz w:val="20"/>
                <w:szCs w:val="20"/>
                <w:color w:val="auto"/>
              </w:rPr>
            </w:pPr>
            <w:r>
              <w:rPr>
                <w:rFonts w:ascii="Arial" w:cs="Arial" w:eastAsia="Arial" w:hAnsi="Arial"/>
                <w:sz w:val="16"/>
                <w:szCs w:val="16"/>
                <w:color w:val="auto"/>
              </w:rPr>
              <w:t>3.29</w:t>
            </w:r>
          </w:p>
        </w:tc>
        <w:tc>
          <w:tcPr>
            <w:tcW w:w="174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November 4,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5,281,250</w:t>
            </w:r>
          </w:p>
        </w:tc>
        <w:tc>
          <w:tcPr>
            <w:tcW w:w="1660" w:type="dxa"/>
            <w:vAlign w:val="bottom"/>
          </w:tcPr>
          <w:p>
            <w:pPr>
              <w:jc w:val="right"/>
              <w:spacing w:after="0"/>
              <w:rPr>
                <w:sz w:val="20"/>
                <w:szCs w:val="20"/>
                <w:color w:val="auto"/>
              </w:rPr>
            </w:pPr>
            <w:r>
              <w:rPr>
                <w:rFonts w:ascii="Arial" w:cs="Arial" w:eastAsia="Arial" w:hAnsi="Arial"/>
                <w:sz w:val="16"/>
                <w:szCs w:val="16"/>
                <w:color w:val="auto"/>
              </w:rPr>
              <w:t>3.35</w:t>
            </w:r>
          </w:p>
        </w:tc>
        <w:tc>
          <w:tcPr>
            <w:tcW w:w="1740" w:type="dxa"/>
            <w:vAlign w:val="bottom"/>
          </w:tcPr>
          <w:p>
            <w:pPr>
              <w:jc w:val="right"/>
              <w:spacing w:after="0"/>
              <w:rPr>
                <w:sz w:val="20"/>
                <w:szCs w:val="20"/>
                <w:color w:val="auto"/>
              </w:rPr>
            </w:pPr>
            <w:r>
              <w:rPr>
                <w:rFonts w:ascii="Arial" w:cs="Arial" w:eastAsia="Arial" w:hAnsi="Arial"/>
                <w:sz w:val="16"/>
                <w:szCs w:val="16"/>
                <w:color w:val="auto"/>
              </w:rPr>
              <w:t>3,120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November 13,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0.88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437,500</w:t>
            </w:r>
          </w:p>
        </w:tc>
        <w:tc>
          <w:tcPr>
            <w:tcW w:w="1660" w:type="dxa"/>
            <w:vAlign w:val="bottom"/>
          </w:tcPr>
          <w:p>
            <w:pPr>
              <w:jc w:val="right"/>
              <w:spacing w:after="0"/>
              <w:rPr>
                <w:sz w:val="20"/>
                <w:szCs w:val="20"/>
                <w:color w:val="auto"/>
              </w:rPr>
            </w:pPr>
            <w:r>
              <w:rPr>
                <w:rFonts w:ascii="Arial" w:cs="Arial" w:eastAsia="Arial" w:hAnsi="Arial"/>
                <w:sz w:val="16"/>
                <w:szCs w:val="16"/>
                <w:color w:val="auto"/>
              </w:rPr>
              <w:t>3.38</w:t>
            </w:r>
          </w:p>
        </w:tc>
        <w:tc>
          <w:tcPr>
            <w:tcW w:w="174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11,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650,000</w:t>
            </w:r>
          </w:p>
        </w:tc>
        <w:tc>
          <w:tcPr>
            <w:tcW w:w="1660" w:type="dxa"/>
            <w:vAlign w:val="bottom"/>
          </w:tcPr>
          <w:p>
            <w:pPr>
              <w:jc w:val="right"/>
              <w:spacing w:after="0"/>
              <w:rPr>
                <w:sz w:val="20"/>
                <w:szCs w:val="20"/>
                <w:color w:val="auto"/>
              </w:rPr>
            </w:pPr>
            <w:r>
              <w:rPr>
                <w:rFonts w:ascii="Arial" w:cs="Arial" w:eastAsia="Arial" w:hAnsi="Arial"/>
                <w:sz w:val="16"/>
                <w:szCs w:val="16"/>
                <w:color w:val="auto"/>
              </w:rPr>
              <w:t>3.45</w:t>
            </w:r>
          </w:p>
        </w:tc>
        <w:tc>
          <w:tcPr>
            <w:tcW w:w="1740" w:type="dxa"/>
            <w:vAlign w:val="bottom"/>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14,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1.74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2,264,100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1,978,584</w:t>
            </w:r>
          </w:p>
        </w:tc>
        <w:tc>
          <w:tcPr>
            <w:tcW w:w="1660" w:type="dxa"/>
            <w:vAlign w:val="bottom"/>
          </w:tcPr>
          <w:p>
            <w:pPr>
              <w:jc w:val="right"/>
              <w:spacing w:after="0"/>
              <w:rPr>
                <w:sz w:val="20"/>
                <w:szCs w:val="20"/>
                <w:color w:val="auto"/>
              </w:rPr>
            </w:pPr>
            <w:r>
              <w:rPr>
                <w:rFonts w:ascii="Arial" w:cs="Arial" w:eastAsia="Arial" w:hAnsi="Arial"/>
                <w:sz w:val="16"/>
                <w:szCs w:val="16"/>
                <w:color w:val="auto"/>
              </w:rPr>
              <w:t>3.46</w:t>
            </w:r>
          </w:p>
        </w:tc>
        <w:tc>
          <w:tcPr>
            <w:tcW w:w="1740" w:type="dxa"/>
            <w:vAlign w:val="bottom"/>
          </w:tcPr>
          <w:p>
            <w:pPr>
              <w:jc w:val="right"/>
              <w:spacing w:after="0"/>
              <w:rPr>
                <w:sz w:val="20"/>
                <w:szCs w:val="20"/>
                <w:color w:val="auto"/>
              </w:rPr>
            </w:pPr>
            <w:r>
              <w:rPr>
                <w:rFonts w:ascii="Arial" w:cs="Arial" w:eastAsia="Arial" w:hAnsi="Arial"/>
                <w:sz w:val="16"/>
                <w:szCs w:val="16"/>
                <w:color w:val="auto"/>
              </w:rPr>
              <w:t>2,766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28, 2025</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760,000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665,000</w:t>
            </w:r>
          </w:p>
        </w:tc>
        <w:tc>
          <w:tcPr>
            <w:tcW w:w="1660" w:type="dxa"/>
            <w:vAlign w:val="bottom"/>
          </w:tcPr>
          <w:p>
            <w:pPr>
              <w:jc w:val="right"/>
              <w:spacing w:after="0"/>
              <w:rPr>
                <w:sz w:val="20"/>
                <w:szCs w:val="20"/>
                <w:color w:val="auto"/>
              </w:rPr>
            </w:pPr>
            <w:r>
              <w:rPr>
                <w:rFonts w:ascii="Arial" w:cs="Arial" w:eastAsia="Arial" w:hAnsi="Arial"/>
                <w:sz w:val="16"/>
                <w:szCs w:val="16"/>
                <w:color w:val="auto"/>
              </w:rPr>
              <w:t>3.50</w:t>
            </w:r>
          </w:p>
        </w:tc>
        <w:tc>
          <w:tcPr>
            <w:tcW w:w="1740" w:type="dxa"/>
            <w:vAlign w:val="bottom"/>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January 2,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168,750</w:t>
            </w:r>
          </w:p>
        </w:tc>
        <w:tc>
          <w:tcPr>
            <w:tcW w:w="1660" w:type="dxa"/>
            <w:vAlign w:val="bottom"/>
          </w:tcPr>
          <w:p>
            <w:pPr>
              <w:jc w:val="right"/>
              <w:spacing w:after="0"/>
              <w:rPr>
                <w:sz w:val="20"/>
                <w:szCs w:val="20"/>
                <w:color w:val="auto"/>
              </w:rPr>
            </w:pPr>
            <w:r>
              <w:rPr>
                <w:rFonts w:ascii="Arial" w:cs="Arial" w:eastAsia="Arial" w:hAnsi="Arial"/>
                <w:sz w:val="16"/>
                <w:szCs w:val="16"/>
                <w:color w:val="auto"/>
              </w:rPr>
              <w:t>3.51</w:t>
            </w:r>
          </w:p>
        </w:tc>
        <w:tc>
          <w:tcPr>
            <w:tcW w:w="174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February 15,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170,000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118,125</w:t>
            </w:r>
          </w:p>
        </w:tc>
        <w:tc>
          <w:tcPr>
            <w:tcW w:w="1660" w:type="dxa"/>
            <w:vAlign w:val="bottom"/>
          </w:tcPr>
          <w:p>
            <w:pPr>
              <w:jc w:val="right"/>
              <w:spacing w:after="0"/>
              <w:rPr>
                <w:sz w:val="20"/>
                <w:szCs w:val="20"/>
                <w:color w:val="auto"/>
              </w:rPr>
            </w:pPr>
            <w:r>
              <w:rPr>
                <w:rFonts w:ascii="Arial" w:cs="Arial" w:eastAsia="Arial" w:hAnsi="Arial"/>
                <w:sz w:val="16"/>
                <w:szCs w:val="16"/>
                <w:color w:val="auto"/>
              </w:rPr>
              <w:t>3.63</w:t>
            </w:r>
          </w:p>
        </w:tc>
        <w:tc>
          <w:tcPr>
            <w:tcW w:w="174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February 16,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112,500</w:t>
            </w:r>
          </w:p>
        </w:tc>
        <w:tc>
          <w:tcPr>
            <w:tcW w:w="1660" w:type="dxa"/>
            <w:vAlign w:val="bottom"/>
          </w:tcPr>
          <w:p>
            <w:pPr>
              <w:jc w:val="right"/>
              <w:spacing w:after="0"/>
              <w:rPr>
                <w:sz w:val="20"/>
                <w:szCs w:val="20"/>
                <w:color w:val="auto"/>
              </w:rPr>
            </w:pPr>
            <w:r>
              <w:rPr>
                <w:rFonts w:ascii="Arial" w:cs="Arial" w:eastAsia="Arial" w:hAnsi="Arial"/>
                <w:sz w:val="16"/>
                <w:szCs w:val="16"/>
                <w:color w:val="auto"/>
              </w:rPr>
              <w:t>3.64</w:t>
            </w:r>
          </w:p>
        </w:tc>
        <w:tc>
          <w:tcPr>
            <w:tcW w:w="174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10,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1.39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1,272,600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1,138,622</w:t>
            </w:r>
          </w:p>
        </w:tc>
        <w:tc>
          <w:tcPr>
            <w:tcW w:w="1660" w:type="dxa"/>
            <w:vAlign w:val="bottom"/>
          </w:tcPr>
          <w:p>
            <w:pPr>
              <w:jc w:val="right"/>
              <w:spacing w:after="0"/>
              <w:rPr>
                <w:sz w:val="20"/>
                <w:szCs w:val="20"/>
                <w:color w:val="auto"/>
              </w:rPr>
            </w:pPr>
            <w:r>
              <w:rPr>
                <w:rFonts w:ascii="Arial" w:cs="Arial" w:eastAsia="Arial" w:hAnsi="Arial"/>
                <w:sz w:val="16"/>
                <w:szCs w:val="16"/>
                <w:color w:val="auto"/>
              </w:rPr>
              <w:t>3.70</w:t>
            </w:r>
          </w:p>
        </w:tc>
        <w:tc>
          <w:tcPr>
            <w:tcW w:w="174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15,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1.55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225,000</w:t>
            </w:r>
          </w:p>
        </w:tc>
        <w:tc>
          <w:tcPr>
            <w:tcW w:w="1660" w:type="dxa"/>
            <w:vAlign w:val="bottom"/>
          </w:tcPr>
          <w:p>
            <w:pPr>
              <w:jc w:val="right"/>
              <w:spacing w:after="0"/>
              <w:rPr>
                <w:sz w:val="20"/>
                <w:szCs w:val="20"/>
                <w:color w:val="auto"/>
              </w:rPr>
            </w:pPr>
            <w:r>
              <w:rPr>
                <w:rFonts w:ascii="Arial" w:cs="Arial" w:eastAsia="Arial" w:hAnsi="Arial"/>
                <w:sz w:val="16"/>
                <w:szCs w:val="16"/>
                <w:color w:val="auto"/>
              </w:rPr>
              <w:t>3.71</w:t>
            </w:r>
          </w:p>
        </w:tc>
        <w:tc>
          <w:tcPr>
            <w:tcW w:w="17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28,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1.36</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1,575,000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1,412,500</w:t>
            </w:r>
          </w:p>
        </w:tc>
        <w:tc>
          <w:tcPr>
            <w:tcW w:w="1660" w:type="dxa"/>
            <w:vAlign w:val="bottom"/>
          </w:tcPr>
          <w:p>
            <w:pPr>
              <w:jc w:val="right"/>
              <w:spacing w:after="0"/>
              <w:rPr>
                <w:sz w:val="20"/>
                <w:szCs w:val="20"/>
                <w:color w:val="auto"/>
              </w:rPr>
            </w:pPr>
            <w:r>
              <w:rPr>
                <w:rFonts w:ascii="Arial" w:cs="Arial" w:eastAsia="Arial" w:hAnsi="Arial"/>
                <w:sz w:val="16"/>
                <w:szCs w:val="16"/>
                <w:color w:val="auto"/>
              </w:rPr>
              <w:t>3.75</w:t>
            </w:r>
          </w:p>
        </w:tc>
        <w:tc>
          <w:tcPr>
            <w:tcW w:w="1740" w:type="dxa"/>
            <w:vAlign w:val="bottom"/>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29,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1.32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3.75</w:t>
            </w: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31,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1.35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345,000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208,750</w:t>
            </w:r>
          </w:p>
        </w:tc>
        <w:tc>
          <w:tcPr>
            <w:tcW w:w="1660" w:type="dxa"/>
            <w:vAlign w:val="bottom"/>
          </w:tcPr>
          <w:p>
            <w:pPr>
              <w:jc w:val="right"/>
              <w:spacing w:after="0"/>
              <w:rPr>
                <w:sz w:val="20"/>
                <w:szCs w:val="20"/>
                <w:color w:val="auto"/>
              </w:rPr>
            </w:pPr>
            <w:r>
              <w:rPr>
                <w:rFonts w:ascii="Arial" w:cs="Arial" w:eastAsia="Arial" w:hAnsi="Arial"/>
                <w:sz w:val="16"/>
                <w:szCs w:val="16"/>
                <w:color w:val="auto"/>
              </w:rPr>
              <w:t>3.75</w:t>
            </w:r>
          </w:p>
        </w:tc>
        <w:tc>
          <w:tcPr>
            <w:tcW w:w="174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28,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3,610,000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2,092,500</w:t>
            </w: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c>
          <w:tcPr>
            <w:tcW w:w="1740" w:type="dxa"/>
            <w:vAlign w:val="bottom"/>
          </w:tcPr>
          <w:p>
            <w:pPr>
              <w:jc w:val="right"/>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16,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215,000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107,500</w:t>
            </w:r>
          </w:p>
        </w:tc>
        <w:tc>
          <w:tcPr>
            <w:tcW w:w="1660" w:type="dxa"/>
            <w:vAlign w:val="bottom"/>
          </w:tcPr>
          <w:p>
            <w:pPr>
              <w:jc w:val="right"/>
              <w:spacing w:after="0"/>
              <w:rPr>
                <w:sz w:val="20"/>
                <w:szCs w:val="20"/>
                <w:color w:val="auto"/>
              </w:rPr>
            </w:pPr>
            <w:r>
              <w:rPr>
                <w:rFonts w:ascii="Arial" w:cs="Arial" w:eastAsia="Arial" w:hAnsi="Arial"/>
                <w:sz w:val="16"/>
                <w:szCs w:val="16"/>
                <w:color w:val="auto"/>
              </w:rPr>
              <w:t>4.13</w:t>
            </w:r>
          </w:p>
        </w:tc>
        <w:tc>
          <w:tcPr>
            <w:tcW w:w="174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18,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w:t>
            </w:r>
          </w:p>
        </w:tc>
        <w:tc>
          <w:tcPr>
            <w:tcW w:w="1660" w:type="dxa"/>
            <w:vAlign w:val="bottom"/>
          </w:tcPr>
          <w:p>
            <w:pPr>
              <w:jc w:val="right"/>
              <w:spacing w:after="0"/>
              <w:rPr>
                <w:sz w:val="20"/>
                <w:szCs w:val="20"/>
                <w:color w:val="auto"/>
              </w:rPr>
            </w:pPr>
            <w:r>
              <w:rPr>
                <w:rFonts w:ascii="Arial" w:cs="Arial" w:eastAsia="Arial" w:hAnsi="Arial"/>
                <w:sz w:val="16"/>
                <w:szCs w:val="16"/>
                <w:color w:val="auto"/>
              </w:rPr>
              <w:t>4.14</w:t>
            </w:r>
          </w:p>
        </w:tc>
        <w:tc>
          <w:tcPr>
            <w:tcW w:w="174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27,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545,000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204,375</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4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27,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2.87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97,500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4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30,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168,750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4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31,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w:t>
            </w:r>
          </w:p>
        </w:tc>
        <w:tc>
          <w:tcPr>
            <w:tcW w:w="1660" w:type="dxa"/>
            <w:vAlign w:val="bottom"/>
          </w:tcPr>
          <w:p>
            <w:pPr>
              <w:jc w:val="right"/>
              <w:spacing w:after="0"/>
              <w:rPr>
                <w:sz w:val="20"/>
                <w:szCs w:val="20"/>
                <w:color w:val="auto"/>
              </w:rPr>
            </w:pPr>
            <w:r>
              <w:rPr>
                <w:rFonts w:ascii="Arial" w:cs="Arial" w:eastAsia="Arial" w:hAnsi="Arial"/>
                <w:sz w:val="16"/>
                <w:szCs w:val="16"/>
                <w:color w:val="auto"/>
              </w:rPr>
              <w:t>4.51</w:t>
            </w:r>
          </w:p>
        </w:tc>
        <w:tc>
          <w:tcPr>
            <w:tcW w:w="17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31, 2026</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1.50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1,250,000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175,000</w:t>
            </w:r>
          </w:p>
        </w:tc>
        <w:tc>
          <w:tcPr>
            <w:tcW w:w="1660" w:type="dxa"/>
            <w:vAlign w:val="bottom"/>
          </w:tcPr>
          <w:p>
            <w:pPr>
              <w:jc w:val="right"/>
              <w:spacing w:after="0"/>
              <w:rPr>
                <w:sz w:val="20"/>
                <w:szCs w:val="20"/>
                <w:color w:val="auto"/>
              </w:rPr>
            </w:pPr>
            <w:r>
              <w:rPr>
                <w:rFonts w:ascii="Arial" w:cs="Arial" w:eastAsia="Arial" w:hAnsi="Arial"/>
                <w:sz w:val="16"/>
                <w:szCs w:val="16"/>
                <w:color w:val="auto"/>
              </w:rPr>
              <w:t>4.51</w:t>
            </w:r>
          </w:p>
        </w:tc>
        <w:tc>
          <w:tcPr>
            <w:tcW w:w="17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4, 2027</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1.13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1,075,600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403,350</w:t>
            </w:r>
          </w:p>
        </w:tc>
        <w:tc>
          <w:tcPr>
            <w:tcW w:w="1660" w:type="dxa"/>
            <w:vAlign w:val="bottom"/>
          </w:tcPr>
          <w:p>
            <w:pPr>
              <w:jc w:val="right"/>
              <w:spacing w:after="0"/>
              <w:rPr>
                <w:sz w:val="20"/>
                <w:szCs w:val="20"/>
                <w:color w:val="auto"/>
              </w:rPr>
            </w:pPr>
            <w:r>
              <w:rPr>
                <w:rFonts w:ascii="Arial" w:cs="Arial" w:eastAsia="Arial" w:hAnsi="Arial"/>
                <w:sz w:val="16"/>
                <w:szCs w:val="16"/>
                <w:color w:val="auto"/>
              </w:rPr>
              <w:t>4.68</w:t>
            </w:r>
          </w:p>
        </w:tc>
        <w:tc>
          <w:tcPr>
            <w:tcW w:w="174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4, 2027</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w:t>
            </w:r>
          </w:p>
        </w:tc>
        <w:tc>
          <w:tcPr>
            <w:tcW w:w="1660" w:type="dxa"/>
            <w:vAlign w:val="bottom"/>
          </w:tcPr>
          <w:p>
            <w:pPr>
              <w:jc w:val="right"/>
              <w:spacing w:after="0"/>
              <w:rPr>
                <w:sz w:val="20"/>
                <w:szCs w:val="20"/>
                <w:color w:val="auto"/>
              </w:rPr>
            </w:pPr>
            <w:r>
              <w:rPr>
                <w:rFonts w:ascii="Arial" w:cs="Arial" w:eastAsia="Arial" w:hAnsi="Arial"/>
                <w:sz w:val="16"/>
                <w:szCs w:val="16"/>
                <w:color w:val="auto"/>
              </w:rPr>
              <w:t>4.68</w:t>
            </w:r>
          </w:p>
        </w:tc>
        <w:tc>
          <w:tcPr>
            <w:tcW w:w="1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8, 2027</w:t>
            </w:r>
          </w:p>
        </w:tc>
        <w:tc>
          <w:tcPr>
            <w:tcW w:w="1900" w:type="dxa"/>
            <w:vAlign w:val="bottom"/>
          </w:tcPr>
          <w:p>
            <w:pPr>
              <w:jc w:val="right"/>
              <w:ind w:right="58"/>
              <w:spacing w:after="0"/>
              <w:rPr>
                <w:sz w:val="20"/>
                <w:szCs w:val="20"/>
                <w:color w:val="auto"/>
              </w:rPr>
            </w:pPr>
            <w:r>
              <w:rPr>
                <w:rFonts w:ascii="Arial" w:cs="Arial" w:eastAsia="Arial" w:hAnsi="Arial"/>
                <w:sz w:val="16"/>
                <w:szCs w:val="16"/>
                <w:color w:val="auto"/>
              </w:rPr>
              <w:t>1.02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400,000</w:t>
            </w:r>
          </w:p>
        </w:tc>
        <w:tc>
          <w:tcPr>
            <w:tcW w:w="1660" w:type="dxa"/>
            <w:vAlign w:val="bottom"/>
          </w:tcPr>
          <w:p>
            <w:pPr>
              <w:jc w:val="right"/>
              <w:spacing w:after="0"/>
              <w:rPr>
                <w:sz w:val="20"/>
                <w:szCs w:val="20"/>
                <w:color w:val="auto"/>
              </w:rPr>
            </w:pPr>
            <w:r>
              <w:rPr>
                <w:rFonts w:ascii="Arial" w:cs="Arial" w:eastAsia="Arial" w:hAnsi="Arial"/>
                <w:sz w:val="16"/>
                <w:szCs w:val="16"/>
                <w:color w:val="auto"/>
              </w:rPr>
              <w:t>4.69</w:t>
            </w:r>
          </w:p>
        </w:tc>
        <w:tc>
          <w:tcPr>
            <w:tcW w:w="174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June 30, 2027</w:t>
            </w:r>
          </w:p>
        </w:tc>
        <w:tc>
          <w:tcPr>
            <w:tcW w:w="19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1.00</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65,000</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8,125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jc w:val="right"/>
              <w:ind w:right="78"/>
              <w:spacing w:after="0"/>
              <w:rPr>
                <w:sz w:val="20"/>
                <w:szCs w:val="20"/>
                <w:color w:val="auto"/>
              </w:rPr>
            </w:pPr>
            <w:r>
              <w:rPr>
                <w:rFonts w:ascii="Arial" w:cs="Arial" w:eastAsia="Arial" w:hAnsi="Arial"/>
                <w:sz w:val="16"/>
                <w:szCs w:val="16"/>
                <w:b w:val="1"/>
                <w:bCs w:val="1"/>
                <w:color w:val="auto"/>
              </w:rPr>
              <w:t>29,365,002</w:t>
            </w:r>
          </w:p>
        </w:tc>
        <w:tc>
          <w:tcPr>
            <w:tcW w:w="1760" w:type="dxa"/>
            <w:vAlign w:val="bottom"/>
          </w:tcPr>
          <w:p>
            <w:pPr>
              <w:jc w:val="right"/>
              <w:ind w:right="98"/>
              <w:spacing w:after="0"/>
              <w:rPr>
                <w:sz w:val="20"/>
                <w:szCs w:val="20"/>
                <w:color w:val="auto"/>
              </w:rPr>
            </w:pPr>
            <w:r>
              <w:rPr>
                <w:rFonts w:ascii="Arial" w:cs="Arial" w:eastAsia="Arial" w:hAnsi="Arial"/>
                <w:sz w:val="16"/>
                <w:szCs w:val="16"/>
                <w:b w:val="1"/>
                <w:bCs w:val="1"/>
                <w:color w:val="auto"/>
              </w:rPr>
              <w:t>22,756,383</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25,828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16 of 24</w:t>
      </w:r>
    </w:p>
    <w:p>
      <w:pPr>
        <w:sectPr>
          <w:pgSz w:w="11900" w:h="16838" w:orient="portrait"/>
          <w:cols w:equalWidth="0" w:num="1">
            <w:col w:w="11200"/>
          </w:cols>
          <w:pgMar w:left="380" w:top="171" w:right="319" w:bottom="1440" w:gutter="0" w:footer="0" w:header="0"/>
        </w:sectPr>
      </w:pPr>
    </w:p>
    <w:bookmarkStart w:id="19" w:name="page20"/>
    <w:bookmarkEnd w:id="19"/>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 Company recognized share-based payments expense related to the issuance of stock options for the three-month period ended June 30, 2022 of $2,151.</w:t>
      </w:r>
    </w:p>
    <w:p>
      <w:pPr>
        <w:spacing w:after="0" w:line="149"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 outstanding options and warrants disclosed above were anti-dilutive for the three-month period ended June 30, 2022 and did not impact the calculation of the loss per share.</w:t>
      </w:r>
    </w:p>
    <w:p>
      <w:pPr>
        <w:spacing w:after="0" w:line="116" w:lineRule="exact"/>
        <w:rPr>
          <w:sz w:val="20"/>
          <w:szCs w:val="20"/>
          <w:color w:val="auto"/>
        </w:rPr>
      </w:pPr>
    </w:p>
    <w:p>
      <w:pPr>
        <w:ind w:left="322" w:hanging="322"/>
        <w:spacing w:after="0"/>
        <w:tabs>
          <w:tab w:leader="none" w:pos="322" w:val="left"/>
        </w:tabs>
        <w:numPr>
          <w:ilvl w:val="0"/>
          <w:numId w:val="10"/>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191"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149" w:lineRule="exact"/>
        <w:rPr>
          <w:sz w:val="20"/>
          <w:szCs w:val="20"/>
          <w:color w:val="auto"/>
        </w:rPr>
      </w:pPr>
    </w:p>
    <w:p>
      <w:pPr>
        <w:ind w:left="302"/>
        <w:spacing w:after="0" w:line="255" w:lineRule="auto"/>
        <w:rPr>
          <w:sz w:val="20"/>
          <w:szCs w:val="20"/>
          <w:color w:val="auto"/>
        </w:rPr>
      </w:pPr>
      <w:r>
        <w:rPr>
          <w:rFonts w:ascii="Arial" w:cs="Arial" w:eastAsia="Arial" w:hAnsi="Arial"/>
          <w:sz w:val="16"/>
          <w:szCs w:val="16"/>
          <w:color w:val="auto"/>
        </w:rPr>
        <w:t>At June 30, 2022, accounts payable and accrued liabilities include accrued executive bonuses of $1,036 payable on future achievements of the Company.</w:t>
      </w:r>
    </w:p>
    <w:p>
      <w:pPr>
        <w:spacing w:after="0" w:line="355"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remuneration of key management personnel for the three-month periods ended June 30, 2021 and 2022 are as follows:</w:t>
      </w:r>
    </w:p>
    <w:p>
      <w:pPr>
        <w:spacing w:after="0" w:line="187" w:lineRule="exact"/>
        <w:rPr>
          <w:sz w:val="20"/>
          <w:szCs w:val="20"/>
          <w:color w:val="auto"/>
        </w:rPr>
      </w:pPr>
    </w:p>
    <w:tbl>
      <w:tblPr>
        <w:tblLayout w:type="fixed"/>
        <w:tblInd w:w="302" w:type="dxa"/>
        <w:tblCellMar>
          <w:top w:w="0" w:type="dxa"/>
          <w:left w:w="0" w:type="dxa"/>
          <w:bottom w:w="0" w:type="dxa"/>
          <w:right w:w="0" w:type="dxa"/>
        </w:tblCellMar>
      </w:tblPr>
      <w:tr>
        <w:trPr>
          <w:trHeight w:val="208"/>
        </w:trPr>
        <w:tc>
          <w:tcPr>
            <w:tcW w:w="5400" w:type="dxa"/>
            <w:vAlign w:val="bottom"/>
          </w:tcPr>
          <w:p>
            <w:pPr>
              <w:spacing w:after="0"/>
              <w:rPr>
                <w:sz w:val="18"/>
                <w:szCs w:val="18"/>
                <w:color w:val="auto"/>
              </w:rPr>
            </w:pPr>
          </w:p>
        </w:tc>
        <w:tc>
          <w:tcPr>
            <w:tcW w:w="4040" w:type="dxa"/>
            <w:vAlign w:val="bottom"/>
          </w:tcPr>
          <w:p>
            <w:pPr>
              <w:jc w:val="right"/>
              <w:ind w:right="498"/>
              <w:spacing w:after="0"/>
              <w:rPr>
                <w:sz w:val="20"/>
                <w:szCs w:val="20"/>
                <w:color w:val="auto"/>
              </w:rPr>
            </w:pPr>
            <w:r>
              <w:rPr>
                <w:rFonts w:ascii="Arial" w:cs="Arial" w:eastAsia="Arial" w:hAnsi="Arial"/>
                <w:sz w:val="16"/>
                <w:szCs w:val="16"/>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$000’s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12"/>
        </w:trPr>
        <w:tc>
          <w:tcPr>
            <w:tcW w:w="5400" w:type="dxa"/>
            <w:vAlign w:val="bottom"/>
          </w:tcPr>
          <w:p>
            <w:pPr>
              <w:ind w:left="60"/>
              <w:spacing w:after="0" w:line="212" w:lineRule="exact"/>
              <w:rPr>
                <w:sz w:val="20"/>
                <w:szCs w:val="20"/>
                <w:color w:val="auto"/>
              </w:rPr>
            </w:pPr>
            <w:r>
              <w:rPr>
                <w:rFonts w:ascii="Arial" w:cs="Arial" w:eastAsia="Arial" w:hAnsi="Arial"/>
                <w:sz w:val="16"/>
                <w:szCs w:val="16"/>
                <w:color w:val="auto"/>
              </w:rPr>
              <w:t>Payroll, consulting and benefits</w:t>
            </w:r>
            <w:r>
              <w:rPr>
                <w:rFonts w:ascii="Arial" w:cs="Arial" w:eastAsia="Arial" w:hAnsi="Arial"/>
                <w:sz w:val="21"/>
                <w:szCs w:val="21"/>
                <w:color w:val="auto"/>
                <w:vertAlign w:val="superscript"/>
              </w:rPr>
              <w:t>(1)</w:t>
            </w:r>
          </w:p>
        </w:tc>
        <w:tc>
          <w:tcPr>
            <w:tcW w:w="4040" w:type="dxa"/>
            <w:vAlign w:val="bottom"/>
          </w:tcPr>
          <w:p>
            <w:pPr>
              <w:jc w:val="right"/>
              <w:ind w:right="498"/>
              <w:spacing w:after="0"/>
              <w:rPr>
                <w:sz w:val="20"/>
                <w:szCs w:val="20"/>
                <w:color w:val="auto"/>
              </w:rPr>
            </w:pPr>
            <w:r>
              <w:rPr>
                <w:rFonts w:ascii="Arial" w:cs="Arial" w:eastAsia="Arial" w:hAnsi="Arial"/>
                <w:sz w:val="16"/>
                <w:szCs w:val="16"/>
                <w:b w:val="1"/>
                <w:bCs w:val="1"/>
                <w:color w:val="auto"/>
              </w:rPr>
              <w:t>1,380</w:t>
            </w:r>
          </w:p>
        </w:tc>
        <w:tc>
          <w:tcPr>
            <w:tcW w:w="112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96"/>
        </w:trPr>
        <w:tc>
          <w:tcPr>
            <w:tcW w:w="540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4040" w:type="dxa"/>
            <w:vAlign w:val="bottom"/>
            <w:vMerge w:val="restart"/>
          </w:tcPr>
          <w:p>
            <w:pPr>
              <w:jc w:val="right"/>
              <w:ind w:right="498"/>
              <w:spacing w:after="0"/>
              <w:rPr>
                <w:sz w:val="20"/>
                <w:szCs w:val="20"/>
                <w:color w:val="auto"/>
              </w:rPr>
            </w:pPr>
            <w:r>
              <w:rPr>
                <w:rFonts w:ascii="Arial" w:cs="Arial" w:eastAsia="Arial" w:hAnsi="Arial"/>
                <w:sz w:val="16"/>
                <w:szCs w:val="16"/>
                <w:b w:val="1"/>
                <w:bCs w:val="1"/>
                <w:color w:val="auto"/>
              </w:rPr>
              <w:t>1,085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0" w:type="dxa"/>
            <w:vAlign w:val="bottom"/>
          </w:tcPr>
          <w:p>
            <w:pPr>
              <w:ind w:left="240"/>
              <w:spacing w:after="0"/>
              <w:rPr>
                <w:sz w:val="20"/>
                <w:szCs w:val="20"/>
                <w:color w:val="auto"/>
              </w:rPr>
            </w:pPr>
            <w:r>
              <w:rPr>
                <w:rFonts w:ascii="Arial" w:cs="Arial" w:eastAsia="Arial" w:hAnsi="Arial"/>
                <w:sz w:val="16"/>
                <w:szCs w:val="16"/>
                <w:color w:val="auto"/>
              </w:rPr>
              <w:t>Options</w:t>
            </w:r>
          </w:p>
        </w:tc>
        <w:tc>
          <w:tcPr>
            <w:tcW w:w="404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Warrants</w:t>
            </w:r>
          </w:p>
        </w:tc>
        <w:tc>
          <w:tcPr>
            <w:tcW w:w="40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40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2,468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02" w:hanging="9"/>
        <w:spacing w:after="0" w:line="222" w:lineRule="auto"/>
        <w:tabs>
          <w:tab w:leader="none" w:pos="465" w:val="left"/>
        </w:tabs>
        <w:numPr>
          <w:ilvl w:val="1"/>
          <w:numId w:val="11"/>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For the three-month period ended June 30, 2022, includes $655 presented in the statement of loss and comprehensive loss as a part of “General and administrative costs” and $725 presented in the statement of loss and comprehensive loss as a part of “Research”.</w:t>
      </w:r>
    </w:p>
    <w:p>
      <w:pPr>
        <w:spacing w:after="0" w:line="131" w:lineRule="exact"/>
        <w:rPr>
          <w:rFonts w:ascii="Arial" w:cs="Arial" w:eastAsia="Arial" w:hAnsi="Arial"/>
          <w:sz w:val="19"/>
          <w:szCs w:val="19"/>
          <w:i w:val="1"/>
          <w:iCs w:val="1"/>
          <w:color w:val="auto"/>
          <w:vertAlign w:val="superscript"/>
        </w:rPr>
      </w:pPr>
    </w:p>
    <w:p>
      <w:pPr>
        <w:ind w:left="402" w:hanging="402"/>
        <w:spacing w:after="0"/>
        <w:tabs>
          <w:tab w:leader="none" w:pos="402" w:val="left"/>
        </w:tabs>
        <w:numPr>
          <w:ilvl w:val="0"/>
          <w:numId w:val="12"/>
        </w:numPr>
        <w:rPr>
          <w:rFonts w:ascii="Arial" w:cs="Arial" w:eastAsia="Arial" w:hAnsi="Arial"/>
          <w:sz w:val="16"/>
          <w:szCs w:val="16"/>
          <w:b w:val="1"/>
          <w:bCs w:val="1"/>
          <w:color w:val="2D5F91"/>
        </w:rPr>
      </w:pPr>
      <w:r>
        <w:rPr>
          <w:rFonts w:ascii="Arial" w:cs="Arial" w:eastAsia="Arial" w:hAnsi="Arial"/>
          <w:sz w:val="16"/>
          <w:szCs w:val="16"/>
          <w:b w:val="1"/>
          <w:bCs w:val="1"/>
          <w:color w:val="2D5F91"/>
        </w:rPr>
        <w:t>GENERAL AND ADMINISTRATIVE EXPENSES</w:t>
      </w:r>
    </w:p>
    <w:p>
      <w:pPr>
        <w:spacing w:after="0" w:line="48" w:lineRule="exact"/>
        <w:rPr>
          <w:sz w:val="20"/>
          <w:szCs w:val="20"/>
          <w:color w:val="auto"/>
        </w:rPr>
      </w:pPr>
    </w:p>
    <w:tbl>
      <w:tblPr>
        <w:tblLayout w:type="fixed"/>
        <w:tblInd w:w="242" w:type="dxa"/>
        <w:tblCellMar>
          <w:top w:w="0" w:type="dxa"/>
          <w:left w:w="0" w:type="dxa"/>
          <w:bottom w:w="0" w:type="dxa"/>
          <w:right w:w="0" w:type="dxa"/>
        </w:tblCellMar>
      </w:tblPr>
      <w:tr>
        <w:trPr>
          <w:trHeight w:val="208"/>
        </w:trPr>
        <w:tc>
          <w:tcPr>
            <w:tcW w:w="5340" w:type="dxa"/>
            <w:vAlign w:val="bottom"/>
          </w:tcPr>
          <w:p>
            <w:pPr>
              <w:ind w:left="60"/>
              <w:spacing w:after="0"/>
              <w:rPr>
                <w:sz w:val="20"/>
                <w:szCs w:val="20"/>
                <w:color w:val="auto"/>
              </w:rPr>
            </w:pPr>
            <w:r>
              <w:rPr>
                <w:rFonts w:ascii="Arial" w:cs="Arial" w:eastAsia="Arial" w:hAnsi="Arial"/>
                <w:sz w:val="16"/>
                <w:szCs w:val="16"/>
                <w:b w:val="1"/>
                <w:bCs w:val="1"/>
                <w:color w:val="auto"/>
              </w:rPr>
              <w:t>For the three-month period ended</w:t>
            </w:r>
          </w:p>
        </w:tc>
        <w:tc>
          <w:tcPr>
            <w:tcW w:w="4020" w:type="dxa"/>
            <w:vAlign w:val="bottom"/>
          </w:tcPr>
          <w:p>
            <w:pPr>
              <w:jc w:val="right"/>
              <w:ind w:right="198"/>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6"/>
        </w:trPr>
        <w:tc>
          <w:tcPr>
            <w:tcW w:w="53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$000’s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0"/>
        </w:trPr>
        <w:tc>
          <w:tcPr>
            <w:tcW w:w="5340" w:type="dxa"/>
            <w:vAlign w:val="bottom"/>
          </w:tcPr>
          <w:p>
            <w:pPr>
              <w:ind w:left="60"/>
              <w:spacing w:after="0"/>
              <w:rPr>
                <w:sz w:val="20"/>
                <w:szCs w:val="20"/>
                <w:color w:val="auto"/>
              </w:rPr>
            </w:pPr>
            <w:r>
              <w:rPr>
                <w:rFonts w:ascii="Arial" w:cs="Arial" w:eastAsia="Arial" w:hAnsi="Arial"/>
                <w:sz w:val="16"/>
                <w:szCs w:val="16"/>
                <w:color w:val="auto"/>
              </w:rPr>
              <w:t>Payroll, consulting and benefits</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1,686</w:t>
            </w:r>
          </w:p>
        </w:tc>
        <w:tc>
          <w:tcPr>
            <w:tcW w:w="142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Professional and consulting fees</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988</w:t>
            </w:r>
          </w:p>
        </w:tc>
        <w:tc>
          <w:tcPr>
            <w:tcW w:w="1420" w:type="dxa"/>
            <w:vAlign w:val="bottom"/>
          </w:tcPr>
          <w:p>
            <w:pPr>
              <w:jc w:val="right"/>
              <w:spacing w:after="0"/>
              <w:rPr>
                <w:sz w:val="20"/>
                <w:szCs w:val="20"/>
                <w:color w:val="auto"/>
              </w:rPr>
            </w:pPr>
            <w:r>
              <w:rPr>
                <w:rFonts w:ascii="Arial" w:cs="Arial" w:eastAsia="Arial" w:hAnsi="Arial"/>
                <w:sz w:val="16"/>
                <w:szCs w:val="16"/>
                <w:color w:val="auto"/>
              </w:rPr>
              <w:t>1,068</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Office and administration</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860</w:t>
            </w:r>
          </w:p>
        </w:tc>
        <w:tc>
          <w:tcPr>
            <w:tcW w:w="142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Marketing media</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713</w:t>
            </w:r>
          </w:p>
        </w:tc>
        <w:tc>
          <w:tcPr>
            <w:tcW w:w="14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Capital market</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346</w:t>
            </w:r>
          </w:p>
        </w:tc>
        <w:tc>
          <w:tcPr>
            <w:tcW w:w="1420" w:type="dxa"/>
            <w:vAlign w:val="bottom"/>
          </w:tcPr>
          <w:p>
            <w:pPr>
              <w:jc w:val="right"/>
              <w:spacing w:after="0"/>
              <w:rPr>
                <w:sz w:val="20"/>
                <w:szCs w:val="20"/>
                <w:color w:val="auto"/>
              </w:rPr>
            </w:pPr>
            <w:r>
              <w:rPr>
                <w:rFonts w:ascii="Arial" w:cs="Arial" w:eastAsia="Arial" w:hAnsi="Arial"/>
                <w:sz w:val="16"/>
                <w:szCs w:val="16"/>
                <w:color w:val="auto"/>
              </w:rPr>
              <w:t>1,741</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Investor relations</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254</w:t>
            </w:r>
          </w:p>
        </w:tc>
        <w:tc>
          <w:tcPr>
            <w:tcW w:w="14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08"/>
        </w:trPr>
        <w:tc>
          <w:tcPr>
            <w:tcW w:w="5340" w:type="dxa"/>
            <w:vAlign w:val="bottom"/>
          </w:tcPr>
          <w:p>
            <w:pPr>
              <w:ind w:left="60"/>
              <w:spacing w:after="0"/>
              <w:rPr>
                <w:sz w:val="20"/>
                <w:szCs w:val="20"/>
                <w:color w:val="auto"/>
              </w:rPr>
            </w:pPr>
            <w:r>
              <w:rPr>
                <w:rFonts w:ascii="Arial" w:cs="Arial" w:eastAsia="Arial" w:hAnsi="Arial"/>
                <w:sz w:val="16"/>
                <w:szCs w:val="16"/>
                <w:color w:val="auto"/>
              </w:rPr>
              <w:t>Business development</w:t>
            </w:r>
          </w:p>
        </w:tc>
        <w:tc>
          <w:tcPr>
            <w:tcW w:w="4020" w:type="dxa"/>
            <w:vAlign w:val="bottom"/>
          </w:tcPr>
          <w:p>
            <w:pPr>
              <w:jc w:val="right"/>
              <w:ind w:right="198"/>
              <w:spacing w:after="0"/>
              <w:rPr>
                <w:sz w:val="20"/>
                <w:szCs w:val="20"/>
                <w:color w:val="auto"/>
              </w:rPr>
            </w:pPr>
            <w:r>
              <w:rPr>
                <w:rFonts w:ascii="Arial" w:cs="Arial" w:eastAsia="Arial" w:hAnsi="Arial"/>
                <w:sz w:val="16"/>
                <w:szCs w:val="16"/>
                <w:color w:val="auto"/>
              </w:rPr>
              <w:t>250</w:t>
            </w:r>
          </w:p>
        </w:tc>
        <w:tc>
          <w:tcPr>
            <w:tcW w:w="14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08"/>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Listing fees</w:t>
            </w:r>
          </w:p>
        </w:tc>
        <w:tc>
          <w:tcPr>
            <w:tcW w:w="4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95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01"/>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4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5,192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17 of 24</w:t>
      </w:r>
    </w:p>
    <w:p>
      <w:pPr>
        <w:sectPr>
          <w:pgSz w:w="11900" w:h="16838" w:orient="portrait"/>
          <w:cols w:equalWidth="0" w:num="1">
            <w:col w:w="11242"/>
          </w:cols>
          <w:pgMar w:left="318" w:top="171" w:right="339" w:bottom="1440" w:gutter="0" w:footer="0" w:header="0"/>
        </w:sectPr>
      </w:pPr>
    </w:p>
    <w:bookmarkStart w:id="20" w:name="page21"/>
    <w:bookmarkEnd w:id="20"/>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5680" w:type="dxa"/>
            <w:vAlign w:val="bottom"/>
            <w:gridSpan w:val="2"/>
          </w:tcPr>
          <w:p>
            <w:pPr>
              <w:spacing w:after="0"/>
              <w:rPr>
                <w:sz w:val="20"/>
                <w:szCs w:val="20"/>
                <w:color w:val="auto"/>
              </w:rPr>
            </w:pPr>
            <w:r>
              <w:rPr>
                <w:rFonts w:ascii="Arial" w:cs="Arial" w:eastAsia="Arial" w:hAnsi="Arial"/>
                <w:sz w:val="16"/>
                <w:szCs w:val="16"/>
                <w:b w:val="1"/>
                <w:bCs w:val="1"/>
                <w:color w:val="2D5F91"/>
              </w:rPr>
              <w:t>11.  RESEARCH EXPENSES</w:t>
            </w: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45"/>
        </w:trPr>
        <w:tc>
          <w:tcPr>
            <w:tcW w:w="24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For the three-month period ended</w:t>
            </w:r>
          </w:p>
        </w:tc>
        <w:tc>
          <w:tcPr>
            <w:tcW w:w="3860" w:type="dxa"/>
            <w:vAlign w:val="bottom"/>
          </w:tcPr>
          <w:p>
            <w:pPr>
              <w:jc w:val="right"/>
              <w:ind w:right="218"/>
              <w:spacing w:after="0"/>
              <w:rPr>
                <w:sz w:val="20"/>
                <w:szCs w:val="20"/>
                <w:color w:val="auto"/>
              </w:rPr>
            </w:pPr>
            <w:r>
              <w:rPr>
                <w:rFonts w:ascii="Arial" w:cs="Arial" w:eastAsia="Arial" w:hAnsi="Arial"/>
                <w:sz w:val="16"/>
                <w:szCs w:val="16"/>
                <w:b w:val="1"/>
                <w:bCs w:val="1"/>
                <w:color w:val="auto"/>
              </w:rPr>
              <w:t>June 30, 2022</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6"/>
        </w:trPr>
        <w:tc>
          <w:tcPr>
            <w:tcW w:w="240" w:type="dxa"/>
            <w:vAlign w:val="bottom"/>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$000’s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92"/>
        </w:trPr>
        <w:tc>
          <w:tcPr>
            <w:tcW w:w="240" w:type="dxa"/>
            <w:vAlign w:val="bottom"/>
          </w:tcPr>
          <w:p>
            <w:pPr>
              <w:spacing w:after="0"/>
              <w:rPr>
                <w:sz w:val="16"/>
                <w:szCs w:val="16"/>
                <w:color w:val="auto"/>
              </w:rPr>
            </w:pPr>
          </w:p>
        </w:tc>
        <w:tc>
          <w:tcPr>
            <w:tcW w:w="5440" w:type="dxa"/>
            <w:vAlign w:val="bottom"/>
          </w:tcPr>
          <w:p>
            <w:pPr>
              <w:ind w:left="60"/>
              <w:spacing w:after="0"/>
              <w:rPr>
                <w:sz w:val="20"/>
                <w:szCs w:val="20"/>
                <w:color w:val="auto"/>
              </w:rPr>
            </w:pPr>
            <w:r>
              <w:rPr>
                <w:rFonts w:ascii="Arial" w:cs="Arial" w:eastAsia="Arial" w:hAnsi="Arial"/>
                <w:sz w:val="16"/>
                <w:szCs w:val="16"/>
                <w:color w:val="auto"/>
              </w:rPr>
              <w:t>Advancement of development programs</w:t>
            </w:r>
          </w:p>
        </w:tc>
        <w:tc>
          <w:tcPr>
            <w:tcW w:w="3860" w:type="dxa"/>
            <w:vAlign w:val="bottom"/>
          </w:tcPr>
          <w:p>
            <w:pPr>
              <w:jc w:val="right"/>
              <w:ind w:right="218"/>
              <w:spacing w:after="0"/>
              <w:rPr>
                <w:sz w:val="20"/>
                <w:szCs w:val="20"/>
                <w:color w:val="auto"/>
              </w:rPr>
            </w:pPr>
            <w:r>
              <w:rPr>
                <w:rFonts w:ascii="Arial" w:cs="Arial" w:eastAsia="Arial" w:hAnsi="Arial"/>
                <w:sz w:val="16"/>
                <w:szCs w:val="16"/>
                <w:b w:val="1"/>
                <w:bCs w:val="1"/>
                <w:color w:val="auto"/>
              </w:rPr>
              <w:t>3,592</w:t>
            </w:r>
          </w:p>
        </w:tc>
        <w:tc>
          <w:tcPr>
            <w:tcW w:w="140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08"/>
        </w:trPr>
        <w:tc>
          <w:tcPr>
            <w:tcW w:w="24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6"/>
                <w:szCs w:val="16"/>
                <w:color w:val="auto"/>
              </w:rPr>
              <w:t>Payroll and benefits</w:t>
            </w:r>
          </w:p>
        </w:tc>
        <w:tc>
          <w:tcPr>
            <w:tcW w:w="3860" w:type="dxa"/>
            <w:vAlign w:val="bottom"/>
          </w:tcPr>
          <w:p>
            <w:pPr>
              <w:jc w:val="right"/>
              <w:ind w:right="218"/>
              <w:spacing w:after="0"/>
              <w:rPr>
                <w:sz w:val="20"/>
                <w:szCs w:val="20"/>
                <w:color w:val="auto"/>
              </w:rPr>
            </w:pPr>
            <w:r>
              <w:rPr>
                <w:rFonts w:ascii="Arial" w:cs="Arial" w:eastAsia="Arial" w:hAnsi="Arial"/>
                <w:sz w:val="16"/>
                <w:szCs w:val="16"/>
                <w:b w:val="1"/>
                <w:bCs w:val="1"/>
                <w:color w:val="auto"/>
              </w:rPr>
              <w:t>2,027</w:t>
            </w:r>
          </w:p>
        </w:tc>
        <w:tc>
          <w:tcPr>
            <w:tcW w:w="1400" w:type="dxa"/>
            <w:vAlign w:val="bottom"/>
          </w:tcPr>
          <w:p>
            <w:pPr>
              <w:jc w:val="right"/>
              <w:spacing w:after="0"/>
              <w:rPr>
                <w:sz w:val="20"/>
                <w:szCs w:val="20"/>
                <w:color w:val="auto"/>
              </w:rPr>
            </w:pPr>
            <w:r>
              <w:rPr>
                <w:rFonts w:ascii="Arial" w:cs="Arial" w:eastAsia="Arial" w:hAnsi="Arial"/>
                <w:sz w:val="16"/>
                <w:szCs w:val="16"/>
                <w:color w:val="auto"/>
              </w:rPr>
              <w:t>973</w:t>
            </w:r>
          </w:p>
        </w:tc>
      </w:tr>
      <w:tr>
        <w:trPr>
          <w:trHeight w:val="208"/>
        </w:trPr>
        <w:tc>
          <w:tcPr>
            <w:tcW w:w="24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6"/>
                <w:szCs w:val="16"/>
                <w:color w:val="auto"/>
              </w:rPr>
              <w:t>Professional and consulting fees</w:t>
            </w:r>
          </w:p>
        </w:tc>
        <w:tc>
          <w:tcPr>
            <w:tcW w:w="3860" w:type="dxa"/>
            <w:vAlign w:val="bottom"/>
          </w:tcPr>
          <w:p>
            <w:pPr>
              <w:jc w:val="right"/>
              <w:ind w:right="218"/>
              <w:spacing w:after="0"/>
              <w:rPr>
                <w:sz w:val="20"/>
                <w:szCs w:val="20"/>
                <w:color w:val="auto"/>
              </w:rPr>
            </w:pPr>
            <w:r>
              <w:rPr>
                <w:rFonts w:ascii="Arial" w:cs="Arial" w:eastAsia="Arial" w:hAnsi="Arial"/>
                <w:sz w:val="16"/>
                <w:szCs w:val="16"/>
                <w:b w:val="1"/>
                <w:bCs w:val="1"/>
                <w:color w:val="auto"/>
              </w:rPr>
              <w:t>238</w:t>
            </w:r>
          </w:p>
        </w:tc>
        <w:tc>
          <w:tcPr>
            <w:tcW w:w="140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6"/>
        </w:trPr>
        <w:tc>
          <w:tcPr>
            <w:tcW w:w="240" w:type="dxa"/>
            <w:vAlign w:val="bottom"/>
          </w:tcPr>
          <w:p>
            <w:pPr>
              <w:spacing w:after="0"/>
              <w:rPr>
                <w:sz w:val="18"/>
                <w:szCs w:val="18"/>
                <w:color w:val="auto"/>
              </w:rPr>
            </w:pP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Lab and administration</w:t>
            </w:r>
          </w:p>
        </w:tc>
        <w:tc>
          <w:tcPr>
            <w:tcW w:w="38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191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01"/>
        </w:trPr>
        <w:tc>
          <w:tcPr>
            <w:tcW w:w="240" w:type="dxa"/>
            <w:vAlign w:val="bottom"/>
          </w:tcPr>
          <w:p>
            <w:pPr>
              <w:spacing w:after="0"/>
              <w:rPr>
                <w:sz w:val="17"/>
                <w:szCs w:val="17"/>
                <w:color w:val="auto"/>
              </w:rPr>
            </w:pP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8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6,048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r>
    </w:tbl>
    <w:p>
      <w:pPr>
        <w:spacing w:after="0" w:line="224" w:lineRule="exact"/>
        <w:rPr>
          <w:sz w:val="20"/>
          <w:szCs w:val="20"/>
          <w:color w:val="auto"/>
        </w:rPr>
      </w:pPr>
    </w:p>
    <w:p>
      <w:pPr>
        <w:ind w:left="402" w:hanging="402"/>
        <w:spacing w:after="0"/>
        <w:tabs>
          <w:tab w:leader="none" w:pos="402" w:val="left"/>
        </w:tabs>
        <w:numPr>
          <w:ilvl w:val="0"/>
          <w:numId w:val="13"/>
        </w:numPr>
        <w:rPr>
          <w:rFonts w:ascii="Arial" w:cs="Arial" w:eastAsia="Arial" w:hAnsi="Arial"/>
          <w:sz w:val="16"/>
          <w:szCs w:val="16"/>
          <w:b w:val="1"/>
          <w:bCs w:val="1"/>
          <w:color w:val="2D5F91"/>
        </w:rPr>
      </w:pPr>
      <w:r>
        <w:rPr>
          <w:rFonts w:ascii="Arial" w:cs="Arial" w:eastAsia="Arial" w:hAnsi="Arial"/>
          <w:sz w:val="16"/>
          <w:szCs w:val="16"/>
          <w:b w:val="1"/>
          <w:bCs w:val="1"/>
          <w:color w:val="2D5F91"/>
        </w:rPr>
        <w:t>CONTRACTS AND COMMITMENTS</w:t>
      </w:r>
    </w:p>
    <w:p>
      <w:pPr>
        <w:spacing w:after="0" w:line="20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As at June 30, 2022, the Company had entered into agreements for various studies which may require the Company to spend up to an additional $10,067 (US$7,812). The Company expects to pay this amount within the 18 months ending December 31, 2023,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24" w:lineRule="exact"/>
        <w:rPr>
          <w:sz w:val="20"/>
          <w:szCs w:val="20"/>
          <w:color w:val="auto"/>
        </w:rPr>
      </w:pPr>
    </w:p>
    <w:p>
      <w:pPr>
        <w:ind w:left="402" w:hanging="402"/>
        <w:spacing w:after="0"/>
        <w:tabs>
          <w:tab w:leader="none" w:pos="402" w:val="left"/>
        </w:tabs>
        <w:numPr>
          <w:ilvl w:val="0"/>
          <w:numId w:val="14"/>
        </w:numPr>
        <w:rPr>
          <w:rFonts w:ascii="Arial" w:cs="Arial" w:eastAsia="Arial" w:hAnsi="Arial"/>
          <w:sz w:val="16"/>
          <w:szCs w:val="16"/>
          <w:b w:val="1"/>
          <w:bCs w:val="1"/>
          <w:color w:val="2D5F91"/>
        </w:rPr>
      </w:pPr>
      <w:r>
        <w:rPr>
          <w:rFonts w:ascii="Arial" w:cs="Arial" w:eastAsia="Arial" w:hAnsi="Arial"/>
          <w:sz w:val="16"/>
          <w:szCs w:val="16"/>
          <w:b w:val="1"/>
          <w:bCs w:val="1"/>
          <w:color w:val="2D5F91"/>
        </w:rPr>
        <w:t>CAPITAL MANAGEMENT</w:t>
      </w:r>
    </w:p>
    <w:p>
      <w:pPr>
        <w:spacing w:after="0" w:line="191" w:lineRule="exact"/>
        <w:rPr>
          <w:sz w:val="20"/>
          <w:szCs w:val="20"/>
          <w:color w:val="auto"/>
        </w:rPr>
      </w:pPr>
    </w:p>
    <w:p>
      <w:pPr>
        <w:jc w:val="both"/>
        <w:ind w:left="302"/>
        <w:spacing w:after="0" w:line="258" w:lineRule="auto"/>
        <w:rPr>
          <w:sz w:val="20"/>
          <w:szCs w:val="20"/>
          <w:color w:val="auto"/>
        </w:rPr>
      </w:pPr>
      <w:r>
        <w:rPr>
          <w:rFonts w:ascii="Arial" w:cs="Arial" w:eastAsia="Arial" w:hAnsi="Arial"/>
          <w:sz w:val="16"/>
          <w:szCs w:val="16"/>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9"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Company’s capital management objectives, policies and processes generally remained unchanged during the three-month period ended June 30, 2022.</w:t>
      </w:r>
    </w:p>
    <w:p>
      <w:pPr>
        <w:spacing w:after="0" w:line="136"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requires capital to fund existing and future operations and meet regulatory capital requirements. The Company’s policy is to maintain adequate levels of capital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18 of 24</w:t>
      </w:r>
    </w:p>
    <w:p>
      <w:pPr>
        <w:sectPr>
          <w:pgSz w:w="11900" w:h="16838" w:orient="portrait"/>
          <w:cols w:equalWidth="0" w:num="1">
            <w:col w:w="11242"/>
          </w:cols>
          <w:pgMar w:left="318" w:top="171" w:right="339" w:bottom="1440" w:gutter="0" w:footer="0" w:header="0"/>
        </w:sectPr>
      </w:pPr>
    </w:p>
    <w:bookmarkStart w:id="21" w:name="page22"/>
    <w:bookmarkEnd w:id="2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74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574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200" w:type="dxa"/>
            <w:vAlign w:val="bottom"/>
          </w:tcPr>
          <w:p>
            <w:pPr>
              <w:jc w:val="right"/>
              <w:ind w:right="298"/>
              <w:spacing w:after="0"/>
              <w:rPr>
                <w:sz w:val="20"/>
                <w:szCs w:val="20"/>
                <w:color w:val="auto"/>
              </w:rPr>
            </w:pPr>
            <w:r>
              <w:rPr>
                <w:rFonts w:ascii="Arial" w:cs="Arial" w:eastAsia="Arial" w:hAnsi="Arial"/>
                <w:sz w:val="16"/>
                <w:szCs w:val="16"/>
                <w:b w:val="1"/>
                <w:bCs w:val="1"/>
                <w:color w:val="auto"/>
              </w:rPr>
              <w:t>June 30, 2022</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$000’s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0"/>
        </w:trPr>
        <w:tc>
          <w:tcPr>
            <w:tcW w:w="574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200" w:type="dxa"/>
            <w:vAlign w:val="bottom"/>
            <w:vMerge w:val="restart"/>
          </w:tcPr>
          <w:p>
            <w:pPr>
              <w:jc w:val="right"/>
              <w:ind w:right="298"/>
              <w:spacing w:after="0"/>
              <w:rPr>
                <w:sz w:val="20"/>
                <w:szCs w:val="20"/>
                <w:color w:val="auto"/>
              </w:rPr>
            </w:pPr>
            <w:r>
              <w:rPr>
                <w:rFonts w:ascii="Arial" w:cs="Arial" w:eastAsia="Arial" w:hAnsi="Arial"/>
                <w:sz w:val="16"/>
                <w:szCs w:val="16"/>
                <w:b w:val="1"/>
                <w:bCs w:val="1"/>
                <w:color w:val="auto"/>
              </w:rPr>
              <w:t>144,401</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4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20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141,451</w:t>
            </w:r>
          </w:p>
        </w:tc>
        <w:tc>
          <w:tcPr>
            <w:tcW w:w="0" w:type="dxa"/>
            <w:vAlign w:val="bottom"/>
          </w:tcPr>
          <w:p>
            <w:pPr>
              <w:spacing w:after="0"/>
              <w:rPr>
                <w:sz w:val="1"/>
                <w:szCs w:val="1"/>
                <w:color w:val="auto"/>
              </w:rPr>
            </w:pPr>
          </w:p>
        </w:tc>
      </w:tr>
      <w:tr>
        <w:trPr>
          <w:trHeight w:val="208"/>
        </w:trPr>
        <w:tc>
          <w:tcPr>
            <w:tcW w:w="574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200" w:type="dxa"/>
            <w:vAlign w:val="bottom"/>
          </w:tcPr>
          <w:p>
            <w:pPr>
              <w:jc w:val="right"/>
              <w:ind w:right="298"/>
              <w:spacing w:after="0"/>
              <w:rPr>
                <w:sz w:val="20"/>
                <w:szCs w:val="20"/>
                <w:color w:val="auto"/>
              </w:rPr>
            </w:pPr>
            <w:r>
              <w:rPr>
                <w:rFonts w:ascii="Arial" w:cs="Arial" w:eastAsia="Arial" w:hAnsi="Arial"/>
                <w:sz w:val="16"/>
                <w:szCs w:val="16"/>
                <w:b w:val="1"/>
                <w:bCs w:val="1"/>
                <w:color w:val="auto"/>
              </w:rPr>
              <w:t>631</w:t>
            </w:r>
          </w:p>
        </w:tc>
        <w:tc>
          <w:tcPr>
            <w:tcW w:w="156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8"/>
        </w:trPr>
        <w:tc>
          <w:tcPr>
            <w:tcW w:w="5740" w:type="dxa"/>
            <w:vAlign w:val="bottom"/>
          </w:tcPr>
          <w:p>
            <w:pPr>
              <w:ind w:left="160"/>
              <w:spacing w:after="0"/>
              <w:rPr>
                <w:sz w:val="20"/>
                <w:szCs w:val="20"/>
                <w:color w:val="auto"/>
              </w:rPr>
            </w:pPr>
            <w:r>
              <w:rPr>
                <w:rFonts w:ascii="Arial" w:cs="Arial" w:eastAsia="Arial" w:hAnsi="Arial"/>
                <w:sz w:val="16"/>
                <w:szCs w:val="16"/>
                <w:color w:val="auto"/>
              </w:rPr>
              <w:t>Options reserve</w:t>
            </w:r>
          </w:p>
        </w:tc>
        <w:tc>
          <w:tcPr>
            <w:tcW w:w="3200" w:type="dxa"/>
            <w:vAlign w:val="bottom"/>
          </w:tcPr>
          <w:p>
            <w:pPr>
              <w:jc w:val="right"/>
              <w:ind w:right="298"/>
              <w:spacing w:after="0"/>
              <w:rPr>
                <w:sz w:val="20"/>
                <w:szCs w:val="20"/>
                <w:color w:val="auto"/>
              </w:rPr>
            </w:pPr>
            <w:r>
              <w:rPr>
                <w:rFonts w:ascii="Arial" w:cs="Arial" w:eastAsia="Arial" w:hAnsi="Arial"/>
                <w:sz w:val="16"/>
                <w:szCs w:val="16"/>
                <w:b w:val="1"/>
                <w:bCs w:val="1"/>
                <w:color w:val="auto"/>
              </w:rPr>
              <w:t>25,828</w:t>
            </w:r>
          </w:p>
        </w:tc>
        <w:tc>
          <w:tcPr>
            <w:tcW w:w="1560" w:type="dxa"/>
            <w:vAlign w:val="bottom"/>
          </w:tcPr>
          <w:p>
            <w:pPr>
              <w:jc w:val="right"/>
              <w:spacing w:after="0"/>
              <w:rPr>
                <w:sz w:val="20"/>
                <w:szCs w:val="20"/>
                <w:color w:val="auto"/>
              </w:rPr>
            </w:pPr>
            <w:r>
              <w:rPr>
                <w:rFonts w:ascii="Arial" w:cs="Arial" w:eastAsia="Arial" w:hAnsi="Arial"/>
                <w:sz w:val="16"/>
                <w:szCs w:val="16"/>
                <w:color w:val="auto"/>
              </w:rPr>
              <w:t>23,783</w:t>
            </w:r>
          </w:p>
        </w:tc>
        <w:tc>
          <w:tcPr>
            <w:tcW w:w="0" w:type="dxa"/>
            <w:vAlign w:val="bottom"/>
          </w:tcPr>
          <w:p>
            <w:pPr>
              <w:spacing w:after="0"/>
              <w:rPr>
                <w:sz w:val="1"/>
                <w:szCs w:val="1"/>
                <w:color w:val="auto"/>
              </w:rPr>
            </w:pPr>
          </w:p>
        </w:tc>
      </w:tr>
      <w:tr>
        <w:trPr>
          <w:trHeight w:val="208"/>
        </w:trPr>
        <w:tc>
          <w:tcPr>
            <w:tcW w:w="574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200" w:type="dxa"/>
            <w:vAlign w:val="bottom"/>
          </w:tcPr>
          <w:p>
            <w:pPr>
              <w:jc w:val="right"/>
              <w:ind w:right="298"/>
              <w:spacing w:after="0"/>
              <w:rPr>
                <w:sz w:val="20"/>
                <w:szCs w:val="20"/>
                <w:color w:val="auto"/>
              </w:rPr>
            </w:pPr>
            <w:r>
              <w:rPr>
                <w:rFonts w:ascii="Arial" w:cs="Arial" w:eastAsia="Arial" w:hAnsi="Arial"/>
                <w:sz w:val="16"/>
                <w:szCs w:val="16"/>
                <w:b w:val="1"/>
                <w:bCs w:val="1"/>
                <w:color w:val="auto"/>
              </w:rPr>
              <w:t>11,291</w:t>
            </w:r>
          </w:p>
        </w:tc>
        <w:tc>
          <w:tcPr>
            <w:tcW w:w="1560" w:type="dxa"/>
            <w:vAlign w:val="bottom"/>
          </w:tcPr>
          <w:p>
            <w:pPr>
              <w:jc w:val="right"/>
              <w:spacing w:after="0"/>
              <w:rPr>
                <w:sz w:val="20"/>
                <w:szCs w:val="20"/>
                <w:color w:val="auto"/>
              </w:rPr>
            </w:pPr>
            <w:r>
              <w:rPr>
                <w:rFonts w:ascii="Arial" w:cs="Arial" w:eastAsia="Arial" w:hAnsi="Arial"/>
                <w:sz w:val="16"/>
                <w:szCs w:val="16"/>
                <w:color w:val="auto"/>
              </w:rPr>
              <w:t>11,423</w:t>
            </w:r>
          </w:p>
        </w:tc>
        <w:tc>
          <w:tcPr>
            <w:tcW w:w="0" w:type="dxa"/>
            <w:vAlign w:val="bottom"/>
          </w:tcPr>
          <w:p>
            <w:pPr>
              <w:spacing w:after="0"/>
              <w:rPr>
                <w:sz w:val="1"/>
                <w:szCs w:val="1"/>
                <w:color w:val="auto"/>
              </w:rPr>
            </w:pPr>
          </w:p>
        </w:tc>
      </w:tr>
      <w:tr>
        <w:trPr>
          <w:trHeight w:val="208"/>
        </w:trPr>
        <w:tc>
          <w:tcPr>
            <w:tcW w:w="57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3200" w:type="dxa"/>
            <w:vAlign w:val="bottom"/>
          </w:tcPr>
          <w:p>
            <w:pPr>
              <w:jc w:val="right"/>
              <w:ind w:right="258"/>
              <w:spacing w:after="0"/>
              <w:rPr>
                <w:sz w:val="20"/>
                <w:szCs w:val="20"/>
                <w:color w:val="auto"/>
              </w:rPr>
            </w:pPr>
            <w:r>
              <w:rPr>
                <w:rFonts w:ascii="Arial" w:cs="Arial" w:eastAsia="Arial" w:hAnsi="Arial"/>
                <w:sz w:val="16"/>
                <w:szCs w:val="16"/>
                <w:b w:val="1"/>
                <w:bCs w:val="1"/>
                <w:color w:val="auto"/>
              </w:rPr>
              <w:t>(250)</w:t>
            </w:r>
          </w:p>
        </w:tc>
        <w:tc>
          <w:tcPr>
            <w:tcW w:w="156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Deficit</w:t>
            </w:r>
          </w:p>
        </w:tc>
        <w:tc>
          <w:tcPr>
            <w:tcW w:w="32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(113,716)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(100,661)</w:t>
            </w:r>
          </w:p>
        </w:tc>
        <w:tc>
          <w:tcPr>
            <w:tcW w:w="0" w:type="dxa"/>
            <w:vAlign w:val="bottom"/>
          </w:tcPr>
          <w:p>
            <w:pPr>
              <w:spacing w:after="0"/>
              <w:rPr>
                <w:sz w:val="1"/>
                <w:szCs w:val="1"/>
                <w:color w:val="auto"/>
              </w:rPr>
            </w:pPr>
          </w:p>
        </w:tc>
      </w:tr>
      <w:tr>
        <w:trPr>
          <w:trHeight w:val="201"/>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2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68,185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76,155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2" w:hanging="402"/>
        <w:spacing w:after="0"/>
        <w:tabs>
          <w:tab w:leader="none" w:pos="402" w:val="left"/>
        </w:tabs>
        <w:numPr>
          <w:ilvl w:val="0"/>
          <w:numId w:val="15"/>
        </w:numPr>
        <w:rPr>
          <w:rFonts w:ascii="Arial" w:cs="Arial" w:eastAsia="Arial" w:hAnsi="Arial"/>
          <w:sz w:val="16"/>
          <w:szCs w:val="16"/>
          <w:b w:val="1"/>
          <w:bCs w:val="1"/>
          <w:color w:val="2D5F91"/>
        </w:rPr>
      </w:pPr>
      <w:r>
        <w:rPr>
          <w:rFonts w:ascii="Arial" w:cs="Arial" w:eastAsia="Arial" w:hAnsi="Arial"/>
          <w:sz w:val="16"/>
          <w:szCs w:val="16"/>
          <w:b w:val="1"/>
          <w:bCs w:val="1"/>
          <w:color w:val="2D5F91"/>
        </w:rPr>
        <w:t>FINANCIAL INSTRUMENTS</w:t>
      </w:r>
    </w:p>
    <w:p>
      <w:pPr>
        <w:spacing w:after="0" w:line="19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The Company’s financial instruments are exposed to certain financial risks, which include currency risk, credit risk, liquidity risk and interest rate risk.</w:t>
      </w:r>
    </w:p>
    <w:p>
      <w:pPr>
        <w:spacing w:after="0" w:line="171"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6100" w:type="dxa"/>
            <w:vAlign w:val="bottom"/>
          </w:tcPr>
          <w:p>
            <w:pPr>
              <w:spacing w:after="0"/>
              <w:rPr>
                <w:sz w:val="20"/>
                <w:szCs w:val="20"/>
                <w:color w:val="auto"/>
              </w:rPr>
            </w:pPr>
            <w:r>
              <w:rPr>
                <w:rFonts w:ascii="Arial" w:cs="Arial" w:eastAsia="Arial" w:hAnsi="Arial"/>
                <w:sz w:val="16"/>
                <w:szCs w:val="16"/>
                <w:color w:val="auto"/>
              </w:rPr>
              <w:t>The Company has classified its financial instruments as follows:</w:t>
            </w:r>
          </w:p>
        </w:tc>
        <w:tc>
          <w:tcPr>
            <w:tcW w:w="2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2920" w:type="dxa"/>
            <w:vAlign w:val="bottom"/>
          </w:tcPr>
          <w:p>
            <w:pPr>
              <w:jc w:val="right"/>
              <w:ind w:right="258"/>
              <w:spacing w:after="0"/>
              <w:rPr>
                <w:sz w:val="20"/>
                <w:szCs w:val="20"/>
                <w:color w:val="auto"/>
              </w:rPr>
            </w:pPr>
            <w:r>
              <w:rPr>
                <w:rFonts w:ascii="Arial" w:cs="Arial" w:eastAsia="Arial" w:hAnsi="Arial"/>
                <w:sz w:val="16"/>
                <w:szCs w:val="16"/>
                <w:b w:val="1"/>
                <w:bCs w:val="1"/>
                <w:color w:val="auto"/>
              </w:rPr>
              <w:t>June 30, 2022</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$000’s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8"/>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fair value:</w:t>
            </w:r>
          </w:p>
        </w:tc>
        <w:tc>
          <w:tcPr>
            <w:tcW w:w="292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42,460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100" w:type="dxa"/>
            <w:vAlign w:val="bottom"/>
          </w:tcPr>
          <w:p>
            <w:pPr>
              <w:ind w:left="160"/>
              <w:spacing w:after="0"/>
              <w:rPr>
                <w:sz w:val="20"/>
                <w:szCs w:val="20"/>
                <w:color w:val="auto"/>
              </w:rPr>
            </w:pPr>
            <w:r>
              <w:rPr>
                <w:rFonts w:ascii="Arial" w:cs="Arial" w:eastAsia="Arial" w:hAnsi="Arial"/>
                <w:sz w:val="16"/>
                <w:szCs w:val="16"/>
                <w:color w:val="auto"/>
              </w:rPr>
              <w:t>Cash</w:t>
            </w:r>
          </w:p>
        </w:tc>
        <w:tc>
          <w:tcPr>
            <w:tcW w:w="2920" w:type="dxa"/>
            <w:vAlign w:val="bottom"/>
            <w:vMerge w:val="continue"/>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53,641</w:t>
            </w:r>
          </w:p>
        </w:tc>
        <w:tc>
          <w:tcPr>
            <w:tcW w:w="0" w:type="dxa"/>
            <w:vAlign w:val="bottom"/>
          </w:tcPr>
          <w:p>
            <w:pPr>
              <w:spacing w:after="0"/>
              <w:rPr>
                <w:sz w:val="1"/>
                <w:szCs w:val="1"/>
                <w:color w:val="auto"/>
              </w:rPr>
            </w:pPr>
          </w:p>
        </w:tc>
      </w:tr>
      <w:tr>
        <w:trPr>
          <w:trHeight w:val="208"/>
        </w:trPr>
        <w:tc>
          <w:tcPr>
            <w:tcW w:w="610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2920" w:type="dxa"/>
            <w:vAlign w:val="bottom"/>
          </w:tcPr>
          <w:p>
            <w:pPr>
              <w:jc w:val="right"/>
              <w:ind w:right="258"/>
              <w:spacing w:after="0"/>
              <w:rPr>
                <w:sz w:val="20"/>
                <w:szCs w:val="20"/>
                <w:color w:val="auto"/>
              </w:rPr>
            </w:pPr>
            <w:r>
              <w:rPr>
                <w:rFonts w:ascii="Arial" w:cs="Arial" w:eastAsia="Arial" w:hAnsi="Arial"/>
                <w:sz w:val="16"/>
                <w:szCs w:val="16"/>
                <w:b w:val="1"/>
                <w:bCs w:val="1"/>
                <w:color w:val="auto"/>
              </w:rPr>
              <w:t>260</w:t>
            </w:r>
          </w:p>
        </w:tc>
        <w:tc>
          <w:tcPr>
            <w:tcW w:w="15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6"/>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amortized cost:</w:t>
            </w:r>
          </w:p>
        </w:tc>
        <w:tc>
          <w:tcPr>
            <w:tcW w:w="292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44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10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292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fair value:</w:t>
            </w:r>
          </w:p>
        </w:tc>
        <w:tc>
          <w:tcPr>
            <w:tcW w:w="292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467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tcPr>
          <w:p>
            <w:pPr>
              <w:ind w:left="160"/>
              <w:spacing w:after="0"/>
              <w:rPr>
                <w:sz w:val="20"/>
                <w:szCs w:val="20"/>
                <w:color w:val="auto"/>
              </w:rPr>
            </w:pPr>
            <w:r>
              <w:rPr>
                <w:rFonts w:ascii="Arial" w:cs="Arial" w:eastAsia="Arial" w:hAnsi="Arial"/>
                <w:sz w:val="16"/>
                <w:szCs w:val="16"/>
                <w:color w:val="auto"/>
              </w:rPr>
              <w:t>Contingent consideration payable</w:t>
            </w:r>
          </w:p>
        </w:tc>
        <w:tc>
          <w:tcPr>
            <w:tcW w:w="2920" w:type="dxa"/>
            <w:vAlign w:val="bottom"/>
            <w:vMerge w:val="continue"/>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32"/>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amortized cost:</w:t>
            </w:r>
          </w:p>
        </w:tc>
        <w:tc>
          <w:tcPr>
            <w:tcW w:w="292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5,938</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92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carrying value of the Company’s financial instruments approximate their fair value.</w:t>
      </w:r>
    </w:p>
    <w:p>
      <w:pPr>
        <w:spacing w:after="0" w:line="151" w:lineRule="exact"/>
        <w:rPr>
          <w:sz w:val="20"/>
          <w:szCs w:val="20"/>
          <w:color w:val="auto"/>
        </w:rPr>
      </w:pPr>
    </w:p>
    <w:p>
      <w:pPr>
        <w:ind w:left="302"/>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91"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149"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Level 1: Fair value is based on unadjusted quoted prices for identical assets or liabilities in an active market. The types of assets and liabilities classified as Level 1 generally included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19 of 24</w:t>
      </w:r>
    </w:p>
    <w:p>
      <w:pPr>
        <w:sectPr>
          <w:pgSz w:w="11900" w:h="16838" w:orient="portrait"/>
          <w:cols w:equalWidth="0" w:num="1">
            <w:col w:w="11242"/>
          </w:cols>
          <w:pgMar w:left="318" w:top="171"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56"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investments and the contingent liabilities are classified as Level 3.</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no transfers between levels of the fair value hierarchy for the three-month period ended June 30, 2022.</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changes in level 3 financial instruments for the three-month period ended June 30, 2022.</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6"/>
        </w:trPr>
        <w:tc>
          <w:tcPr>
            <w:tcW w:w="7920" w:type="dxa"/>
            <w:vAlign w:val="bottom"/>
          </w:tcPr>
          <w:p>
            <w:pPr>
              <w:spacing w:after="0"/>
              <w:rPr>
                <w:sz w:val="20"/>
                <w:szCs w:val="20"/>
                <w:color w:val="auto"/>
              </w:rPr>
            </w:pPr>
            <w:r>
              <w:rPr>
                <w:rFonts w:ascii="Arial" w:cs="Arial" w:eastAsia="Arial" w:hAnsi="Arial"/>
                <w:sz w:val="16"/>
                <w:szCs w:val="16"/>
                <w:color w:val="auto"/>
              </w:rPr>
              <w:t>Balance as at March 31, 2022</w:t>
            </w:r>
          </w:p>
        </w:tc>
        <w:tc>
          <w:tcPr>
            <w:tcW w:w="26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32"/>
        </w:trPr>
        <w:tc>
          <w:tcPr>
            <w:tcW w:w="7920" w:type="dxa"/>
            <w:vAlign w:val="bottom"/>
          </w:tcPr>
          <w:p>
            <w:pPr>
              <w:spacing w:after="0"/>
              <w:rPr>
                <w:sz w:val="20"/>
                <w:szCs w:val="20"/>
                <w:color w:val="auto"/>
              </w:rPr>
            </w:pPr>
            <w:r>
              <w:rPr>
                <w:rFonts w:ascii="Arial" w:cs="Arial" w:eastAsia="Arial" w:hAnsi="Arial"/>
                <w:sz w:val="16"/>
                <w:szCs w:val="16"/>
                <w:color w:val="auto"/>
              </w:rPr>
              <w:t>Interest income</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fair value of investments measured at fair value through profit or loss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at June 30, 2022</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w:t>
            </w:r>
          </w:p>
        </w:tc>
      </w:tr>
    </w:tbl>
    <w:p>
      <w:pPr>
        <w:spacing w:after="0" w:line="2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quantitative information about the significant unobservable inputs used in level 3 fair value measurements: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40" w:type="dxa"/>
            <w:vAlign w:val="bottom"/>
            <w:tcBorders>
              <w:bottom w:val="single" w:sz="8" w:color="auto"/>
            </w:tcBorders>
            <w:gridSpan w:val="2"/>
          </w:tcPr>
          <w:p>
            <w:pPr>
              <w:ind w:left="1120"/>
              <w:spacing w:after="0"/>
              <w:rPr>
                <w:sz w:val="20"/>
                <w:szCs w:val="20"/>
                <w:color w:val="auto"/>
              </w:rPr>
            </w:pPr>
            <w:r>
              <w:rPr>
                <w:rFonts w:ascii="Arial" w:cs="Arial" w:eastAsia="Arial" w:hAnsi="Arial"/>
                <w:sz w:val="16"/>
                <w:szCs w:val="16"/>
                <w:b w:val="1"/>
                <w:bCs w:val="1"/>
                <w:color w:val="auto"/>
              </w:rPr>
              <w:t>Fair Value as at</w:t>
            </w: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980" w:type="dxa"/>
            <w:vAlign w:val="bottom"/>
          </w:tcPr>
          <w:p>
            <w:pPr>
              <w:jc w:val="right"/>
              <w:ind w:right="218"/>
              <w:spacing w:after="0"/>
              <w:rPr>
                <w:sz w:val="20"/>
                <w:szCs w:val="20"/>
                <w:color w:val="auto"/>
              </w:rPr>
            </w:pPr>
            <w:r>
              <w:rPr>
                <w:rFonts w:ascii="Arial" w:cs="Arial" w:eastAsia="Arial" w:hAnsi="Arial"/>
                <w:sz w:val="16"/>
                <w:szCs w:val="16"/>
                <w:b w:val="1"/>
                <w:bCs w:val="1"/>
                <w:color w:val="auto"/>
              </w:rPr>
              <w:t>June 30, 2022</w:t>
            </w:r>
          </w:p>
        </w:tc>
        <w:tc>
          <w:tcPr>
            <w:tcW w:w="1460" w:type="dxa"/>
            <w:vAlign w:val="bottom"/>
          </w:tcPr>
          <w:p>
            <w:pPr>
              <w:ind w:left="280"/>
              <w:spacing w:after="0"/>
              <w:rPr>
                <w:sz w:val="20"/>
                <w:szCs w:val="20"/>
                <w:color w:val="auto"/>
              </w:rPr>
            </w:pPr>
            <w:r>
              <w:rPr>
                <w:rFonts w:ascii="Arial" w:cs="Arial" w:eastAsia="Arial" w:hAnsi="Arial"/>
                <w:sz w:val="16"/>
                <w:szCs w:val="16"/>
                <w:b w:val="1"/>
                <w:bCs w:val="1"/>
                <w:color w:val="auto"/>
              </w:rPr>
              <w:t>March 31, 2022</w:t>
            </w:r>
          </w:p>
        </w:tc>
        <w:tc>
          <w:tcPr>
            <w:tcW w:w="2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Range of</w:t>
            </w: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Relationship of unobservable</w:t>
            </w:r>
          </w:p>
        </w:tc>
        <w:tc>
          <w:tcPr>
            <w:tcW w:w="0" w:type="dxa"/>
            <w:vAlign w:val="bottom"/>
          </w:tcPr>
          <w:p>
            <w:pPr>
              <w:spacing w:after="0"/>
              <w:rPr>
                <w:sz w:val="1"/>
                <w:szCs w:val="1"/>
                <w:color w:val="auto"/>
              </w:rPr>
            </w:pPr>
          </w:p>
        </w:tc>
      </w:tr>
      <w:tr>
        <w:trPr>
          <w:trHeight w:val="38"/>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000’s</w:t>
            </w:r>
          </w:p>
        </w:tc>
        <w:tc>
          <w:tcPr>
            <w:tcW w:w="1460" w:type="dxa"/>
            <w:vAlign w:val="bottom"/>
            <w:vMerge w:val="restart"/>
          </w:tcPr>
          <w:p>
            <w:pPr>
              <w:ind w:left="1000"/>
              <w:spacing w:after="0"/>
              <w:rPr>
                <w:sz w:val="20"/>
                <w:szCs w:val="20"/>
                <w:color w:val="auto"/>
              </w:rPr>
            </w:pPr>
            <w:r>
              <w:rPr>
                <w:rFonts w:ascii="Arial" w:cs="Arial" w:eastAsia="Arial" w:hAnsi="Arial"/>
                <w:sz w:val="16"/>
                <w:szCs w:val="16"/>
                <w:b w:val="1"/>
                <w:bCs w:val="1"/>
                <w:color w:val="auto"/>
              </w:rPr>
              <w:t>000’s</w:t>
            </w:r>
          </w:p>
        </w:tc>
        <w:tc>
          <w:tcPr>
            <w:tcW w:w="2180" w:type="dxa"/>
            <w:vAlign w:val="bottom"/>
            <w:vMerge w:val="restart"/>
          </w:tcPr>
          <w:p>
            <w:pPr>
              <w:jc w:val="right"/>
              <w:ind w:right="118"/>
              <w:spacing w:after="0"/>
              <w:rPr>
                <w:sz w:val="20"/>
                <w:szCs w:val="20"/>
                <w:color w:val="auto"/>
              </w:rPr>
            </w:pPr>
            <w:r>
              <w:rPr>
                <w:rFonts w:ascii="Arial" w:cs="Arial" w:eastAsia="Arial" w:hAnsi="Arial"/>
                <w:sz w:val="16"/>
                <w:szCs w:val="16"/>
                <w:b w:val="1"/>
                <w:bCs w:val="1"/>
                <w:color w:val="auto"/>
              </w:rPr>
              <w:t>Unobservable inputs</w:t>
            </w:r>
          </w:p>
        </w:tc>
        <w:tc>
          <w:tcPr>
            <w:tcW w:w="940" w:type="dxa"/>
            <w:vAlign w:val="bottom"/>
            <w:vMerge w:val="continue"/>
          </w:tcPr>
          <w:p>
            <w:pPr>
              <w:spacing w:after="0"/>
              <w:rPr>
                <w:sz w:val="3"/>
                <w:szCs w:val="3"/>
                <w:color w:val="auto"/>
              </w:rPr>
            </w:pPr>
          </w:p>
        </w:tc>
        <w:tc>
          <w:tcPr>
            <w:tcW w:w="2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162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 to fair value</w:t>
            </w:r>
          </w:p>
        </w:tc>
        <w:tc>
          <w:tcPr>
            <w:tcW w:w="0" w:type="dxa"/>
            <w:vAlign w:val="bottom"/>
          </w:tcPr>
          <w:p>
            <w:pPr>
              <w:spacing w:after="0"/>
              <w:rPr>
                <w:sz w:val="1"/>
                <w:szCs w:val="1"/>
                <w:color w:val="auto"/>
              </w:rPr>
            </w:pPr>
          </w:p>
        </w:tc>
      </w:tr>
      <w:tr>
        <w:trPr>
          <w:trHeight w:val="163"/>
        </w:trPr>
        <w:tc>
          <w:tcPr>
            <w:tcW w:w="1620" w:type="dxa"/>
            <w:vAlign w:val="bottom"/>
          </w:tcPr>
          <w:p>
            <w:pPr>
              <w:spacing w:after="0" w:line="163" w:lineRule="exact"/>
              <w:rPr>
                <w:sz w:val="20"/>
                <w:szCs w:val="20"/>
                <w:color w:val="auto"/>
              </w:rPr>
            </w:pPr>
            <w:r>
              <w:rPr>
                <w:rFonts w:ascii="Arial" w:cs="Arial" w:eastAsia="Arial" w:hAnsi="Arial"/>
                <w:sz w:val="16"/>
                <w:szCs w:val="16"/>
                <w:color w:val="auto"/>
              </w:rPr>
              <w:t>Rx Hybrid Instrument</w:t>
            </w:r>
          </w:p>
        </w:tc>
        <w:tc>
          <w:tcPr>
            <w:tcW w:w="1980" w:type="dxa"/>
            <w:vAlign w:val="bottom"/>
          </w:tcPr>
          <w:p>
            <w:pPr>
              <w:jc w:val="right"/>
              <w:ind w:right="278"/>
              <w:spacing w:after="0" w:line="163" w:lineRule="exact"/>
              <w:rPr>
                <w:sz w:val="20"/>
                <w:szCs w:val="20"/>
                <w:color w:val="auto"/>
              </w:rPr>
            </w:pPr>
            <w:r>
              <w:rPr>
                <w:rFonts w:ascii="Arial" w:cs="Arial" w:eastAsia="Arial" w:hAnsi="Arial"/>
                <w:sz w:val="16"/>
                <w:szCs w:val="16"/>
                <w:b w:val="1"/>
                <w:bCs w:val="1"/>
                <w:color w:val="auto"/>
              </w:rPr>
              <w:t>260</w:t>
            </w:r>
          </w:p>
        </w:tc>
        <w:tc>
          <w:tcPr>
            <w:tcW w:w="3640" w:type="dxa"/>
            <w:vAlign w:val="bottom"/>
            <w:gridSpan w:val="2"/>
          </w:tcPr>
          <w:p>
            <w:pPr>
              <w:jc w:val="right"/>
              <w:ind w:right="118"/>
              <w:spacing w:after="0" w:line="163" w:lineRule="exact"/>
              <w:rPr>
                <w:sz w:val="20"/>
                <w:szCs w:val="20"/>
                <w:color w:val="auto"/>
              </w:rPr>
            </w:pPr>
            <w:r>
              <w:rPr>
                <w:rFonts w:ascii="Arial" w:cs="Arial" w:eastAsia="Arial" w:hAnsi="Arial"/>
                <w:sz w:val="16"/>
                <w:szCs w:val="16"/>
                <w:color w:val="auto"/>
              </w:rPr>
              <w:t>242   Fair value interest rate of</w:t>
            </w:r>
          </w:p>
        </w:tc>
        <w:tc>
          <w:tcPr>
            <w:tcW w:w="940" w:type="dxa"/>
            <w:vAlign w:val="bottom"/>
          </w:tcPr>
          <w:p>
            <w:pPr>
              <w:jc w:val="right"/>
              <w:spacing w:after="0" w:line="163" w:lineRule="exact"/>
              <w:rPr>
                <w:sz w:val="20"/>
                <w:szCs w:val="20"/>
                <w:color w:val="auto"/>
              </w:rPr>
            </w:pPr>
            <w:r>
              <w:rPr>
                <w:rFonts w:ascii="Arial" w:cs="Arial" w:eastAsia="Arial" w:hAnsi="Arial"/>
                <w:sz w:val="16"/>
                <w:szCs w:val="16"/>
                <w:color w:val="auto"/>
              </w:rPr>
              <w:t>10%</w:t>
            </w:r>
          </w:p>
        </w:tc>
        <w:tc>
          <w:tcPr>
            <w:tcW w:w="2500" w:type="dxa"/>
            <w:vAlign w:val="bottom"/>
          </w:tcPr>
          <w:p>
            <w:pPr>
              <w:jc w:val="right"/>
              <w:spacing w:after="0" w:line="163" w:lineRule="exact"/>
              <w:rPr>
                <w:sz w:val="20"/>
                <w:szCs w:val="20"/>
                <w:color w:val="auto"/>
              </w:rPr>
            </w:pPr>
            <w:r>
              <w:rPr>
                <w:rFonts w:ascii="Arial" w:cs="Arial" w:eastAsia="Arial" w:hAnsi="Arial"/>
                <w:sz w:val="16"/>
                <w:szCs w:val="16"/>
                <w:color w:val="auto"/>
              </w:rPr>
              <w:t>Increase/decrease in the fair</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tcPr>
          <w:p>
            <w:pPr>
              <w:jc w:val="right"/>
              <w:ind w:right="118"/>
              <w:spacing w:after="0" w:line="159" w:lineRule="exact"/>
              <w:rPr>
                <w:sz w:val="20"/>
                <w:szCs w:val="20"/>
                <w:color w:val="auto"/>
              </w:rPr>
            </w:pPr>
            <w:r>
              <w:rPr>
                <w:rFonts w:ascii="Arial" w:cs="Arial" w:eastAsia="Arial" w:hAnsi="Arial"/>
                <w:sz w:val="16"/>
                <w:szCs w:val="16"/>
                <w:color w:val="auto"/>
              </w:rPr>
              <w:t>loan and conversion</w:t>
            </w:r>
          </w:p>
        </w:tc>
        <w:tc>
          <w:tcPr>
            <w:tcW w:w="940" w:type="dxa"/>
            <w:vAlign w:val="bottom"/>
          </w:tcPr>
          <w:p>
            <w:pPr>
              <w:spacing w:after="0"/>
              <w:rPr>
                <w:sz w:val="13"/>
                <w:szCs w:val="13"/>
                <w:color w:val="auto"/>
              </w:rPr>
            </w:pPr>
          </w:p>
        </w:tc>
        <w:tc>
          <w:tcPr>
            <w:tcW w:w="2500" w:type="dxa"/>
            <w:vAlign w:val="bottom"/>
          </w:tcPr>
          <w:p>
            <w:pPr>
              <w:jc w:val="right"/>
              <w:spacing w:after="0" w:line="159" w:lineRule="exact"/>
              <w:rPr>
                <w:sz w:val="20"/>
                <w:szCs w:val="20"/>
                <w:color w:val="auto"/>
              </w:rPr>
            </w:pPr>
            <w:r>
              <w:rPr>
                <w:rFonts w:ascii="Arial" w:cs="Arial" w:eastAsia="Arial" w:hAnsi="Arial"/>
                <w:sz w:val="16"/>
                <w:szCs w:val="16"/>
                <w:color w:val="auto"/>
              </w:rPr>
              <w:t>value rate by 1% would not have</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tcPr>
          <w:p>
            <w:pPr>
              <w:jc w:val="right"/>
              <w:ind w:right="118"/>
              <w:spacing w:after="0" w:line="159" w:lineRule="exact"/>
              <w:rPr>
                <w:sz w:val="20"/>
                <w:szCs w:val="20"/>
                <w:color w:val="auto"/>
              </w:rPr>
            </w:pPr>
            <w:r>
              <w:rPr>
                <w:rFonts w:ascii="Arial" w:cs="Arial" w:eastAsia="Arial" w:hAnsi="Arial"/>
                <w:sz w:val="16"/>
                <w:szCs w:val="16"/>
                <w:color w:val="auto"/>
              </w:rPr>
              <w:t>feature</w:t>
            </w:r>
          </w:p>
        </w:tc>
        <w:tc>
          <w:tcPr>
            <w:tcW w:w="940" w:type="dxa"/>
            <w:vAlign w:val="bottom"/>
          </w:tcPr>
          <w:p>
            <w:pPr>
              <w:spacing w:after="0"/>
              <w:rPr>
                <w:sz w:val="13"/>
                <w:szCs w:val="13"/>
                <w:color w:val="auto"/>
              </w:rPr>
            </w:pPr>
          </w:p>
        </w:tc>
        <w:tc>
          <w:tcPr>
            <w:tcW w:w="2500" w:type="dxa"/>
            <w:vAlign w:val="bottom"/>
          </w:tcPr>
          <w:p>
            <w:pPr>
              <w:jc w:val="right"/>
              <w:spacing w:after="0" w:line="159" w:lineRule="exact"/>
              <w:rPr>
                <w:sz w:val="20"/>
                <w:szCs w:val="20"/>
                <w:color w:val="auto"/>
              </w:rPr>
            </w:pPr>
            <w:r>
              <w:rPr>
                <w:rFonts w:ascii="Arial" w:cs="Arial" w:eastAsia="Arial" w:hAnsi="Arial"/>
                <w:sz w:val="16"/>
                <w:szCs w:val="16"/>
                <w:color w:val="auto"/>
              </w:rPr>
              <w:t>a material effect on the fair value</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of the investment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Financial risk management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Credit risk</w:t>
      </w:r>
    </w:p>
    <w:p>
      <w:pPr>
        <w:spacing w:after="0" w:line="203"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June 30, 2022, the Company’s maximum exposure to credit risk is the carrying value of its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20 of 24</w:t>
      </w:r>
    </w:p>
    <w:p>
      <w:pPr>
        <w:sectPr>
          <w:pgSz w:w="11900" w:h="16838" w:orient="portrait"/>
          <w:cols w:equalWidth="0" w:num="1">
            <w:col w:w="11180"/>
          </w:cols>
          <w:pgMar w:left="380" w:top="171"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Liquidity risk</w:t>
      </w:r>
    </w:p>
    <w:p>
      <w:pPr>
        <w:spacing w:after="0" w:line="203"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136"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As at June 30, 2022, the Company had cash of $42,460 (March 31, 2022 - $53,641) in order to meet current liabilities. Accounts payable and accrued liabilities include trade payables and other obligations of $5,938 (March 31, 2022 - $5,262), all amounts are due within the next 12 months.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Market risk</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significant market risks to which the Company is exposed are interest rate risk and currency risk.</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187"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June 30, 2022, the Company has determined its exposure to interest rate risk is minimal.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187"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had the following balances in monetary assets and monetary liabilities which are subject to fluctuation against CAD:</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140" w:type="dxa"/>
            <w:vAlign w:val="bottom"/>
            <w:tcBorders>
              <w:bottom w:val="single" w:sz="8" w:color="auto"/>
            </w:tcBorders>
          </w:tcPr>
          <w:p>
            <w:pPr>
              <w:ind w:left="3840"/>
              <w:spacing w:after="0"/>
              <w:rPr>
                <w:sz w:val="20"/>
                <w:szCs w:val="20"/>
                <w:color w:val="auto"/>
              </w:rPr>
            </w:pPr>
            <w:r>
              <w:rPr>
                <w:rFonts w:ascii="Arial" w:cs="Arial" w:eastAsia="Arial" w:hAnsi="Arial"/>
                <w:sz w:val="16"/>
                <w:szCs w:val="16"/>
                <w:b w:val="1"/>
                <w:bCs w:val="1"/>
                <w:color w:val="auto"/>
              </w:rPr>
              <w:t>Denominated in:</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US$000’s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GBP 000’s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EUR 000’s</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Cash</w:t>
            </w:r>
          </w:p>
        </w:tc>
        <w:tc>
          <w:tcPr>
            <w:tcW w:w="5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1,201</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301</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and accrued liabilities</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r>
      <w:tr>
        <w:trPr>
          <w:trHeight w:val="208"/>
        </w:trPr>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1,119</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232</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rate</w:t>
            </w: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1.2886</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1.5668</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r>
      <w:tr>
        <w:trPr>
          <w:trHeight w:val="201"/>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Equivalent in Canadian dollars</w:t>
            </w:r>
          </w:p>
        </w:tc>
        <w:tc>
          <w:tcPr>
            <w:tcW w:w="5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5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Impact of 10% change in foreign currency rate</w:t>
            </w:r>
          </w:p>
        </w:tc>
        <w:tc>
          <w:tcPr>
            <w:tcW w:w="5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5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244" w:lineRule="exact"/>
        <w:rPr>
          <w:sz w:val="20"/>
          <w:szCs w:val="20"/>
          <w:color w:val="auto"/>
        </w:rPr>
      </w:pPr>
    </w:p>
    <w:p>
      <w:pPr>
        <w:ind w:left="240"/>
        <w:spacing w:after="0" w:line="270" w:lineRule="auto"/>
        <w:rPr>
          <w:sz w:val="20"/>
          <w:szCs w:val="20"/>
          <w:color w:val="auto"/>
        </w:rPr>
      </w:pPr>
      <w:r>
        <w:rPr>
          <w:rFonts w:ascii="Arial" w:cs="Arial" w:eastAsia="Arial" w:hAnsi="Arial"/>
          <w:sz w:val="16"/>
          <w:szCs w:val="16"/>
          <w:color w:val="auto"/>
        </w:rPr>
        <w:t>Based on the above net exposures as at June 30, 2022, and assuming that all other variables remain constant, a 10% change of the USD, GBP and EUR, against the CAD would impact net loss by approximately by $213.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21 of 24</w:t>
      </w:r>
    </w:p>
    <w:p>
      <w:pPr>
        <w:sectPr>
          <w:pgSz w:w="11900" w:h="16838" w:orient="portrait"/>
          <w:cols w:equalWidth="0" w:num="1">
            <w:col w:w="11180"/>
          </w:cols>
          <w:pgMar w:left="380" w:top="171" w:right="339" w:bottom="1440" w:gutter="0" w:footer="0" w:header="0"/>
        </w:sectPr>
      </w:pPr>
    </w:p>
    <w:bookmarkStart w:id="24" w:name="page25"/>
    <w:bookmarkEnd w:id="24"/>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6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2" w:hanging="402"/>
        <w:spacing w:after="0"/>
        <w:tabs>
          <w:tab w:leader="none" w:pos="402" w:val="left"/>
        </w:tabs>
        <w:numPr>
          <w:ilvl w:val="0"/>
          <w:numId w:val="16"/>
        </w:numPr>
        <w:rPr>
          <w:rFonts w:ascii="Arial" w:cs="Arial" w:eastAsia="Arial" w:hAnsi="Arial"/>
          <w:sz w:val="16"/>
          <w:szCs w:val="16"/>
          <w:b w:val="1"/>
          <w:bCs w:val="1"/>
          <w:color w:val="2D5F91"/>
        </w:rPr>
      </w:pPr>
      <w:r>
        <w:rPr>
          <w:rFonts w:ascii="Arial" w:cs="Arial" w:eastAsia="Arial" w:hAnsi="Arial"/>
          <w:sz w:val="16"/>
          <w:szCs w:val="16"/>
          <w:b w:val="1"/>
          <w:bCs w:val="1"/>
          <w:color w:val="2D5F91"/>
        </w:rPr>
        <w:t>INCOME TAX</w:t>
      </w:r>
    </w:p>
    <w:p>
      <w:pPr>
        <w:spacing w:after="0" w:line="20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Major items causing the Company’s income tax rate to differ from the Canadian statutory rate of approximately 26.50% are as follows:</w:t>
      </w:r>
    </w:p>
    <w:p>
      <w:pPr>
        <w:spacing w:after="0" w:line="187"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For the three-month period ended</w:t>
            </w:r>
          </w:p>
        </w:tc>
        <w:tc>
          <w:tcPr>
            <w:tcW w:w="32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June 30,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1"/>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and comprehensive loss before income taxes</w:t>
            </w:r>
          </w:p>
        </w:tc>
        <w:tc>
          <w:tcPr>
            <w:tcW w:w="32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13,055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14,717</w:t>
            </w:r>
          </w:p>
        </w:tc>
      </w:tr>
      <w:tr>
        <w:trPr>
          <w:trHeight w:val="375"/>
        </w:trPr>
        <w:tc>
          <w:tcPr>
            <w:tcW w:w="5820" w:type="dxa"/>
            <w:vAlign w:val="bottom"/>
          </w:tcPr>
          <w:p>
            <w:pPr>
              <w:spacing w:after="0"/>
              <w:rPr>
                <w:sz w:val="20"/>
                <w:szCs w:val="20"/>
                <w:color w:val="auto"/>
              </w:rPr>
            </w:pPr>
            <w:r>
              <w:rPr>
                <w:rFonts w:ascii="Arial" w:cs="Arial" w:eastAsia="Arial" w:hAnsi="Arial"/>
                <w:sz w:val="16"/>
                <w:szCs w:val="16"/>
                <w:color w:val="auto"/>
              </w:rPr>
              <w:t>Expected recovery at statutory rate</w:t>
            </w:r>
          </w:p>
        </w:tc>
        <w:tc>
          <w:tcPr>
            <w:tcW w:w="3280" w:type="dxa"/>
            <w:vAlign w:val="bottom"/>
          </w:tcPr>
          <w:p>
            <w:pPr>
              <w:jc w:val="right"/>
              <w:ind w:right="238"/>
              <w:spacing w:after="0"/>
              <w:rPr>
                <w:sz w:val="20"/>
                <w:szCs w:val="20"/>
                <w:color w:val="auto"/>
              </w:rPr>
            </w:pPr>
            <w:r>
              <w:rPr>
                <w:rFonts w:ascii="Arial" w:cs="Arial" w:eastAsia="Arial" w:hAnsi="Arial"/>
                <w:sz w:val="16"/>
                <w:szCs w:val="16"/>
                <w:b w:val="1"/>
                <w:bCs w:val="1"/>
                <w:color w:val="auto"/>
              </w:rPr>
              <w:t>3,460</w:t>
            </w:r>
          </w:p>
        </w:tc>
        <w:tc>
          <w:tcPr>
            <w:tcW w:w="1440" w:type="dxa"/>
            <w:vAlign w:val="bottom"/>
          </w:tcPr>
          <w:p>
            <w:pPr>
              <w:jc w:val="right"/>
              <w:spacing w:after="0"/>
              <w:rPr>
                <w:sz w:val="20"/>
                <w:szCs w:val="20"/>
                <w:color w:val="auto"/>
              </w:rPr>
            </w:pPr>
            <w:r>
              <w:rPr>
                <w:rFonts w:ascii="Arial" w:cs="Arial" w:eastAsia="Arial" w:hAnsi="Arial"/>
                <w:sz w:val="16"/>
                <w:szCs w:val="16"/>
                <w:color w:val="auto"/>
              </w:rPr>
              <w:t>3,900</w:t>
            </w: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280" w:type="dxa"/>
            <w:vAlign w:val="bottom"/>
          </w:tcPr>
          <w:p>
            <w:pPr>
              <w:jc w:val="right"/>
              <w:ind w:right="238"/>
              <w:spacing w:after="0"/>
              <w:rPr>
                <w:sz w:val="20"/>
                <w:szCs w:val="20"/>
                <w:color w:val="auto"/>
              </w:rPr>
            </w:pPr>
            <w:r>
              <w:rPr>
                <w:rFonts w:ascii="Arial" w:cs="Arial" w:eastAsia="Arial" w:hAnsi="Arial"/>
                <w:sz w:val="16"/>
                <w:szCs w:val="16"/>
                <w:b w:val="1"/>
                <w:bCs w:val="1"/>
                <w:color w:val="auto"/>
              </w:rPr>
              <w:t>(571)</w:t>
            </w:r>
          </w:p>
        </w:tc>
        <w:tc>
          <w:tcPr>
            <w:tcW w:w="1440" w:type="dxa"/>
            <w:vAlign w:val="bottom"/>
          </w:tcPr>
          <w:p>
            <w:pPr>
              <w:jc w:val="right"/>
              <w:spacing w:after="0"/>
              <w:rPr>
                <w:sz w:val="20"/>
                <w:szCs w:val="20"/>
                <w:color w:val="auto"/>
              </w:rPr>
            </w:pPr>
            <w:r>
              <w:rPr>
                <w:rFonts w:ascii="Arial" w:cs="Arial" w:eastAsia="Arial" w:hAnsi="Arial"/>
                <w:sz w:val="16"/>
                <w:szCs w:val="16"/>
                <w:color w:val="auto"/>
              </w:rPr>
              <w:t>(1,265)</w:t>
            </w: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Share issuance costs</w:t>
            </w:r>
          </w:p>
        </w:tc>
        <w:tc>
          <w:tcPr>
            <w:tcW w:w="3280" w:type="dxa"/>
            <w:vAlign w:val="bottom"/>
          </w:tcPr>
          <w:p>
            <w:pPr>
              <w:jc w:val="right"/>
              <w:ind w:right="238"/>
              <w:spacing w:after="0"/>
              <w:rPr>
                <w:sz w:val="20"/>
                <w:szCs w:val="20"/>
                <w:color w:val="auto"/>
              </w:rPr>
            </w:pPr>
            <w:r>
              <w:rPr>
                <w:rFonts w:ascii="Arial" w:cs="Arial" w:eastAsia="Arial" w:hAnsi="Arial"/>
                <w:sz w:val="16"/>
                <w:szCs w:val="16"/>
                <w:b w:val="1"/>
                <w:bCs w:val="1"/>
                <w:color w:val="auto"/>
              </w:rPr>
              <w:t>523</w:t>
            </w:r>
          </w:p>
        </w:tc>
        <w:tc>
          <w:tcPr>
            <w:tcW w:w="1440" w:type="dxa"/>
            <w:vAlign w:val="bottom"/>
          </w:tcPr>
          <w:p>
            <w:pPr>
              <w:spacing w:after="0"/>
              <w:rPr>
                <w:sz w:val="18"/>
                <w:szCs w:val="18"/>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Difference between Canadian and foreign tax rates</w:t>
            </w:r>
          </w:p>
        </w:tc>
        <w:tc>
          <w:tcPr>
            <w:tcW w:w="3280" w:type="dxa"/>
            <w:vAlign w:val="bottom"/>
          </w:tcPr>
          <w:p>
            <w:pPr>
              <w:jc w:val="right"/>
              <w:ind w:right="238"/>
              <w:spacing w:after="0"/>
              <w:rPr>
                <w:sz w:val="20"/>
                <w:szCs w:val="20"/>
                <w:color w:val="auto"/>
              </w:rPr>
            </w:pPr>
            <w:r>
              <w:rPr>
                <w:rFonts w:ascii="Arial" w:cs="Arial" w:eastAsia="Arial" w:hAnsi="Arial"/>
                <w:sz w:val="16"/>
                <w:szCs w:val="16"/>
                <w:b w:val="1"/>
                <w:bCs w:val="1"/>
                <w:color w:val="auto"/>
              </w:rPr>
              <w:t>(1,071)</w:t>
            </w:r>
          </w:p>
        </w:tc>
        <w:tc>
          <w:tcPr>
            <w:tcW w:w="14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Non-deductible expenses</w:t>
            </w:r>
          </w:p>
        </w:tc>
        <w:tc>
          <w:tcPr>
            <w:tcW w:w="3280" w:type="dxa"/>
            <w:vAlign w:val="bottom"/>
          </w:tcPr>
          <w:p>
            <w:pPr>
              <w:jc w:val="right"/>
              <w:ind w:right="238"/>
              <w:spacing w:after="0"/>
              <w:rPr>
                <w:sz w:val="20"/>
                <w:szCs w:val="20"/>
                <w:color w:val="auto"/>
              </w:rPr>
            </w:pPr>
            <w:r>
              <w:rPr>
                <w:rFonts w:ascii="Arial" w:cs="Arial" w:eastAsia="Arial" w:hAnsi="Arial"/>
                <w:sz w:val="16"/>
                <w:szCs w:val="16"/>
                <w:b w:val="1"/>
                <w:bCs w:val="1"/>
                <w:color w:val="auto"/>
              </w:rPr>
              <w:t>(236)</w:t>
            </w:r>
          </w:p>
        </w:tc>
        <w:tc>
          <w:tcPr>
            <w:tcW w:w="144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unrecognized deferred tax assets</w:t>
            </w:r>
          </w:p>
        </w:tc>
        <w:tc>
          <w:tcPr>
            <w:tcW w:w="32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(2,105)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w:t>
            </w:r>
          </w:p>
        </w:tc>
      </w:tr>
      <w:tr>
        <w:trPr>
          <w:trHeight w:val="201"/>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tax recovery</w:t>
            </w:r>
          </w:p>
        </w:tc>
        <w:tc>
          <w:tcPr>
            <w:tcW w:w="32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44" w:lineRule="exact"/>
        <w:rPr>
          <w:sz w:val="20"/>
          <w:szCs w:val="20"/>
          <w:color w:val="auto"/>
        </w:rPr>
      </w:pPr>
    </w:p>
    <w:p>
      <w:pPr>
        <w:ind w:left="302" w:right="20"/>
        <w:spacing w:after="0" w:line="270" w:lineRule="auto"/>
        <w:rPr>
          <w:sz w:val="20"/>
          <w:szCs w:val="20"/>
          <w:color w:val="auto"/>
        </w:rPr>
      </w:pPr>
      <w:r>
        <w:rPr>
          <w:rFonts w:ascii="Arial" w:cs="Arial" w:eastAsia="Arial" w:hAnsi="Arial"/>
          <w:sz w:val="16"/>
          <w:szCs w:val="16"/>
          <w:color w:val="auto"/>
        </w:rPr>
        <w:t>The significant components of the Company’s deferred tax assets, resulting from temporary differences, unused tax credits and unused tax losses, that have not been included on the consolidated statements of financial position, are as follows:</w:t>
      </w:r>
    </w:p>
    <w:p>
      <w:pPr>
        <w:spacing w:after="0" w:line="153"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at</w:t>
            </w:r>
          </w:p>
        </w:tc>
        <w:tc>
          <w:tcPr>
            <w:tcW w:w="41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June 30,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r>
      <w:tr>
        <w:trPr>
          <w:trHeight w:val="192"/>
        </w:trPr>
        <w:tc>
          <w:tcPr>
            <w:tcW w:w="4880" w:type="dxa"/>
            <w:vAlign w:val="bottom"/>
          </w:tcPr>
          <w:p>
            <w:pPr>
              <w:spacing w:after="0"/>
              <w:rPr>
                <w:sz w:val="20"/>
                <w:szCs w:val="20"/>
                <w:color w:val="auto"/>
              </w:rPr>
            </w:pPr>
            <w:r>
              <w:rPr>
                <w:rFonts w:ascii="Arial" w:cs="Arial" w:eastAsia="Arial" w:hAnsi="Arial"/>
                <w:sz w:val="16"/>
                <w:szCs w:val="16"/>
                <w:color w:val="auto"/>
              </w:rPr>
              <w:t>Non-capital loss carryforwards</w:t>
            </w:r>
          </w:p>
        </w:tc>
        <w:tc>
          <w:tcPr>
            <w:tcW w:w="4120" w:type="dxa"/>
            <w:vAlign w:val="bottom"/>
          </w:tcPr>
          <w:p>
            <w:pPr>
              <w:jc w:val="right"/>
              <w:ind w:right="278"/>
              <w:spacing w:after="0"/>
              <w:rPr>
                <w:sz w:val="20"/>
                <w:szCs w:val="20"/>
                <w:color w:val="auto"/>
              </w:rPr>
            </w:pPr>
            <w:r>
              <w:rPr>
                <w:rFonts w:ascii="Arial" w:cs="Arial" w:eastAsia="Arial" w:hAnsi="Arial"/>
                <w:sz w:val="16"/>
                <w:szCs w:val="16"/>
                <w:b w:val="1"/>
                <w:bCs w:val="1"/>
                <w:color w:val="auto"/>
              </w:rPr>
              <w:t>18,351</w:t>
            </w:r>
          </w:p>
        </w:tc>
        <w:tc>
          <w:tcPr>
            <w:tcW w:w="1580" w:type="dxa"/>
            <w:vAlign w:val="bottom"/>
          </w:tcPr>
          <w:p>
            <w:pPr>
              <w:jc w:val="right"/>
              <w:spacing w:after="0"/>
              <w:rPr>
                <w:sz w:val="20"/>
                <w:szCs w:val="20"/>
                <w:color w:val="auto"/>
              </w:rPr>
            </w:pPr>
            <w:r>
              <w:rPr>
                <w:rFonts w:ascii="Arial" w:cs="Arial" w:eastAsia="Arial" w:hAnsi="Arial"/>
                <w:sz w:val="16"/>
                <w:szCs w:val="16"/>
                <w:color w:val="auto"/>
              </w:rPr>
              <w:t>16,307</w:t>
            </w:r>
          </w:p>
        </w:tc>
      </w:tr>
      <w:tr>
        <w:trPr>
          <w:trHeight w:val="208"/>
        </w:trPr>
        <w:tc>
          <w:tcPr>
            <w:tcW w:w="4880" w:type="dxa"/>
            <w:vAlign w:val="bottom"/>
          </w:tcPr>
          <w:p>
            <w:pPr>
              <w:spacing w:after="0"/>
              <w:rPr>
                <w:sz w:val="20"/>
                <w:szCs w:val="20"/>
                <w:color w:val="auto"/>
              </w:rPr>
            </w:pPr>
            <w:r>
              <w:rPr>
                <w:rFonts w:ascii="Arial" w:cs="Arial" w:eastAsia="Arial" w:hAnsi="Arial"/>
                <w:sz w:val="16"/>
                <w:szCs w:val="16"/>
                <w:color w:val="auto"/>
              </w:rPr>
              <w:t>Share issuance costs</w:t>
            </w:r>
          </w:p>
        </w:tc>
        <w:tc>
          <w:tcPr>
            <w:tcW w:w="4120" w:type="dxa"/>
            <w:vAlign w:val="bottom"/>
          </w:tcPr>
          <w:p>
            <w:pPr>
              <w:jc w:val="right"/>
              <w:ind w:right="278"/>
              <w:spacing w:after="0"/>
              <w:rPr>
                <w:sz w:val="20"/>
                <w:szCs w:val="20"/>
                <w:color w:val="auto"/>
              </w:rPr>
            </w:pPr>
            <w:r>
              <w:rPr>
                <w:rFonts w:ascii="Arial" w:cs="Arial" w:eastAsia="Arial" w:hAnsi="Arial"/>
                <w:sz w:val="16"/>
                <w:szCs w:val="16"/>
                <w:b w:val="1"/>
                <w:bCs w:val="1"/>
                <w:color w:val="auto"/>
              </w:rPr>
              <w:t>1,420</w:t>
            </w:r>
          </w:p>
        </w:tc>
        <w:tc>
          <w:tcPr>
            <w:tcW w:w="158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208"/>
        </w:trPr>
        <w:tc>
          <w:tcPr>
            <w:tcW w:w="4880" w:type="dxa"/>
            <w:vAlign w:val="bottom"/>
          </w:tcPr>
          <w:p>
            <w:pPr>
              <w:spacing w:after="0"/>
              <w:rPr>
                <w:sz w:val="20"/>
                <w:szCs w:val="20"/>
                <w:color w:val="auto"/>
              </w:rPr>
            </w:pPr>
            <w:r>
              <w:rPr>
                <w:rFonts w:ascii="Arial" w:cs="Arial" w:eastAsia="Arial" w:hAnsi="Arial"/>
                <w:sz w:val="16"/>
                <w:szCs w:val="16"/>
                <w:color w:val="auto"/>
              </w:rPr>
              <w:t>Depreciation/CCA differences</w:t>
            </w:r>
          </w:p>
        </w:tc>
        <w:tc>
          <w:tcPr>
            <w:tcW w:w="4120" w:type="dxa"/>
            <w:vAlign w:val="bottom"/>
          </w:tcPr>
          <w:p>
            <w:pPr>
              <w:jc w:val="right"/>
              <w:ind w:right="278"/>
              <w:spacing w:after="0"/>
              <w:rPr>
                <w:sz w:val="20"/>
                <w:szCs w:val="20"/>
                <w:color w:val="auto"/>
              </w:rPr>
            </w:pPr>
            <w:r>
              <w:rPr>
                <w:rFonts w:ascii="Arial" w:cs="Arial" w:eastAsia="Arial" w:hAnsi="Arial"/>
                <w:sz w:val="16"/>
                <w:szCs w:val="16"/>
                <w:b w:val="1"/>
                <w:bCs w:val="1"/>
                <w:color w:val="auto"/>
              </w:rPr>
              <w:t>406</w:t>
            </w:r>
          </w:p>
        </w:tc>
        <w:tc>
          <w:tcPr>
            <w:tcW w:w="1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41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31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192"/>
        </w:trPr>
        <w:tc>
          <w:tcPr>
            <w:tcW w:w="4880" w:type="dxa"/>
            <w:vAlign w:val="bottom"/>
          </w:tcPr>
          <w:p>
            <w:pPr>
              <w:spacing w:after="0"/>
              <w:rPr>
                <w:sz w:val="16"/>
                <w:szCs w:val="16"/>
                <w:color w:val="auto"/>
              </w:rPr>
            </w:pPr>
          </w:p>
        </w:tc>
        <w:tc>
          <w:tcPr>
            <w:tcW w:w="4120" w:type="dxa"/>
            <w:vAlign w:val="bottom"/>
          </w:tcPr>
          <w:p>
            <w:pPr>
              <w:jc w:val="right"/>
              <w:ind w:right="278"/>
              <w:spacing w:after="0"/>
              <w:rPr>
                <w:sz w:val="20"/>
                <w:szCs w:val="20"/>
                <w:color w:val="auto"/>
              </w:rPr>
            </w:pPr>
            <w:r>
              <w:rPr>
                <w:rFonts w:ascii="Arial" w:cs="Arial" w:eastAsia="Arial" w:hAnsi="Arial"/>
                <w:sz w:val="16"/>
                <w:szCs w:val="16"/>
                <w:b w:val="1"/>
                <w:bCs w:val="1"/>
                <w:color w:val="auto"/>
              </w:rPr>
              <w:t>20,208</w:t>
            </w:r>
          </w:p>
        </w:tc>
        <w:tc>
          <w:tcPr>
            <w:tcW w:w="1580" w:type="dxa"/>
            <w:vAlign w:val="bottom"/>
          </w:tcPr>
          <w:p>
            <w:pPr>
              <w:jc w:val="right"/>
              <w:spacing w:after="0"/>
              <w:rPr>
                <w:sz w:val="20"/>
                <w:szCs w:val="20"/>
                <w:color w:val="auto"/>
              </w:rPr>
            </w:pPr>
            <w:r>
              <w:rPr>
                <w:rFonts w:ascii="Arial" w:cs="Arial" w:eastAsia="Arial" w:hAnsi="Arial"/>
                <w:sz w:val="16"/>
                <w:szCs w:val="16"/>
                <w:color w:val="auto"/>
              </w:rPr>
              <w:t>18,103</w:t>
            </w:r>
          </w:p>
        </w:tc>
      </w:t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Valuation allowance</w:t>
            </w:r>
          </w:p>
        </w:tc>
        <w:tc>
          <w:tcPr>
            <w:tcW w:w="41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(18,103)</w:t>
            </w:r>
          </w:p>
        </w:tc>
      </w:tr>
      <w:tr>
        <w:trPr>
          <w:trHeight w:val="201"/>
        </w:trPr>
        <w:tc>
          <w:tcPr>
            <w:tcW w:w="488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44"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profit will be available against which the Company will be able to use these potential benefits.</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Non-capital loss balance</w:t>
      </w:r>
    </w:p>
    <w:p>
      <w:pPr>
        <w:spacing w:after="0" w:line="191" w:lineRule="exact"/>
        <w:rPr>
          <w:sz w:val="20"/>
          <w:szCs w:val="20"/>
          <w:color w:val="auto"/>
        </w:rPr>
      </w:pPr>
    </w:p>
    <w:p>
      <w:pPr>
        <w:ind w:left="302" w:right="20"/>
        <w:spacing w:after="0" w:line="270" w:lineRule="auto"/>
        <w:rPr>
          <w:sz w:val="20"/>
          <w:szCs w:val="20"/>
          <w:color w:val="auto"/>
        </w:rPr>
      </w:pPr>
      <w:r>
        <w:rPr>
          <w:rFonts w:ascii="Arial" w:cs="Arial" w:eastAsia="Arial" w:hAnsi="Arial"/>
          <w:sz w:val="16"/>
          <w:szCs w:val="16"/>
          <w:color w:val="auto"/>
        </w:rPr>
        <w:t>As at June 30, 2022, the Company has non-capital losses in Canada, which under certain circumstances can be used to reduce the taxable income of future years. The non-capital losses expire as follows:</w:t>
      </w:r>
    </w:p>
    <w:p>
      <w:pPr>
        <w:spacing w:after="0" w:line="173"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of expiry</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480" w:type="dxa"/>
            <w:vAlign w:val="bottom"/>
          </w:tcPr>
          <w:p>
            <w:pPr>
              <w:spacing w:after="0"/>
              <w:rPr>
                <w:sz w:val="20"/>
                <w:szCs w:val="20"/>
                <w:color w:val="auto"/>
              </w:rPr>
            </w:pPr>
            <w:r>
              <w:rPr>
                <w:rFonts w:ascii="Arial" w:cs="Arial" w:eastAsia="Arial" w:hAnsi="Arial"/>
                <w:sz w:val="16"/>
                <w:szCs w:val="16"/>
                <w:color w:val="auto"/>
              </w:rPr>
              <w:t>2040</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740</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2041</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19,193</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2042</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30,112</w:t>
            </w:r>
          </w:p>
        </w:tc>
      </w:tr>
      <w:tr>
        <w:trPr>
          <w:trHeight w:val="21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2043</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4,896</w:t>
            </w:r>
          </w:p>
        </w:tc>
      </w:tr>
      <w:tr>
        <w:trPr>
          <w:trHeight w:val="201"/>
        </w:trPr>
        <w:tc>
          <w:tcPr>
            <w:tcW w:w="5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22 of 24</w:t>
      </w:r>
    </w:p>
    <w:p>
      <w:pPr>
        <w:sectPr>
          <w:pgSz w:w="11900" w:h="16838" w:orient="portrait"/>
          <w:cols w:equalWidth="0" w:num="1">
            <w:col w:w="11262"/>
          </w:cols>
          <w:pgMar w:left="318" w:top="171" w:right="319" w:bottom="1440" w:gutter="0" w:footer="0" w:header="0"/>
        </w:sectPr>
      </w:pPr>
    </w:p>
    <w:bookmarkStart w:id="25" w:name="page26"/>
    <w:bookmarkEnd w:id="25"/>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ind w:left="62"/>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left="62"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As at June 30, 2022, the Company has non-capital losses in the United States, which under certain circumstances can be used to reduce the taxable income of future years. The non-capital losses, stated in Canadian dollars, that will expire as follows:</w:t>
      </w:r>
    </w:p>
    <w:p>
      <w:pPr>
        <w:spacing w:after="0" w:line="185"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Year of expiry</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20" w:type="dxa"/>
            <w:vAlign w:val="bottom"/>
          </w:tcPr>
          <w:p>
            <w:pPr>
              <w:ind w:left="20"/>
              <w:spacing w:after="0"/>
              <w:rPr>
                <w:sz w:val="20"/>
                <w:szCs w:val="20"/>
                <w:color w:val="auto"/>
              </w:rPr>
            </w:pPr>
            <w:r>
              <w:rPr>
                <w:rFonts w:ascii="Arial" w:cs="Arial" w:eastAsia="Arial" w:hAnsi="Arial"/>
                <w:sz w:val="16"/>
                <w:szCs w:val="16"/>
                <w:color w:val="auto"/>
              </w:rPr>
              <w:t>- Pre-acquisition loss generated up to December 4, 2020</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945</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20" w:type="dxa"/>
            <w:vAlign w:val="bottom"/>
          </w:tcPr>
          <w:p>
            <w:pPr>
              <w:ind w:left="20"/>
              <w:spacing w:after="0"/>
              <w:rPr>
                <w:sz w:val="20"/>
                <w:szCs w:val="20"/>
                <w:color w:val="auto"/>
              </w:rPr>
            </w:pPr>
            <w:r>
              <w:rPr>
                <w:rFonts w:ascii="Arial" w:cs="Arial" w:eastAsia="Arial" w:hAnsi="Arial"/>
                <w:sz w:val="16"/>
                <w:szCs w:val="16"/>
                <w:color w:val="auto"/>
              </w:rPr>
              <w:t>- Loss generated in the period from December 4, 2020 to March 31, 2022</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1,260</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2042</w:t>
            </w:r>
          </w:p>
        </w:tc>
        <w:tc>
          <w:tcPr>
            <w:tcW w:w="7420" w:type="dxa"/>
            <w:vAlign w:val="bottom"/>
          </w:tcPr>
          <w:p>
            <w:pPr>
              <w:ind w:left="20"/>
              <w:spacing w:after="0"/>
              <w:rPr>
                <w:sz w:val="20"/>
                <w:szCs w:val="20"/>
                <w:color w:val="auto"/>
              </w:rPr>
            </w:pPr>
            <w:r>
              <w:rPr>
                <w:rFonts w:ascii="Arial" w:cs="Arial" w:eastAsia="Arial" w:hAnsi="Arial"/>
                <w:sz w:val="16"/>
                <w:szCs w:val="16"/>
                <w:color w:val="auto"/>
              </w:rPr>
              <w:t>- Loss generated in the year ended March 31, 2022</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7,322</w:t>
            </w:r>
          </w:p>
        </w:tc>
      </w:tr>
      <w:tr>
        <w:trPr>
          <w:trHeight w:val="216"/>
        </w:trPr>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2043</w:t>
            </w:r>
          </w:p>
        </w:tc>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Loss generated in the three-month period ended June 30, 2022</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r>
      <w:tr>
        <w:trPr>
          <w:trHeight w:val="201"/>
        </w:trPr>
        <w:tc>
          <w:tcPr>
            <w:tcW w:w="400" w:type="dxa"/>
            <w:vAlign w:val="bottom"/>
            <w:tcBorders>
              <w:bottom w:val="single" w:sz="8" w:color="auto"/>
            </w:tcBorders>
          </w:tcPr>
          <w:p>
            <w:pPr>
              <w:spacing w:after="0"/>
              <w:rPr>
                <w:sz w:val="17"/>
                <w:szCs w:val="17"/>
                <w:color w:val="auto"/>
              </w:rPr>
            </w:pPr>
          </w:p>
        </w:tc>
        <w:tc>
          <w:tcPr>
            <w:tcW w:w="7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10,013</w:t>
            </w:r>
          </w:p>
        </w:tc>
      </w:tr>
    </w:tbl>
    <w:p>
      <w:pPr>
        <w:spacing w:after="0" w:line="244"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June 30, 2022, the annual limitation was $136.</w:t>
      </w:r>
    </w:p>
    <w:p>
      <w:pPr>
        <w:spacing w:after="0" w:line="1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Massachusetts allows for a 20-year carryforward period for restricted and unrestricted losses without limitation.</w:t>
      </w:r>
    </w:p>
    <w:p>
      <w:pPr>
        <w:spacing w:after="0" w:line="17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As at June 30, 2022, the Company has non-capital losses in Ireland, which under certain circumstances can be used to reduce the taxable income of future years. The non-capital losses, stated in Canadian dollars, expire as follows:</w:t>
      </w:r>
    </w:p>
    <w:p>
      <w:pPr>
        <w:spacing w:after="0" w:line="185" w:lineRule="exact"/>
        <w:rPr>
          <w:sz w:val="20"/>
          <w:szCs w:val="20"/>
          <w:color w:val="auto"/>
        </w:rPr>
      </w:pPr>
    </w:p>
    <w:tbl>
      <w:tblPr>
        <w:tblLayout w:type="fixed"/>
        <w:tblInd w:w="302" w:type="dxa"/>
        <w:tblCellMar>
          <w:top w:w="0" w:type="dxa"/>
          <w:left w:w="0" w:type="dxa"/>
          <w:bottom w:w="0" w:type="dxa"/>
          <w:right w:w="0" w:type="dxa"/>
        </w:tblCellMar>
      </w:tblP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Year of expiry</w:t>
            </w:r>
          </w:p>
        </w:tc>
        <w:tc>
          <w:tcPr>
            <w:tcW w:w="5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5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2042</w:t>
            </w:r>
          </w:p>
        </w:tc>
        <w:tc>
          <w:tcPr>
            <w:tcW w:w="5100" w:type="dxa"/>
            <w:vAlign w:val="bottom"/>
          </w:tcPr>
          <w:p>
            <w:pPr>
              <w:jc w:val="right"/>
              <w:spacing w:after="0"/>
              <w:rPr>
                <w:sz w:val="20"/>
                <w:szCs w:val="20"/>
                <w:color w:val="auto"/>
              </w:rPr>
            </w:pPr>
            <w:r>
              <w:rPr>
                <w:rFonts w:ascii="Arial" w:cs="Arial" w:eastAsia="Arial" w:hAnsi="Arial"/>
                <w:sz w:val="16"/>
                <w:szCs w:val="16"/>
                <w:b w:val="1"/>
                <w:bCs w:val="1"/>
                <w:color w:val="auto"/>
              </w:rPr>
              <w:t>9,765</w:t>
            </w:r>
          </w:p>
        </w:tc>
      </w:tr>
      <w:tr>
        <w:trPr>
          <w:trHeight w:val="245"/>
        </w:trPr>
        <w:tc>
          <w:tcPr>
            <w:tcW w:w="5540" w:type="dxa"/>
            <w:vAlign w:val="bottom"/>
          </w:tcPr>
          <w:p>
            <w:pPr>
              <w:spacing w:after="0"/>
              <w:rPr>
                <w:sz w:val="20"/>
                <w:szCs w:val="20"/>
                <w:color w:val="auto"/>
              </w:rPr>
            </w:pPr>
            <w:r>
              <w:rPr>
                <w:rFonts w:ascii="Arial" w:cs="Arial" w:eastAsia="Arial" w:hAnsi="Arial"/>
                <w:sz w:val="16"/>
                <w:szCs w:val="16"/>
                <w:color w:val="auto"/>
              </w:rPr>
              <w:t>2043</w:t>
            </w:r>
          </w:p>
        </w:tc>
        <w:tc>
          <w:tcPr>
            <w:tcW w:w="5100" w:type="dxa"/>
            <w:vAlign w:val="bottom"/>
          </w:tcPr>
          <w:p>
            <w:pPr>
              <w:jc w:val="right"/>
              <w:spacing w:after="0"/>
              <w:rPr>
                <w:sz w:val="20"/>
                <w:szCs w:val="20"/>
                <w:color w:val="auto"/>
              </w:rPr>
            </w:pPr>
            <w:r>
              <w:rPr>
                <w:rFonts w:ascii="Arial" w:cs="Arial" w:eastAsia="Arial" w:hAnsi="Arial"/>
                <w:sz w:val="16"/>
                <w:szCs w:val="16"/>
                <w:b w:val="1"/>
                <w:bCs w:val="1"/>
                <w:color w:val="auto"/>
              </w:rPr>
              <w:t>4,766</w:t>
            </w:r>
          </w:p>
        </w:tc>
      </w:tr>
      <w:tr>
        <w:trPr>
          <w:trHeight w:val="25"/>
        </w:trPr>
        <w:tc>
          <w:tcPr>
            <w:tcW w:w="55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0"/>
        </w:trPr>
        <w:tc>
          <w:tcPr>
            <w:tcW w:w="554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14,531</w:t>
            </w:r>
          </w:p>
        </w:tc>
      </w:tr>
    </w:tbl>
    <w:p>
      <w:pPr>
        <w:spacing w:after="0" w:line="224" w:lineRule="exact"/>
        <w:rPr>
          <w:sz w:val="20"/>
          <w:szCs w:val="20"/>
          <w:color w:val="auto"/>
        </w:rPr>
      </w:pPr>
    </w:p>
    <w:p>
      <w:pPr>
        <w:ind w:left="402" w:hanging="402"/>
        <w:spacing w:after="0"/>
        <w:tabs>
          <w:tab w:leader="none" w:pos="402" w:val="left"/>
        </w:tabs>
        <w:numPr>
          <w:ilvl w:val="0"/>
          <w:numId w:val="17"/>
        </w:numPr>
        <w:rPr>
          <w:rFonts w:ascii="Arial" w:cs="Arial" w:eastAsia="Arial" w:hAnsi="Arial"/>
          <w:sz w:val="16"/>
          <w:szCs w:val="16"/>
          <w:b w:val="1"/>
          <w:bCs w:val="1"/>
          <w:color w:val="2D5F91"/>
        </w:rPr>
      </w:pPr>
      <w:r>
        <w:rPr>
          <w:rFonts w:ascii="Arial" w:cs="Arial" w:eastAsia="Arial" w:hAnsi="Arial"/>
          <w:sz w:val="16"/>
          <w:szCs w:val="16"/>
          <w:b w:val="1"/>
          <w:bCs w:val="1"/>
          <w:color w:val="2D5F91"/>
        </w:rPr>
        <w:t>SUBSEQUENT EVENTS</w:t>
      </w:r>
    </w:p>
    <w:p>
      <w:pPr>
        <w:spacing w:after="0" w:line="170" w:lineRule="exact"/>
        <w:rPr>
          <w:rFonts w:ascii="Arial" w:cs="Arial" w:eastAsia="Arial" w:hAnsi="Arial"/>
          <w:sz w:val="16"/>
          <w:szCs w:val="16"/>
          <w:b w:val="1"/>
          <w:bCs w:val="1"/>
          <w:color w:val="2D5F91"/>
        </w:rPr>
      </w:pPr>
    </w:p>
    <w:p>
      <w:pPr>
        <w:ind w:left="542" w:hanging="249"/>
        <w:spacing w:after="0"/>
        <w:tabs>
          <w:tab w:leader="none" w:pos="542"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Asset Acquisition</w:t>
      </w:r>
    </w:p>
    <w:p>
      <w:pPr>
        <w:spacing w:after="0" w:line="191"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On July 11, 2022, the Company completed the acquisition of a Phase 1 N,N-dimethyltryptamine (“DMT”) study (the “Asset Acquisition”) from Entheon Biomedical Corp. (“Entheon”) to accelerate the clinical development path for CYB004, Cybin’s proprietary deuterated DMT molecule for the potential treatment of anxiety disorders. The Company paid $1,000 for the Asset Acquisition, of which a portion was paid as a deposit during the three-month period ended June 30, 2022. In addition, the Company may pay up to $480 for consulting services to be provided from Entheon over a period of up to twelve months following the close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23 of 24</w:t>
      </w:r>
    </w:p>
    <w:p>
      <w:pPr>
        <w:sectPr>
          <w:pgSz w:w="11900" w:h="16838" w:orient="portrait"/>
          <w:cols w:equalWidth="0" w:num="1">
            <w:col w:w="11242"/>
          </w:cols>
          <w:pgMar w:left="318" w:top="17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auto"/>
        <w:rPr>
          <w:sz w:val="20"/>
          <w:szCs w:val="20"/>
          <w:color w:val="auto"/>
        </w:rPr>
      </w:pPr>
      <w:r>
        <w:rPr>
          <w:rFonts w:ascii="Arial" w:cs="Arial" w:eastAsia="Arial" w:hAnsi="Arial"/>
          <w:sz w:val="20"/>
          <w:szCs w:val="20"/>
          <w:b w:val="1"/>
          <w:bCs w:val="1"/>
          <w:color w:val="auto"/>
        </w:rPr>
        <w:t>For the three months ended June 30, 2022 and June 30, 2021</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line="270" w:lineRule="auto"/>
        <w:rPr>
          <w:sz w:val="20"/>
          <w:szCs w:val="20"/>
          <w:color w:val="auto"/>
        </w:rPr>
      </w:pPr>
      <w:r>
        <w:rPr>
          <w:rFonts w:ascii="Arial" w:cs="Arial" w:eastAsia="Arial" w:hAnsi="Arial"/>
          <w:sz w:val="16"/>
          <w:szCs w:val="16"/>
          <w:color w:val="auto"/>
        </w:rPr>
        <w:t>Acquisition. In connection with the Asset Acquisition, the Company has entered into a data license agreement with Entheon that permits Entheon to access certain data.</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(b) Expired Securities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period from July 1, 2022 to August 7, 2022, 10,000 vested options expired and 250,000 unvested options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24 of 24</w:t>
      </w:r>
    </w:p>
    <w:p>
      <w:pPr>
        <w:sectPr>
          <w:pgSz w:w="11900" w:h="16838" w:orient="portrait"/>
          <w:cols w:equalWidth="0" w:num="1">
            <w:col w:w="11180"/>
          </w:cols>
          <w:pgMar w:left="380" w:top="171"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2372360</wp:posOffset>
            </wp:positionV>
            <wp:extent cx="1320165" cy="822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Cybin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(formerly Clarmin Explorations Inc.)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of Financial Condition and Operating Performance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June 30, 2022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August 7, 2022</w:t>
      </w:r>
    </w:p>
    <w:p>
      <w:pPr>
        <w:sectPr>
          <w:pgSz w:w="11900" w:h="16838" w:orient="portrait"/>
          <w:cols w:equalWidth="0" w:num="1">
            <w:col w:w="9019"/>
          </w:cols>
          <w:pgMar w:left="1440" w:top="1440"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CYBIN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Management’s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has been prepared by management of Cybin Inc.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should be read in conjunction with Cybin’s interim condensed consolidated financial statements and notes for the three months ended June 30, 2022 (the “</w:t>
      </w:r>
      <w:r>
        <w:rPr>
          <w:rFonts w:ascii="Arial" w:cs="Arial" w:eastAsia="Arial" w:hAnsi="Arial"/>
          <w:sz w:val="17"/>
          <w:szCs w:val="17"/>
          <w:b w:val="1"/>
          <w:bCs w:val="1"/>
          <w:color w:val="auto"/>
        </w:rPr>
        <w:t>Interim</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Statements</w:t>
      </w:r>
      <w:r>
        <w:rPr>
          <w:rFonts w:ascii="Arial" w:cs="Arial" w:eastAsia="Arial" w:hAnsi="Arial"/>
          <w:sz w:val="17"/>
          <w:szCs w:val="17"/>
          <w:color w:val="auto"/>
        </w:rPr>
        <w:t>”). This MD&amp;A does not address all of the changes to the Company and its business, such changes are addressed in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most recently filed annual information form (the “</w:t>
      </w:r>
      <w:r>
        <w:rPr>
          <w:rFonts w:ascii="Arial" w:cs="Arial" w:eastAsia="Arial" w:hAnsi="Arial"/>
          <w:sz w:val="17"/>
          <w:szCs w:val="17"/>
          <w:b w:val="1"/>
          <w:bCs w:val="1"/>
          <w:color w:val="auto"/>
        </w:rPr>
        <w:t>AIF</w:t>
      </w:r>
      <w:r>
        <w:rPr>
          <w:rFonts w:ascii="Arial" w:cs="Arial" w:eastAsia="Arial" w:hAnsi="Arial"/>
          <w:sz w:val="17"/>
          <w:szCs w:val="17"/>
          <w:color w:val="auto"/>
        </w:rPr>
        <w:t>”) on SEDAR. The Interim Financial Statements have been prepared using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xml:space="preserve">") as issued by the International Accounting Standards Board. All amounts are in Canadian dollars unless otherwise indicated. The Interim Financial Statements may be viewed on the SEDAR profile of Cybin at </w:t>
      </w:r>
      <w:r>
        <w:rPr>
          <w:rFonts w:ascii="Arial" w:cs="Arial" w:eastAsia="Arial" w:hAnsi="Arial"/>
          <w:sz w:val="17"/>
          <w:szCs w:val="17"/>
          <w:i w:val="1"/>
          <w:iCs w:val="1"/>
          <w:u w:val="single" w:color="auto"/>
          <w:color w:val="0563C1"/>
        </w:rPr>
        <w:t>www.sedar.com</w:t>
      </w:r>
      <w:r>
        <w:rPr>
          <w:rFonts w:ascii="Arial" w:cs="Arial" w:eastAsia="Arial" w:hAnsi="Arial"/>
          <w:sz w:val="17"/>
          <w:szCs w:val="17"/>
          <w:color w:val="auto"/>
        </w:rPr>
        <w:t>.</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MD&amp;A contains disclosure related to Cybin occurring up to and including August 7, 2022. Unless otherwise indicated, all amounts in this MD&amp;A are in thousands of Canadian dollars.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51" w:lineRule="exact"/>
        <w:rPr>
          <w:sz w:val="20"/>
          <w:szCs w:val="20"/>
          <w:color w:val="auto"/>
        </w:rPr>
      </w:pP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novel coronavirus “COVID-19”;</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operating history;</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spacing w:after="0" w:line="6" w:lineRule="exact"/>
        <w:rPr>
          <w:rFonts w:ascii="Arial" w:cs="Arial" w:eastAsia="Arial" w:hAnsi="Arial"/>
          <w:sz w:val="18"/>
          <w:szCs w:val="18"/>
          <w:color w:val="auto"/>
        </w:rPr>
      </w:pPr>
    </w:p>
    <w:p>
      <w:pPr>
        <w:ind w:left="1160" w:hanging="575"/>
        <w:spacing w:after="0" w:line="236" w:lineRule="auto"/>
        <w:tabs>
          <w:tab w:leader="none" w:pos="1160" w:val="left"/>
        </w:tabs>
        <w:numPr>
          <w:ilvl w:val="0"/>
          <w:numId w:val="18"/>
        </w:numPr>
        <w:rPr>
          <w:rFonts w:ascii="Arial" w:cs="Arial" w:eastAsia="Arial" w:hAnsi="Arial"/>
          <w:sz w:val="20"/>
          <w:szCs w:val="20"/>
          <w:color w:val="auto"/>
        </w:rPr>
      </w:pPr>
      <w:r>
        <w:rPr>
          <w:rFonts w:ascii="Arial" w:cs="Arial" w:eastAsia="Arial" w:hAnsi="Arial"/>
          <w:sz w:val="18"/>
          <w:szCs w:val="18"/>
          <w:color w:val="auto"/>
        </w:rPr>
        <w:t>risks of operating in European countries;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for growth;</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products;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06" w:right="319" w:bottom="1440" w:gutter="0" w:footer="0" w:header="0"/>
        </w:sectPr>
      </w:pPr>
    </w:p>
    <w:bookmarkStart w:id="29" w:name="page30"/>
    <w:bookmarkEnd w:id="29"/>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third parties for clinical development activities;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and efficacy of products;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clinical trials;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nature of regulatory approvals;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media;</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misconduct;</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expansion and growth;</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liability;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contracts;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to forecast;</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promoting the brand;</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viability;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key inputs;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of growth;</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conflicts of interest;</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operations;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cybersecurity and privacy risk;</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9" w:lineRule="exact"/>
        <w:rPr>
          <w:rFonts w:ascii="Arial" w:cs="Arial" w:eastAsia="Arial" w:hAnsi="Arial"/>
          <w:sz w:val="18"/>
          <w:szCs w:val="18"/>
          <w:color w:val="auto"/>
        </w:rPr>
      </w:pPr>
    </w:p>
    <w:p>
      <w:pPr>
        <w:ind w:left="1160" w:hanging="575"/>
        <w:spacing w:after="0"/>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decriminalisation of psychedelics;</w:t>
      </w:r>
    </w:p>
    <w:p>
      <w:pPr>
        <w:spacing w:after="0" w:line="3" w:lineRule="exact"/>
        <w:rPr>
          <w:rFonts w:ascii="Arial" w:cs="Arial" w:eastAsia="Arial" w:hAnsi="Arial"/>
          <w:sz w:val="20"/>
          <w:szCs w:val="20"/>
          <w:color w:val="auto"/>
        </w:rPr>
      </w:pPr>
    </w:p>
    <w:p>
      <w:pPr>
        <w:ind w:left="1160" w:hanging="575"/>
        <w:spacing w:after="0" w:line="238"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forward-looking statements may prove to be inaccurate;</w:t>
      </w:r>
    </w:p>
    <w:p>
      <w:pPr>
        <w:spacing w:after="0" w:line="4" w:lineRule="exact"/>
        <w:rPr>
          <w:rFonts w:ascii="Arial" w:cs="Arial" w:eastAsia="Arial" w:hAnsi="Arial"/>
          <w:sz w:val="20"/>
          <w:szCs w:val="20"/>
          <w:color w:val="auto"/>
        </w:rPr>
      </w:pPr>
    </w:p>
    <w:p>
      <w:pPr>
        <w:ind w:left="1160" w:hanging="575"/>
        <w:spacing w:after="0" w:line="238"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effects of inflation;</w:t>
      </w:r>
    </w:p>
    <w:p>
      <w:pPr>
        <w:spacing w:after="0" w:line="4" w:lineRule="exact"/>
        <w:rPr>
          <w:rFonts w:ascii="Arial" w:cs="Arial" w:eastAsia="Arial" w:hAnsi="Arial"/>
          <w:sz w:val="20"/>
          <w:szCs w:val="20"/>
          <w:color w:val="auto"/>
        </w:rPr>
      </w:pPr>
    </w:p>
    <w:p>
      <w:pPr>
        <w:ind w:left="1160" w:hanging="575"/>
        <w:spacing w:after="0" w:line="238"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political and economic conditions;</w:t>
      </w:r>
    </w:p>
    <w:p>
      <w:pPr>
        <w:spacing w:after="0" w:line="4" w:lineRule="exact"/>
        <w:rPr>
          <w:rFonts w:ascii="Arial" w:cs="Arial" w:eastAsia="Arial" w:hAnsi="Arial"/>
          <w:sz w:val="20"/>
          <w:szCs w:val="20"/>
          <w:color w:val="auto"/>
        </w:rPr>
      </w:pPr>
    </w:p>
    <w:p>
      <w:pPr>
        <w:ind w:left="1160" w:hanging="575"/>
        <w:spacing w:after="0" w:line="238"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application and interpretation of tax laws;</w:t>
      </w:r>
    </w:p>
    <w:p>
      <w:pPr>
        <w:spacing w:after="0" w:line="4" w:lineRule="exact"/>
        <w:rPr>
          <w:rFonts w:ascii="Arial" w:cs="Arial" w:eastAsia="Arial" w:hAnsi="Arial"/>
          <w:sz w:val="20"/>
          <w:szCs w:val="20"/>
          <w:color w:val="auto"/>
        </w:rPr>
      </w:pPr>
    </w:p>
    <w:p>
      <w:pPr>
        <w:ind w:left="1160" w:hanging="575"/>
        <w:spacing w:after="0" w:line="238"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enforcement of civil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7" w:lineRule="exact"/>
        <w:rPr>
          <w:sz w:val="20"/>
          <w:szCs w:val="20"/>
          <w:color w:val="auto"/>
        </w:rPr>
      </w:pP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trademark protection;</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secrets;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law reform;</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25" w:lineRule="exact"/>
        <w:rPr>
          <w:sz w:val="20"/>
          <w:szCs w:val="20"/>
          <w:color w:val="auto"/>
        </w:rPr>
      </w:pPr>
    </w:p>
    <w:p>
      <w:pPr>
        <w:ind w:left="1160" w:hanging="575"/>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6"/>
          <w:szCs w:val="16"/>
          <w:color w:val="auto"/>
        </w:rPr>
        <w:t>substantial number of authorized but unissued Common Shares (as defined herein);</w:t>
      </w:r>
    </w:p>
    <w:p>
      <w:pPr>
        <w:spacing w:after="0" w:line="28" w:lineRule="exact"/>
        <w:rPr>
          <w:rFonts w:ascii="Arial" w:cs="Arial" w:eastAsia="Arial" w:hAnsi="Arial"/>
          <w:sz w:val="17"/>
          <w:szCs w:val="17"/>
          <w:color w:val="auto"/>
        </w:rPr>
      </w:pP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dilution;</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cash flow from operating activities;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capital requirements;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estimates or judgments relating to critical accounting policies;</w:t>
      </w:r>
    </w:p>
    <w:p>
      <w:pPr>
        <w:sectPr>
          <w:pgSz w:w="11900" w:h="16838" w:orient="portrait"/>
          <w:cols w:equalWidth="0" w:num="1">
            <w:col w:w="10139"/>
          </w:cols>
          <w:pgMar w:left="320" w:top="710"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39"/>
          </w:cols>
          <w:pgMar w:left="320" w:top="710"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Risks related to the Common Shares:</w:t>
      </w:r>
    </w:p>
    <w:p>
      <w:pPr>
        <w:spacing w:after="0" w:line="17" w:lineRule="exact"/>
        <w:rPr>
          <w:sz w:val="20"/>
          <w:szCs w:val="20"/>
          <w:color w:val="auto"/>
        </w:rPr>
      </w:pP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for the Common Shares;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issues; and</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2" w:lineRule="exact"/>
        <w:rPr>
          <w:sz w:val="20"/>
          <w:szCs w:val="20"/>
          <w:color w:val="auto"/>
        </w:rPr>
      </w:pPr>
    </w:p>
    <w:p>
      <w:pPr>
        <w:ind w:left="580" w:right="20" w:hanging="291"/>
        <w:spacing w:after="0" w:line="250"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ind w:left="580" w:right="20" w:hanging="291"/>
        <w:spacing w:after="0" w:line="241"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ind w:left="580" w:right="20" w:hanging="291"/>
        <w:spacing w:after="0" w:line="241"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6" w:lineRule="exact"/>
        <w:rPr>
          <w:rFonts w:ascii="Arial" w:cs="Arial" w:eastAsia="Arial" w:hAnsi="Arial"/>
          <w:sz w:val="18"/>
          <w:szCs w:val="18"/>
          <w:color w:val="auto"/>
        </w:rPr>
      </w:pPr>
    </w:p>
    <w:p>
      <w:pPr>
        <w:ind w:left="580" w:right="20" w:hanging="291"/>
        <w:spacing w:after="0" w:line="243" w:lineRule="auto"/>
        <w:tabs>
          <w:tab w:leader="none" w:pos="577"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risk of unforeseen changes to the laws or regulations in the United States (the “</w:t>
      </w:r>
      <w:r>
        <w:rPr>
          <w:rFonts w:ascii="Arial" w:cs="Arial" w:eastAsia="Arial" w:hAnsi="Arial"/>
          <w:sz w:val="18"/>
          <w:szCs w:val="18"/>
          <w:b w:val="1"/>
          <w:bCs w:val="1"/>
          <w:color w:val="auto"/>
        </w:rPr>
        <w:t>United States</w:t>
      </w:r>
      <w:r>
        <w:rPr>
          <w:rFonts w:ascii="Arial" w:cs="Arial" w:eastAsia="Arial" w:hAnsi="Arial"/>
          <w:sz w:val="18"/>
          <w:szCs w:val="18"/>
          <w:color w:val="auto"/>
        </w:rPr>
        <w:t>” or the “</w:t>
      </w:r>
      <w:r>
        <w:rPr>
          <w:rFonts w:ascii="Arial" w:cs="Arial" w:eastAsia="Arial" w:hAnsi="Arial"/>
          <w:sz w:val="18"/>
          <w:szCs w:val="18"/>
          <w:b w:val="1"/>
          <w:bCs w:val="1"/>
          <w:color w:val="auto"/>
        </w:rPr>
        <w:t>U.S.</w:t>
      </w:r>
      <w:r>
        <w:rPr>
          <w:rFonts w:ascii="Arial" w:cs="Arial" w:eastAsia="Arial" w:hAnsi="Arial"/>
          <w:sz w:val="18"/>
          <w:szCs w:val="18"/>
          <w:color w:val="auto"/>
        </w:rPr>
        <w:t>”), the United Kingdom (the “</w:t>
      </w:r>
      <w:r>
        <w:rPr>
          <w:rFonts w:ascii="Arial" w:cs="Arial" w:eastAsia="Arial" w:hAnsi="Arial"/>
          <w:sz w:val="18"/>
          <w:szCs w:val="18"/>
          <w:b w:val="1"/>
          <w:bCs w:val="1"/>
          <w:color w:val="auto"/>
        </w:rPr>
        <w:t>United</w:t>
      </w:r>
      <w:r>
        <w:rPr>
          <w:rFonts w:ascii="Arial" w:cs="Arial" w:eastAsia="Arial" w:hAnsi="Arial"/>
          <w:sz w:val="18"/>
          <w:szCs w:val="18"/>
          <w:color w:val="auto"/>
        </w:rPr>
        <w:t xml:space="preserve"> </w:t>
      </w:r>
      <w:r>
        <w:rPr>
          <w:rFonts w:ascii="Arial" w:cs="Arial" w:eastAsia="Arial" w:hAnsi="Arial"/>
          <w:sz w:val="18"/>
          <w:szCs w:val="18"/>
          <w:b w:val="1"/>
          <w:bCs w:val="1"/>
          <w:color w:val="auto"/>
        </w:rPr>
        <w:t>Kingdom</w:t>
      </w:r>
      <w:r>
        <w:rPr>
          <w:rFonts w:ascii="Arial" w:cs="Arial" w:eastAsia="Arial" w:hAnsi="Arial"/>
          <w:sz w:val="18"/>
          <w:szCs w:val="18"/>
          <w:color w:val="auto"/>
        </w:rPr>
        <w:t>” or the “</w:t>
      </w:r>
      <w:r>
        <w:rPr>
          <w:rFonts w:ascii="Arial" w:cs="Arial" w:eastAsia="Arial" w:hAnsi="Arial"/>
          <w:sz w:val="18"/>
          <w:szCs w:val="18"/>
          <w:b w:val="1"/>
          <w:bCs w:val="1"/>
          <w:color w:val="auto"/>
        </w:rPr>
        <w:t>UK</w:t>
      </w:r>
      <w:r>
        <w:rPr>
          <w:rFonts w:ascii="Arial" w:cs="Arial" w:eastAsia="Arial" w:hAnsi="Arial"/>
          <w:sz w:val="18"/>
          <w:szCs w:val="18"/>
          <w:color w:val="auto"/>
        </w:rPr>
        <w:t>”), Canada, the Netherlands, Ireland and other jurisdictions in which the Company operates.</w:t>
      </w:r>
    </w:p>
    <w:p>
      <w:pPr>
        <w:spacing w:after="0" w:line="19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930"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19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is a biotechnology company focused on advancing pharmaceutical therapies, delivery mechanisms, novel compounds and protocols as potential therapies for various psychiatric and 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6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Immediately prior to the completion of the Reverse Takeover, the Company completed a consolidation of all of its issued and outstanding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basis of 6.672 old Common Shares into one new Common Share. All Common Share and per Common Share amounts expressed herein reflect the post-consolidation Common Shares.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Reverse Takeover, Clarmin Explorations Inc. (“</w:t>
      </w:r>
      <w:r>
        <w:rPr>
          <w:rFonts w:ascii="Arial" w:cs="Arial" w:eastAsia="Arial" w:hAnsi="Arial"/>
          <w:sz w:val="17"/>
          <w:szCs w:val="17"/>
          <w:b w:val="1"/>
          <w:bCs w:val="1"/>
          <w:color w:val="auto"/>
        </w:rPr>
        <w:t>Clarmin</w:t>
      </w:r>
      <w:r>
        <w:rPr>
          <w:rFonts w:ascii="Arial" w:cs="Arial" w:eastAsia="Arial" w:hAnsi="Arial"/>
          <w:sz w:val="17"/>
          <w:szCs w:val="17"/>
          <w:color w:val="auto"/>
        </w:rPr>
        <w:t>”) changed its name to “Cybin Inc.” and the Common Shares became listed for trading on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under the trading symbol “CYBN”. 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Prior to completing the Reverse Takeover, and during fiscal 2020, the Company was inactive and evaluating business opportunities.</w:t>
      </w:r>
    </w:p>
    <w:p>
      <w:pPr>
        <w:spacing w:after="0" w:line="221"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 (“</w:t>
      </w:r>
      <w:r>
        <w:rPr>
          <w:rFonts w:ascii="Arial" w:cs="Arial" w:eastAsia="Arial" w:hAnsi="Arial"/>
          <w:sz w:val="16"/>
          <w:szCs w:val="16"/>
          <w:b w:val="1"/>
          <w:bCs w:val="1"/>
          <w:color w:val="auto"/>
        </w:rPr>
        <w:t>Cybin Ireland</w:t>
      </w:r>
      <w:r>
        <w:rPr>
          <w:rFonts w:ascii="Arial" w:cs="Arial" w:eastAsia="Arial" w:hAnsi="Arial"/>
          <w:sz w:val="16"/>
          <w:szCs w:val="16"/>
          <w:color w:val="auto"/>
        </w:rPr>
        <w:t>”).</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August 5, 2021, the Common Shares commenced trading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Concurrent with the commencement of trading on the NYSE American, the Common Shares ceased to be quoted on the OTCQB® Venture Market.</w:t>
      </w:r>
    </w:p>
    <w:p>
      <w:pPr>
        <w:spacing w:after="0" w:line="16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Company has historically had two business segments (a) Serenity Life Sciences Inc. and Cybin US Holdings Inc. (“</w:t>
      </w:r>
      <w:r>
        <w:rPr>
          <w:rFonts w:ascii="Arial" w:cs="Arial" w:eastAsia="Arial" w:hAnsi="Arial"/>
          <w:sz w:val="18"/>
          <w:szCs w:val="18"/>
          <w:b w:val="1"/>
          <w:bCs w:val="1"/>
          <w:color w:val="auto"/>
        </w:rPr>
        <w:t>Cybin U.S.</w:t>
      </w:r>
      <w:r>
        <w:rPr>
          <w:rFonts w:ascii="Arial" w:cs="Arial" w:eastAsia="Arial" w:hAnsi="Arial"/>
          <w:sz w:val="18"/>
          <w:szCs w:val="18"/>
          <w:color w:val="auto"/>
        </w:rPr>
        <w:t>”) that focus on the research and development (“</w:t>
      </w:r>
      <w:r>
        <w:rPr>
          <w:rFonts w:ascii="Arial" w:cs="Arial" w:eastAsia="Arial" w:hAnsi="Arial"/>
          <w:sz w:val="18"/>
          <w:szCs w:val="18"/>
          <w:b w:val="1"/>
          <w:bCs w:val="1"/>
          <w:color w:val="auto"/>
        </w:rPr>
        <w:t>R&amp;D</w:t>
      </w:r>
      <w:r>
        <w:rPr>
          <w:rFonts w:ascii="Arial" w:cs="Arial" w:eastAsia="Arial" w:hAnsi="Arial"/>
          <w:sz w:val="18"/>
          <w:szCs w:val="18"/>
          <w:color w:val="auto"/>
        </w:rPr>
        <w:t>”) of psychedelic pharmaceutical products; and (b) Natures Journey Inc. (“</w:t>
      </w:r>
      <w:r>
        <w:rPr>
          <w:rFonts w:ascii="Arial" w:cs="Arial" w:eastAsia="Arial" w:hAnsi="Arial"/>
          <w:sz w:val="18"/>
          <w:szCs w:val="18"/>
          <w:b w:val="1"/>
          <w:bCs w:val="1"/>
          <w:color w:val="auto"/>
        </w:rPr>
        <w:t>Natures Journey</w:t>
      </w:r>
      <w:r>
        <w:rPr>
          <w:rFonts w:ascii="Arial" w:cs="Arial" w:eastAsia="Arial" w:hAnsi="Arial"/>
          <w:sz w:val="18"/>
          <w:szCs w:val="18"/>
          <w:color w:val="auto"/>
        </w:rPr>
        <w:t>”) that focused on consumer mental wellness, including non-psychedelic nutraceutical products (the “</w:t>
      </w:r>
      <w:r>
        <w:rPr>
          <w:rFonts w:ascii="Arial" w:cs="Arial" w:eastAsia="Arial" w:hAnsi="Arial"/>
          <w:sz w:val="18"/>
          <w:szCs w:val="18"/>
          <w:b w:val="1"/>
          <w:bCs w:val="1"/>
          <w:color w:val="auto"/>
        </w:rPr>
        <w:t>Product Line</w:t>
      </w:r>
      <w:r>
        <w:rPr>
          <w:rFonts w:ascii="Arial" w:cs="Arial" w:eastAsia="Arial" w:hAnsi="Arial"/>
          <w:sz w:val="18"/>
          <w:szCs w:val="18"/>
          <w:color w:val="auto"/>
        </w:rPr>
        <w:t>”) and consumer mental wellness. In November 2021, the Company decided to not proceed with the Natures Journey business segment in order to prioritize its research and development of psychedelic pharmaceutical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Psychedelics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mental health conditions by leveraging proprietary drug discovery platforms, novel formulation approaches, innovative drug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710" w:right="319" w:bottom="1440" w:gutter="0" w:footer="0" w:header="0"/>
        </w:sectPr>
      </w:pPr>
    </w:p>
    <w:bookmarkStart w:id="32" w:name="page33"/>
    <w:bookmarkEnd w:id="32"/>
    <w:p>
      <w:pPr>
        <w:jc w:val="both"/>
        <w:ind w:left="2" w:right="20"/>
        <w:spacing w:after="0" w:line="267" w:lineRule="auto"/>
        <w:rPr>
          <w:sz w:val="20"/>
          <w:szCs w:val="20"/>
          <w:color w:val="auto"/>
        </w:rPr>
      </w:pPr>
      <w:r>
        <w:rPr>
          <w:rFonts w:ascii="Arial" w:cs="Arial" w:eastAsia="Arial" w:hAnsi="Arial"/>
          <w:sz w:val="18"/>
          <w:szCs w:val="18"/>
          <w:color w:val="auto"/>
        </w:rPr>
        <w:t>delivery systems, and optimized treatment regimens. This comprehensive strategy is predicated on structural modifications of known tryptamine derivatives to improve their pharmacokinetic properties without altering their respective pharmacology.</w:t>
      </w:r>
    </w:p>
    <w:p>
      <w:pPr>
        <w:spacing w:after="0" w:line="151" w:lineRule="exact"/>
        <w:rPr>
          <w:sz w:val="20"/>
          <w:szCs w:val="20"/>
          <w:color w:val="auto"/>
        </w:rPr>
      </w:pPr>
    </w:p>
    <w:p>
      <w:pPr>
        <w:jc w:val="both"/>
        <w:ind w:left="2"/>
        <w:spacing w:after="0" w:line="261" w:lineRule="auto"/>
        <w:rPr>
          <w:sz w:val="20"/>
          <w:szCs w:val="20"/>
          <w:color w:val="auto"/>
        </w:rPr>
      </w:pPr>
      <w:r>
        <w:rPr>
          <w:rFonts w:ascii="Arial" w:cs="Arial" w:eastAsia="Arial" w:hAnsi="Arial"/>
          <w:sz w:val="18"/>
          <w:szCs w:val="18"/>
          <w:color w:val="auto"/>
        </w:rPr>
        <w:t>Across the various research and development programs, the Company is researching and developing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sublingual films</w:t>
      </w:r>
      <w:r>
        <w:rPr>
          <w:rFonts w:ascii="Arial" w:cs="Arial" w:eastAsia="Arial" w:hAnsi="Arial"/>
          <w:sz w:val="23"/>
          <w:szCs w:val="23"/>
          <w:color w:val="auto"/>
          <w:vertAlign w:val="superscript"/>
        </w:rPr>
        <w:t>1</w:t>
      </w:r>
      <w:r>
        <w:rPr>
          <w:rFonts w:ascii="Arial" w:cs="Arial" w:eastAsia="Arial" w:hAnsi="Arial"/>
          <w:sz w:val="18"/>
          <w:szCs w:val="18"/>
          <w:color w:val="auto"/>
        </w:rPr>
        <w:t>,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 via inhalation and via intravenous (“</w:t>
      </w:r>
      <w:r>
        <w:rPr>
          <w:rFonts w:ascii="Arial" w:cs="Arial" w:eastAsia="Arial" w:hAnsi="Arial"/>
          <w:sz w:val="18"/>
          <w:szCs w:val="18"/>
          <w:b w:val="1"/>
          <w:bCs w:val="1"/>
          <w:color w:val="auto"/>
        </w:rPr>
        <w:t>IV</w:t>
      </w:r>
      <w:r>
        <w:rPr>
          <w:rFonts w:ascii="Arial" w:cs="Arial" w:eastAsia="Arial" w:hAnsi="Arial"/>
          <w:sz w:val="18"/>
          <w:szCs w:val="18"/>
          <w:color w:val="auto"/>
        </w:rPr>
        <w:t>”).</w:t>
      </w:r>
    </w:p>
    <w:p>
      <w:pPr>
        <w:spacing w:after="0" w:line="78" w:lineRule="exact"/>
        <w:rPr>
          <w:sz w:val="20"/>
          <w:szCs w:val="20"/>
          <w:color w:val="auto"/>
        </w:rPr>
      </w:pPr>
    </w:p>
    <w:p>
      <w:pPr>
        <w:jc w:val="both"/>
        <w:ind w:left="2" w:right="20"/>
        <w:spacing w:after="0" w:line="292" w:lineRule="auto"/>
        <w:rPr>
          <w:sz w:val="20"/>
          <w:szCs w:val="20"/>
          <w:color w:val="auto"/>
        </w:rPr>
      </w:pPr>
      <w:r>
        <w:rPr>
          <w:rFonts w:ascii="Arial" w:cs="Arial" w:eastAsia="Arial" w:hAnsi="Arial"/>
          <w:sz w:val="17"/>
          <w:szCs w:val="17"/>
          <w:color w:val="auto"/>
        </w:rPr>
        <w:t>The Company intends to apply for regulatory approval for products targeting major depressive disorder (“</w:t>
      </w:r>
      <w:r>
        <w:rPr>
          <w:rFonts w:ascii="Arial" w:cs="Arial" w:eastAsia="Arial" w:hAnsi="Arial"/>
          <w:sz w:val="17"/>
          <w:szCs w:val="17"/>
          <w:b w:val="1"/>
          <w:bCs w:val="1"/>
          <w:color w:val="auto"/>
        </w:rPr>
        <w:t>MDD</w:t>
      </w:r>
      <w:r>
        <w:rPr>
          <w:rFonts w:ascii="Arial" w:cs="Arial" w:eastAsia="Arial" w:hAnsi="Arial"/>
          <w:sz w:val="17"/>
          <w:szCs w:val="17"/>
          <w:color w:val="auto"/>
        </w:rPr>
        <w:t>”), alcohol use disorder (“</w:t>
      </w:r>
      <w:r>
        <w:rPr>
          <w:rFonts w:ascii="Arial" w:cs="Arial" w:eastAsia="Arial" w:hAnsi="Arial"/>
          <w:sz w:val="17"/>
          <w:szCs w:val="17"/>
          <w:b w:val="1"/>
          <w:bCs w:val="1"/>
          <w:color w:val="auto"/>
        </w:rPr>
        <w:t>AUD</w:t>
      </w:r>
      <w:r>
        <w:rPr>
          <w:rFonts w:ascii="Arial" w:cs="Arial" w:eastAsia="Arial" w:hAnsi="Arial"/>
          <w:sz w:val="17"/>
          <w:szCs w:val="17"/>
          <w:color w:val="auto"/>
        </w:rPr>
        <w:t>”) and various anxiety disorders</w:t>
      </w:r>
      <w:r>
        <w:rPr>
          <w:rFonts w:ascii="Arial" w:cs="Arial" w:eastAsia="Arial" w:hAnsi="Arial"/>
          <w:sz w:val="22"/>
          <w:szCs w:val="22"/>
          <w:color w:val="auto"/>
          <w:vertAlign w:val="superscript"/>
        </w:rPr>
        <w:t>3</w:t>
      </w:r>
      <w:r>
        <w:rPr>
          <w:rFonts w:ascii="Arial" w:cs="Arial" w:eastAsia="Arial" w:hAnsi="Arial"/>
          <w:sz w:val="17"/>
          <w:szCs w:val="17"/>
          <w:color w:val="auto"/>
        </w:rPr>
        <w:t>. The Company is also developing products that may have the potential to address neuroinflammation</w:t>
      </w:r>
      <w:r>
        <w:rPr>
          <w:rFonts w:ascii="Arial" w:cs="Arial" w:eastAsia="Arial" w:hAnsi="Arial"/>
          <w:sz w:val="22"/>
          <w:szCs w:val="22"/>
          <w:color w:val="auto"/>
          <w:vertAlign w:val="superscript"/>
        </w:rPr>
        <w:t>4</w:t>
      </w:r>
      <w:r>
        <w:rPr>
          <w:rFonts w:ascii="Arial" w:cs="Arial" w:eastAsia="Arial" w:hAnsi="Arial"/>
          <w:sz w:val="17"/>
          <w:szCs w:val="17"/>
          <w:color w:val="auto"/>
        </w:rPr>
        <w:t>.</w:t>
      </w:r>
    </w:p>
    <w:p>
      <w:pPr>
        <w:spacing w:after="0" w:line="70"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17"/>
          <w:szCs w:val="17"/>
          <w:color w:val="auto"/>
        </w:rPr>
        <w:t>Further, over the next 12-month period, the Company will continue to seek to establish strategic partnerships that advance the Company’s scientific research and intellectual property for new psychedelic compounds and novel delivery mechanisms</w:t>
      </w:r>
      <w:r>
        <w:rPr>
          <w:rFonts w:ascii="Arial" w:cs="Arial" w:eastAsia="Arial" w:hAnsi="Arial"/>
          <w:sz w:val="22"/>
          <w:szCs w:val="22"/>
          <w:color w:val="auto"/>
          <w:vertAlign w:val="superscript"/>
        </w:rPr>
        <w:t>5</w:t>
      </w:r>
      <w:r>
        <w:rPr>
          <w:rFonts w:ascii="Arial" w:cs="Arial" w:eastAsia="Arial" w:hAnsi="Arial"/>
          <w:sz w:val="17"/>
          <w:szCs w:val="17"/>
          <w:color w:val="auto"/>
        </w:rPr>
        <w:t>. The Company will also continue to sponsor select clinical trials that advance the safety and efficacy understanding of various psychedelic agents that target mental health conditions</w:t>
      </w:r>
      <w:r>
        <w:rPr>
          <w:rFonts w:ascii="Arial" w:cs="Arial" w:eastAsia="Arial" w:hAnsi="Arial"/>
          <w:sz w:val="22"/>
          <w:szCs w:val="22"/>
          <w:color w:val="auto"/>
          <w:vertAlign w:val="superscript"/>
        </w:rPr>
        <w:t>6</w:t>
      </w:r>
      <w:r>
        <w:rPr>
          <w:rFonts w:ascii="Arial" w:cs="Arial" w:eastAsia="Arial" w:hAnsi="Arial"/>
          <w:sz w:val="17"/>
          <w:szCs w:val="17"/>
          <w:color w:val="auto"/>
        </w:rPr>
        <w:t>.</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Non-Psychedelics</w:t>
      </w:r>
    </w:p>
    <w:p>
      <w:pPr>
        <w:spacing w:after="0" w:line="197" w:lineRule="exact"/>
        <w:rPr>
          <w:sz w:val="20"/>
          <w:szCs w:val="20"/>
          <w:color w:val="auto"/>
        </w:rPr>
      </w:pPr>
    </w:p>
    <w:p>
      <w:pPr>
        <w:jc w:val="both"/>
        <w:ind w:left="2" w:right="20"/>
        <w:spacing w:after="0" w:line="285" w:lineRule="auto"/>
        <w:rPr>
          <w:sz w:val="20"/>
          <w:szCs w:val="20"/>
          <w:color w:val="auto"/>
        </w:rPr>
      </w:pPr>
      <w:r>
        <w:rPr>
          <w:rFonts w:ascii="Arial" w:cs="Arial" w:eastAsia="Arial" w:hAnsi="Arial"/>
          <w:sz w:val="16"/>
          <w:szCs w:val="16"/>
          <w:color w:val="auto"/>
        </w:rPr>
        <w:t>In November 2021, the Company decided to not proceed with the Natures Journey business segment, including the Product Line in order to prioritize its progression of its research and development of psychedelic pharmaceutical products. As of the date of this MD&amp;A, the Company has not begun operations nor generated any revenue from the sale of the Product Line and it does not expect any revenues from the Product Line going forward.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5532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77" w:lineRule="exact"/>
        <w:rPr>
          <w:sz w:val="20"/>
          <w:szCs w:val="20"/>
          <w:color w:val="auto"/>
        </w:rPr>
      </w:pPr>
    </w:p>
    <w:p>
      <w:pPr>
        <w:jc w:val="both"/>
        <w:ind w:left="2" w:firstLine="4"/>
        <w:spacing w:after="0" w:line="233" w:lineRule="auto"/>
        <w:tabs>
          <w:tab w:leader="none" w:pos="114"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r>
        <w:rPr>
          <w:rFonts w:ascii="Arial" w:cs="Arial" w:eastAsia="Arial" w:hAnsi="Arial"/>
          <w:sz w:val="12"/>
          <w:szCs w:val="12"/>
          <w:color w:val="auto"/>
        </w:rPr>
        <w:t>.</w:t>
      </w:r>
      <w:r>
        <w:rPr>
          <w:rFonts w:ascii="Arial" w:cs="Arial" w:eastAsia="Arial" w:hAnsi="Arial"/>
          <w:sz w:val="14"/>
          <w:szCs w:val="14"/>
          <w:color w:val="auto"/>
        </w:rPr>
        <w:t xml:space="preserve">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3" w:lineRule="exact"/>
        <w:rPr>
          <w:rFonts w:ascii="Arial" w:cs="Arial" w:eastAsia="Arial" w:hAnsi="Arial"/>
          <w:sz w:val="18"/>
          <w:szCs w:val="18"/>
          <w:color w:val="auto"/>
          <w:vertAlign w:val="superscript"/>
        </w:rPr>
      </w:pPr>
    </w:p>
    <w:p>
      <w:pPr>
        <w:jc w:val="both"/>
        <w:ind w:left="2" w:right="20"/>
        <w:spacing w:after="0" w:line="261"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The Company is currently applying Catalent’s proprietary Zydis® ODT technology as a delivery method during the development of the Company's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Arial" w:cs="Arial" w:eastAsia="Arial" w:hAnsi="Arial"/>
          <w:sz w:val="18"/>
          <w:szCs w:val="18"/>
          <w:color w:val="auto"/>
          <w:vertAlign w:val="superscript"/>
        </w:rPr>
      </w:pPr>
    </w:p>
    <w:p>
      <w:pPr>
        <w:jc w:val="both"/>
        <w:ind w:left="2" w:right="20"/>
        <w:spacing w:after="0" w:line="218"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3</w:t>
      </w:r>
      <w:r>
        <w:rPr>
          <w:rFonts w:ascii="Arial" w:cs="Arial" w:eastAsia="Arial" w:hAnsi="Arial"/>
          <w:sz w:val="15"/>
          <w:szCs w:val="15"/>
          <w:color w:val="auto"/>
        </w:rPr>
        <w:t xml:space="preserve"> 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7" w:lineRule="exact"/>
        <w:rPr>
          <w:sz w:val="20"/>
          <w:szCs w:val="20"/>
          <w:color w:val="auto"/>
        </w:rPr>
      </w:pPr>
    </w:p>
    <w:p>
      <w:pPr>
        <w:jc w:val="both"/>
        <w:ind w:left="2" w:right="20" w:hanging="2"/>
        <w:spacing w:after="0" w:line="216" w:lineRule="auto"/>
        <w:tabs>
          <w:tab w:leader="none" w:pos="127"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2"/>
        <w:spacing w:after="0" w:line="188" w:lineRule="auto"/>
        <w:rPr>
          <w:rFonts w:ascii="Arial" w:cs="Arial" w:eastAsia="Arial" w:hAnsi="Arial"/>
          <w:sz w:val="25"/>
          <w:szCs w:val="25"/>
          <w:color w:val="auto"/>
          <w:vertAlign w:val="superscript"/>
        </w:rPr>
      </w:pPr>
      <w:r>
        <w:rPr>
          <w:rFonts w:ascii="Arial" w:cs="Arial" w:eastAsia="Arial" w:hAnsi="Arial"/>
          <w:sz w:val="19"/>
          <w:szCs w:val="19"/>
          <w:color w:val="auto"/>
          <w:vertAlign w:val="superscript"/>
        </w:rPr>
        <w:t>5</w:t>
      </w:r>
      <w:r>
        <w:rPr>
          <w:rFonts w:ascii="Arial" w:cs="Arial" w:eastAsia="Arial" w:hAnsi="Arial"/>
          <w:sz w:val="13"/>
          <w:szCs w:val="13"/>
          <w:color w:val="auto"/>
        </w:rPr>
        <w:t xml:space="preserve"> The material factors and assumption underlying this forward-looking statement is that the Company will be able to successfully negotiate strategic partnerships.</w:t>
      </w:r>
    </w:p>
    <w:p>
      <w:pPr>
        <w:jc w:val="both"/>
        <w:ind w:left="2" w:right="20"/>
        <w:spacing w:after="0" w:line="211" w:lineRule="auto"/>
        <w:rPr>
          <w:rFonts w:ascii="Arial" w:cs="Arial" w:eastAsia="Arial" w:hAnsi="Arial"/>
          <w:sz w:val="25"/>
          <w:szCs w:val="25"/>
          <w:color w:val="auto"/>
          <w:vertAlign w:val="superscript"/>
        </w:rPr>
      </w:pPr>
      <w:r>
        <w:rPr>
          <w:rFonts w:ascii="Arial" w:cs="Arial" w:eastAsia="Arial" w:hAnsi="Arial"/>
          <w:sz w:val="21"/>
          <w:szCs w:val="21"/>
          <w:color w:val="auto"/>
          <w:vertAlign w:val="superscript"/>
        </w:rPr>
        <w:t>6</w:t>
      </w:r>
      <w:r>
        <w:rPr>
          <w:rFonts w:ascii="Arial" w:cs="Arial" w:eastAsia="Arial" w:hAnsi="Arial"/>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2"/>
          </w:cols>
          <w:pgMar w:left="318" w:top="710" w:right="319" w:bottom="1440" w:gutter="0" w:footer="0" w:header="0"/>
        </w:sectPr>
      </w:pPr>
    </w:p>
    <w:bookmarkStart w:id="33" w:name="page34"/>
    <w:bookmarkEnd w:id="33"/>
    <w:p>
      <w:pPr>
        <w:jc w:val="both"/>
        <w:ind w:left="2"/>
        <w:spacing w:after="0" w:line="253" w:lineRule="auto"/>
        <w:rPr>
          <w:sz w:val="20"/>
          <w:szCs w:val="20"/>
          <w:color w:val="auto"/>
        </w:rPr>
      </w:pPr>
      <w:r>
        <w:rPr>
          <w:rFonts w:ascii="Arial" w:cs="Arial" w:eastAsia="Arial" w:hAnsi="Arial"/>
          <w:sz w:val="18"/>
          <w:szCs w:val="18"/>
          <w:color w:val="auto"/>
        </w:rPr>
        <w:t>revenues reflected in its 2021 annual consolidated financial statements are from non-recurring opportunist sales of non-core products sold in the United States.</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Stage of Development</w:t>
      </w:r>
    </w:p>
    <w:p>
      <w:pPr>
        <w:spacing w:after="0" w:line="135"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162" w:lineRule="exact"/>
        <w:rPr>
          <w:sz w:val="20"/>
          <w:szCs w:val="20"/>
          <w:color w:val="auto"/>
        </w:rPr>
      </w:pPr>
    </w:p>
    <w:p>
      <w:pPr>
        <w:jc w:val="both"/>
        <w:ind w:left="2"/>
        <w:spacing w:after="0" w:line="255" w:lineRule="auto"/>
        <w:rPr>
          <w:sz w:val="20"/>
          <w:szCs w:val="20"/>
          <w:color w:val="auto"/>
        </w:rPr>
      </w:pPr>
      <w:r>
        <w:rPr>
          <w:rFonts w:ascii="Arial" w:cs="Arial" w:eastAsia="Arial" w:hAnsi="Arial"/>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EU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auto"/>
          <w:vertAlign w:val="superscript"/>
        </w:rPr>
        <w:t>7</w:t>
      </w:r>
    </w:p>
    <w:p>
      <w:pPr>
        <w:spacing w:after="0" w:line="83" w:lineRule="exact"/>
        <w:rPr>
          <w:sz w:val="20"/>
          <w:szCs w:val="20"/>
          <w:color w:val="auto"/>
        </w:rPr>
      </w:pPr>
    </w:p>
    <w:p>
      <w:pPr>
        <w:jc w:val="both"/>
        <w:ind w:left="2"/>
        <w:spacing w:after="0" w:line="256" w:lineRule="auto"/>
        <w:rPr>
          <w:sz w:val="20"/>
          <w:szCs w:val="20"/>
          <w:color w:val="auto"/>
        </w:rPr>
      </w:pPr>
      <w:r>
        <w:rPr>
          <w:rFonts w:ascii="Arial" w:cs="Arial" w:eastAsia="Arial" w:hAnsi="Arial"/>
          <w:sz w:val="18"/>
          <w:szCs w:val="18"/>
          <w:color w:val="auto"/>
        </w:rPr>
        <w:t xml:space="preserve">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57" w:lineRule="exact"/>
        <w:rPr>
          <w:sz w:val="20"/>
          <w:szCs w:val="20"/>
          <w:color w:val="auto"/>
        </w:rPr>
      </w:pPr>
    </w:p>
    <w:p>
      <w:pPr>
        <w:jc w:val="both"/>
        <w:ind w:left="2"/>
        <w:spacing w:after="0" w:line="267"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52"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color w:val="auto"/>
        </w:rPr>
        <w:t>On November 4, 2021, the Company announced that it had been granted a Schedule I manufacturing license from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auto"/>
          <w:vertAlign w:val="superscript"/>
        </w:rPr>
        <w:t>8</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197" w:lineRule="exact"/>
        <w:rPr>
          <w:sz w:val="20"/>
          <w:szCs w:val="20"/>
          <w:color w:val="auto"/>
        </w:rPr>
      </w:pPr>
    </w:p>
    <w:p>
      <w:pPr>
        <w:ind w:left="602" w:hanging="309"/>
        <w:spacing w:after="0"/>
        <w:tabs>
          <w:tab w:leader="none" w:pos="6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Psilocybin Analog Program</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Tryptamines Programs</w:t>
      </w:r>
    </w:p>
    <w:p>
      <w:pPr>
        <w:ind w:left="602" w:hanging="309"/>
        <w:spacing w:after="0"/>
        <w:tabs>
          <w:tab w:leader="none" w:pos="6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Phenethylamine Program</w:t>
      </w:r>
    </w:p>
    <w:p>
      <w:pPr>
        <w:ind w:left="582" w:hanging="289"/>
        <w:spacing w:after="0"/>
        <w:tabs>
          <w:tab w:leader="none" w:pos="5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181"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was previously exploring a fifth program, the Nutraceutical Product Program; however, in November 2021, the Company concluded that it would no longer be progressing with this program in order to prioritize its progression of psychedelic molecules. In addition, the Company has merged its Psilocybin Program with its CYB003 Deuterated Tryptamine Program and is prioritizing the progression of the Deuterated Psilocybin Analog Program, as it has been identified as a potentially superior molecule.</w:t>
      </w:r>
    </w:p>
    <w:p>
      <w:pPr>
        <w:spacing w:after="0" w:line="184" w:lineRule="exact"/>
        <w:rPr>
          <w:sz w:val="20"/>
          <w:szCs w:val="20"/>
          <w:color w:val="auto"/>
        </w:rPr>
      </w:pPr>
    </w:p>
    <w:p>
      <w:pPr>
        <w:jc w:val="both"/>
        <w:ind w:left="2"/>
        <w:spacing w:after="0" w:line="227" w:lineRule="auto"/>
        <w:rPr>
          <w:sz w:val="20"/>
          <w:szCs w:val="20"/>
          <w:color w:val="auto"/>
        </w:rPr>
      </w:pPr>
      <w:r>
        <w:rPr>
          <w:rFonts w:ascii="Arial" w:cs="Arial" w:eastAsia="Arial" w:hAnsi="Arial"/>
          <w:sz w:val="16"/>
          <w:szCs w:val="16"/>
          <w:color w:val="auto"/>
        </w:rPr>
        <w:t>To support the programs listed above, the Company developed EMBARK</w:t>
      </w:r>
      <w:r>
        <w:rPr>
          <w:rFonts w:ascii="Arial" w:cs="Arial" w:eastAsia="Arial" w:hAnsi="Arial"/>
          <w:sz w:val="22"/>
          <w:szCs w:val="22"/>
          <w:color w:val="auto"/>
          <w:vertAlign w:val="superscript"/>
        </w:rPr>
        <w:t>TM</w:t>
      </w:r>
      <w:r>
        <w:rPr>
          <w:rFonts w:ascii="Arial" w:cs="Arial" w:eastAsia="Arial" w:hAnsi="Arial"/>
          <w:sz w:val="16"/>
          <w:szCs w:val="16"/>
          <w:color w:val="auto"/>
        </w:rPr>
        <w:t>, a psychotherapeutic support model that integrates leading clinical approaches to promote supportive healing with psychedelic medicine. EMBARK</w:t>
      </w:r>
      <w:r>
        <w:rPr>
          <w:rFonts w:ascii="Arial" w:cs="Arial" w:eastAsia="Arial" w:hAnsi="Arial"/>
          <w:sz w:val="22"/>
          <w:szCs w:val="22"/>
          <w:color w:val="auto"/>
          <w:vertAlign w:val="superscript"/>
        </w:rPr>
        <w:t>TM</w:t>
      </w:r>
      <w:r>
        <w:rPr>
          <w:rFonts w:ascii="Arial" w:cs="Arial" w:eastAsia="Arial" w:hAnsi="Arial"/>
          <w:sz w:val="16"/>
          <w:szCs w:val="16"/>
          <w:color w:val="auto"/>
        </w:rPr>
        <w:t>’s six clinical domains (</w:t>
      </w:r>
      <w:r>
        <w:rPr>
          <w:rFonts w:ascii="Arial" w:cs="Arial" w:eastAsia="Arial" w:hAnsi="Arial"/>
          <w:sz w:val="16"/>
          <w:szCs w:val="16"/>
          <w:b w:val="1"/>
          <w:bCs w:val="1"/>
          <w:color w:val="auto"/>
        </w:rPr>
        <w:t>E</w:t>
      </w:r>
      <w:r>
        <w:rPr>
          <w:rFonts w:ascii="Arial" w:cs="Arial" w:eastAsia="Arial" w:hAnsi="Arial"/>
          <w:sz w:val="16"/>
          <w:szCs w:val="16"/>
          <w:color w:val="auto"/>
        </w:rPr>
        <w:t xml:space="preserve">xistential-Spiritual, </w:t>
      </w:r>
      <w:r>
        <w:rPr>
          <w:rFonts w:ascii="Arial" w:cs="Arial" w:eastAsia="Arial" w:hAnsi="Arial"/>
          <w:sz w:val="16"/>
          <w:szCs w:val="16"/>
          <w:b w:val="1"/>
          <w:bCs w:val="1"/>
          <w:color w:val="auto"/>
        </w:rPr>
        <w:t>M</w:t>
      </w:r>
      <w:r>
        <w:rPr>
          <w:rFonts w:ascii="Arial" w:cs="Arial" w:eastAsia="Arial" w:hAnsi="Arial"/>
          <w:sz w:val="16"/>
          <w:szCs w:val="16"/>
          <w:color w:val="auto"/>
        </w:rPr>
        <w:t xml:space="preserve">indfulness, </w:t>
      </w:r>
      <w:r>
        <w:rPr>
          <w:rFonts w:ascii="Arial" w:cs="Arial" w:eastAsia="Arial" w:hAnsi="Arial"/>
          <w:sz w:val="16"/>
          <w:szCs w:val="16"/>
          <w:b w:val="1"/>
          <w:bCs w:val="1"/>
          <w:color w:val="auto"/>
        </w:rPr>
        <w:t>B</w:t>
      </w:r>
      <w:r>
        <w:rPr>
          <w:rFonts w:ascii="Arial" w:cs="Arial" w:eastAsia="Arial" w:hAnsi="Arial"/>
          <w:sz w:val="16"/>
          <w:szCs w:val="16"/>
          <w:color w:val="auto"/>
        </w:rPr>
        <w:t xml:space="preserve">ody Aware, </w:t>
      </w:r>
      <w:r>
        <w:rPr>
          <w:rFonts w:ascii="Arial" w:cs="Arial" w:eastAsia="Arial" w:hAnsi="Arial"/>
          <w:sz w:val="16"/>
          <w:szCs w:val="16"/>
          <w:b w:val="1"/>
          <w:bCs w:val="1"/>
          <w:color w:val="auto"/>
        </w:rPr>
        <w:t>A</w:t>
      </w:r>
      <w:r>
        <w:rPr>
          <w:rFonts w:ascii="Arial" w:cs="Arial" w:eastAsia="Arial" w:hAnsi="Arial"/>
          <w:sz w:val="16"/>
          <w:szCs w:val="16"/>
          <w:color w:val="auto"/>
        </w:rPr>
        <w:t xml:space="preserve">ffective-Cognitive, </w:t>
      </w:r>
      <w:r>
        <w:rPr>
          <w:rFonts w:ascii="Arial" w:cs="Arial" w:eastAsia="Arial" w:hAnsi="Arial"/>
          <w:sz w:val="16"/>
          <w:szCs w:val="16"/>
          <w:b w:val="1"/>
          <w:bCs w:val="1"/>
          <w:color w:val="auto"/>
        </w:rPr>
        <w:t>R</w:t>
      </w:r>
      <w:r>
        <w:rPr>
          <w:rFonts w:ascii="Arial" w:cs="Arial" w:eastAsia="Arial" w:hAnsi="Arial"/>
          <w:sz w:val="16"/>
          <w:szCs w:val="16"/>
          <w:color w:val="auto"/>
        </w:rPr>
        <w:t xml:space="preserve">elational, </w:t>
      </w:r>
      <w:r>
        <w:rPr>
          <w:rFonts w:ascii="Arial" w:cs="Arial" w:eastAsia="Arial" w:hAnsi="Arial"/>
          <w:sz w:val="16"/>
          <w:szCs w:val="16"/>
          <w:b w:val="1"/>
          <w:bCs w:val="1"/>
          <w:color w:val="auto"/>
        </w:rPr>
        <w:t>K</w:t>
      </w:r>
      <w:r>
        <w:rPr>
          <w:rFonts w:ascii="Arial" w:cs="Arial" w:eastAsia="Arial" w:hAnsi="Arial"/>
          <w:sz w:val="16"/>
          <w:szCs w:val="16"/>
          <w:color w:val="auto"/>
        </w:rPr>
        <w:t>eeping Momentum) represent the broad spectrum of ways in which therapeutic benefits may arise in psychedelic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5532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38" w:lineRule="exact"/>
        <w:rPr>
          <w:sz w:val="20"/>
          <w:szCs w:val="20"/>
          <w:color w:val="auto"/>
        </w:rPr>
      </w:pPr>
    </w:p>
    <w:p>
      <w:pPr>
        <w:ind w:left="2" w:hanging="2"/>
        <w:spacing w:after="0" w:line="214" w:lineRule="auto"/>
        <w:tabs>
          <w:tab w:leader="none" w:pos="96"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Arial" w:cs="Arial" w:eastAsia="Arial" w:hAnsi="Arial"/>
          <w:sz w:val="21"/>
          <w:szCs w:val="21"/>
          <w:color w:val="auto"/>
          <w:vertAlign w:val="superscript"/>
        </w:rPr>
      </w:pPr>
    </w:p>
    <w:p>
      <w:pPr>
        <w:ind w:left="2"/>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8</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2"/>
          </w:cols>
          <w:pgMar w:left="318" w:top="710" w:right="339" w:bottom="1440" w:gutter="0" w:footer="0" w:header="0"/>
        </w:sectPr>
      </w:pPr>
    </w:p>
    <w:bookmarkStart w:id="34" w:name="page35"/>
    <w:bookmarkEnd w:id="34"/>
    <w:p>
      <w:pPr>
        <w:jc w:val="both"/>
        <w:spacing w:after="0" w:line="239" w:lineRule="auto"/>
        <w:rPr>
          <w:sz w:val="20"/>
          <w:szCs w:val="20"/>
          <w:color w:val="auto"/>
        </w:rPr>
      </w:pPr>
      <w:r>
        <w:rPr>
          <w:rFonts w:ascii="Arial" w:cs="Arial" w:eastAsia="Arial" w:hAnsi="Arial"/>
          <w:sz w:val="17"/>
          <w:szCs w:val="17"/>
          <w:color w:val="auto"/>
        </w:rPr>
        <w:t>and the equally broad training needed to prepare therapists to support them all. The Company launched its EMBARK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training program in June 2021, which prepares facilitators to work within all of these domains, while inviting facilitators to bring in their own therapeutic training and expertise in a flexible, yet structured way. The EMBARK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curriculum additionally emphasizes trauma-informed, culturally competent, and ethically rigorous care.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Deuterated Psilocybin Analog Program (formerly the Psilocybin Program)</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Psilocybin was the Company’s first drug program in development. The Company’s sublingual film formulation of psilocybin is a synthetic psychedelic molecular formulation, the activity for which is in part based upon classical serotonin 2A psychedelic activity.</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Studies of psilocybin efficacy in depressive states published by Johns Hopkins University demonstrate promising potential efficacy of psilocybin and, therefore, of the Company’s novel formulation. The Company has contracted with IntelGenx Corp. (“</w:t>
      </w:r>
      <w:r>
        <w:rPr>
          <w:rFonts w:ascii="Arial" w:cs="Arial" w:eastAsia="Arial" w:hAnsi="Arial"/>
          <w:sz w:val="17"/>
          <w:szCs w:val="17"/>
          <w:b w:val="1"/>
          <w:bCs w:val="1"/>
          <w:color w:val="auto"/>
        </w:rPr>
        <w:t>IntelGenx</w:t>
      </w:r>
      <w:r>
        <w:rPr>
          <w:rFonts w:ascii="Arial" w:cs="Arial" w:eastAsia="Arial" w:hAnsi="Arial"/>
          <w:sz w:val="17"/>
          <w:szCs w:val="17"/>
          <w:color w:val="auto"/>
        </w:rPr>
        <w:t>”)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 On November 8, 2021, the Company announced that its research into its novel oral psilocybin analog molecule (CYB003) had identified a putative orally deliverable drug product that appears to have more desirable characteristics than psilocybin delivered by sublingual film. Although the Company is still evaluating the sublingual film technology, it has prioritized the new Deuterated Psilocybin Analog Program over the sublingual film technology as a result of the Company’s positive view of the research data on the Company’s novel oral psilocybin analog molecule.</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leverage the data obtained through the Psilocybin Program to advance its newly defined Deuterated Psilocybin Analog Program. It is intended that the Deuterated Psilocybin Analog Program will merge both the MDD and AUD indication into a single program. The Company has determined that this merger of programs is the most efficient and cost-effective way for the Company to move forward. The Company is prioritizing the progression of the Deuterated Psilocybin Analog Program, as this has been demonstrated to be the potentially superior molecule. The Company will continue to advance previous disclosed psilocybin milestones in the U.S. and the UK as it deems them necessary to bring psychedelics to therapeutics.</w:t>
      </w:r>
    </w:p>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 completed an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enabling preclinical studies and the Chemistry, Manufacturing and Control (“</w:t>
      </w:r>
      <w:r>
        <w:rPr>
          <w:rFonts w:ascii="Arial" w:cs="Arial" w:eastAsia="Arial" w:hAnsi="Arial"/>
          <w:sz w:val="17"/>
          <w:szCs w:val="17"/>
          <w:b w:val="1"/>
          <w:bCs w:val="1"/>
          <w:color w:val="auto"/>
        </w:rPr>
        <w:t>CMC</w:t>
      </w:r>
      <w:r>
        <w:rPr>
          <w:rFonts w:ascii="Arial" w:cs="Arial" w:eastAsia="Arial" w:hAnsi="Arial"/>
          <w:sz w:val="17"/>
          <w:szCs w:val="17"/>
          <w:color w:val="auto"/>
        </w:rPr>
        <w:t>”) development required to commence clinical trials, including the production of clinical materials, in Q2 2022. The Company intends to continue its progression of post IND enabling preclinical studies and CMC development progression for its Deuterated Psilocybin Analog Program throughout fiscal year 2023. There is no assurance that these timelines will be met or that these preclinical drug candidates will advance to clinical trials at all.</w:t>
      </w:r>
    </w:p>
    <w:p>
      <w:pPr>
        <w:spacing w:after="0" w:line="17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three-month period ended June 30, 2022, the Company submitted an IND application to the FDA and received a “may proceed letter” and IND application clearance from the FDA for its Phase I/IIa, randomized, double-blind, placebo-controlled study in participants with moderate to severe MDD. The study will investigate the safety, tolerability, PK and PD of ascending oral doses of CYB003 in MDD participants. Approximately 32 MDD participants are planned to be enrolled into six cohorts. The study is listed on ClinicalTrials.gov under Identifier: NCT05385783. In addition, the Company received Institutional Review Board (the “</w:t>
      </w:r>
      <w:r>
        <w:rPr>
          <w:rFonts w:ascii="Arial" w:cs="Arial" w:eastAsia="Arial" w:hAnsi="Arial"/>
          <w:sz w:val="18"/>
          <w:szCs w:val="18"/>
          <w:b w:val="1"/>
          <w:bCs w:val="1"/>
          <w:color w:val="auto"/>
        </w:rPr>
        <w:t>IRB</w:t>
      </w:r>
      <w:r>
        <w:rPr>
          <w:rFonts w:ascii="Arial" w:cs="Arial" w:eastAsia="Arial" w:hAnsi="Arial"/>
          <w:sz w:val="18"/>
          <w:szCs w:val="18"/>
          <w:color w:val="auto"/>
        </w:rPr>
        <w:t>”) approval in the U.S. to begin the first-in-human Phase I/IIa clinical trial evaluating CYB003 for the treatment of MDD.</w:t>
      </w:r>
    </w:p>
    <w:p>
      <w:pPr>
        <w:spacing w:after="0" w:line="20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engaged Clinilabs Drug Development Corporation (“</w:t>
      </w:r>
      <w:r>
        <w:rPr>
          <w:rFonts w:ascii="Arial" w:cs="Arial" w:eastAsia="Arial" w:hAnsi="Arial"/>
          <w:sz w:val="18"/>
          <w:szCs w:val="18"/>
          <w:b w:val="1"/>
          <w:bCs w:val="1"/>
          <w:color w:val="auto"/>
        </w:rPr>
        <w:t>Clinilabs</w:t>
      </w:r>
      <w:r>
        <w:rPr>
          <w:rFonts w:ascii="Arial" w:cs="Arial" w:eastAsia="Arial" w:hAnsi="Arial"/>
          <w:sz w:val="18"/>
          <w:szCs w:val="18"/>
          <w:color w:val="auto"/>
        </w:rPr>
        <w:t>”), a full-service contract research organization with deep expertise in central nervous system drug development, to carry out the Phase I/IIa clinical trial of CYB003.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701" w:right="319" w:bottom="1440" w:gutter="0" w:footer="0" w:header="0"/>
        </w:sectPr>
      </w:pPr>
    </w:p>
    <w:bookmarkStart w:id="35" w:name="page36"/>
    <w:bookmarkEnd w:id="35"/>
    <w:p>
      <w:pPr>
        <w:ind w:left="2"/>
        <w:spacing w:after="0"/>
        <w:rPr>
          <w:sz w:val="20"/>
          <w:szCs w:val="20"/>
          <w:color w:val="auto"/>
        </w:rPr>
      </w:pPr>
      <w:r>
        <w:rPr>
          <w:rFonts w:ascii="Arial" w:cs="Arial" w:eastAsia="Arial" w:hAnsi="Arial"/>
          <w:sz w:val="18"/>
          <w:szCs w:val="18"/>
          <w:color w:val="auto"/>
        </w:rPr>
        <w:t>As at June 30, 2022, the Company has spent approximately $7,565 on the Deuterated Psilocybin Analog Program</w:t>
      </w:r>
      <w:r>
        <w:rPr>
          <w:rFonts w:ascii="Arial" w:cs="Arial" w:eastAsia="Arial" w:hAnsi="Arial"/>
          <w:sz w:val="23"/>
          <w:szCs w:val="23"/>
          <w:color w:val="auto"/>
          <w:vertAlign w:val="superscript"/>
        </w:rPr>
        <w:t>9</w:t>
      </w:r>
      <w:r>
        <w:rPr>
          <w:rFonts w:ascii="Arial" w:cs="Arial" w:eastAsia="Arial" w:hAnsi="Arial"/>
          <w:sz w:val="18"/>
          <w:szCs w:val="18"/>
          <w:color w:val="auto"/>
        </w:rPr>
        <w:t>.</w:t>
      </w:r>
    </w:p>
    <w:p>
      <w:pPr>
        <w:spacing w:after="0" w:line="151"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The Company no longer anticipates conducting any business activities for its Deuterated Psilocybin Analog Program in Jamaica. The Company intends to complete future clinical trials for this program in the U.S., Canada, and Europe.</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Deuterated Tryptamines Programs</w:t>
      </w:r>
    </w:p>
    <w:p>
      <w:pPr>
        <w:spacing w:after="0" w:line="193" w:lineRule="exact"/>
        <w:rPr>
          <w:sz w:val="20"/>
          <w:szCs w:val="20"/>
          <w:color w:val="auto"/>
        </w:rPr>
      </w:pPr>
    </w:p>
    <w:p>
      <w:pPr>
        <w:jc w:val="both"/>
        <w:ind w:left="2"/>
        <w:spacing w:after="0" w:line="235" w:lineRule="auto"/>
        <w:rPr>
          <w:sz w:val="20"/>
          <w:szCs w:val="20"/>
          <w:color w:val="auto"/>
        </w:rPr>
      </w:pPr>
      <w:r>
        <w:rPr>
          <w:rFonts w:ascii="Arial" w:cs="Arial" w:eastAsia="Arial" w:hAnsi="Arial"/>
          <w:sz w:val="18"/>
          <w:szCs w:val="18"/>
          <w:color w:val="auto"/>
        </w:rPr>
        <w:t>Pursuant to the acquisition of Adelia Therapeutics Inc. (“</w:t>
      </w:r>
      <w:r>
        <w:rPr>
          <w:rFonts w:ascii="Arial" w:cs="Arial" w:eastAsia="Arial" w:hAnsi="Arial"/>
          <w:sz w:val="18"/>
          <w:szCs w:val="18"/>
          <w:b w:val="1"/>
          <w:bCs w:val="1"/>
          <w:color w:val="auto"/>
        </w:rPr>
        <w:t>Adelia</w:t>
      </w:r>
      <w:r>
        <w:rPr>
          <w:rFonts w:ascii="Arial" w:cs="Arial" w:eastAsia="Arial" w:hAnsi="Arial"/>
          <w:sz w:val="18"/>
          <w:szCs w:val="18"/>
          <w:color w:val="auto"/>
        </w:rPr>
        <w:t>”) completed on December 14, 2020 (the “</w:t>
      </w:r>
      <w:r>
        <w:rPr>
          <w:rFonts w:ascii="Arial" w:cs="Arial" w:eastAsia="Arial" w:hAnsi="Arial"/>
          <w:sz w:val="18"/>
          <w:szCs w:val="18"/>
          <w:b w:val="1"/>
          <w:bCs w:val="1"/>
          <w:color w:val="auto"/>
        </w:rPr>
        <w:t>Adelia Transaction</w:t>
      </w:r>
      <w:r>
        <w:rPr>
          <w:rFonts w:ascii="Arial" w:cs="Arial" w:eastAsia="Arial" w:hAnsi="Arial"/>
          <w:sz w:val="18"/>
          <w:szCs w:val="18"/>
          <w:color w:val="auto"/>
        </w:rPr>
        <w:t xml:space="preserve">”), the Company acquired preclinical deuterated tryptamines programs. To date, the Company has undertaken sufficient work to enable selection of two deuterated tryptamine candidates and has scaled up production processes to optimize and maximize yields and ensure the drug candidates meet the required quality.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 of principal in models has been completed to ensure selection of molecules with optimal anticipated pharmacokinetics best suited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trials.</w:t>
      </w:r>
    </w:p>
    <w:p>
      <w:pPr>
        <w:spacing w:after="0" w:line="201" w:lineRule="exact"/>
        <w:rPr>
          <w:sz w:val="20"/>
          <w:szCs w:val="20"/>
          <w:color w:val="auto"/>
        </w:rPr>
      </w:pPr>
    </w:p>
    <w:p>
      <w:pPr>
        <w:jc w:val="both"/>
        <w:ind w:left="2"/>
        <w:spacing w:after="0" w:line="237" w:lineRule="auto"/>
        <w:rPr>
          <w:sz w:val="20"/>
          <w:szCs w:val="20"/>
          <w:color w:val="auto"/>
        </w:rPr>
      </w:pPr>
      <w:r>
        <w:rPr>
          <w:rFonts w:ascii="Arial" w:cs="Arial" w:eastAsia="Arial" w:hAnsi="Arial"/>
          <w:sz w:val="18"/>
          <w:szCs w:val="18"/>
          <w:color w:val="auto"/>
        </w:rPr>
        <w:t>The Company’s Deuterated Tryptamines Program is primarily focused on its lead candidate, CYB004, a deuterated version of N, N-dimethyltryptamine (“</w:t>
      </w:r>
      <w:r>
        <w:rPr>
          <w:rFonts w:ascii="Arial" w:cs="Arial" w:eastAsia="Arial" w:hAnsi="Arial"/>
          <w:sz w:val="19"/>
          <w:szCs w:val="19"/>
          <w:b w:val="1"/>
          <w:bCs w:val="1"/>
          <w:color w:val="auto"/>
        </w:rPr>
        <w:t>DMT</w:t>
      </w:r>
      <w:r>
        <w:rPr>
          <w:rFonts w:ascii="Arial" w:cs="Arial" w:eastAsia="Arial" w:hAnsi="Arial"/>
          <w:sz w:val="18"/>
          <w:szCs w:val="18"/>
          <w:color w:val="auto"/>
        </w:rPr>
        <w:t>”). The Company has a newly defined program, the Deuterated Psilocybin Analog Program, which merges the initiatives of the Psilocybin Program and the CYB003 program into one single program (Deuterated Psilocybin Analog Program). The work performed to date related to CYB003 in this program has been instrumental in defining the new program, as described above.</w:t>
      </w:r>
    </w:p>
    <w:p>
      <w:pPr>
        <w:spacing w:after="0" w:line="174" w:lineRule="exact"/>
        <w:rPr>
          <w:sz w:val="20"/>
          <w:szCs w:val="20"/>
          <w:color w:val="auto"/>
        </w:rPr>
      </w:pPr>
    </w:p>
    <w:p>
      <w:pPr>
        <w:jc w:val="both"/>
        <w:ind w:left="2"/>
        <w:spacing w:after="0" w:line="223" w:lineRule="auto"/>
        <w:rPr>
          <w:sz w:val="20"/>
          <w:szCs w:val="20"/>
          <w:color w:val="auto"/>
        </w:rPr>
      </w:pPr>
      <w:r>
        <w:rPr>
          <w:rFonts w:ascii="Arial" w:cs="Arial" w:eastAsia="Arial" w:hAnsi="Arial"/>
          <w:sz w:val="18"/>
          <w:szCs w:val="18"/>
          <w:color w:val="auto"/>
        </w:rPr>
        <w:t>On April 13, 2022, the Company announced positive preclinical data from a pharmacokinetic study evaluating its proprietary deuterated DMT molecule, CYB004.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Cybin is currently developing CYB004 for the treatment of anxiety disorders.</w:t>
      </w:r>
    </w:p>
    <w:p>
      <w:pPr>
        <w:spacing w:after="0" w:line="184" w:lineRule="exact"/>
        <w:rPr>
          <w:sz w:val="20"/>
          <w:szCs w:val="20"/>
          <w:color w:val="auto"/>
        </w:rPr>
      </w:pPr>
    </w:p>
    <w:p>
      <w:pPr>
        <w:jc w:val="both"/>
        <w:ind w:left="2"/>
        <w:spacing w:after="0" w:line="265" w:lineRule="auto"/>
        <w:rPr>
          <w:sz w:val="20"/>
          <w:szCs w:val="20"/>
          <w:color w:val="auto"/>
        </w:rPr>
      </w:pPr>
      <w:r>
        <w:rPr>
          <w:rFonts w:ascii="Arial" w:cs="Arial" w:eastAsia="Arial" w:hAnsi="Arial"/>
          <w:sz w:val="16"/>
          <w:szCs w:val="16"/>
          <w:color w:val="auto"/>
        </w:rPr>
        <w:t>On June 7, 2022, the Company announced it had entered into an agreement to acquire a Phase I DMT study (the “</w:t>
      </w:r>
      <w:r>
        <w:rPr>
          <w:rFonts w:ascii="Arial" w:cs="Arial" w:eastAsia="Arial" w:hAnsi="Arial"/>
          <w:sz w:val="16"/>
          <w:szCs w:val="16"/>
          <w:b w:val="1"/>
          <w:bCs w:val="1"/>
          <w:color w:val="auto"/>
        </w:rPr>
        <w:t>Asset Acquisition</w:t>
      </w:r>
      <w:r>
        <w:rPr>
          <w:rFonts w:ascii="Arial" w:cs="Arial" w:eastAsia="Arial" w:hAnsi="Arial"/>
          <w:sz w:val="16"/>
          <w:szCs w:val="16"/>
          <w:color w:val="auto"/>
        </w:rPr>
        <w:t>”) from Entheon Biomedical Corp. (“</w:t>
      </w:r>
      <w:r>
        <w:rPr>
          <w:rFonts w:ascii="Arial" w:cs="Arial" w:eastAsia="Arial" w:hAnsi="Arial"/>
          <w:sz w:val="17"/>
          <w:szCs w:val="17"/>
          <w:b w:val="1"/>
          <w:bCs w:val="1"/>
          <w:color w:val="auto"/>
        </w:rPr>
        <w:t>Entheon</w:t>
      </w:r>
      <w:r>
        <w:rPr>
          <w:rFonts w:ascii="Arial" w:cs="Arial" w:eastAsia="Arial" w:hAnsi="Arial"/>
          <w:sz w:val="16"/>
          <w:szCs w:val="16"/>
          <w:color w:val="auto"/>
        </w:rPr>
        <w:t>”) to accelerate the clinical development path for CYB004 for the potential treatment of anxiety disorders. On July 11, 2022, the Company announced that the Asset Acquisition was completed (See “</w:t>
      </w:r>
      <w:r>
        <w:rPr>
          <w:rFonts w:ascii="Arial" w:cs="Arial" w:eastAsia="Arial" w:hAnsi="Arial"/>
          <w:sz w:val="16"/>
          <w:szCs w:val="16"/>
          <w:i w:val="1"/>
          <w:iCs w:val="1"/>
          <w:color w:val="auto"/>
        </w:rPr>
        <w:t>Subsequent Event Notes</w:t>
      </w:r>
      <w:r>
        <w:rPr>
          <w:rFonts w:ascii="Arial" w:cs="Arial" w:eastAsia="Arial" w:hAnsi="Arial"/>
          <w:sz w:val="16"/>
          <w:szCs w:val="16"/>
          <w:color w:val="auto"/>
        </w:rPr>
        <w:t>”). The Phase I study, previously identified as EBRX-101 and now named CYB004-E, is being conducted in the Netherlands in 50 healthy volunteers who smoke tobacco. The CYB004-E study is expected to yield essential safety and dosing optimization data and will replace the Company’s planned pilot study for CYB004 that was expected to commence in Q3 2022. Entheon will continue to support the CYB004-E study and act as external consultants to the Company. Pending results from the CYB004-E study, the Company plans to evaluate CYB004 to determine the clinical path forward. The Company may enter additional clinical trials thereafter subject to receiving the necessary approvals. The Company intends to continue its progression of this program throughout fiscal year 2023. There is no assurance that these timelines will be met or that these preclinical drug candidates will advance to clinical trials at all.</w:t>
      </w:r>
      <w:r>
        <w:rPr>
          <w:rFonts w:ascii="Arial" w:cs="Arial" w:eastAsia="Arial" w:hAnsi="Arial"/>
          <w:sz w:val="21"/>
          <w:szCs w:val="21"/>
          <w:color w:val="auto"/>
          <w:vertAlign w:val="superscript"/>
        </w:rPr>
        <w:t>10</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at June 30, 2022, the Company has spent approximately $4,527 on deuterated tryptamines, of which $1,198 was related to the progression of CYB003</w:t>
      </w:r>
      <w:r>
        <w:rPr>
          <w:rFonts w:ascii="Arial" w:cs="Arial" w:eastAsia="Arial" w:hAnsi="Arial"/>
          <w:sz w:val="21"/>
          <w:szCs w:val="21"/>
          <w:color w:val="auto"/>
          <w:vertAlign w:val="superscript"/>
        </w:rPr>
        <w:t>11</w:t>
      </w:r>
      <w:r>
        <w:rPr>
          <w:rFonts w:ascii="Arial" w:cs="Arial" w:eastAsia="Arial" w:hAnsi="Arial"/>
          <w:sz w:val="16"/>
          <w:szCs w:val="16"/>
          <w:color w:val="auto"/>
        </w:rPr>
        <w: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has continued to advance its Deuterated Tryptamines Program as described herein, including with the following progress:</w:t>
      </w:r>
    </w:p>
    <w:p>
      <w:pPr>
        <w:spacing w:after="0" w:line="197" w:lineRule="exact"/>
        <w:rPr>
          <w:sz w:val="20"/>
          <w:szCs w:val="20"/>
          <w:color w:val="auto"/>
        </w:rPr>
      </w:pPr>
    </w:p>
    <w:p>
      <w:pPr>
        <w:ind w:left="582" w:hanging="289"/>
        <w:spacing w:after="0"/>
        <w:tabs>
          <w:tab w:leader="none" w:pos="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completed additional preclinical studies on its CYB003 and CYB004 proprietary psychedelic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5532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30" w:lineRule="exact"/>
        <w:rPr>
          <w:sz w:val="20"/>
          <w:szCs w:val="20"/>
          <w:color w:val="auto"/>
        </w:rPr>
      </w:pPr>
    </w:p>
    <w:p>
      <w:pPr>
        <w:ind w:left="2" w:right="660" w:hanging="2"/>
        <w:spacing w:after="0" w:line="214" w:lineRule="auto"/>
        <w:tabs>
          <w:tab w:leader="none" w:pos="87"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Dollar amount calculated since June 1, 2021, being the date of the financial data used in the Company’s short form base shelf prospectus, dated July 5, 2021 (the “</w:t>
      </w:r>
      <w:r>
        <w:rPr>
          <w:rFonts w:ascii="Arial" w:cs="Arial" w:eastAsia="Arial" w:hAnsi="Arial"/>
          <w:sz w:val="15"/>
          <w:szCs w:val="15"/>
          <w:b w:val="1"/>
          <w:bCs w:val="1"/>
          <w:color w:val="auto"/>
        </w:rPr>
        <w:t>July Base Shelf</w:t>
      </w:r>
      <w:r>
        <w:rPr>
          <w:rFonts w:ascii="Arial" w:cs="Arial" w:eastAsia="Arial" w:hAnsi="Arial"/>
          <w:sz w:val="15"/>
          <w:szCs w:val="15"/>
          <w:color w:val="auto"/>
        </w:rPr>
        <w:t xml:space="preserve"> </w:t>
      </w:r>
      <w:r>
        <w:rPr>
          <w:rFonts w:ascii="Arial" w:cs="Arial" w:eastAsia="Arial" w:hAnsi="Arial"/>
          <w:sz w:val="15"/>
          <w:szCs w:val="15"/>
          <w:b w:val="1"/>
          <w:bCs w:val="1"/>
          <w:color w:val="auto"/>
        </w:rPr>
        <w:t>Prospectus</w:t>
      </w:r>
      <w:r>
        <w:rPr>
          <w:rFonts w:ascii="Arial" w:cs="Arial" w:eastAsia="Arial" w:hAnsi="Arial"/>
          <w:sz w:val="15"/>
          <w:szCs w:val="15"/>
          <w:color w:val="auto"/>
        </w:rPr>
        <w:t>”).</w:t>
      </w:r>
    </w:p>
    <w:p>
      <w:pPr>
        <w:spacing w:after="0" w:line="1" w:lineRule="exact"/>
        <w:rPr>
          <w:rFonts w:ascii="Arial" w:cs="Arial" w:eastAsia="Arial" w:hAnsi="Arial"/>
          <w:sz w:val="19"/>
          <w:szCs w:val="19"/>
          <w:color w:val="auto"/>
          <w:vertAlign w:val="superscript"/>
        </w:rPr>
      </w:pPr>
    </w:p>
    <w:p>
      <w:pPr>
        <w:jc w:val="both"/>
        <w:ind w:left="2"/>
        <w:spacing w:after="0" w:line="264"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10</w:t>
      </w:r>
      <w:r>
        <w:rPr>
          <w:rFonts w:ascii="Arial" w:cs="Arial" w:eastAsia="Arial" w:hAnsi="Arial"/>
          <w:sz w:val="13"/>
          <w:szCs w:val="13"/>
          <w:color w:val="auto"/>
        </w:rPr>
        <w:t xml:space="preserve"> This statement is based on the following material factors and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19"/>
          <w:szCs w:val="19"/>
          <w:color w:val="auto"/>
          <w:vertAlign w:val="superscript"/>
        </w:rPr>
      </w:pPr>
    </w:p>
    <w:p>
      <w:pPr>
        <w:ind w:left="2"/>
        <w:spacing w:after="0"/>
        <w:rPr>
          <w:rFonts w:ascii="Arial" w:cs="Arial" w:eastAsia="Arial" w:hAnsi="Arial"/>
          <w:sz w:val="19"/>
          <w:szCs w:val="19"/>
          <w:color w:val="auto"/>
          <w:vertAlign w:val="superscript"/>
        </w:rPr>
      </w:pPr>
      <w:r>
        <w:rPr>
          <w:rFonts w:ascii="Arial" w:cs="Arial" w:eastAsia="Arial" w:hAnsi="Arial"/>
          <w:sz w:val="25"/>
          <w:szCs w:val="25"/>
          <w:color w:val="auto"/>
          <w:vertAlign w:val="superscript"/>
        </w:rPr>
        <w:t>11</w:t>
      </w:r>
      <w:r>
        <w:rPr>
          <w:rFonts w:ascii="Arial" w:cs="Arial" w:eastAsia="Arial" w:hAnsi="Arial"/>
          <w:sz w:val="15"/>
          <w:szCs w:val="15"/>
          <w:color w:val="auto"/>
        </w:rPr>
        <w:t xml:space="preserve"> Dollar amount calculated since June 1, 2021, being the date of the financial data in the July Base Shelf Prospectus.</w:t>
      </w:r>
    </w:p>
    <w:p>
      <w:pPr>
        <w:spacing w:after="0" w:line="200" w:lineRule="exact"/>
        <w:rPr>
          <w:sz w:val="20"/>
          <w:szCs w:val="20"/>
          <w:color w:val="auto"/>
        </w:rPr>
      </w:pPr>
    </w:p>
    <w:p>
      <w:pPr>
        <w:spacing w:after="0" w:line="28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2"/>
          </w:cols>
          <w:pgMar w:left="318" w:top="710" w:right="339" w:bottom="1440" w:gutter="0" w:footer="0" w:header="0"/>
        </w:sectPr>
      </w:pPr>
    </w:p>
    <w:bookmarkStart w:id="36" w:name="page37"/>
    <w:bookmarkEnd w:id="36"/>
    <w:p>
      <w:pPr>
        <w:ind w:left="582" w:hanging="289"/>
        <w:spacing w:after="0"/>
        <w:tabs>
          <w:tab w:leader="none" w:pos="5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completed Zydis feasibility studies with Catalent, Inc. (“Catalent”) for its fast-dissolve formulation of novel deuterated tryptamine (CYB003);</w:t>
      </w:r>
    </w:p>
    <w:p>
      <w:pPr>
        <w:spacing w:after="0" w:line="28" w:lineRule="exact"/>
        <w:rPr>
          <w:rFonts w:ascii="Arial" w:cs="Arial" w:eastAsia="Arial" w:hAnsi="Arial"/>
          <w:sz w:val="17"/>
          <w:szCs w:val="17"/>
          <w:color w:val="auto"/>
        </w:rPr>
      </w:pPr>
    </w:p>
    <w:p>
      <w:pPr>
        <w:ind w:left="582" w:right="20" w:hanging="289"/>
        <w:spacing w:after="0" w:line="241" w:lineRule="auto"/>
        <w:tabs>
          <w:tab w:leader="none" w:pos="5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transitioned its work on CYB003 into a new program, the Deuterated Psilocybin Analog Program, which has the potential to address both AUD and MDD indications (refer to Deuterated Psilocybin Analog Program section above for further details);</w:t>
      </w:r>
    </w:p>
    <w:p>
      <w:pPr>
        <w:ind w:left="582" w:hanging="289"/>
        <w:spacing w:after="0"/>
        <w:tabs>
          <w:tab w:leader="none" w:pos="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FDA IND clearance to commence its Phase I/IIa clinical trial evaluating CYB003 for the treatment of MDD;</w:t>
      </w:r>
    </w:p>
    <w:p>
      <w:pPr>
        <w:jc w:val="both"/>
        <w:ind w:left="582" w:hanging="289"/>
        <w:spacing w:after="0" w:line="273" w:lineRule="auto"/>
        <w:tabs>
          <w:tab w:leader="none" w:pos="5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issued U.S. Patent 11,242,318 which includes claims directed to the composition of matter for several deuterated tryptamine compounds, including the proposed drug substance in CYB004, which is the Company's potential treatment for anxiety disorders. The issued claims include other forms of deuterated psychedelic tryptamine, notably certain deuterated forms of DMT and 5-MeO-DMT. The patent, which is expected to expire in 2041 before consideration of any patent term extensions, covers composition of matter for the CYB004 drug substance as a putative new chemical entity;</w:t>
      </w:r>
    </w:p>
    <w:p>
      <w:pPr>
        <w:ind w:left="582" w:hanging="289"/>
        <w:spacing w:after="0"/>
        <w:tabs>
          <w:tab w:leader="none" w:pos="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reported positive preclinical data from a pharmacokinetic study evaluating CYB004, delivered via inhalation; and</w:t>
      </w:r>
    </w:p>
    <w:p>
      <w:pPr>
        <w:spacing w:after="0" w:line="7" w:lineRule="exact"/>
        <w:rPr>
          <w:rFonts w:ascii="Arial" w:cs="Arial" w:eastAsia="Arial" w:hAnsi="Arial"/>
          <w:sz w:val="18"/>
          <w:szCs w:val="18"/>
          <w:color w:val="auto"/>
        </w:rPr>
      </w:pPr>
    </w:p>
    <w:p>
      <w:pPr>
        <w:ind w:left="582" w:hanging="289"/>
        <w:spacing w:after="0"/>
        <w:tabs>
          <w:tab w:leader="none" w:pos="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completed acquisition of a Phase I DMT study from Entheon to accelerate the clinical development path for CYB004.</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Phenethylamine Program</w:t>
      </w:r>
    </w:p>
    <w:p>
      <w:pPr>
        <w:spacing w:after="0" w:line="197" w:lineRule="exact"/>
        <w:rPr>
          <w:sz w:val="20"/>
          <w:szCs w:val="20"/>
          <w:color w:val="auto"/>
        </w:rPr>
      </w:pPr>
    </w:p>
    <w:p>
      <w:pPr>
        <w:jc w:val="both"/>
        <w:ind w:left="2"/>
        <w:spacing w:after="0" w:line="268" w:lineRule="auto"/>
        <w:rPr>
          <w:sz w:val="20"/>
          <w:szCs w:val="20"/>
          <w:color w:val="auto"/>
        </w:rPr>
      </w:pPr>
      <w:r>
        <w:rPr>
          <w:rFonts w:ascii="Arial" w:cs="Arial" w:eastAsia="Arial" w:hAnsi="Arial"/>
          <w:sz w:val="17"/>
          <w:szCs w:val="17"/>
          <w:color w:val="auto"/>
        </w:rPr>
        <w:t>Pursuant to the Adelia Transaction, the Company acquired a preclinical phenethylamine program. Work on the synthesis and optimization of these molecules is underway at a third-party vendor. The Company anticipates that its phenethylamine program may deliver a drug candidate suitable for entry into clinical studies by the end of calendar 2023, updated from the prior estimate of late calendar 2021 to early calendar 2022 due to additional time required in the Company's research and development process of identifying suitable candidates while meeting its internal criteria. There is no assurance that these timelines will be met or that a preclinical drug candidate will advance to clinical trials at all.</w:t>
      </w:r>
      <w:r>
        <w:rPr>
          <w:rFonts w:ascii="Arial" w:cs="Arial" w:eastAsia="Arial" w:hAnsi="Arial"/>
          <w:sz w:val="22"/>
          <w:szCs w:val="22"/>
          <w:color w:val="auto"/>
          <w:vertAlign w:val="superscript"/>
        </w:rPr>
        <w:t>12</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at June 30, 2022, the Company has spent approximately $1,293 on preclinical phenethylamines</w:t>
      </w:r>
      <w:r>
        <w:rPr>
          <w:rFonts w:ascii="Arial" w:cs="Arial" w:eastAsia="Arial" w:hAnsi="Arial"/>
          <w:sz w:val="23"/>
          <w:szCs w:val="23"/>
          <w:color w:val="auto"/>
          <w:vertAlign w:val="superscript"/>
        </w:rPr>
        <w:t>13</w:t>
      </w:r>
      <w:r>
        <w:rPr>
          <w:rFonts w:ascii="Arial" w:cs="Arial" w:eastAsia="Arial" w:hAnsi="Arial"/>
          <w:sz w:val="18"/>
          <w:szCs w:val="18"/>
          <w:color w:val="auto"/>
        </w:rPr>
        <w:t>.</w:t>
      </w:r>
    </w:p>
    <w:p>
      <w:pPr>
        <w:spacing w:after="0" w:line="139" w:lineRule="exact"/>
        <w:rPr>
          <w:sz w:val="20"/>
          <w:szCs w:val="20"/>
          <w:color w:val="auto"/>
        </w:rPr>
      </w:pPr>
    </w:p>
    <w:p>
      <w:pPr>
        <w:jc w:val="both"/>
        <w:ind w:left="2"/>
        <w:spacing w:after="0" w:line="279" w:lineRule="auto"/>
        <w:rPr>
          <w:sz w:val="20"/>
          <w:szCs w:val="20"/>
          <w:color w:val="auto"/>
        </w:rPr>
      </w:pPr>
      <w:r>
        <w:rPr>
          <w:rFonts w:ascii="Arial" w:cs="Arial" w:eastAsia="Arial" w:hAnsi="Arial"/>
          <w:sz w:val="16"/>
          <w:szCs w:val="16"/>
          <w:color w:val="auto"/>
        </w:rPr>
        <w:t>As of the date of this MD&amp;A, the Company continues its work on its synthesis and optimization of phenethylamines. Multiple phenethylamines have been shown to have psychedelic properties and several, such as MDMA, have shown great promise as therapeutics. Cybin’s proprietary approach to phenethylamines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 The Company is currently investigating a phenethylamine derivative for the potential treatment of neuroinflammation. The Company plans to report preliminary preclinical data for CYB005 in the second half of 2022 (assuming the completion of the related preclinical trials) at which time the Company expects to nominate a candidate and complete its assessment of the potential path forward for this candidate, including whether it will be developed internally or by way of potential third party partners; as of the date hereof, there is no assurance that this candidate will advance to clinical trials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15532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2" w:hanging="2"/>
        <w:spacing w:after="0" w:line="247" w:lineRule="auto"/>
        <w:tabs>
          <w:tab w:leader="none" w:pos="149"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w:t>
      </w:r>
      <w:r>
        <w:rPr>
          <w:rFonts w:ascii="Arial" w:cs="Arial" w:eastAsia="Arial" w:hAnsi="Arial"/>
          <w:sz w:val="14"/>
          <w:szCs w:val="14"/>
          <w:b w:val="1"/>
          <w:bCs w:val="1"/>
          <w:color w:val="auto"/>
        </w:rPr>
        <w:t>ADME</w:t>
      </w:r>
      <w:r>
        <w:rPr>
          <w:rFonts w:ascii="Arial" w:cs="Arial" w:eastAsia="Arial" w:hAnsi="Arial"/>
          <w:sz w:val="14"/>
          <w:szCs w:val="14"/>
          <w:color w:val="auto"/>
        </w:rPr>
        <w:t>”)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Arial" w:cs="Arial" w:eastAsia="Arial" w:hAnsi="Arial"/>
          <w:sz w:val="20"/>
          <w:szCs w:val="20"/>
          <w:color w:val="auto"/>
          <w:vertAlign w:val="superscript"/>
        </w:rPr>
      </w:pPr>
    </w:p>
    <w:p>
      <w:pPr>
        <w:ind w:left="182" w:hanging="182"/>
        <w:spacing w:after="0" w:line="180" w:lineRule="auto"/>
        <w:tabs>
          <w:tab w:leader="none" w:pos="182"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Dollar amount calculated since June 1, 2021, being the date of the financial data in the July Base Shelf Prospectus.</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2"/>
          </w:cols>
          <w:pgMar w:left="318" w:top="710" w:right="319" w:bottom="1440" w:gutter="0" w:footer="0" w:header="0"/>
        </w:sectPr>
      </w:pPr>
    </w:p>
    <w:bookmarkStart w:id="37" w:name="page38"/>
    <w:bookmarkEnd w:id="37"/>
    <w:p>
      <w:pPr>
        <w:ind w:left="2"/>
        <w:spacing w:after="0"/>
        <w:rPr>
          <w:sz w:val="20"/>
          <w:szCs w:val="20"/>
          <w:color w:val="auto"/>
        </w:rPr>
      </w:pPr>
      <w:r>
        <w:rPr>
          <w:rFonts w:ascii="Arial" w:cs="Arial" w:eastAsia="Arial" w:hAnsi="Arial"/>
          <w:sz w:val="18"/>
          <w:szCs w:val="18"/>
          <w:u w:val="single" w:color="auto"/>
          <w:color w:val="auto"/>
        </w:rPr>
        <w:t>Technology Programs</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Company was previously working on a number of fronts to establish an e-Commerce platform to support the education, sales and marketing of potential consumer and prescription mental wellness products, including but not limited to its line of nutraceutical products. However, due to the fact that the Company has made the decision to no longer pursue the Product Line, this initiative has been cancelled.</w:t>
      </w:r>
    </w:p>
    <w:p>
      <w:pPr>
        <w:spacing w:after="0" w:line="158" w:lineRule="exact"/>
        <w:rPr>
          <w:sz w:val="20"/>
          <w:szCs w:val="20"/>
          <w:color w:val="auto"/>
        </w:rPr>
      </w:pPr>
    </w:p>
    <w:p>
      <w:pPr>
        <w:jc w:val="both"/>
        <w:ind w:left="2"/>
        <w:spacing w:after="0" w:line="251" w:lineRule="auto"/>
        <w:rPr>
          <w:sz w:val="20"/>
          <w:szCs w:val="20"/>
          <w:color w:val="auto"/>
        </w:rPr>
      </w:pPr>
      <w:r>
        <w:rPr>
          <w:rFonts w:ascii="Arial" w:cs="Arial" w:eastAsia="Arial" w:hAnsi="Arial"/>
          <w:sz w:val="18"/>
          <w:szCs w:val="18"/>
          <w:color w:val="auto"/>
        </w:rPr>
        <w:t>The Company has begun work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w:t>
      </w:r>
    </w:p>
    <w:p>
      <w:pPr>
        <w:spacing w:after="0" w:line="162" w:lineRule="exact"/>
        <w:rPr>
          <w:sz w:val="20"/>
          <w:szCs w:val="20"/>
          <w:color w:val="auto"/>
        </w:rPr>
      </w:pPr>
    </w:p>
    <w:p>
      <w:pPr>
        <w:jc w:val="both"/>
        <w:ind w:left="2" w:right="20"/>
        <w:spacing w:after="0" w:line="272" w:lineRule="auto"/>
        <w:rPr>
          <w:sz w:val="20"/>
          <w:szCs w:val="20"/>
          <w:color w:val="auto"/>
        </w:rPr>
      </w:pPr>
      <w:r>
        <w:rPr>
          <w:rFonts w:ascii="Arial" w:cs="Arial" w:eastAsia="Arial" w:hAnsi="Arial"/>
          <w:sz w:val="18"/>
          <w:szCs w:val="18"/>
          <w:color w:val="auto"/>
        </w:rPr>
        <w:t>On January 11, 2021, the Company announced that it has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Kernel Flow® devices to potentially measure neural activity during psychedelic therapy.</w:t>
      </w:r>
    </w:p>
    <w:p>
      <w:pPr>
        <w:spacing w:after="0" w:line="146" w:lineRule="exact"/>
        <w:rPr>
          <w:sz w:val="20"/>
          <w:szCs w:val="20"/>
          <w:color w:val="auto"/>
        </w:rPr>
      </w:pPr>
    </w:p>
    <w:p>
      <w:pPr>
        <w:jc w:val="both"/>
        <w:ind w:left="2" w:right="20"/>
        <w:spacing w:after="0" w:line="277" w:lineRule="auto"/>
        <w:rPr>
          <w:sz w:val="20"/>
          <w:szCs w:val="20"/>
          <w:color w:val="auto"/>
        </w:rPr>
      </w:pPr>
      <w:r>
        <w:rPr>
          <w:rFonts w:ascii="Arial" w:cs="Arial" w:eastAsia="Arial" w:hAnsi="Arial"/>
          <w:sz w:val="18"/>
          <w:szCs w:val="18"/>
          <w:color w:val="auto"/>
        </w:rPr>
        <w:t>On June 1, 2021, the Company announced its sponsorship of Kernel’s feasibility study of its Kernel Flow technology to measure ketamine’s psychedelic effect on cerebral cortex hemodynamics.</w:t>
      </w:r>
      <w:r>
        <w:rPr>
          <w:rFonts w:ascii="Arial" w:cs="Arial" w:eastAsia="Arial" w:hAnsi="Arial"/>
          <w:sz w:val="23"/>
          <w:szCs w:val="23"/>
          <w:color w:val="auto"/>
          <w:vertAlign w:val="superscript"/>
        </w:rPr>
        <w:t>14</w:t>
      </w:r>
    </w:p>
    <w:p>
      <w:pPr>
        <w:spacing w:after="0" w:line="67" w:lineRule="exact"/>
        <w:rPr>
          <w:sz w:val="20"/>
          <w:szCs w:val="20"/>
          <w:color w:val="auto"/>
        </w:rPr>
      </w:pPr>
    </w:p>
    <w:p>
      <w:pPr>
        <w:jc w:val="both"/>
        <w:ind w:left="2" w:right="20"/>
        <w:spacing w:after="0" w:line="236" w:lineRule="auto"/>
        <w:rPr>
          <w:sz w:val="20"/>
          <w:szCs w:val="20"/>
          <w:color w:val="auto"/>
        </w:rPr>
      </w:pPr>
      <w:r>
        <w:rPr>
          <w:rFonts w:ascii="Arial" w:cs="Arial" w:eastAsia="Arial" w:hAnsi="Arial"/>
          <w:sz w:val="18"/>
          <w:szCs w:val="18"/>
          <w:color w:val="auto"/>
        </w:rPr>
        <w:t>On July 13, 2021, the Company announced that it had commenced the next phase of the Company’s digital therapeutics platform which will better enable the evaluation of patient outcomes through a highly secure, patient-centered data analytics platform for better pre- and post-psychedelic treatments</w:t>
      </w:r>
      <w:r>
        <w:rPr>
          <w:rFonts w:ascii="Arial" w:cs="Arial" w:eastAsia="Arial" w:hAnsi="Arial"/>
          <w:sz w:val="23"/>
          <w:szCs w:val="23"/>
          <w:color w:val="auto"/>
          <w:vertAlign w:val="superscript"/>
        </w:rPr>
        <w:t>15</w:t>
      </w:r>
      <w:r>
        <w:rPr>
          <w:rFonts w:ascii="Arial" w:cs="Arial" w:eastAsia="Arial" w:hAnsi="Arial"/>
          <w:sz w:val="18"/>
          <w:szCs w:val="18"/>
          <w:color w:val="auto"/>
        </w:rPr>
        <w:t>. The digital therapeutics platform, which is proprietary to Cybin and the subject of one of the Company’s patent applications, may potentially add another dimension to the Company’s development programs</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spacing w:after="0" w:line="100" w:lineRule="exact"/>
        <w:rPr>
          <w:sz w:val="20"/>
          <w:szCs w:val="20"/>
          <w:color w:val="auto"/>
        </w:rPr>
      </w:pPr>
    </w:p>
    <w:p>
      <w:pPr>
        <w:jc w:val="both"/>
        <w:ind w:left="2" w:right="20"/>
        <w:spacing w:after="0" w:line="285" w:lineRule="auto"/>
        <w:rPr>
          <w:sz w:val="20"/>
          <w:szCs w:val="20"/>
          <w:color w:val="auto"/>
        </w:rPr>
      </w:pPr>
      <w:r>
        <w:rPr>
          <w:rFonts w:ascii="Arial" w:cs="Arial" w:eastAsia="Arial" w:hAnsi="Arial"/>
          <w:sz w:val="16"/>
          <w:szCs w:val="16"/>
          <w:color w:val="auto"/>
        </w:rPr>
        <w:t>On October 26, 2021, the Company announced that the FDA had authorized an IND application to proceed with the Company’s sponsored feasibility study using Kernel’s Flow technology to measure ketamine’s psychedelic effect on cerebral cortex hemodynamics. On January 11, 2022, the Company announced that the IRB had approved the feasibility study. On March 31, 2022, the Company announced that the first study visit was conducted.</w:t>
      </w:r>
    </w:p>
    <w:p>
      <w:pPr>
        <w:spacing w:after="0" w:line="152" w:lineRule="exact"/>
        <w:rPr>
          <w:sz w:val="20"/>
          <w:szCs w:val="20"/>
          <w:color w:val="auto"/>
        </w:rPr>
      </w:pPr>
    </w:p>
    <w:p>
      <w:pPr>
        <w:jc w:val="both"/>
        <w:ind w:left="2" w:right="20"/>
        <w:spacing w:after="0" w:line="277" w:lineRule="auto"/>
        <w:rPr>
          <w:sz w:val="20"/>
          <w:szCs w:val="20"/>
          <w:color w:val="auto"/>
        </w:rPr>
      </w:pPr>
      <w:r>
        <w:rPr>
          <w:rFonts w:ascii="Arial" w:cs="Arial" w:eastAsia="Arial" w:hAnsi="Arial"/>
          <w:sz w:val="18"/>
          <w:szCs w:val="18"/>
          <w:color w:val="auto"/>
        </w:rPr>
        <w:t>On May 9, 2022, the Company and Kernel announced results from the piloting of the feasibility study. The preliminary data confirms Flow’s ability to successfully measure neuro-effect of ketamine over 10 days.</w:t>
      </w:r>
      <w:r>
        <w:rPr>
          <w:rFonts w:ascii="Arial" w:cs="Arial" w:eastAsia="Arial" w:hAnsi="Arial"/>
          <w:sz w:val="23"/>
          <w:szCs w:val="23"/>
          <w:color w:val="auto"/>
          <w:vertAlign w:val="superscript"/>
        </w:rPr>
        <w:t>17</w:t>
      </w:r>
    </w:p>
    <w:p>
      <w:pPr>
        <w:spacing w:after="0" w:line="104"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Timelines for progression of the above technology programs, along with anticipated future spending are detailed in “Use of Proceeds” but there is no assurance that these timelines will be met or that these programs will become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532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13" w:lineRule="exact"/>
        <w:rPr>
          <w:sz w:val="20"/>
          <w:szCs w:val="20"/>
          <w:color w:val="auto"/>
        </w:rPr>
      </w:pPr>
    </w:p>
    <w:p>
      <w:pPr>
        <w:jc w:val="both"/>
        <w:ind w:left="2" w:right="20" w:hanging="2"/>
        <w:spacing w:after="0" w:line="241" w:lineRule="auto"/>
        <w:tabs>
          <w:tab w:leader="none" w:pos="149"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The Company assumes timely delivery of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20"/>
          <w:szCs w:val="20"/>
          <w:color w:val="auto"/>
          <w:vertAlign w:val="superscript"/>
        </w:rPr>
      </w:pPr>
    </w:p>
    <w:p>
      <w:pPr>
        <w:jc w:val="both"/>
        <w:ind w:left="2" w:right="20" w:hanging="2"/>
        <w:spacing w:after="0" w:line="249" w:lineRule="auto"/>
        <w:tabs>
          <w:tab w:leader="none" w:pos="148"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jc w:val="both"/>
        <w:ind w:left="2" w:right="20" w:hanging="2"/>
        <w:spacing w:after="0" w:line="232" w:lineRule="auto"/>
        <w:tabs>
          <w:tab w:leader="none" w:pos="160" w:val="left"/>
        </w:tabs>
        <w:numPr>
          <w:ilvl w:val="0"/>
          <w:numId w:val="32"/>
        </w:numPr>
        <w:rPr>
          <w:rFonts w:ascii="Arial" w:cs="Arial" w:eastAsia="Arial" w:hAnsi="Arial"/>
          <w:sz w:val="21"/>
          <w:szCs w:val="21"/>
          <w:color w:val="auto"/>
          <w:vertAlign w:val="superscript"/>
        </w:rPr>
      </w:pPr>
      <w:r>
        <w:rPr>
          <w:rFonts w:ascii="Arial" w:cs="Arial" w:eastAsia="Arial" w:hAnsi="Arial"/>
          <w:sz w:val="14"/>
          <w:szCs w:val="14"/>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jc w:val="both"/>
        <w:ind w:left="2" w:right="20" w:hanging="2"/>
        <w:spacing w:after="0" w:line="239" w:lineRule="auto"/>
        <w:tabs>
          <w:tab w:leader="none" w:pos="134"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Arial" w:cs="Arial" w:eastAsia="Arial" w:hAnsi="Arial"/>
          <w:sz w:val="14"/>
          <w:szCs w:val="14"/>
          <w:i w:val="1"/>
          <w:iCs w:val="1"/>
          <w:color w:val="auto"/>
        </w:rPr>
        <w:t>Scheidegger et al 2012; Zacharias et al 2019; Li et al 2022</w:t>
      </w:r>
      <w:r>
        <w:rPr>
          <w:rFonts w:ascii="Arial" w:cs="Arial" w:eastAsia="Arial" w:hAnsi="Arial"/>
          <w:sz w:val="14"/>
          <w:szCs w:val="14"/>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2"/>
          </w:cols>
          <w:pgMar w:left="318" w:top="710" w:right="319" w:bottom="1440" w:gutter="0" w:footer="0" w:header="0"/>
        </w:sectPr>
      </w:pPr>
    </w:p>
    <w:bookmarkStart w:id="38" w:name="page39"/>
    <w:bookmarkEnd w:id="38"/>
    <w:p>
      <w:pPr>
        <w:ind w:left="2"/>
        <w:spacing w:after="0"/>
        <w:rPr>
          <w:sz w:val="20"/>
          <w:szCs w:val="20"/>
          <w:color w:val="auto"/>
        </w:rPr>
      </w:pPr>
      <w:r>
        <w:rPr>
          <w:rFonts w:ascii="Arial" w:cs="Arial" w:eastAsia="Arial" w:hAnsi="Arial"/>
          <w:sz w:val="18"/>
          <w:szCs w:val="18"/>
          <w:color w:val="auto"/>
        </w:rPr>
        <w:t>As at June 30, 2022, the Company has spent approximately $1,605 on its technology programs</w:t>
      </w:r>
      <w:r>
        <w:rPr>
          <w:rFonts w:ascii="Arial" w:cs="Arial" w:eastAsia="Arial" w:hAnsi="Arial"/>
          <w:sz w:val="23"/>
          <w:szCs w:val="23"/>
          <w:color w:val="auto"/>
          <w:vertAlign w:val="superscript"/>
        </w:rPr>
        <w:t>18</w:t>
      </w:r>
      <w:r>
        <w:rPr>
          <w:rFonts w:ascii="Arial" w:cs="Arial" w:eastAsia="Arial" w:hAnsi="Arial"/>
          <w:sz w:val="18"/>
          <w:szCs w:val="18"/>
          <w:color w:val="auto"/>
        </w:rPr>
        <w:t>.</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Nutraceutical Products</w:t>
      </w:r>
    </w:p>
    <w:p>
      <w:pPr>
        <w:spacing w:after="0" w:line="197"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In November 2021, the Company determined that it would not proceed with the Product Line in order to focus its efforts on the research and development progression of psychedelic molecules. The Company had previously indicated that it the timeline for the Product Line was updated from Q4 2021 to Q1 2022, however this business segment will not be pursued. The Company has spent approximately $nil on the Product Line since the Company’s listing statement dated November 9, 2020 (the “</w:t>
      </w:r>
      <w:r>
        <w:rPr>
          <w:rFonts w:ascii="Arial" w:cs="Arial" w:eastAsia="Arial" w:hAnsi="Arial"/>
          <w:sz w:val="18"/>
          <w:szCs w:val="18"/>
          <w:b w:val="1"/>
          <w:bCs w:val="1"/>
          <w:color w:val="auto"/>
        </w:rPr>
        <w:t>Listing Statement</w:t>
      </w:r>
      <w:r>
        <w:rPr>
          <w:rFonts w:ascii="Arial" w:cs="Arial" w:eastAsia="Arial" w:hAnsi="Arial"/>
          <w:sz w:val="18"/>
          <w:szCs w:val="18"/>
          <w:color w:val="auto"/>
        </w:rPr>
        <w:t>”).</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Relationships with Third Parties</w:t>
      </w:r>
    </w:p>
    <w:p>
      <w:pPr>
        <w:spacing w:after="0" w:line="209"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The Company’s research and development on its psychedelic pharmaceutical products is conducted by way of licensed partners. The Company also intends to sponsor clinical and other studies at various clinical trial sites. As of the date of this MD&amp;A, the Company and the University of Washington are co-sponsoring a randomized, placebo-controlled clinical trial of psychedelic-assisted psychotherapy with psilocybin for frontline clinicians experiencing COVID-19 related distress.</w:t>
      </w:r>
    </w:p>
    <w:p>
      <w:pPr>
        <w:spacing w:after="0" w:line="189" w:lineRule="exact"/>
        <w:rPr>
          <w:sz w:val="20"/>
          <w:szCs w:val="20"/>
          <w:color w:val="auto"/>
        </w:rPr>
      </w:pPr>
    </w:p>
    <w:p>
      <w:pPr>
        <w:jc w:val="both"/>
        <w:ind w:left="2"/>
        <w:spacing w:after="0" w:line="297"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64"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On April 21, 2022, the Company announced that it has partnered with Clinilabs, a global, full-service contract research organization with deep expertise in central nervous system drug development, to carry out the Company’s Phase I/IIa clinical trial of CYB003, its proprietary deuterated psilocybin analog. CYB003 will be the first psilocybin analog to be evaluated in Phase I/IIa development for the treatment of MDD.</w:t>
      </w:r>
    </w:p>
    <w:p>
      <w:pPr>
        <w:spacing w:after="0" w:line="187" w:lineRule="exact"/>
        <w:rPr>
          <w:sz w:val="20"/>
          <w:szCs w:val="20"/>
          <w:color w:val="auto"/>
        </w:rPr>
      </w:pPr>
    </w:p>
    <w:p>
      <w:pPr>
        <w:jc w:val="both"/>
        <w:ind w:left="2"/>
        <w:spacing w:after="0" w:line="301" w:lineRule="auto"/>
        <w:rPr>
          <w:sz w:val="20"/>
          <w:szCs w:val="20"/>
          <w:color w:val="auto"/>
        </w:rPr>
      </w:pPr>
      <w:r>
        <w:rPr>
          <w:rFonts w:ascii="Arial" w:cs="Arial" w:eastAsia="Arial" w:hAnsi="Arial"/>
          <w:sz w:val="16"/>
          <w:szCs w:val="16"/>
          <w:color w:val="auto"/>
        </w:rPr>
        <w:t>On July 11, 2022, the Company completed the Asset Acquisition. As part of the Asset Acquisition, Entheon assigned its rights under the Master Services Agreement between Entheon and Centre For Human Drug Research (“</w:t>
      </w:r>
      <w:r>
        <w:rPr>
          <w:rFonts w:ascii="Arial" w:cs="Arial" w:eastAsia="Arial" w:hAnsi="Arial"/>
          <w:sz w:val="16"/>
          <w:szCs w:val="16"/>
          <w:b w:val="1"/>
          <w:bCs w:val="1"/>
          <w:color w:val="auto"/>
        </w:rPr>
        <w:t>CHDR</w:t>
      </w:r>
      <w:r>
        <w:rPr>
          <w:rFonts w:ascii="Arial" w:cs="Arial" w:eastAsia="Arial" w:hAnsi="Arial"/>
          <w:sz w:val="16"/>
          <w:szCs w:val="16"/>
          <w:color w:val="auto"/>
        </w:rPr>
        <w:t>”) to the Company. The Company now maintains a direct contractual relationship with CHDR to conduct the CYB004-E trial. CHDR is an independent institute specializing innovative early-stage clinical drug research.</w:t>
      </w:r>
    </w:p>
    <w:p>
      <w:pPr>
        <w:spacing w:after="0" w:line="152" w:lineRule="exact"/>
        <w:rPr>
          <w:sz w:val="20"/>
          <w:szCs w:val="20"/>
          <w:color w:val="auto"/>
        </w:rPr>
      </w:pPr>
    </w:p>
    <w:p>
      <w:pPr>
        <w:jc w:val="both"/>
        <w:ind w:left="2"/>
        <w:spacing w:after="0" w:line="234" w:lineRule="auto"/>
        <w:rPr>
          <w:sz w:val="20"/>
          <w:szCs w:val="20"/>
          <w:color w:val="auto"/>
        </w:rPr>
      </w:pPr>
      <w:r>
        <w:rPr>
          <w:rFonts w:ascii="Arial" w:cs="Arial" w:eastAsia="Arial" w:hAnsi="Arial"/>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Arial" w:cs="Arial" w:eastAsia="Arial" w:hAnsi="Arial"/>
          <w:sz w:val="23"/>
          <w:szCs w:val="23"/>
          <w:color w:val="auto"/>
          <w:vertAlign w:val="superscript"/>
        </w:rPr>
        <w:t>19</w:t>
      </w:r>
      <w:r>
        <w:rPr>
          <w:rFonts w:ascii="Arial" w:cs="Arial" w:eastAsia="Arial" w:hAnsi="Arial"/>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3"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Update on Use of Proceeds</w:t>
      </w:r>
    </w:p>
    <w:p>
      <w:pPr>
        <w:spacing w:after="0" w:line="197"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Company has committed the following capital expenditures to meet its planned growth and fund development activities and, as of June 30, 2022, there have not been, and the Company does not anticipate, any changes to its previously made disclosure about the Company’s intended use of proceeds except as described below.</w:t>
      </w:r>
    </w:p>
    <w:p>
      <w:pPr>
        <w:spacing w:after="0" w:line="162"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The below table describes the differences between the Company’s anticipated use of proceeds as described in the July Base Shelf Prospectus, and the Company’s actual use of proceeds as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5532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377" w:lineRule="exact"/>
        <w:rPr>
          <w:sz w:val="20"/>
          <w:szCs w:val="20"/>
          <w:color w:val="auto"/>
        </w:rPr>
      </w:pPr>
    </w:p>
    <w:p>
      <w:pPr>
        <w:ind w:left="142" w:hanging="142"/>
        <w:spacing w:after="0"/>
        <w:tabs>
          <w:tab w:leader="none" w:pos="142"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Dollar amount calculated since June 1, 2021, being the date of the financial data in the July Base Shelf Prospectus.</w:t>
      </w:r>
    </w:p>
    <w:p>
      <w:pPr>
        <w:spacing w:after="0" w:line="45" w:lineRule="exact"/>
        <w:rPr>
          <w:rFonts w:ascii="Arial" w:cs="Arial" w:eastAsia="Arial" w:hAnsi="Arial"/>
          <w:sz w:val="19"/>
          <w:szCs w:val="19"/>
          <w:color w:val="auto"/>
          <w:vertAlign w:val="superscript"/>
        </w:rPr>
      </w:pPr>
    </w:p>
    <w:p>
      <w:pPr>
        <w:ind w:left="2" w:hanging="2"/>
        <w:spacing w:after="0" w:line="196" w:lineRule="auto"/>
        <w:tabs>
          <w:tab w:leader="none" w:pos="1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2"/>
          </w:cols>
          <w:pgMar w:left="318" w:top="710" w:right="339" w:bottom="1440" w:gutter="0" w:footer="0" w:header="0"/>
        </w:sectPr>
      </w:pPr>
    </w:p>
    <w:bookmarkStart w:id="39" w:name="page40"/>
    <w:bookmarkEnd w:id="39"/>
    <w:tbl>
      <w:tblPr>
        <w:tblLayout w:type="fixed"/>
        <w:tblInd w:w="32" w:type="dxa"/>
        <w:tblCellMar>
          <w:top w:w="0" w:type="dxa"/>
          <w:left w:w="0" w:type="dxa"/>
          <w:bottom w:w="0" w:type="dxa"/>
          <w:right w:w="0" w:type="dxa"/>
        </w:tblCellMar>
      </w:tblPr>
      <w:tr>
        <w:trPr>
          <w:trHeight w:val="257"/>
        </w:trPr>
        <w:tc>
          <w:tcPr>
            <w:tcW w:w="100" w:type="dxa"/>
            <w:vAlign w:val="bottom"/>
            <w:tcBorders>
              <w:top w:val="single" w:sz="8" w:color="auto"/>
              <w:left w:val="single" w:sz="8" w:color="auto"/>
              <w:right w:val="single" w:sz="8" w:color="D9D9D9"/>
            </w:tcBorders>
            <w:shd w:val="clear" w:color="auto" w:fill="D9D9D9"/>
          </w:tcPr>
          <w:p>
            <w:pPr>
              <w:spacing w:after="0"/>
              <w:rPr>
                <w:sz w:val="22"/>
                <w:szCs w:val="22"/>
                <w:color w:val="auto"/>
              </w:rPr>
            </w:pPr>
          </w:p>
        </w:tc>
        <w:tc>
          <w:tcPr>
            <w:tcW w:w="4460" w:type="dxa"/>
            <w:vAlign w:val="bottom"/>
            <w:tcBorders>
              <w:top w:val="single" w:sz="8" w:color="auto"/>
              <w:right w:val="single" w:sz="8" w:color="auto"/>
            </w:tcBorders>
            <w:gridSpan w:val="2"/>
            <w:shd w:val="clear" w:color="auto" w:fill="D9D9D9"/>
          </w:tcPr>
          <w:p>
            <w:pPr>
              <w:ind w:left="114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6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60" w:type="dxa"/>
            <w:vAlign w:val="bottom"/>
            <w:tcBorders>
              <w:top w:val="single" w:sz="8" w:color="auto"/>
              <w:right w:val="single" w:sz="8" w:color="auto"/>
            </w:tcBorders>
            <w:shd w:val="clear" w:color="auto" w:fill="D9D9D9"/>
          </w:tcPr>
          <w:p>
            <w:pPr>
              <w:spacing w:after="0"/>
              <w:rPr>
                <w:sz w:val="22"/>
                <w:szCs w:val="22"/>
                <w:color w:val="auto"/>
              </w:rPr>
            </w:pPr>
          </w:p>
        </w:tc>
        <w:tc>
          <w:tcPr>
            <w:tcW w:w="1680" w:type="dxa"/>
            <w:vAlign w:val="bottom"/>
            <w:tcBorders>
              <w:top w:val="single" w:sz="8" w:color="auto"/>
              <w:right w:val="single" w:sz="8" w:color="auto"/>
            </w:tcBorders>
            <w:shd w:val="clear" w:color="auto" w:fill="D9D9D9"/>
          </w:tcPr>
          <w:p>
            <w:pPr>
              <w:spacing w:after="0"/>
              <w:rPr>
                <w:sz w:val="22"/>
                <w:szCs w:val="22"/>
                <w:color w:val="auto"/>
              </w:rPr>
            </w:pPr>
          </w:p>
        </w:tc>
        <w:tc>
          <w:tcPr>
            <w:tcW w:w="1820" w:type="dxa"/>
            <w:vAlign w:val="bottom"/>
            <w:tcBorders>
              <w:top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3000" w:type="dxa"/>
            <w:vAlign w:val="bottom"/>
            <w:tcBorders>
              <w:right w:val="single" w:sz="8" w:color="auto"/>
            </w:tcBorders>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ind w:left="320"/>
              <w:spacing w:after="0"/>
              <w:rPr>
                <w:sz w:val="20"/>
                <w:szCs w:val="20"/>
                <w:color w:val="auto"/>
              </w:rPr>
            </w:pPr>
            <w:r>
              <w:rPr>
                <w:rFonts w:ascii="Arial" w:cs="Arial" w:eastAsia="Arial" w:hAnsi="Arial"/>
                <w:sz w:val="15"/>
                <w:szCs w:val="15"/>
                <w:b w:val="1"/>
                <w:bCs w:val="1"/>
                <w:color w:val="auto"/>
              </w:rPr>
              <w:t>Regarding Use</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680" w:type="dxa"/>
            <w:vAlign w:val="bottom"/>
            <w:tcBorders>
              <w:right w:val="single" w:sz="8" w:color="auto"/>
            </w:tcBorders>
            <w:shd w:val="clear" w:color="auto" w:fill="D9D9D9"/>
          </w:tcPr>
          <w:p>
            <w:pPr>
              <w:spacing w:after="0"/>
              <w:rPr>
                <w:sz w:val="15"/>
                <w:szCs w:val="15"/>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Current Use of Proceeds</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300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of Proceeds in the July</w:t>
            </w:r>
          </w:p>
        </w:tc>
        <w:tc>
          <w:tcPr>
            <w:tcW w:w="1560" w:type="dxa"/>
            <w:vAlign w:val="bottom"/>
            <w:tcBorders>
              <w:right w:val="single" w:sz="8" w:color="auto"/>
            </w:tcBorders>
            <w:vMerge w:val="restart"/>
            <w:shd w:val="clear" w:color="auto" w:fill="D9D9D9"/>
          </w:tcPr>
          <w:p>
            <w:pPr>
              <w:ind w:left="160"/>
              <w:spacing w:after="0"/>
              <w:rPr>
                <w:sz w:val="20"/>
                <w:szCs w:val="20"/>
                <w:color w:val="auto"/>
              </w:rPr>
            </w:pPr>
            <w:r>
              <w:rPr>
                <w:rFonts w:ascii="Arial" w:cs="Arial" w:eastAsia="Arial" w:hAnsi="Arial"/>
                <w:sz w:val="15"/>
                <w:szCs w:val="15"/>
                <w:b w:val="1"/>
                <w:bCs w:val="1"/>
                <w:color w:val="auto"/>
              </w:rPr>
              <w:t>as at June 30, 2022</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Additional Amounts</w:t>
            </w:r>
          </w:p>
        </w:tc>
        <w:tc>
          <w:tcPr>
            <w:tcW w:w="18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1460" w:type="dxa"/>
            <w:vAlign w:val="bottom"/>
            <w:shd w:val="clear" w:color="auto" w:fill="D9D9D9"/>
          </w:tcPr>
          <w:p>
            <w:pPr>
              <w:spacing w:after="0"/>
              <w:rPr>
                <w:sz w:val="7"/>
                <w:szCs w:val="7"/>
                <w:color w:val="auto"/>
              </w:rPr>
            </w:pPr>
          </w:p>
        </w:tc>
        <w:tc>
          <w:tcPr>
            <w:tcW w:w="300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680" w:type="dxa"/>
            <w:vAlign w:val="bottom"/>
            <w:tcBorders>
              <w:right w:val="single" w:sz="8" w:color="auto"/>
            </w:tcBorders>
            <w:vMerge w:val="continue"/>
            <w:shd w:val="clear" w:color="auto" w:fill="D9D9D9"/>
          </w:tcPr>
          <w:p>
            <w:pPr>
              <w:spacing w:after="0"/>
              <w:rPr>
                <w:sz w:val="7"/>
                <w:szCs w:val="7"/>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(April 1, 2022 to June 30,</w:t>
            </w:r>
          </w:p>
        </w:tc>
        <w:tc>
          <w:tcPr>
            <w:tcW w:w="0" w:type="dxa"/>
            <w:vAlign w:val="bottom"/>
          </w:tcPr>
          <w:p>
            <w:pPr>
              <w:spacing w:after="0"/>
              <w:rPr>
                <w:sz w:val="1"/>
                <w:szCs w:val="1"/>
                <w:color w:val="auto"/>
              </w:rPr>
            </w:pPr>
          </w:p>
        </w:tc>
      </w:tr>
      <w:tr>
        <w:trPr>
          <w:trHeight w:val="147"/>
        </w:trPr>
        <w:tc>
          <w:tcPr>
            <w:tcW w:w="100" w:type="dxa"/>
            <w:vAlign w:val="bottom"/>
            <w:tcBorders>
              <w:left w:val="single" w:sz="8" w:color="auto"/>
              <w:right w:val="single" w:sz="8" w:color="D9D9D9"/>
            </w:tcBorders>
            <w:shd w:val="clear" w:color="auto" w:fill="D9D9D9"/>
          </w:tcPr>
          <w:p>
            <w:pPr>
              <w:spacing w:after="0"/>
              <w:rPr>
                <w:sz w:val="12"/>
                <w:szCs w:val="12"/>
                <w:color w:val="auto"/>
              </w:rPr>
            </w:pPr>
          </w:p>
        </w:tc>
        <w:tc>
          <w:tcPr>
            <w:tcW w:w="1460" w:type="dxa"/>
            <w:vAlign w:val="bottom"/>
            <w:shd w:val="clear" w:color="auto" w:fill="D9D9D9"/>
          </w:tcPr>
          <w:p>
            <w:pPr>
              <w:spacing w:after="0"/>
              <w:rPr>
                <w:sz w:val="12"/>
                <w:szCs w:val="12"/>
                <w:color w:val="auto"/>
              </w:rPr>
            </w:pPr>
          </w:p>
        </w:tc>
        <w:tc>
          <w:tcPr>
            <w:tcW w:w="3000" w:type="dxa"/>
            <w:vAlign w:val="bottom"/>
            <w:tcBorders>
              <w:right w:val="single" w:sz="8" w:color="auto"/>
            </w:tcBorders>
            <w:shd w:val="clear" w:color="auto" w:fill="D9D9D9"/>
          </w:tcPr>
          <w:p>
            <w:pPr>
              <w:spacing w:after="0"/>
              <w:rPr>
                <w:sz w:val="12"/>
                <w:szCs w:val="12"/>
                <w:color w:val="auto"/>
              </w:rPr>
            </w:pPr>
          </w:p>
        </w:tc>
        <w:tc>
          <w:tcPr>
            <w:tcW w:w="1600" w:type="dxa"/>
            <w:vAlign w:val="bottom"/>
            <w:tcBorders>
              <w:right w:val="single" w:sz="8" w:color="auto"/>
            </w:tcBorders>
            <w:shd w:val="clear" w:color="auto" w:fill="D9D9D9"/>
          </w:tcPr>
          <w:p>
            <w:pPr>
              <w:jc w:val="center"/>
              <w:spacing w:after="0" w:line="147" w:lineRule="exact"/>
              <w:rPr>
                <w:sz w:val="20"/>
                <w:szCs w:val="20"/>
                <w:color w:val="auto"/>
              </w:rPr>
            </w:pPr>
            <w:r>
              <w:rPr>
                <w:rFonts w:ascii="Arial" w:cs="Arial" w:eastAsia="Arial" w:hAnsi="Arial"/>
                <w:sz w:val="15"/>
                <w:szCs w:val="15"/>
                <w:b w:val="1"/>
                <w:bCs w:val="1"/>
                <w:color w:val="auto"/>
                <w:w w:val="84"/>
              </w:rPr>
              <w:t>Base Shelf Prospectus</w:t>
            </w:r>
          </w:p>
        </w:tc>
        <w:tc>
          <w:tcPr>
            <w:tcW w:w="1560" w:type="dxa"/>
            <w:vAlign w:val="bottom"/>
            <w:tcBorders>
              <w:right w:val="single" w:sz="8" w:color="auto"/>
            </w:tcBorders>
            <w:shd w:val="clear" w:color="auto" w:fill="D9D9D9"/>
          </w:tcPr>
          <w:p>
            <w:pPr>
              <w:jc w:val="center"/>
              <w:spacing w:after="0" w:line="147" w:lineRule="exact"/>
              <w:rPr>
                <w:sz w:val="20"/>
                <w:szCs w:val="20"/>
                <w:color w:val="auto"/>
              </w:rPr>
            </w:pPr>
            <w:r>
              <w:rPr>
                <w:rFonts w:ascii="Arial" w:cs="Arial" w:eastAsia="Arial" w:hAnsi="Arial"/>
                <w:sz w:val="15"/>
                <w:szCs w:val="15"/>
                <w:b w:val="1"/>
                <w:bCs w:val="1"/>
                <w:color w:val="auto"/>
                <w:w w:val="86"/>
              </w:rPr>
              <w:t>(June 1, 2021 to June</w:t>
            </w:r>
          </w:p>
        </w:tc>
        <w:tc>
          <w:tcPr>
            <w:tcW w:w="1680" w:type="dxa"/>
            <w:vAlign w:val="bottom"/>
            <w:tcBorders>
              <w:right w:val="single" w:sz="8" w:color="auto"/>
            </w:tcBorders>
            <w:shd w:val="clear" w:color="auto" w:fill="D9D9D9"/>
          </w:tcPr>
          <w:p>
            <w:pPr>
              <w:jc w:val="center"/>
              <w:spacing w:after="0" w:line="147" w:lineRule="exact"/>
              <w:rPr>
                <w:sz w:val="20"/>
                <w:szCs w:val="20"/>
                <w:color w:val="auto"/>
              </w:rPr>
            </w:pPr>
            <w:r>
              <w:rPr>
                <w:rFonts w:ascii="Arial" w:cs="Arial" w:eastAsia="Arial" w:hAnsi="Arial"/>
                <w:sz w:val="15"/>
                <w:szCs w:val="15"/>
                <w:b w:val="1"/>
                <w:bCs w:val="1"/>
                <w:color w:val="auto"/>
                <w:w w:val="87"/>
              </w:rPr>
              <w:t>Allocated at June 30, 2022</w:t>
            </w:r>
          </w:p>
        </w:tc>
        <w:tc>
          <w:tcPr>
            <w:tcW w:w="182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3000" w:type="dxa"/>
            <w:vAlign w:val="bottom"/>
            <w:tcBorders>
              <w:right w:val="single" w:sz="8" w:color="auto"/>
            </w:tcBorders>
            <w:shd w:val="clear" w:color="auto" w:fill="D9D9D9"/>
          </w:tcPr>
          <w:p>
            <w:pPr>
              <w:spacing w:after="0"/>
              <w:rPr>
                <w:sz w:val="15"/>
                <w:szCs w:val="15"/>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(June 1, 2021 to June 30,</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30, 2022)</w:t>
            </w:r>
          </w:p>
        </w:tc>
        <w:tc>
          <w:tcPr>
            <w:tcW w:w="1680" w:type="dxa"/>
            <w:vAlign w:val="bottom"/>
            <w:tcBorders>
              <w:right w:val="single" w:sz="8" w:color="auto"/>
            </w:tcBorders>
            <w:shd w:val="clear" w:color="auto" w:fill="D9D9D9"/>
          </w:tcPr>
          <w:p>
            <w:pPr>
              <w:spacing w:after="0"/>
              <w:rPr>
                <w:sz w:val="15"/>
                <w:szCs w:val="15"/>
                <w:color w:val="auto"/>
              </w:rPr>
            </w:pPr>
          </w:p>
        </w:tc>
        <w:tc>
          <w:tcPr>
            <w:tcW w:w="18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2023)</w:t>
            </w:r>
          </w:p>
        </w:tc>
        <w:tc>
          <w:tcPr>
            <w:tcW w:w="0" w:type="dxa"/>
            <w:vAlign w:val="bottom"/>
          </w:tcPr>
          <w:p>
            <w:pPr>
              <w:spacing w:after="0"/>
              <w:rPr>
                <w:sz w:val="1"/>
                <w:szCs w:val="1"/>
                <w:color w:val="auto"/>
              </w:rPr>
            </w:pPr>
          </w:p>
        </w:tc>
      </w:tr>
      <w:tr>
        <w:trPr>
          <w:trHeight w:val="37"/>
        </w:trPr>
        <w:tc>
          <w:tcPr>
            <w:tcW w:w="100" w:type="dxa"/>
            <w:vAlign w:val="bottom"/>
            <w:tcBorders>
              <w:left w:val="single" w:sz="8" w:color="auto"/>
              <w:right w:val="single" w:sz="8" w:color="D9D9D9"/>
            </w:tcBorders>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3000" w:type="dxa"/>
            <w:vAlign w:val="bottom"/>
            <w:tcBorders>
              <w:right w:val="single" w:sz="8" w:color="auto"/>
            </w:tcBorders>
            <w:shd w:val="clear" w:color="auto" w:fill="D9D9D9"/>
          </w:tcPr>
          <w:p>
            <w:pPr>
              <w:spacing w:after="0"/>
              <w:rPr>
                <w:sz w:val="3"/>
                <w:szCs w:val="3"/>
                <w:color w:val="auto"/>
              </w:rPr>
            </w:pPr>
          </w:p>
        </w:tc>
        <w:tc>
          <w:tcPr>
            <w:tcW w:w="1600" w:type="dxa"/>
            <w:vAlign w:val="bottom"/>
            <w:tcBorders>
              <w:right w:val="single" w:sz="8" w:color="auto"/>
            </w:tcBorders>
            <w:vMerge w:val="continue"/>
            <w:shd w:val="clear" w:color="auto" w:fill="D9D9D9"/>
          </w:tcPr>
          <w:p>
            <w:pPr>
              <w:spacing w:after="0"/>
              <w:rPr>
                <w:sz w:val="3"/>
                <w:szCs w:val="3"/>
                <w:color w:val="auto"/>
              </w:rPr>
            </w:pPr>
          </w:p>
        </w:tc>
        <w:tc>
          <w:tcPr>
            <w:tcW w:w="1560" w:type="dxa"/>
            <w:vAlign w:val="bottom"/>
            <w:tcBorders>
              <w:right w:val="single" w:sz="8" w:color="auto"/>
            </w:tcBorders>
            <w:vMerge w:val="continue"/>
            <w:shd w:val="clear" w:color="auto" w:fill="D9D9D9"/>
          </w:tcPr>
          <w:p>
            <w:pPr>
              <w:spacing w:after="0"/>
              <w:rPr>
                <w:sz w:val="3"/>
                <w:szCs w:val="3"/>
                <w:color w:val="auto"/>
              </w:rPr>
            </w:pPr>
          </w:p>
        </w:tc>
        <w:tc>
          <w:tcPr>
            <w:tcW w:w="1680" w:type="dxa"/>
            <w:vAlign w:val="bottom"/>
            <w:tcBorders>
              <w:right w:val="single" w:sz="8" w:color="auto"/>
            </w:tcBorders>
            <w:shd w:val="clear" w:color="auto" w:fill="D9D9D9"/>
          </w:tcPr>
          <w:p>
            <w:pPr>
              <w:spacing w:after="0"/>
              <w:rPr>
                <w:sz w:val="3"/>
                <w:szCs w:val="3"/>
                <w:color w:val="auto"/>
              </w:rPr>
            </w:pPr>
          </w:p>
        </w:tc>
        <w:tc>
          <w:tcPr>
            <w:tcW w:w="1820" w:type="dxa"/>
            <w:vAlign w:val="bottom"/>
            <w:tcBorders>
              <w:right w:val="single" w:sz="8" w:color="auto"/>
            </w:tcBorders>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100" w:type="dxa"/>
            <w:vAlign w:val="bottom"/>
            <w:tcBorders>
              <w:left w:val="single" w:sz="8" w:color="auto"/>
              <w:right w:val="single" w:sz="8" w:color="D9D9D9"/>
            </w:tcBorders>
            <w:shd w:val="clear" w:color="auto" w:fill="D9D9D9"/>
          </w:tcPr>
          <w:p>
            <w:pPr>
              <w:spacing w:after="0"/>
              <w:rPr>
                <w:sz w:val="16"/>
                <w:szCs w:val="16"/>
                <w:color w:val="auto"/>
              </w:rPr>
            </w:pPr>
          </w:p>
        </w:tc>
        <w:tc>
          <w:tcPr>
            <w:tcW w:w="1460" w:type="dxa"/>
            <w:vAlign w:val="bottom"/>
            <w:shd w:val="clear" w:color="auto" w:fill="D9D9D9"/>
          </w:tcPr>
          <w:p>
            <w:pPr>
              <w:spacing w:after="0"/>
              <w:rPr>
                <w:sz w:val="16"/>
                <w:szCs w:val="16"/>
                <w:color w:val="auto"/>
              </w:rPr>
            </w:pPr>
          </w:p>
        </w:tc>
        <w:tc>
          <w:tcPr>
            <w:tcW w:w="3000" w:type="dxa"/>
            <w:vAlign w:val="bottom"/>
            <w:tcBorders>
              <w:right w:val="single" w:sz="8" w:color="auto"/>
            </w:tcBorders>
            <w:shd w:val="clear" w:color="auto" w:fill="D9D9D9"/>
          </w:tcPr>
          <w:p>
            <w:pPr>
              <w:spacing w:after="0"/>
              <w:rPr>
                <w:sz w:val="16"/>
                <w:szCs w:val="16"/>
                <w:color w:val="auto"/>
              </w:rPr>
            </w:pPr>
          </w:p>
        </w:tc>
        <w:tc>
          <w:tcPr>
            <w:tcW w:w="16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2022)</w:t>
            </w:r>
          </w:p>
        </w:tc>
        <w:tc>
          <w:tcPr>
            <w:tcW w:w="1560" w:type="dxa"/>
            <w:vAlign w:val="bottom"/>
            <w:tcBorders>
              <w:right w:val="single" w:sz="8" w:color="auto"/>
            </w:tcBorders>
            <w:shd w:val="clear" w:color="auto" w:fill="D9D9D9"/>
          </w:tcPr>
          <w:p>
            <w:pPr>
              <w:spacing w:after="0"/>
              <w:rPr>
                <w:sz w:val="16"/>
                <w:szCs w:val="16"/>
                <w:color w:val="auto"/>
              </w:rPr>
            </w:pPr>
          </w:p>
        </w:tc>
        <w:tc>
          <w:tcPr>
            <w:tcW w:w="1680" w:type="dxa"/>
            <w:vAlign w:val="bottom"/>
            <w:tcBorders>
              <w:right w:val="single" w:sz="8" w:color="auto"/>
            </w:tcBorders>
            <w:shd w:val="clear" w:color="auto" w:fill="D9D9D9"/>
          </w:tcPr>
          <w:p>
            <w:pPr>
              <w:spacing w:after="0"/>
              <w:rPr>
                <w:sz w:val="16"/>
                <w:szCs w:val="16"/>
                <w:color w:val="auto"/>
              </w:rPr>
            </w:pPr>
          </w:p>
        </w:tc>
        <w:tc>
          <w:tcPr>
            <w:tcW w:w="182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00" w:type="dxa"/>
            <w:vAlign w:val="bottom"/>
            <w:tcBorders>
              <w:left w:val="single" w:sz="8" w:color="auto"/>
              <w:bottom w:val="single" w:sz="8" w:color="auto"/>
              <w:right w:val="single" w:sz="8" w:color="D9D9D9"/>
            </w:tcBorders>
            <w:shd w:val="clear" w:color="auto" w:fill="D9D9D9"/>
          </w:tcPr>
          <w:p>
            <w:pPr>
              <w:spacing w:after="0"/>
              <w:rPr>
                <w:sz w:val="7"/>
                <w:szCs w:val="7"/>
                <w:color w:val="auto"/>
              </w:rPr>
            </w:pPr>
          </w:p>
        </w:tc>
        <w:tc>
          <w:tcPr>
            <w:tcW w:w="1460" w:type="dxa"/>
            <w:vAlign w:val="bottom"/>
            <w:tcBorders>
              <w:bottom w:val="single" w:sz="8" w:color="auto"/>
            </w:tcBorders>
            <w:shd w:val="clear" w:color="auto" w:fill="D9D9D9"/>
          </w:tcPr>
          <w:p>
            <w:pPr>
              <w:spacing w:after="0"/>
              <w:rPr>
                <w:sz w:val="7"/>
                <w:szCs w:val="7"/>
                <w:color w:val="auto"/>
              </w:rPr>
            </w:pPr>
          </w:p>
        </w:tc>
        <w:tc>
          <w:tcPr>
            <w:tcW w:w="3000" w:type="dxa"/>
            <w:vAlign w:val="bottom"/>
            <w:tcBorders>
              <w:bottom w:val="single" w:sz="8" w:color="auto"/>
              <w:right w:val="single" w:sz="8" w:color="auto"/>
            </w:tcBorders>
            <w:shd w:val="clear" w:color="auto" w:fill="D9D9D9"/>
          </w:tcPr>
          <w:p>
            <w:pPr>
              <w:spacing w:after="0"/>
              <w:rPr>
                <w:sz w:val="7"/>
                <w:szCs w:val="7"/>
                <w:color w:val="auto"/>
              </w:rPr>
            </w:pPr>
          </w:p>
        </w:tc>
        <w:tc>
          <w:tcPr>
            <w:tcW w:w="1600" w:type="dxa"/>
            <w:vAlign w:val="bottom"/>
            <w:tcBorders>
              <w:bottom w:val="single" w:sz="8" w:color="auto"/>
              <w:right w:val="single" w:sz="8" w:color="auto"/>
            </w:tcBorders>
            <w:shd w:val="clear" w:color="auto" w:fill="D9D9D9"/>
          </w:tcPr>
          <w:p>
            <w:pPr>
              <w:spacing w:after="0"/>
              <w:rPr>
                <w:sz w:val="7"/>
                <w:szCs w:val="7"/>
                <w:color w:val="auto"/>
              </w:rPr>
            </w:pPr>
          </w:p>
        </w:tc>
        <w:tc>
          <w:tcPr>
            <w:tcW w:w="1560" w:type="dxa"/>
            <w:vAlign w:val="bottom"/>
            <w:tcBorders>
              <w:bottom w:val="single" w:sz="8" w:color="auto"/>
              <w:right w:val="single" w:sz="8" w:color="auto"/>
            </w:tcBorders>
            <w:shd w:val="clear" w:color="auto" w:fill="D9D9D9"/>
          </w:tcPr>
          <w:p>
            <w:pPr>
              <w:spacing w:after="0"/>
              <w:rPr>
                <w:sz w:val="7"/>
                <w:szCs w:val="7"/>
                <w:color w:val="auto"/>
              </w:rPr>
            </w:pPr>
          </w:p>
        </w:tc>
        <w:tc>
          <w:tcPr>
            <w:tcW w:w="1680" w:type="dxa"/>
            <w:vAlign w:val="bottom"/>
            <w:tcBorders>
              <w:bottom w:val="single" w:sz="8" w:color="auto"/>
              <w:right w:val="single" w:sz="8" w:color="auto"/>
            </w:tcBorders>
            <w:shd w:val="clear" w:color="auto" w:fill="D9D9D9"/>
          </w:tcPr>
          <w:p>
            <w:pPr>
              <w:spacing w:after="0"/>
              <w:rPr>
                <w:sz w:val="7"/>
                <w:szCs w:val="7"/>
                <w:color w:val="auto"/>
              </w:rPr>
            </w:pPr>
          </w:p>
        </w:tc>
        <w:tc>
          <w:tcPr>
            <w:tcW w:w="18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6060" w:type="dxa"/>
            <w:vAlign w:val="bottom"/>
            <w:tcBorders>
              <w:bottom w:val="single" w:sz="8" w:color="auto"/>
              <w:right w:val="single" w:sz="8" w:color="D9D9D9"/>
            </w:tcBorders>
            <w:gridSpan w:val="3"/>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60" w:type="dxa"/>
            <w:vAlign w:val="bottom"/>
            <w:tcBorders>
              <w:bottom w:val="single" w:sz="8" w:color="auto"/>
              <w:right w:val="single" w:sz="8" w:color="D9D9D9"/>
            </w:tcBorders>
            <w:shd w:val="clear" w:color="auto" w:fill="D9D9D9"/>
          </w:tcPr>
          <w:p>
            <w:pPr>
              <w:spacing w:after="0"/>
              <w:rPr>
                <w:sz w:val="19"/>
                <w:szCs w:val="19"/>
                <w:color w:val="auto"/>
              </w:rPr>
            </w:pPr>
          </w:p>
        </w:tc>
        <w:tc>
          <w:tcPr>
            <w:tcW w:w="1680" w:type="dxa"/>
            <w:vAlign w:val="bottom"/>
            <w:tcBorders>
              <w:bottom w:val="single" w:sz="8" w:color="auto"/>
              <w:right w:val="single" w:sz="8" w:color="D9D9D9"/>
            </w:tcBorders>
            <w:shd w:val="clear" w:color="auto" w:fill="D9D9D9"/>
          </w:tcPr>
          <w:p>
            <w:pPr>
              <w:spacing w:after="0"/>
              <w:rPr>
                <w:sz w:val="19"/>
                <w:szCs w:val="19"/>
                <w:color w:val="auto"/>
              </w:rPr>
            </w:pPr>
          </w:p>
        </w:tc>
        <w:tc>
          <w:tcPr>
            <w:tcW w:w="182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Development of psilocybin Sublingual Film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Phase IIa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$772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$339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$(433)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Phase IIb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w w:val="89"/>
              </w:rPr>
              <w:t>Support of additional phase IIb study sites in Canada and the United States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$379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$(1,431)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Completion of IND enabling preclinical studies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$2,147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$2,147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Progression of post IND enabling preclinical studies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$153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$695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$542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w w:val="98"/>
              </w:rPr>
              <w:t>Completion of chemistry, manufacturing and control development for</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$2,000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5"/>
                <w:szCs w:val="15"/>
                <w:color w:val="auto"/>
              </w:rPr>
              <w:t>preclinical and clinical studies</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3"/>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Chemistry, manufacturing and control development progression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$850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$1,861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$1,011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Clinical trial filings and first in human study initiation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$1,697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$2,591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$894</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Initial pharmacokinetic and safety readout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$1,762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$1,762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Clinical trial first in human full study report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$2,333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$2,333</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Arial" w:cs="Arial" w:eastAsia="Arial" w:hAnsi="Arial"/>
                <w:sz w:val="15"/>
                <w:szCs w:val="15"/>
                <w:b w:val="1"/>
                <w:bCs w:val="1"/>
                <w:color w:val="auto"/>
              </w:rPr>
              <w:t>Deuterated Tryptamines Programs</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60" w:type="dxa"/>
            <w:vAlign w:val="bottom"/>
            <w:tcBorders>
              <w:bottom w:val="single" w:sz="8" w:color="DBDBDB"/>
              <w:right w:val="single" w:sz="8" w:color="DBDBDB"/>
            </w:tcBorders>
            <w:shd w:val="clear" w:color="auto" w:fill="DBDBDB"/>
          </w:tcPr>
          <w:p>
            <w:pPr>
              <w:spacing w:after="0"/>
              <w:rPr>
                <w:sz w:val="19"/>
                <w:szCs w:val="19"/>
                <w:color w:val="auto"/>
              </w:rPr>
            </w:pPr>
          </w:p>
        </w:tc>
        <w:tc>
          <w:tcPr>
            <w:tcW w:w="168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w w:val="91"/>
              </w:rPr>
              <w:t>Progression of CYB003 for phase I studies readiness and utilization of the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$2,886</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$1,198</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$(1,688)</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3"/>
            <w:vMerge w:val="restart"/>
          </w:tcPr>
          <w:p>
            <w:pPr>
              <w:ind w:left="40"/>
              <w:spacing w:after="0" w:line="216" w:lineRule="exact"/>
              <w:rPr>
                <w:sz w:val="20"/>
                <w:szCs w:val="20"/>
                <w:color w:val="auto"/>
              </w:rPr>
            </w:pPr>
            <w:r>
              <w:rPr>
                <w:rFonts w:ascii="Arial" w:cs="Arial" w:eastAsia="Arial" w:hAnsi="Arial"/>
                <w:sz w:val="15"/>
                <w:szCs w:val="15"/>
                <w:color w:val="auto"/>
              </w:rPr>
              <w:t>associated delivery platform</w:t>
            </w:r>
            <w:r>
              <w:rPr>
                <w:rFonts w:ascii="Arial" w:cs="Arial" w:eastAsia="Arial" w:hAnsi="Arial"/>
                <w:sz w:val="19"/>
                <w:szCs w:val="19"/>
                <w:color w:val="auto"/>
                <w:vertAlign w:val="superscript"/>
              </w:rPr>
              <w:t>(2)</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560" w:type="dxa"/>
            <w:vAlign w:val="bottom"/>
            <w:tcBorders>
              <w:left w:val="single" w:sz="8" w:color="auto"/>
              <w:bottom w:val="single" w:sz="8" w:color="auto"/>
              <w:right w:val="single" w:sz="8" w:color="auto"/>
            </w:tcBorders>
            <w:gridSpan w:val="3"/>
            <w:vMerge w:val="continue"/>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Progression of CYB004 for phase I studies readiness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$2,777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$3,021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$10,896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$10,652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CYB004-E Phase 1 DMT study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$308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$2,872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$2,563</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Arial" w:cs="Arial" w:eastAsia="Arial" w:hAnsi="Arial"/>
                <w:sz w:val="15"/>
                <w:szCs w:val="15"/>
                <w:b w:val="1"/>
                <w:bCs w:val="1"/>
                <w:color w:val="auto"/>
              </w:rPr>
              <w:t>Phenethylamine Development Program</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60" w:type="dxa"/>
            <w:vAlign w:val="bottom"/>
            <w:tcBorders>
              <w:bottom w:val="single" w:sz="8" w:color="DBDBDB"/>
              <w:right w:val="single" w:sz="8" w:color="DBDBDB"/>
            </w:tcBorders>
            <w:shd w:val="clear" w:color="auto" w:fill="DBDBDB"/>
          </w:tcPr>
          <w:p>
            <w:pPr>
              <w:spacing w:after="0"/>
              <w:rPr>
                <w:sz w:val="19"/>
                <w:szCs w:val="19"/>
                <w:color w:val="auto"/>
              </w:rPr>
            </w:pPr>
          </w:p>
        </w:tc>
        <w:tc>
          <w:tcPr>
            <w:tcW w:w="168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Progression of phenethylamine candidate to clinical studies</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$2,375</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$1,293</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$288</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$1,370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shd w:val="clear" w:color="auto" w:fill="DBDBDB"/>
          </w:tcPr>
          <w:p>
            <w:pPr>
              <w:spacing w:after="0"/>
              <w:rPr>
                <w:sz w:val="18"/>
                <w:szCs w:val="18"/>
                <w:color w:val="auto"/>
              </w:rPr>
            </w:pPr>
          </w:p>
        </w:tc>
        <w:tc>
          <w:tcPr>
            <w:tcW w:w="1460" w:type="dxa"/>
            <w:vAlign w:val="bottom"/>
            <w:vMerge w:val="restart"/>
            <w:shd w:val="clear" w:color="auto" w:fill="DBDBDB"/>
          </w:tcPr>
          <w:p>
            <w:pPr>
              <w:ind w:left="20"/>
              <w:spacing w:after="0"/>
              <w:rPr>
                <w:sz w:val="20"/>
                <w:szCs w:val="20"/>
                <w:color w:val="auto"/>
              </w:rPr>
            </w:pPr>
            <w:r>
              <w:rPr>
                <w:rFonts w:ascii="Arial" w:cs="Arial" w:eastAsia="Arial" w:hAnsi="Arial"/>
                <w:sz w:val="15"/>
                <w:szCs w:val="15"/>
                <w:b w:val="1"/>
                <w:bCs w:val="1"/>
                <w:color w:val="auto"/>
                <w:highlight w:val="lightGray"/>
                <w:w w:val="86"/>
              </w:rPr>
              <w:t>Nutraceutical Products</w:t>
            </w:r>
          </w:p>
        </w:tc>
        <w:tc>
          <w:tcPr>
            <w:tcW w:w="3000" w:type="dxa"/>
            <w:vAlign w:val="bottom"/>
            <w:tcBorders>
              <w:right w:val="single" w:sz="8" w:color="DBDBDB"/>
            </w:tcBorders>
            <w:shd w:val="clear" w:color="auto" w:fill="DBDBDB"/>
          </w:tcPr>
          <w:p>
            <w:pPr>
              <w:jc w:val="right"/>
              <w:ind w:right="2832"/>
              <w:spacing w:after="0"/>
              <w:rPr>
                <w:sz w:val="20"/>
                <w:szCs w:val="20"/>
                <w:color w:val="auto"/>
              </w:rPr>
            </w:pPr>
            <w:r>
              <w:rPr>
                <w:rFonts w:ascii="Arial" w:cs="Arial" w:eastAsia="Arial" w:hAnsi="Arial"/>
                <w:sz w:val="10"/>
                <w:szCs w:val="10"/>
                <w:b w:val="1"/>
                <w:bCs w:val="1"/>
                <w:color w:val="auto"/>
                <w:highlight w:val="lightGray"/>
                <w:w w:val="81"/>
              </w:rPr>
              <w:t>(4)</w:t>
            </w:r>
          </w:p>
        </w:tc>
        <w:tc>
          <w:tcPr>
            <w:tcW w:w="1600" w:type="dxa"/>
            <w:vAlign w:val="bottom"/>
            <w:tcBorders>
              <w:right w:val="single" w:sz="8" w:color="DBDBDB"/>
            </w:tcBorders>
            <w:shd w:val="clear" w:color="auto" w:fill="DBDBDB"/>
          </w:tcPr>
          <w:p>
            <w:pPr>
              <w:spacing w:after="0"/>
              <w:rPr>
                <w:sz w:val="18"/>
                <w:szCs w:val="18"/>
                <w:color w:val="auto"/>
              </w:rPr>
            </w:pPr>
          </w:p>
        </w:tc>
        <w:tc>
          <w:tcPr>
            <w:tcW w:w="1560" w:type="dxa"/>
            <w:vAlign w:val="bottom"/>
            <w:tcBorders>
              <w:right w:val="single" w:sz="8" w:color="DBDBDB"/>
            </w:tcBorders>
            <w:shd w:val="clear" w:color="auto" w:fill="DBDBDB"/>
          </w:tcPr>
          <w:p>
            <w:pPr>
              <w:spacing w:after="0"/>
              <w:rPr>
                <w:sz w:val="18"/>
                <w:szCs w:val="18"/>
                <w:color w:val="auto"/>
              </w:rPr>
            </w:pPr>
          </w:p>
        </w:tc>
        <w:tc>
          <w:tcPr>
            <w:tcW w:w="1680" w:type="dxa"/>
            <w:vAlign w:val="bottom"/>
            <w:tcBorders>
              <w:right w:val="single" w:sz="8" w:color="DBDBDB"/>
            </w:tcBorders>
            <w:shd w:val="clear" w:color="auto" w:fill="DBDBDB"/>
          </w:tcPr>
          <w:p>
            <w:pPr>
              <w:spacing w:after="0"/>
              <w:rPr>
                <w:sz w:val="18"/>
                <w:szCs w:val="18"/>
                <w:color w:val="auto"/>
              </w:rPr>
            </w:pPr>
          </w:p>
        </w:tc>
        <w:tc>
          <w:tcPr>
            <w:tcW w:w="1820" w:type="dxa"/>
            <w:vAlign w:val="bottom"/>
            <w:tcBorders>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00" w:type="dxa"/>
            <w:vAlign w:val="bottom"/>
            <w:tcBorders>
              <w:left w:val="single" w:sz="8" w:color="auto"/>
              <w:right w:val="single" w:sz="8" w:color="auto"/>
            </w:tcBorders>
            <w:shd w:val="clear" w:color="auto" w:fill="DBDBDB"/>
          </w:tcPr>
          <w:p>
            <w:pPr>
              <w:spacing w:after="0"/>
              <w:rPr>
                <w:sz w:val="5"/>
                <w:szCs w:val="5"/>
                <w:color w:val="auto"/>
              </w:rPr>
            </w:pPr>
          </w:p>
        </w:tc>
        <w:tc>
          <w:tcPr>
            <w:tcW w:w="1460" w:type="dxa"/>
            <w:vAlign w:val="bottom"/>
            <w:vMerge w:val="continue"/>
            <w:shd w:val="clear" w:color="auto" w:fill="DBDBDB"/>
          </w:tcPr>
          <w:p>
            <w:pPr>
              <w:spacing w:after="0"/>
              <w:rPr>
                <w:sz w:val="5"/>
                <w:szCs w:val="5"/>
                <w:color w:val="auto"/>
              </w:rPr>
            </w:pPr>
          </w:p>
        </w:tc>
        <w:tc>
          <w:tcPr>
            <w:tcW w:w="3000" w:type="dxa"/>
            <w:vAlign w:val="bottom"/>
            <w:tcBorders>
              <w:right w:val="single" w:sz="8" w:color="DBDBDB"/>
            </w:tcBorders>
            <w:shd w:val="clear" w:color="auto" w:fill="DBDBDB"/>
          </w:tcPr>
          <w:p>
            <w:pPr>
              <w:spacing w:after="0"/>
              <w:rPr>
                <w:sz w:val="5"/>
                <w:szCs w:val="5"/>
                <w:color w:val="auto"/>
              </w:rPr>
            </w:pPr>
          </w:p>
        </w:tc>
        <w:tc>
          <w:tcPr>
            <w:tcW w:w="1600" w:type="dxa"/>
            <w:vAlign w:val="bottom"/>
            <w:tcBorders>
              <w:right w:val="single" w:sz="8" w:color="DBDBDB"/>
            </w:tcBorders>
            <w:shd w:val="clear" w:color="auto" w:fill="DBDBDB"/>
          </w:tcPr>
          <w:p>
            <w:pPr>
              <w:spacing w:after="0"/>
              <w:rPr>
                <w:sz w:val="5"/>
                <w:szCs w:val="5"/>
                <w:color w:val="auto"/>
              </w:rPr>
            </w:pPr>
          </w:p>
        </w:tc>
        <w:tc>
          <w:tcPr>
            <w:tcW w:w="1560" w:type="dxa"/>
            <w:vAlign w:val="bottom"/>
            <w:tcBorders>
              <w:right w:val="single" w:sz="8" w:color="DBDBDB"/>
            </w:tcBorders>
            <w:shd w:val="clear" w:color="auto" w:fill="DBDBDB"/>
          </w:tcPr>
          <w:p>
            <w:pPr>
              <w:spacing w:after="0"/>
              <w:rPr>
                <w:sz w:val="5"/>
                <w:szCs w:val="5"/>
                <w:color w:val="auto"/>
              </w:rPr>
            </w:pPr>
          </w:p>
        </w:tc>
        <w:tc>
          <w:tcPr>
            <w:tcW w:w="1680" w:type="dxa"/>
            <w:vAlign w:val="bottom"/>
            <w:tcBorders>
              <w:right w:val="single" w:sz="8" w:color="DBDBDB"/>
            </w:tcBorders>
            <w:shd w:val="clear" w:color="auto" w:fill="DBDBDB"/>
          </w:tcPr>
          <w:p>
            <w:pPr>
              <w:spacing w:after="0"/>
              <w:rPr>
                <w:sz w:val="5"/>
                <w:szCs w:val="5"/>
                <w:color w:val="auto"/>
              </w:rPr>
            </w:pPr>
          </w:p>
        </w:tc>
        <w:tc>
          <w:tcPr>
            <w:tcW w:w="182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00" w:type="dxa"/>
            <w:vAlign w:val="bottom"/>
            <w:tcBorders>
              <w:left w:val="single" w:sz="8" w:color="auto"/>
              <w:bottom w:val="single" w:sz="8" w:color="auto"/>
              <w:right w:val="single" w:sz="8" w:color="auto"/>
            </w:tcBorders>
            <w:shd w:val="clear" w:color="auto" w:fill="DBDBDB"/>
          </w:tcPr>
          <w:p>
            <w:pPr>
              <w:spacing w:after="0"/>
              <w:rPr>
                <w:sz w:val="9"/>
                <w:szCs w:val="9"/>
                <w:color w:val="auto"/>
              </w:rPr>
            </w:pPr>
          </w:p>
        </w:tc>
        <w:tc>
          <w:tcPr>
            <w:tcW w:w="1460" w:type="dxa"/>
            <w:vAlign w:val="bottom"/>
            <w:tcBorders>
              <w:bottom w:val="single" w:sz="8" w:color="auto"/>
            </w:tcBorders>
            <w:shd w:val="clear" w:color="auto" w:fill="DBDBDB"/>
          </w:tcPr>
          <w:p>
            <w:pPr>
              <w:spacing w:after="0"/>
              <w:rPr>
                <w:sz w:val="9"/>
                <w:szCs w:val="9"/>
                <w:color w:val="auto"/>
              </w:rPr>
            </w:pPr>
          </w:p>
        </w:tc>
        <w:tc>
          <w:tcPr>
            <w:tcW w:w="3000" w:type="dxa"/>
            <w:vAlign w:val="bottom"/>
            <w:tcBorders>
              <w:bottom w:val="single" w:sz="8" w:color="auto"/>
              <w:right w:val="single" w:sz="8" w:color="DBDBDB"/>
            </w:tcBorders>
            <w:shd w:val="clear" w:color="auto" w:fill="DBDBDB"/>
          </w:tcPr>
          <w:p>
            <w:pPr>
              <w:spacing w:after="0"/>
              <w:rPr>
                <w:sz w:val="9"/>
                <w:szCs w:val="9"/>
                <w:color w:val="auto"/>
              </w:rPr>
            </w:pPr>
          </w:p>
        </w:tc>
        <w:tc>
          <w:tcPr>
            <w:tcW w:w="1600" w:type="dxa"/>
            <w:vAlign w:val="bottom"/>
            <w:tcBorders>
              <w:bottom w:val="single" w:sz="8" w:color="auto"/>
              <w:right w:val="single" w:sz="8" w:color="DBDBDB"/>
            </w:tcBorders>
            <w:shd w:val="clear" w:color="auto" w:fill="DBDBDB"/>
          </w:tcPr>
          <w:p>
            <w:pPr>
              <w:spacing w:after="0"/>
              <w:rPr>
                <w:sz w:val="9"/>
                <w:szCs w:val="9"/>
                <w:color w:val="auto"/>
              </w:rPr>
            </w:pPr>
          </w:p>
        </w:tc>
        <w:tc>
          <w:tcPr>
            <w:tcW w:w="1560" w:type="dxa"/>
            <w:vAlign w:val="bottom"/>
            <w:tcBorders>
              <w:bottom w:val="single" w:sz="8" w:color="auto"/>
              <w:right w:val="single" w:sz="8" w:color="DBDBDB"/>
            </w:tcBorders>
            <w:shd w:val="clear" w:color="auto" w:fill="DBDBDB"/>
          </w:tcPr>
          <w:p>
            <w:pPr>
              <w:spacing w:after="0"/>
              <w:rPr>
                <w:sz w:val="9"/>
                <w:szCs w:val="9"/>
                <w:color w:val="auto"/>
              </w:rPr>
            </w:pPr>
          </w:p>
        </w:tc>
        <w:tc>
          <w:tcPr>
            <w:tcW w:w="1680" w:type="dxa"/>
            <w:vAlign w:val="bottom"/>
            <w:tcBorders>
              <w:bottom w:val="single" w:sz="8" w:color="auto"/>
              <w:right w:val="single" w:sz="8" w:color="DBDBDB"/>
            </w:tcBorders>
            <w:shd w:val="clear" w:color="auto" w:fill="DBDBDB"/>
          </w:tcPr>
          <w:p>
            <w:pPr>
              <w:spacing w:after="0"/>
              <w:rPr>
                <w:sz w:val="9"/>
                <w:szCs w:val="9"/>
                <w:color w:val="auto"/>
              </w:rPr>
            </w:pPr>
          </w:p>
        </w:tc>
        <w:tc>
          <w:tcPr>
            <w:tcW w:w="182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Inventory fulfilment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Product deployment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Nutraceutical marketing</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$(100)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Arial" w:cs="Arial" w:eastAsia="Arial" w:hAnsi="Arial"/>
                <w:sz w:val="15"/>
                <w:szCs w:val="15"/>
                <w:b w:val="1"/>
                <w:bCs w:val="1"/>
                <w:color w:val="auto"/>
              </w:rPr>
              <w:t>Technology</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60" w:type="dxa"/>
            <w:vAlign w:val="bottom"/>
            <w:tcBorders>
              <w:bottom w:val="single" w:sz="8" w:color="DBDBDB"/>
              <w:right w:val="single" w:sz="8" w:color="DBDBDB"/>
            </w:tcBorders>
            <w:shd w:val="clear" w:color="auto" w:fill="DBDBDB"/>
          </w:tcPr>
          <w:p>
            <w:pPr>
              <w:spacing w:after="0"/>
              <w:rPr>
                <w:sz w:val="19"/>
                <w:szCs w:val="19"/>
                <w:color w:val="auto"/>
              </w:rPr>
            </w:pPr>
          </w:p>
        </w:tc>
        <w:tc>
          <w:tcPr>
            <w:tcW w:w="168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Development of patient digital therapy platform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$2,363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$1,073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$(1,289)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Commence study utilizing Kernel Flow technology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$532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$(1,293)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Arial" w:cs="Arial" w:eastAsia="Arial" w:hAnsi="Arial"/>
                <w:sz w:val="15"/>
                <w:szCs w:val="15"/>
                <w:b w:val="1"/>
                <w:bCs w:val="1"/>
                <w:color w:val="auto"/>
              </w:rPr>
              <w:t>Other</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60" w:type="dxa"/>
            <w:vAlign w:val="bottom"/>
            <w:tcBorders>
              <w:bottom w:val="single" w:sz="8" w:color="DBDBDB"/>
              <w:right w:val="single" w:sz="8" w:color="DBDBDB"/>
            </w:tcBorders>
            <w:shd w:val="clear" w:color="auto" w:fill="DBDBDB"/>
          </w:tcPr>
          <w:p>
            <w:pPr>
              <w:spacing w:after="0"/>
              <w:rPr>
                <w:sz w:val="19"/>
                <w:szCs w:val="19"/>
                <w:color w:val="auto"/>
              </w:rPr>
            </w:pPr>
          </w:p>
        </w:tc>
        <w:tc>
          <w:tcPr>
            <w:tcW w:w="168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w w:val="96"/>
              </w:rPr>
              <w:t>Transaction costs (legal fees, audit fees, transfer agent fees and other</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$4,502</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$4,834</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$1,174</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$842</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5"/>
                <w:szCs w:val="15"/>
                <w:color w:val="auto"/>
              </w:rPr>
              <w:t>expenses)</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3"/>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$18,398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$31,567</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$48,677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$35,508</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Total use of funds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$39,418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$51,391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$69,452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$57,477</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45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$29,550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$17,577</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$11,491</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TOTAL: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spacing w:after="0" w:line="38" w:lineRule="exact"/>
        <w:rPr>
          <w:sz w:val="20"/>
          <w:szCs w:val="20"/>
          <w:color w:val="auto"/>
        </w:rPr>
      </w:pPr>
    </w:p>
    <w:p>
      <w:pPr>
        <w:ind w:left="402" w:hanging="402"/>
        <w:spacing w:after="0"/>
        <w:tabs>
          <w:tab w:leader="none" w:pos="4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1.28:1.</w:t>
      </w:r>
    </w:p>
    <w:p>
      <w:pPr>
        <w:jc w:val="both"/>
        <w:ind w:left="402" w:hanging="402"/>
        <w:spacing w:after="0" w:line="187" w:lineRule="auto"/>
        <w:tabs>
          <w:tab w:leader="none" w:pos="3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including both the MDD and AUD indication in the U.S. and UK, to prioritize the advancement of the potentially superior molecule in the most cost effective manner.</w:t>
      </w:r>
    </w:p>
    <w:p>
      <w:pPr>
        <w:ind w:left="402" w:hanging="402"/>
        <w:spacing w:after="0" w:line="187" w:lineRule="auto"/>
        <w:tabs>
          <w:tab w:leader="none" w:pos="3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402" w:hanging="402"/>
        <w:spacing w:after="0" w:line="187" w:lineRule="auto"/>
        <w:tabs>
          <w:tab w:leader="none" w:pos="3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General and administrative expenses are comprised of payroll consulting and benefits $8,393, office and administrative $8,978, capital market $6,122, business development $2,230, investor relations $1,998 and marketing media $1,959.</w:t>
      </w:r>
    </w:p>
    <w:p>
      <w:pPr>
        <w:ind w:left="402" w:hanging="402"/>
        <w:spacing w:after="0"/>
        <w:tabs>
          <w:tab w:leader="none" w:pos="402"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spacing w:after="0" w:line="209"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w:t>
      </w:r>
    </w:p>
    <w:p>
      <w:pPr>
        <w:sectPr>
          <w:pgSz w:w="11900" w:h="16838" w:orient="portrait"/>
          <w:cols w:equalWidth="0" w:num="1">
            <w:col w:w="11242"/>
          </w:cols>
          <w:pgMar w:left="318" w:top="7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2"/>
          </w:cols>
          <w:pgMar w:left="318" w:top="731" w:right="339" w:bottom="1440" w:gutter="0" w:footer="0" w:header="0"/>
          <w:type w:val="continuous"/>
        </w:sectPr>
      </w:pPr>
    </w:p>
    <w:bookmarkStart w:id="40" w:name="page41"/>
    <w:bookmarkEnd w:id="40"/>
    <w:p>
      <w:pPr>
        <w:jc w:val="both"/>
        <w:spacing w:after="0" w:line="267" w:lineRule="auto"/>
        <w:rPr>
          <w:sz w:val="20"/>
          <w:szCs w:val="20"/>
          <w:color w:val="auto"/>
        </w:rPr>
      </w:pPr>
      <w:r>
        <w:rPr>
          <w:rFonts w:ascii="Arial" w:cs="Arial" w:eastAsia="Arial" w:hAnsi="Arial"/>
          <w:sz w:val="18"/>
          <w:szCs w:val="18"/>
          <w:color w:val="auto"/>
        </w:rPr>
        <w:t>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Stated Milestones and Business Objectives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below table is intended to provide an update, as at June 30, 2022, on the Company’s business objectives and milestones, as disclosed in the July Base Shelf Prospectus. The July Base Shelf Prospectus, which is available on SEDAR at </w:t>
      </w:r>
      <w:r>
        <w:rPr>
          <w:rFonts w:ascii="Arial" w:cs="Arial" w:eastAsia="Arial" w:hAnsi="Arial"/>
          <w:sz w:val="18"/>
          <w:szCs w:val="18"/>
          <w:i w:val="1"/>
          <w:iCs w:val="1"/>
          <w:u w:val="single" w:color="auto"/>
          <w:color w:val="0000FF"/>
        </w:rPr>
        <w:t>www.sedar.com</w:t>
      </w:r>
      <w:r>
        <w:rPr>
          <w:rFonts w:ascii="Arial" w:cs="Arial" w:eastAsia="Arial" w:hAnsi="Arial"/>
          <w:sz w:val="18"/>
          <w:szCs w:val="18"/>
          <w:color w:val="auto"/>
        </w:rPr>
        <w:t>, identified certain business milestones of the Company, which are reproduced below. As of June 30, 2022, the Company provided the status of these milestones, the actual or revised estimated costs and the revised date of expected completion thereof, if applicable. Further, the Company has included additional objectives and milestones that have been identified since the date of the July Base Shelf Prospectus.</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following are “forward-looking statements” and as such, there is no guarantee that such milestones will be achieved on the timelines indicated or at all. Forward-looking statements are based on management’s current expectations and are subject to a number of risks, uncertainties, and assumptions. See “Forward-Looking Statements” and “Risk Factors”.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98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2740" w:type="dxa"/>
            <w:vAlign w:val="bottom"/>
            <w:tcBorders>
              <w:top w:val="single" w:sz="8" w:color="auto"/>
              <w:right w:val="single" w:sz="8" w:color="auto"/>
            </w:tcBorders>
            <w:shd w:val="clear" w:color="auto" w:fill="D9D9D9"/>
          </w:tcPr>
          <w:p>
            <w:pPr>
              <w:spacing w:after="0"/>
              <w:rPr>
                <w:sz w:val="17"/>
                <w:szCs w:val="17"/>
                <w:color w:val="auto"/>
              </w:rPr>
            </w:pP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Prior Estimated Cost in</w:t>
            </w:r>
          </w:p>
        </w:tc>
        <w:tc>
          <w:tcPr>
            <w:tcW w:w="1680" w:type="dxa"/>
            <w:vAlign w:val="bottom"/>
            <w:tcBorders>
              <w:top w:val="single" w:sz="8" w:color="auto"/>
              <w:right w:val="single" w:sz="8" w:color="auto"/>
            </w:tcBorders>
            <w:shd w:val="clear" w:color="auto" w:fill="D9D9D9"/>
          </w:tcPr>
          <w:p>
            <w:pPr>
              <w:spacing w:after="0"/>
              <w:rPr>
                <w:sz w:val="17"/>
                <w:szCs w:val="17"/>
                <w:color w:val="auto"/>
              </w:rPr>
            </w:pPr>
          </w:p>
        </w:tc>
        <w:tc>
          <w:tcPr>
            <w:tcW w:w="1620" w:type="dxa"/>
            <w:vAlign w:val="bottom"/>
            <w:tcBorders>
              <w:top w:val="single" w:sz="8" w:color="auto"/>
              <w:right w:val="single" w:sz="8" w:color="auto"/>
            </w:tcBorders>
            <w:shd w:val="clear" w:color="auto" w:fill="D9D9D9"/>
          </w:tcPr>
          <w:p>
            <w:pPr>
              <w:spacing w:after="0"/>
              <w:rPr>
                <w:sz w:val="17"/>
                <w:szCs w:val="17"/>
                <w:color w:val="auto"/>
              </w:rPr>
            </w:pPr>
          </w:p>
        </w:tc>
        <w:tc>
          <w:tcPr>
            <w:tcW w:w="166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vMerge w:val="restart"/>
            <w:shd w:val="clear" w:color="auto" w:fill="D9D9D9"/>
          </w:tcPr>
          <w:p>
            <w:pPr>
              <w:ind w:left="680"/>
              <w:spacing w:after="0"/>
              <w:rPr>
                <w:sz w:val="20"/>
                <w:szCs w:val="20"/>
                <w:color w:val="auto"/>
              </w:rPr>
            </w:pPr>
            <w:r>
              <w:rPr>
                <w:rFonts w:ascii="Arial" w:cs="Arial" w:eastAsia="Arial" w:hAnsi="Arial"/>
                <w:sz w:val="15"/>
                <w:szCs w:val="15"/>
                <w:b w:val="1"/>
                <w:bCs w:val="1"/>
                <w:color w:val="auto"/>
              </w:rPr>
              <w:t>Objective</w:t>
            </w:r>
          </w:p>
        </w:tc>
        <w:tc>
          <w:tcPr>
            <w:tcW w:w="2740" w:type="dxa"/>
            <w:vAlign w:val="bottom"/>
            <w:tcBorders>
              <w:right w:val="single" w:sz="8" w:color="auto"/>
            </w:tcBorders>
            <w:shd w:val="clear" w:color="auto" w:fill="D9D9D9"/>
          </w:tcPr>
          <w:p>
            <w:pPr>
              <w:spacing w:after="0"/>
              <w:rPr>
                <w:sz w:val="14"/>
                <w:szCs w:val="14"/>
                <w:color w:val="auto"/>
              </w:rPr>
            </w:pP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6"/>
              </w:rPr>
              <w:t>July Base Shelf</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Actual or Revised</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0"/>
              </w:rPr>
              <w:t>Actual/Estimated</w:t>
            </w:r>
          </w:p>
        </w:tc>
        <w:tc>
          <w:tcPr>
            <w:tcW w:w="16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2"/>
              </w:rPr>
              <w:t>Status</w:t>
            </w: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740" w:type="dxa"/>
            <w:vAlign w:val="bottom"/>
            <w:tcBorders>
              <w:right w:val="single" w:sz="8" w:color="auto"/>
            </w:tcBorders>
            <w:shd w:val="clear" w:color="auto" w:fill="D9D9D9"/>
          </w:tcPr>
          <w:p>
            <w:pPr>
              <w:ind w:left="940"/>
              <w:spacing w:after="0" w:line="172" w:lineRule="exact"/>
              <w:rPr>
                <w:sz w:val="20"/>
                <w:szCs w:val="20"/>
                <w:color w:val="auto"/>
              </w:rPr>
            </w:pPr>
            <w:r>
              <w:rPr>
                <w:rFonts w:ascii="Arial" w:cs="Arial" w:eastAsia="Arial" w:hAnsi="Arial"/>
                <w:sz w:val="15"/>
                <w:szCs w:val="15"/>
                <w:b w:val="1"/>
                <w:bCs w:val="1"/>
                <w:color w:val="auto"/>
              </w:rPr>
              <w:t>Milestone</w:t>
            </w:r>
            <w:r>
              <w:rPr>
                <w:rFonts w:ascii="Arial" w:cs="Arial" w:eastAsia="Arial" w:hAnsi="Arial"/>
                <w:sz w:val="19"/>
                <w:szCs w:val="19"/>
                <w:b w:val="1"/>
                <w:bCs w:val="1"/>
                <w:color w:val="auto"/>
                <w:vertAlign w:val="superscript"/>
              </w:rPr>
              <w:t>(1)(2)</w:t>
            </w: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3"/>
              </w:rPr>
              <w:t>Prospectus</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Estimated Cost (June 1,</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3"/>
              </w:rPr>
              <w:t>Timeframe for</w:t>
            </w:r>
          </w:p>
        </w:tc>
        <w:tc>
          <w:tcPr>
            <w:tcW w:w="166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shd w:val="clear" w:color="auto" w:fill="D9D9D9"/>
          </w:tcPr>
          <w:p>
            <w:pPr>
              <w:spacing w:after="0"/>
              <w:rPr>
                <w:sz w:val="14"/>
                <w:szCs w:val="14"/>
                <w:color w:val="auto"/>
              </w:rPr>
            </w:pPr>
          </w:p>
        </w:tc>
        <w:tc>
          <w:tcPr>
            <w:tcW w:w="2740" w:type="dxa"/>
            <w:vAlign w:val="bottom"/>
            <w:tcBorders>
              <w:right w:val="single" w:sz="8" w:color="auto"/>
            </w:tcBorders>
            <w:shd w:val="clear" w:color="auto" w:fill="D9D9D9"/>
          </w:tcPr>
          <w:p>
            <w:pPr>
              <w:spacing w:after="0"/>
              <w:rPr>
                <w:sz w:val="14"/>
                <w:szCs w:val="14"/>
                <w:color w:val="auto"/>
              </w:rPr>
            </w:pP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6"/>
              </w:rPr>
              <w:t>(June 1, 2021 to June</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5"/>
              </w:rPr>
              <w:t xml:space="preserve">2021 to June 30, 2023) </w:t>
            </w:r>
            <w:r>
              <w:rPr>
                <w:rFonts w:ascii="Arial" w:cs="Arial" w:eastAsia="Arial" w:hAnsi="Arial"/>
                <w:sz w:val="19"/>
                <w:szCs w:val="19"/>
                <w:b w:val="1"/>
                <w:bCs w:val="1"/>
                <w:color w:val="auto"/>
                <w:w w:val="85"/>
                <w:vertAlign w:val="superscript"/>
              </w:rPr>
              <w:t>(3)</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2"/>
              </w:rPr>
              <w:t>Completion</w:t>
            </w:r>
            <w:r>
              <w:rPr>
                <w:rFonts w:ascii="Arial" w:cs="Arial" w:eastAsia="Arial" w:hAnsi="Arial"/>
                <w:sz w:val="19"/>
                <w:szCs w:val="19"/>
                <w:b w:val="1"/>
                <w:bCs w:val="1"/>
                <w:color w:val="auto"/>
                <w:w w:val="82"/>
                <w:vertAlign w:val="superscript"/>
              </w:rPr>
              <w:t>(4)(5)</w:t>
            </w:r>
          </w:p>
        </w:tc>
        <w:tc>
          <w:tcPr>
            <w:tcW w:w="166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740" w:type="dxa"/>
            <w:vAlign w:val="bottom"/>
            <w:tcBorders>
              <w:bottom w:val="single" w:sz="8" w:color="auto"/>
              <w:right w:val="single" w:sz="8" w:color="auto"/>
            </w:tcBorders>
            <w:shd w:val="clear" w:color="auto" w:fill="D9D9D9"/>
          </w:tcPr>
          <w:p>
            <w:pPr>
              <w:spacing w:after="0"/>
              <w:rPr>
                <w:sz w:val="18"/>
                <w:szCs w:val="18"/>
                <w:color w:val="auto"/>
              </w:rPr>
            </w:pPr>
          </w:p>
        </w:tc>
        <w:tc>
          <w:tcPr>
            <w:tcW w:w="1560" w:type="dxa"/>
            <w:vAlign w:val="bottom"/>
            <w:tcBorders>
              <w:bottom w:val="single" w:sz="8" w:color="auto"/>
              <w:right w:val="single" w:sz="8" w:color="auto"/>
            </w:tcBorders>
            <w:shd w:val="clear" w:color="auto" w:fill="D9D9D9"/>
          </w:tcPr>
          <w:p>
            <w:pPr>
              <w:jc w:val="center"/>
              <w:spacing w:after="0" w:line="208" w:lineRule="exact"/>
              <w:rPr>
                <w:sz w:val="20"/>
                <w:szCs w:val="20"/>
                <w:color w:val="auto"/>
              </w:rPr>
            </w:pPr>
            <w:r>
              <w:rPr>
                <w:rFonts w:ascii="Arial" w:cs="Arial" w:eastAsia="Arial" w:hAnsi="Arial"/>
                <w:sz w:val="15"/>
                <w:szCs w:val="15"/>
                <w:b w:val="1"/>
                <w:bCs w:val="1"/>
                <w:color w:val="auto"/>
                <w:w w:val="82"/>
              </w:rPr>
              <w:t>30, 2022)</w:t>
            </w:r>
            <w:r>
              <w:rPr>
                <w:rFonts w:ascii="Arial" w:cs="Arial" w:eastAsia="Arial" w:hAnsi="Arial"/>
                <w:sz w:val="19"/>
                <w:szCs w:val="19"/>
                <w:b w:val="1"/>
                <w:bCs w:val="1"/>
                <w:color w:val="auto"/>
                <w:w w:val="82"/>
                <w:vertAlign w:val="superscript"/>
              </w:rPr>
              <w:t>(3)(22)</w:t>
            </w:r>
          </w:p>
        </w:tc>
        <w:tc>
          <w:tcPr>
            <w:tcW w:w="1680" w:type="dxa"/>
            <w:vAlign w:val="bottom"/>
            <w:tcBorders>
              <w:bottom w:val="single" w:sz="8" w:color="auto"/>
              <w:right w:val="single" w:sz="8" w:color="auto"/>
            </w:tcBorders>
            <w:shd w:val="clear" w:color="auto" w:fill="D9D9D9"/>
          </w:tcPr>
          <w:p>
            <w:pPr>
              <w:spacing w:after="0"/>
              <w:rPr>
                <w:sz w:val="18"/>
                <w:szCs w:val="18"/>
                <w:color w:val="auto"/>
              </w:rPr>
            </w:pPr>
          </w:p>
        </w:tc>
        <w:tc>
          <w:tcPr>
            <w:tcW w:w="1620" w:type="dxa"/>
            <w:vAlign w:val="bottom"/>
            <w:tcBorders>
              <w:bottom w:val="single" w:sz="8" w:color="auto"/>
              <w:right w:val="single" w:sz="8" w:color="auto"/>
            </w:tcBorders>
            <w:shd w:val="clear" w:color="auto" w:fill="D9D9D9"/>
          </w:tcPr>
          <w:p>
            <w:pPr>
              <w:spacing w:after="0"/>
              <w:rPr>
                <w:sz w:val="18"/>
                <w:szCs w:val="18"/>
                <w:color w:val="auto"/>
              </w:rPr>
            </w:pPr>
          </w:p>
        </w:tc>
        <w:tc>
          <w:tcPr>
            <w:tcW w:w="16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100"/>
              <w:spacing w:after="0" w:line="180" w:lineRule="exact"/>
              <w:rPr>
                <w:sz w:val="20"/>
                <w:szCs w:val="20"/>
                <w:color w:val="auto"/>
              </w:rPr>
            </w:pPr>
            <w:r>
              <w:rPr>
                <w:rFonts w:ascii="Arial" w:cs="Arial" w:eastAsia="Arial" w:hAnsi="Arial"/>
                <w:sz w:val="15"/>
                <w:szCs w:val="15"/>
                <w:color w:val="auto"/>
              </w:rPr>
              <w:t>Psilocybin Program</w:t>
            </w:r>
            <w:r>
              <w:rPr>
                <w:rFonts w:ascii="Arial" w:cs="Arial" w:eastAsia="Arial" w:hAnsi="Arial"/>
                <w:sz w:val="19"/>
                <w:szCs w:val="19"/>
                <w:color w:val="auto"/>
                <w:vertAlign w:val="superscript"/>
              </w:rPr>
              <w:t>(8)</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Chemically develop and synthesize</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980" w:type="dxa"/>
            <w:vAlign w:val="bottom"/>
            <w:tcBorders>
              <w:left w:val="single" w:sz="8" w:color="auto"/>
              <w:right w:val="single" w:sz="8" w:color="auto"/>
            </w:tcBorders>
          </w:tcPr>
          <w:p>
            <w:pPr>
              <w:spacing w:after="0"/>
              <w:rPr>
                <w:sz w:val="22"/>
                <w:szCs w:val="22"/>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psychedelic APIs</w:t>
            </w:r>
            <w:r>
              <w:rPr>
                <w:rFonts w:ascii="Arial" w:cs="Arial" w:eastAsia="Arial" w:hAnsi="Arial"/>
                <w:sz w:val="19"/>
                <w:szCs w:val="19"/>
                <w:color w:val="auto"/>
                <w:vertAlign w:val="superscript"/>
              </w:rPr>
              <w:t>(6)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Q1 2021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Completed</w:t>
            </w:r>
            <w:r>
              <w:rPr>
                <w:rFonts w:ascii="Arial" w:cs="Arial" w:eastAsia="Arial" w:hAnsi="Arial"/>
                <w:sz w:val="19"/>
                <w:szCs w:val="19"/>
                <w:color w:val="auto"/>
                <w:w w:val="84"/>
                <w:vertAlign w:val="superscript"/>
              </w:rPr>
              <w:t>(7)</w:t>
            </w:r>
          </w:p>
        </w:tc>
        <w:tc>
          <w:tcPr>
            <w:tcW w:w="0" w:type="dxa"/>
            <w:vAlign w:val="bottom"/>
          </w:tcPr>
          <w:p>
            <w:pPr>
              <w:spacing w:after="0"/>
              <w:rPr>
                <w:sz w:val="1"/>
                <w:szCs w:val="1"/>
                <w:color w:val="auto"/>
              </w:rPr>
            </w:pPr>
          </w:p>
        </w:tc>
      </w:tr>
      <w:tr>
        <w:trPr>
          <w:trHeight w:val="138"/>
        </w:trPr>
        <w:tc>
          <w:tcPr>
            <w:tcW w:w="1980" w:type="dxa"/>
            <w:vAlign w:val="bottom"/>
            <w:tcBorders>
              <w:left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Development  of  psilocybin  Sublingual</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Film</w:t>
            </w:r>
            <w:r>
              <w:rPr>
                <w:rFonts w:ascii="Arial" w:cs="Arial" w:eastAsia="Arial" w:hAnsi="Arial"/>
                <w:sz w:val="19"/>
                <w:szCs w:val="19"/>
                <w:color w:val="auto"/>
                <w:vertAlign w:val="superscript"/>
              </w:rPr>
              <w:t>(9)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Merged</w:t>
            </w:r>
            <w:r>
              <w:rPr>
                <w:rFonts w:ascii="Arial" w:cs="Arial" w:eastAsia="Arial" w:hAnsi="Arial"/>
                <w:sz w:val="19"/>
                <w:szCs w:val="19"/>
                <w:color w:val="auto"/>
                <w:w w:val="87"/>
                <w:vertAlign w:val="superscript"/>
              </w:rPr>
              <w:t>(8)</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88"/>
              </w:rPr>
              <w:t>Phase IIa MDD study completed with data</w:t>
            </w:r>
            <w:r>
              <w:rPr>
                <w:rFonts w:ascii="Arial" w:cs="Arial" w:eastAsia="Arial" w:hAnsi="Arial"/>
                <w:sz w:val="19"/>
                <w:szCs w:val="19"/>
                <w:color w:val="auto"/>
                <w:w w:val="88"/>
                <w:vertAlign w:val="superscript"/>
              </w:rPr>
              <w:t>(10)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$772</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$339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Merged</w:t>
            </w:r>
            <w:r>
              <w:rPr>
                <w:rFonts w:ascii="Arial" w:cs="Arial" w:eastAsia="Arial" w:hAnsi="Arial"/>
                <w:sz w:val="19"/>
                <w:szCs w:val="19"/>
                <w:color w:val="auto"/>
                <w:w w:val="87"/>
                <w:vertAlign w:val="superscript"/>
              </w:rPr>
              <w:t>(8)</w:t>
            </w:r>
          </w:p>
        </w:tc>
        <w:tc>
          <w:tcPr>
            <w:tcW w:w="0" w:type="dxa"/>
            <w:vAlign w:val="bottom"/>
          </w:tcPr>
          <w:p>
            <w:pPr>
              <w:spacing w:after="0"/>
              <w:rPr>
                <w:sz w:val="1"/>
                <w:szCs w:val="1"/>
                <w:color w:val="auto"/>
              </w:rPr>
            </w:pPr>
          </w:p>
        </w:tc>
      </w:tr>
      <w:tr>
        <w:trPr>
          <w:trHeight w:val="107"/>
        </w:trPr>
        <w:tc>
          <w:tcPr>
            <w:tcW w:w="198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88"/>
              </w:rPr>
              <w:t>Phase IIb MDD study completed with data</w:t>
            </w:r>
            <w:r>
              <w:rPr>
                <w:rFonts w:ascii="Arial" w:cs="Arial" w:eastAsia="Arial" w:hAnsi="Arial"/>
                <w:sz w:val="19"/>
                <w:szCs w:val="19"/>
                <w:color w:val="auto"/>
                <w:w w:val="88"/>
                <w:vertAlign w:val="superscript"/>
              </w:rPr>
              <w:t>(10)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Merged</w:t>
            </w:r>
            <w:r>
              <w:rPr>
                <w:rFonts w:ascii="Arial" w:cs="Arial" w:eastAsia="Arial" w:hAnsi="Arial"/>
                <w:sz w:val="19"/>
                <w:szCs w:val="19"/>
                <w:color w:val="auto"/>
                <w:w w:val="87"/>
                <w:vertAlign w:val="superscript"/>
              </w:rPr>
              <w:t>(8)</w:t>
            </w:r>
          </w:p>
        </w:tc>
        <w:tc>
          <w:tcPr>
            <w:tcW w:w="0" w:type="dxa"/>
            <w:vAlign w:val="bottom"/>
          </w:tcPr>
          <w:p>
            <w:pPr>
              <w:spacing w:after="0"/>
              <w:rPr>
                <w:sz w:val="1"/>
                <w:szCs w:val="1"/>
                <w:color w:val="auto"/>
              </w:rPr>
            </w:pPr>
          </w:p>
        </w:tc>
      </w:tr>
      <w:tr>
        <w:trPr>
          <w:trHeight w:val="107"/>
        </w:trPr>
        <w:tc>
          <w:tcPr>
            <w:tcW w:w="198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Support of additional phase IIb study sites in</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Canada and the United States</w:t>
            </w:r>
            <w:r>
              <w:rPr>
                <w:rFonts w:ascii="Arial" w:cs="Arial" w:eastAsia="Arial" w:hAnsi="Arial"/>
                <w:sz w:val="19"/>
                <w:szCs w:val="19"/>
                <w:color w:val="auto"/>
                <w:vertAlign w:val="superscript"/>
              </w:rPr>
              <w:t>(10)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$1,810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$379</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Merged</w:t>
            </w:r>
            <w:r>
              <w:rPr>
                <w:rFonts w:ascii="Arial" w:cs="Arial" w:eastAsia="Arial" w:hAnsi="Arial"/>
                <w:sz w:val="19"/>
                <w:szCs w:val="19"/>
                <w:color w:val="auto"/>
                <w:w w:val="87"/>
                <w:vertAlign w:val="superscript"/>
              </w:rPr>
              <w:t>(8)</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Commence microdose study with the</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Canadian Centre of Psychedelic Science</w:t>
            </w:r>
            <w:r>
              <w:rPr>
                <w:rFonts w:ascii="Arial" w:cs="Arial" w:eastAsia="Arial" w:hAnsi="Arial"/>
                <w:sz w:val="19"/>
                <w:szCs w:val="19"/>
                <w:color w:val="auto"/>
                <w:w w:val="91"/>
                <w:vertAlign w:val="superscript"/>
              </w:rPr>
              <w:t>(11)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10" w:right="339" w:bottom="1440" w:gutter="0" w:footer="0" w:header="0"/>
        </w:sectPr>
      </w:pPr>
    </w:p>
    <w:bookmarkStart w:id="41" w:name="page42"/>
    <w:bookmarkEnd w:id="41"/>
    <w:tbl>
      <w:tblPr>
        <w:tblLayout w:type="fixed"/>
        <w:tblInd w:w="12" w:type="dxa"/>
        <w:tblCellMar>
          <w:top w:w="0" w:type="dxa"/>
          <w:left w:w="0" w:type="dxa"/>
          <w:bottom w:w="0" w:type="dxa"/>
          <w:right w:w="0" w:type="dxa"/>
        </w:tblCellMar>
      </w:tblPr>
      <w:tr>
        <w:trPr>
          <w:trHeight w:val="196"/>
        </w:trPr>
        <w:tc>
          <w:tcPr>
            <w:tcW w:w="198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2740" w:type="dxa"/>
            <w:vAlign w:val="bottom"/>
            <w:tcBorders>
              <w:top w:val="single" w:sz="8" w:color="auto"/>
              <w:right w:val="single" w:sz="8" w:color="auto"/>
            </w:tcBorders>
            <w:shd w:val="clear" w:color="auto" w:fill="D9D9D9"/>
          </w:tcPr>
          <w:p>
            <w:pPr>
              <w:spacing w:after="0"/>
              <w:rPr>
                <w:sz w:val="17"/>
                <w:szCs w:val="17"/>
                <w:color w:val="auto"/>
              </w:rPr>
            </w:pP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Prior Estimated Cost in</w:t>
            </w:r>
          </w:p>
        </w:tc>
        <w:tc>
          <w:tcPr>
            <w:tcW w:w="1680" w:type="dxa"/>
            <w:vAlign w:val="bottom"/>
            <w:tcBorders>
              <w:top w:val="single" w:sz="8" w:color="auto"/>
              <w:right w:val="single" w:sz="8" w:color="auto"/>
            </w:tcBorders>
            <w:shd w:val="clear" w:color="auto" w:fill="D9D9D9"/>
          </w:tcPr>
          <w:p>
            <w:pPr>
              <w:spacing w:after="0"/>
              <w:rPr>
                <w:sz w:val="17"/>
                <w:szCs w:val="17"/>
                <w:color w:val="auto"/>
              </w:rPr>
            </w:pPr>
          </w:p>
        </w:tc>
        <w:tc>
          <w:tcPr>
            <w:tcW w:w="1620" w:type="dxa"/>
            <w:vAlign w:val="bottom"/>
            <w:tcBorders>
              <w:top w:val="single" w:sz="8" w:color="auto"/>
              <w:right w:val="single" w:sz="8" w:color="auto"/>
            </w:tcBorders>
            <w:shd w:val="clear" w:color="auto" w:fill="D9D9D9"/>
          </w:tcPr>
          <w:p>
            <w:pPr>
              <w:spacing w:after="0"/>
              <w:rPr>
                <w:sz w:val="17"/>
                <w:szCs w:val="17"/>
                <w:color w:val="auto"/>
              </w:rPr>
            </w:pPr>
          </w:p>
        </w:tc>
        <w:tc>
          <w:tcPr>
            <w:tcW w:w="166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vMerge w:val="restart"/>
            <w:shd w:val="clear" w:color="auto" w:fill="D9D9D9"/>
          </w:tcPr>
          <w:p>
            <w:pPr>
              <w:ind w:left="680"/>
              <w:spacing w:after="0"/>
              <w:rPr>
                <w:sz w:val="20"/>
                <w:szCs w:val="20"/>
                <w:color w:val="auto"/>
              </w:rPr>
            </w:pPr>
            <w:r>
              <w:rPr>
                <w:rFonts w:ascii="Arial" w:cs="Arial" w:eastAsia="Arial" w:hAnsi="Arial"/>
                <w:sz w:val="15"/>
                <w:szCs w:val="15"/>
                <w:b w:val="1"/>
                <w:bCs w:val="1"/>
                <w:color w:val="auto"/>
              </w:rPr>
              <w:t>Objective</w:t>
            </w:r>
          </w:p>
        </w:tc>
        <w:tc>
          <w:tcPr>
            <w:tcW w:w="2740" w:type="dxa"/>
            <w:vAlign w:val="bottom"/>
            <w:tcBorders>
              <w:right w:val="single" w:sz="8" w:color="auto"/>
            </w:tcBorders>
            <w:shd w:val="clear" w:color="auto" w:fill="D9D9D9"/>
          </w:tcPr>
          <w:p>
            <w:pPr>
              <w:spacing w:after="0"/>
              <w:rPr>
                <w:sz w:val="14"/>
                <w:szCs w:val="14"/>
                <w:color w:val="auto"/>
              </w:rPr>
            </w:pP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6"/>
              </w:rPr>
              <w:t>July Base Shelf</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Actual or Revised</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0"/>
              </w:rPr>
              <w:t>Actual/Estimated</w:t>
            </w:r>
          </w:p>
        </w:tc>
        <w:tc>
          <w:tcPr>
            <w:tcW w:w="16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2"/>
              </w:rPr>
              <w:t>Status</w:t>
            </w: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740" w:type="dxa"/>
            <w:vAlign w:val="bottom"/>
            <w:tcBorders>
              <w:right w:val="single" w:sz="8" w:color="auto"/>
            </w:tcBorders>
            <w:shd w:val="clear" w:color="auto" w:fill="D9D9D9"/>
          </w:tcPr>
          <w:p>
            <w:pPr>
              <w:ind w:left="940"/>
              <w:spacing w:after="0" w:line="172" w:lineRule="exact"/>
              <w:rPr>
                <w:sz w:val="20"/>
                <w:szCs w:val="20"/>
                <w:color w:val="auto"/>
              </w:rPr>
            </w:pPr>
            <w:r>
              <w:rPr>
                <w:rFonts w:ascii="Arial" w:cs="Arial" w:eastAsia="Arial" w:hAnsi="Arial"/>
                <w:sz w:val="15"/>
                <w:szCs w:val="15"/>
                <w:b w:val="1"/>
                <w:bCs w:val="1"/>
                <w:color w:val="auto"/>
              </w:rPr>
              <w:t>Milestone</w:t>
            </w:r>
            <w:r>
              <w:rPr>
                <w:rFonts w:ascii="Arial" w:cs="Arial" w:eastAsia="Arial" w:hAnsi="Arial"/>
                <w:sz w:val="19"/>
                <w:szCs w:val="19"/>
                <w:b w:val="1"/>
                <w:bCs w:val="1"/>
                <w:color w:val="auto"/>
                <w:vertAlign w:val="superscript"/>
              </w:rPr>
              <w:t>(1)(2)</w:t>
            </w: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3"/>
              </w:rPr>
              <w:t>Prospectus</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Estimated Cost (June 1,</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3"/>
              </w:rPr>
              <w:t>Timeframe for</w:t>
            </w:r>
          </w:p>
        </w:tc>
        <w:tc>
          <w:tcPr>
            <w:tcW w:w="166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shd w:val="clear" w:color="auto" w:fill="D9D9D9"/>
          </w:tcPr>
          <w:p>
            <w:pPr>
              <w:spacing w:after="0"/>
              <w:rPr>
                <w:sz w:val="14"/>
                <w:szCs w:val="14"/>
                <w:color w:val="auto"/>
              </w:rPr>
            </w:pPr>
          </w:p>
        </w:tc>
        <w:tc>
          <w:tcPr>
            <w:tcW w:w="2740" w:type="dxa"/>
            <w:vAlign w:val="bottom"/>
            <w:tcBorders>
              <w:right w:val="single" w:sz="8" w:color="auto"/>
            </w:tcBorders>
            <w:shd w:val="clear" w:color="auto" w:fill="D9D9D9"/>
          </w:tcPr>
          <w:p>
            <w:pPr>
              <w:spacing w:after="0"/>
              <w:rPr>
                <w:sz w:val="14"/>
                <w:szCs w:val="14"/>
                <w:color w:val="auto"/>
              </w:rPr>
            </w:pPr>
          </w:p>
        </w:tc>
        <w:tc>
          <w:tcPr>
            <w:tcW w:w="156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6"/>
              </w:rPr>
              <w:t>(June 1, 2021 to June</w:t>
            </w:r>
          </w:p>
        </w:tc>
        <w:tc>
          <w:tcPr>
            <w:tcW w:w="168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5"/>
              </w:rPr>
              <w:t xml:space="preserve">2021 to June 30, 2023) </w:t>
            </w:r>
            <w:r>
              <w:rPr>
                <w:rFonts w:ascii="Arial" w:cs="Arial" w:eastAsia="Arial" w:hAnsi="Arial"/>
                <w:sz w:val="19"/>
                <w:szCs w:val="19"/>
                <w:b w:val="1"/>
                <w:bCs w:val="1"/>
                <w:color w:val="auto"/>
                <w:w w:val="85"/>
                <w:vertAlign w:val="superscript"/>
              </w:rPr>
              <w:t>(3)</w:t>
            </w:r>
          </w:p>
        </w:tc>
        <w:tc>
          <w:tcPr>
            <w:tcW w:w="16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2"/>
              </w:rPr>
              <w:t>Completion</w:t>
            </w:r>
            <w:r>
              <w:rPr>
                <w:rFonts w:ascii="Arial" w:cs="Arial" w:eastAsia="Arial" w:hAnsi="Arial"/>
                <w:sz w:val="19"/>
                <w:szCs w:val="19"/>
                <w:b w:val="1"/>
                <w:bCs w:val="1"/>
                <w:color w:val="auto"/>
                <w:w w:val="82"/>
                <w:vertAlign w:val="superscript"/>
              </w:rPr>
              <w:t>(4)(5)</w:t>
            </w:r>
          </w:p>
        </w:tc>
        <w:tc>
          <w:tcPr>
            <w:tcW w:w="166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740" w:type="dxa"/>
            <w:vAlign w:val="bottom"/>
            <w:tcBorders>
              <w:bottom w:val="single" w:sz="8" w:color="auto"/>
              <w:right w:val="single" w:sz="8" w:color="auto"/>
            </w:tcBorders>
            <w:shd w:val="clear" w:color="auto" w:fill="D9D9D9"/>
          </w:tcPr>
          <w:p>
            <w:pPr>
              <w:spacing w:after="0"/>
              <w:rPr>
                <w:sz w:val="18"/>
                <w:szCs w:val="18"/>
                <w:color w:val="auto"/>
              </w:rPr>
            </w:pPr>
          </w:p>
        </w:tc>
        <w:tc>
          <w:tcPr>
            <w:tcW w:w="1560" w:type="dxa"/>
            <w:vAlign w:val="bottom"/>
            <w:tcBorders>
              <w:bottom w:val="single" w:sz="8" w:color="auto"/>
              <w:right w:val="single" w:sz="8" w:color="auto"/>
            </w:tcBorders>
            <w:shd w:val="clear" w:color="auto" w:fill="D9D9D9"/>
          </w:tcPr>
          <w:p>
            <w:pPr>
              <w:jc w:val="center"/>
              <w:spacing w:after="0" w:line="208" w:lineRule="exact"/>
              <w:rPr>
                <w:sz w:val="20"/>
                <w:szCs w:val="20"/>
                <w:color w:val="auto"/>
              </w:rPr>
            </w:pPr>
            <w:r>
              <w:rPr>
                <w:rFonts w:ascii="Arial" w:cs="Arial" w:eastAsia="Arial" w:hAnsi="Arial"/>
                <w:sz w:val="15"/>
                <w:szCs w:val="15"/>
                <w:b w:val="1"/>
                <w:bCs w:val="1"/>
                <w:color w:val="auto"/>
                <w:w w:val="82"/>
              </w:rPr>
              <w:t>30, 2022)</w:t>
            </w:r>
            <w:r>
              <w:rPr>
                <w:rFonts w:ascii="Arial" w:cs="Arial" w:eastAsia="Arial" w:hAnsi="Arial"/>
                <w:sz w:val="19"/>
                <w:szCs w:val="19"/>
                <w:b w:val="1"/>
                <w:bCs w:val="1"/>
                <w:color w:val="auto"/>
                <w:w w:val="82"/>
                <w:vertAlign w:val="superscript"/>
              </w:rPr>
              <w:t>(3)(22)</w:t>
            </w:r>
          </w:p>
        </w:tc>
        <w:tc>
          <w:tcPr>
            <w:tcW w:w="1680" w:type="dxa"/>
            <w:vAlign w:val="bottom"/>
            <w:tcBorders>
              <w:bottom w:val="single" w:sz="8" w:color="auto"/>
              <w:right w:val="single" w:sz="8" w:color="auto"/>
            </w:tcBorders>
            <w:shd w:val="clear" w:color="auto" w:fill="D9D9D9"/>
          </w:tcPr>
          <w:p>
            <w:pPr>
              <w:spacing w:after="0"/>
              <w:rPr>
                <w:sz w:val="18"/>
                <w:szCs w:val="18"/>
                <w:color w:val="auto"/>
              </w:rPr>
            </w:pPr>
          </w:p>
        </w:tc>
        <w:tc>
          <w:tcPr>
            <w:tcW w:w="1620" w:type="dxa"/>
            <w:vAlign w:val="bottom"/>
            <w:tcBorders>
              <w:bottom w:val="single" w:sz="8" w:color="auto"/>
              <w:right w:val="single" w:sz="8" w:color="auto"/>
            </w:tcBorders>
            <w:shd w:val="clear" w:color="auto" w:fill="D9D9D9"/>
          </w:tcPr>
          <w:p>
            <w:pPr>
              <w:spacing w:after="0"/>
              <w:rPr>
                <w:sz w:val="18"/>
                <w:szCs w:val="18"/>
                <w:color w:val="auto"/>
              </w:rPr>
            </w:pPr>
          </w:p>
        </w:tc>
        <w:tc>
          <w:tcPr>
            <w:tcW w:w="16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3"/>
              </w:rPr>
              <w:t>Deuterated Psilocybin Analog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Completion of IND enabling preclinical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$2,147</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Q2 2022</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Completed</w:t>
            </w:r>
          </w:p>
        </w:tc>
        <w:tc>
          <w:tcPr>
            <w:tcW w:w="0" w:type="dxa"/>
            <w:vAlign w:val="bottom"/>
          </w:tcPr>
          <w:p>
            <w:pPr>
              <w:spacing w:after="0"/>
              <w:rPr>
                <w:sz w:val="1"/>
                <w:szCs w:val="1"/>
                <w:color w:val="auto"/>
              </w:rPr>
            </w:pPr>
          </w:p>
        </w:tc>
      </w:tr>
      <w:tr>
        <w:trPr>
          <w:trHeight w:val="89"/>
        </w:trPr>
        <w:tc>
          <w:tcPr>
            <w:tcW w:w="1980" w:type="dxa"/>
            <w:vAlign w:val="bottom"/>
            <w:tcBorders>
              <w:left w:val="single" w:sz="8" w:color="auto"/>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Program</w:t>
            </w:r>
            <w:r>
              <w:rPr>
                <w:rFonts w:ascii="Arial" w:cs="Arial" w:eastAsia="Arial" w:hAnsi="Arial"/>
                <w:sz w:val="19"/>
                <w:szCs w:val="19"/>
                <w:color w:val="auto"/>
                <w:vertAlign w:val="superscript"/>
              </w:rPr>
              <w:t>(8)</w:t>
            </w:r>
          </w:p>
        </w:tc>
        <w:tc>
          <w:tcPr>
            <w:tcW w:w="2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studies</w:t>
            </w: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980" w:type="dxa"/>
            <w:vAlign w:val="bottom"/>
            <w:tcBorders>
              <w:left w:val="single" w:sz="8" w:color="auto"/>
              <w:right w:val="single" w:sz="8" w:color="auto"/>
            </w:tcBorders>
            <w:vMerge w:val="continue"/>
          </w:tcPr>
          <w:p>
            <w:pPr>
              <w:spacing w:after="0"/>
              <w:rPr>
                <w:sz w:val="11"/>
                <w:szCs w:val="11"/>
                <w:color w:val="auto"/>
              </w:rPr>
            </w:pPr>
          </w:p>
        </w:tc>
        <w:tc>
          <w:tcPr>
            <w:tcW w:w="2740" w:type="dxa"/>
            <w:vAlign w:val="bottom"/>
            <w:tcBorders>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Progression of post IND enabling preclinical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$695</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(18)</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studies</w:t>
            </w:r>
          </w:p>
        </w:tc>
        <w:tc>
          <w:tcPr>
            <w:tcW w:w="156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980" w:type="dxa"/>
            <w:vAlign w:val="bottom"/>
            <w:tcBorders>
              <w:left w:val="single" w:sz="8" w:color="auto"/>
              <w:right w:val="single" w:sz="8" w:color="auto"/>
            </w:tcBorders>
          </w:tcPr>
          <w:p>
            <w:pPr>
              <w:spacing w:after="0"/>
              <w:rPr>
                <w:sz w:val="3"/>
                <w:szCs w:val="3"/>
                <w:color w:val="auto"/>
              </w:rPr>
            </w:pPr>
          </w:p>
        </w:tc>
        <w:tc>
          <w:tcPr>
            <w:tcW w:w="274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980" w:type="dxa"/>
            <w:vAlign w:val="bottom"/>
            <w:tcBorders>
              <w:left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Completion of chemistry, manufacturing and</w:t>
            </w:r>
          </w:p>
        </w:tc>
        <w:tc>
          <w:tcPr>
            <w:tcW w:w="15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control development for preclinical and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Q2 2022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Completed</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clinical studies</w:t>
            </w:r>
          </w:p>
        </w:tc>
        <w:tc>
          <w:tcPr>
            <w:tcW w:w="15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Borders>
              <w:left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Chemistry, manufacturing and control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$1,861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(18)</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development progression</w:t>
            </w:r>
          </w:p>
        </w:tc>
        <w:tc>
          <w:tcPr>
            <w:tcW w:w="156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980" w:type="dxa"/>
            <w:vAlign w:val="bottom"/>
            <w:tcBorders>
              <w:left w:val="single" w:sz="8" w:color="auto"/>
              <w:right w:val="single" w:sz="8" w:color="auto"/>
            </w:tcBorders>
          </w:tcPr>
          <w:p>
            <w:pPr>
              <w:spacing w:after="0"/>
              <w:rPr>
                <w:sz w:val="3"/>
                <w:szCs w:val="3"/>
                <w:color w:val="auto"/>
              </w:rPr>
            </w:pPr>
          </w:p>
        </w:tc>
        <w:tc>
          <w:tcPr>
            <w:tcW w:w="274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980" w:type="dxa"/>
            <w:vAlign w:val="bottom"/>
            <w:tcBorders>
              <w:left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Clinical trial filings and first in human study</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$2,591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2"/>
              </w:rPr>
              <w:t>Q3 2022</w:t>
            </w:r>
            <w:r>
              <w:rPr>
                <w:rFonts w:ascii="Arial" w:cs="Arial" w:eastAsia="Arial" w:hAnsi="Arial"/>
                <w:sz w:val="19"/>
                <w:szCs w:val="19"/>
                <w:color w:val="auto"/>
                <w:w w:val="82"/>
                <w:vertAlign w:val="superscript"/>
              </w:rPr>
              <w:t>(17)</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initiation</w:t>
            </w:r>
          </w:p>
        </w:tc>
        <w:tc>
          <w:tcPr>
            <w:tcW w:w="156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980" w:type="dxa"/>
            <w:vAlign w:val="bottom"/>
            <w:tcBorders>
              <w:left w:val="single" w:sz="8" w:color="auto"/>
              <w:right w:val="single" w:sz="8" w:color="auto"/>
            </w:tcBorders>
          </w:tcPr>
          <w:p>
            <w:pPr>
              <w:spacing w:after="0"/>
              <w:rPr>
                <w:sz w:val="3"/>
                <w:szCs w:val="3"/>
                <w:color w:val="auto"/>
              </w:rPr>
            </w:pPr>
          </w:p>
        </w:tc>
        <w:tc>
          <w:tcPr>
            <w:tcW w:w="274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980" w:type="dxa"/>
            <w:vAlign w:val="bottom"/>
            <w:tcBorders>
              <w:left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6"/>
              </w:rPr>
              <w:t>Initial pharmacokinetic and safety readout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$1,762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Q4 2022</w:t>
            </w:r>
            <w:r>
              <w:rPr>
                <w:rFonts w:ascii="Arial" w:cs="Arial" w:eastAsia="Arial" w:hAnsi="Arial"/>
                <w:sz w:val="19"/>
                <w:szCs w:val="19"/>
                <w:color w:val="auto"/>
                <w:w w:val="82"/>
                <w:vertAlign w:val="superscript"/>
              </w:rPr>
              <w:t>(20)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6"/>
              </w:rPr>
              <w:t>Clinical trial first in human full study report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$2,333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Q3 2023</w:t>
            </w:r>
            <w:r>
              <w:rPr>
                <w:rFonts w:ascii="Arial" w:cs="Arial" w:eastAsia="Arial" w:hAnsi="Arial"/>
                <w:sz w:val="19"/>
                <w:szCs w:val="19"/>
                <w:color w:val="auto"/>
                <w:w w:val="82"/>
                <w:vertAlign w:val="superscript"/>
              </w:rPr>
              <w:t>(20)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Deuterated Tryptamines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Progression of CYB003 to phase I studies</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Programs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and development of the associated delivery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$2,886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$1,198</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Merged</w:t>
            </w:r>
            <w:r>
              <w:rPr>
                <w:rFonts w:ascii="Arial" w:cs="Arial" w:eastAsia="Arial" w:hAnsi="Arial"/>
                <w:sz w:val="19"/>
                <w:szCs w:val="19"/>
                <w:color w:val="auto"/>
                <w:w w:val="87"/>
                <w:vertAlign w:val="superscript"/>
              </w:rPr>
              <w:t>(8)</w:t>
            </w: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platform</w:t>
            </w:r>
            <w:r>
              <w:rPr>
                <w:rFonts w:ascii="Arial" w:cs="Arial" w:eastAsia="Arial" w:hAnsi="Arial"/>
                <w:sz w:val="19"/>
                <w:szCs w:val="19"/>
                <w:color w:val="auto"/>
                <w:vertAlign w:val="superscript"/>
              </w:rPr>
              <w:t>(8)</w:t>
            </w:r>
          </w:p>
        </w:tc>
        <w:tc>
          <w:tcPr>
            <w:tcW w:w="15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0"/>
              </w:rPr>
              <w:t>Progression of CYB004 to clinical studies</w:t>
            </w:r>
            <w:r>
              <w:rPr>
                <w:rFonts w:ascii="Arial" w:cs="Arial" w:eastAsia="Arial" w:hAnsi="Arial"/>
                <w:sz w:val="19"/>
                <w:szCs w:val="19"/>
                <w:color w:val="auto"/>
                <w:w w:val="90"/>
                <w:vertAlign w:val="superscript"/>
              </w:rPr>
              <w:t>(12)</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$2,777</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$13,673</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(12)</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07"/>
        </w:trPr>
        <w:tc>
          <w:tcPr>
            <w:tcW w:w="198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CYB004-E Phase I DMT study</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$2,872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Q1 2023</w:t>
            </w:r>
            <w:r>
              <w:rPr>
                <w:rFonts w:ascii="Arial" w:cs="Arial" w:eastAsia="Arial" w:hAnsi="Arial"/>
                <w:sz w:val="19"/>
                <w:szCs w:val="19"/>
                <w:color w:val="auto"/>
                <w:w w:val="82"/>
                <w:vertAlign w:val="superscript"/>
              </w:rPr>
              <w:t>(19)</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1"/>
              </w:rPr>
              <w:t>Phenethylamine Development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Progression of phenethylamine candidate to</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Program</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clinical studies</w:t>
            </w:r>
            <w:r>
              <w:rPr>
                <w:rFonts w:ascii="Arial" w:cs="Arial" w:eastAsia="Arial" w:hAnsi="Arial"/>
                <w:sz w:val="19"/>
                <w:szCs w:val="19"/>
                <w:color w:val="auto"/>
                <w:vertAlign w:val="superscript"/>
              </w:rPr>
              <w:t>(13)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$2,663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Q4 2023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Nutraceutical Products</w:t>
            </w:r>
            <w:r>
              <w:rPr>
                <w:rFonts w:ascii="Arial" w:cs="Arial" w:eastAsia="Arial" w:hAnsi="Arial"/>
                <w:sz w:val="19"/>
                <w:szCs w:val="19"/>
                <w:color w:val="auto"/>
                <w:vertAlign w:val="superscript"/>
              </w:rPr>
              <w:t>(15)</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Inventory fulfillment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Product deployment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1980" w:type="dxa"/>
            <w:vAlign w:val="bottom"/>
            <w:tcBorders>
              <w:left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Marketing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Technology Programs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(14)</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44"/>
        </w:trPr>
        <w:tc>
          <w:tcPr>
            <w:tcW w:w="1980" w:type="dxa"/>
            <w:vAlign w:val="bottom"/>
            <w:tcBorders>
              <w:left w:val="single" w:sz="8" w:color="auto"/>
              <w:right w:val="single" w:sz="8" w:color="auto"/>
            </w:tcBorders>
          </w:tcPr>
          <w:p>
            <w:pPr>
              <w:spacing w:after="0"/>
              <w:rPr>
                <w:sz w:val="3"/>
                <w:szCs w:val="3"/>
                <w:color w:val="auto"/>
              </w:rPr>
            </w:pPr>
          </w:p>
        </w:tc>
        <w:tc>
          <w:tcPr>
            <w:tcW w:w="274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1680" w:type="dxa"/>
            <w:vAlign w:val="bottom"/>
            <w:tcBorders>
              <w:right w:val="single" w:sz="8" w:color="auto"/>
            </w:tcBorders>
            <w:vMerge w:val="continue"/>
          </w:tcPr>
          <w:p>
            <w:pPr>
              <w:spacing w:after="0"/>
              <w:rPr>
                <w:sz w:val="3"/>
                <w:szCs w:val="3"/>
                <w:color w:val="auto"/>
              </w:rPr>
            </w:pPr>
          </w:p>
        </w:tc>
        <w:tc>
          <w:tcPr>
            <w:tcW w:w="1620" w:type="dxa"/>
            <w:vAlign w:val="bottom"/>
            <w:tcBorders>
              <w:right w:val="single" w:sz="8" w:color="auto"/>
            </w:tcBorders>
            <w:vMerge w:val="continue"/>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980" w:type="dxa"/>
            <w:vAlign w:val="bottom"/>
            <w:tcBorders>
              <w:left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Development of patient digital therapy</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platform</w:t>
            </w:r>
            <w:r>
              <w:rPr>
                <w:rFonts w:ascii="Arial" w:cs="Arial" w:eastAsia="Arial" w:hAnsi="Arial"/>
                <w:sz w:val="19"/>
                <w:szCs w:val="19"/>
                <w:color w:val="auto"/>
                <w:vertAlign w:val="superscript"/>
              </w:rPr>
              <w:t>(15)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$2,363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$1,073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Q2 2022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Completed</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spacing w:after="0"/>
              <w:rPr>
                <w:sz w:val="15"/>
                <w:szCs w:val="15"/>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Sponsorship of studies utilizing Kernel Flow</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80" w:type="dxa"/>
            <w:vAlign w:val="bottom"/>
            <w:tcBorders>
              <w:left w:val="single" w:sz="8" w:color="auto"/>
              <w:right w:val="single" w:sz="8" w:color="auto"/>
            </w:tcBorders>
          </w:tcPr>
          <w:p>
            <w:pPr>
              <w:spacing w:after="0"/>
              <w:rPr>
                <w:sz w:val="21"/>
                <w:szCs w:val="21"/>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technology</w:t>
            </w:r>
            <w:r>
              <w:rPr>
                <w:rFonts w:ascii="Arial" w:cs="Arial" w:eastAsia="Arial" w:hAnsi="Arial"/>
                <w:sz w:val="19"/>
                <w:szCs w:val="19"/>
                <w:color w:val="auto"/>
                <w:vertAlign w:val="superscript"/>
              </w:rPr>
              <w:t>(16)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$532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Q3 2022</w:t>
            </w:r>
            <w:r>
              <w:rPr>
                <w:rFonts w:ascii="Arial" w:cs="Arial" w:eastAsia="Arial" w:hAnsi="Arial"/>
                <w:sz w:val="19"/>
                <w:szCs w:val="19"/>
                <w:color w:val="auto"/>
                <w:w w:val="82"/>
                <w:vertAlign w:val="superscript"/>
              </w:rPr>
              <w:t>(21)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bottom w:val="single" w:sz="8" w:color="D9D9D9"/>
              <w:right w:val="single" w:sz="8" w:color="auto"/>
            </w:tcBorders>
            <w:shd w:val="clear" w:color="auto" w:fill="D9D9D9"/>
          </w:tcPr>
          <w:p>
            <w:pPr>
              <w:spacing w:after="0"/>
              <w:rPr>
                <w:sz w:val="17"/>
                <w:szCs w:val="17"/>
                <w:color w:val="auto"/>
              </w:rPr>
            </w:pPr>
          </w:p>
        </w:tc>
        <w:tc>
          <w:tcPr>
            <w:tcW w:w="274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5"/>
                <w:szCs w:val="15"/>
                <w:b w:val="1"/>
                <w:bCs w:val="1"/>
                <w:color w:val="auto"/>
              </w:rPr>
              <w:t>TOTAL</w:t>
            </w:r>
          </w:p>
        </w:tc>
        <w:tc>
          <w:tcPr>
            <w:tcW w:w="15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$16,518</w:t>
            </w:r>
          </w:p>
        </w:tc>
        <w:tc>
          <w:tcPr>
            <w:tcW w:w="1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$36,117</w:t>
            </w:r>
          </w:p>
        </w:tc>
        <w:tc>
          <w:tcPr>
            <w:tcW w:w="1620" w:type="dxa"/>
            <w:vAlign w:val="bottom"/>
            <w:tcBorders>
              <w:bottom w:val="single" w:sz="8" w:color="D9D9D9"/>
              <w:right w:val="single" w:sz="8" w:color="auto"/>
            </w:tcBorders>
            <w:shd w:val="clear" w:color="auto" w:fill="D9D9D9"/>
          </w:tcPr>
          <w:p>
            <w:pPr>
              <w:spacing w:after="0"/>
              <w:rPr>
                <w:sz w:val="17"/>
                <w:szCs w:val="17"/>
                <w:color w:val="auto"/>
              </w:rPr>
            </w:pPr>
          </w:p>
        </w:tc>
        <w:tc>
          <w:tcPr>
            <w:tcW w:w="1660" w:type="dxa"/>
            <w:vAlign w:val="bottom"/>
            <w:tcBorders>
              <w:bottom w:val="single" w:sz="8" w:color="D9D9D9"/>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74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r>
        <w:rPr>
          <w:rFonts w:ascii="Arial" w:cs="Arial" w:eastAsia="Arial" w:hAnsi="Arial"/>
          <w:sz w:val="15"/>
          <w:szCs w:val="15"/>
          <w:u w:val="single" w:color="auto"/>
          <w:color w:val="auto"/>
        </w:rPr>
        <w:t>:</w:t>
      </w:r>
    </w:p>
    <w:p>
      <w:pPr>
        <w:spacing w:after="0" w:line="52" w:lineRule="exact"/>
        <w:rPr>
          <w:sz w:val="20"/>
          <w:szCs w:val="20"/>
          <w:color w:val="auto"/>
        </w:rPr>
      </w:pPr>
    </w:p>
    <w:p>
      <w:pPr>
        <w:ind w:left="342" w:hanging="342"/>
        <w:spacing w:after="0"/>
        <w:tabs>
          <w:tab w:leader="none" w:pos="342"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There may be circumstances where for sound business reasons the Company reallocates the funds or determines to not proceed with a milestone.</w:t>
      </w:r>
    </w:p>
    <w:p>
      <w:pPr>
        <w:spacing w:after="0" w:line="10" w:lineRule="exact"/>
        <w:rPr>
          <w:rFonts w:ascii="Arial" w:cs="Arial" w:eastAsia="Arial" w:hAnsi="Arial"/>
          <w:sz w:val="15"/>
          <w:szCs w:val="15"/>
          <w:color w:val="auto"/>
        </w:rPr>
      </w:pP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Subject to receipt of all necessary approvals, including the academic and scientific organizations with which the Company is working.</w:t>
      </w: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1.28:1 and all dollar amounts presented in thousands.</w:t>
      </w: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total expenditure may be incurred by the Company after the relevant quarter that is indicated as the target timeframe for completion.</w:t>
      </w:r>
    </w:p>
    <w:p>
      <w:pPr>
        <w:ind w:left="322" w:hanging="322"/>
        <w:spacing w:after="0" w:line="221"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a calendar year-end.</w:t>
      </w:r>
    </w:p>
    <w:p>
      <w:pPr>
        <w:ind w:left="582" w:hanging="582"/>
        <w:spacing w:after="0" w:line="237" w:lineRule="auto"/>
        <w:tabs>
          <w:tab w:leader="none" w:pos="315"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milestone was previously expected to be completed in Q2 2021, as disclosed in the Listing Statement. However, the milestone was completed earlier than expected, in Q1 2021, due to frustration between Smart Medicines GMP Inc. and Cybin Corp. and this resulted in the termination of the professional services agreement dated June 24, 2020 between Cybin Corp. and Smart Medicines GMP Inc. See “History of the Company” in the AIF. Upon completion of the Adelia Transaction, the Company secured an alternative to the drug master file of synthetic API and novel compounds which Smart Medicines GMP Inc. had been engaged to provide, and now has in-house ability to develop molecules which can be scaled to GMP quantities. See “History of the Company” in the AIF.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“Risk Factors”.</w:t>
      </w:r>
    </w:p>
    <w:p>
      <w:pPr>
        <w:ind w:left="582" w:hanging="582"/>
        <w:spacing w:after="0" w:line="215" w:lineRule="auto"/>
        <w:tabs>
          <w:tab w:leader="none" w:pos="33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actual cost is lower than previously anticipated, and as previously disclosed in the Listing Statement, , and the Company’s final prospectus dated February 1, 2021 (the “</w:t>
      </w:r>
      <w:r>
        <w:rPr>
          <w:rFonts w:ascii="Arial" w:cs="Arial" w:eastAsia="Arial" w:hAnsi="Arial"/>
          <w:sz w:val="15"/>
          <w:szCs w:val="15"/>
          <w:b w:val="1"/>
          <w:bCs w:val="1"/>
          <w:color w:val="auto"/>
        </w:rPr>
        <w:t>February</w:t>
      </w:r>
      <w:r>
        <w:rPr>
          <w:rFonts w:ascii="Arial" w:cs="Arial" w:eastAsia="Arial" w:hAnsi="Arial"/>
          <w:sz w:val="15"/>
          <w:szCs w:val="15"/>
          <w:color w:val="auto"/>
        </w:rPr>
        <w:t xml:space="preserve"> </w:t>
      </w:r>
      <w:r>
        <w:rPr>
          <w:rFonts w:ascii="Arial" w:cs="Arial" w:eastAsia="Arial" w:hAnsi="Arial"/>
          <w:sz w:val="15"/>
          <w:szCs w:val="15"/>
          <w:b w:val="1"/>
          <w:bCs w:val="1"/>
          <w:color w:val="auto"/>
        </w:rPr>
        <w:t>2021 Prospectus</w:t>
      </w:r>
      <w:r>
        <w:rPr>
          <w:rFonts w:ascii="Arial" w:cs="Arial" w:eastAsia="Arial" w:hAnsi="Arial"/>
          <w:sz w:val="15"/>
          <w:szCs w:val="15"/>
          <w:color w:val="auto"/>
        </w:rPr>
        <w:t>”),, as a result of the termination of the professional services agreement dated June 24, 2020 between Cybin Corp. and Smart Medicines GMP Inc. See “</w:t>
      </w:r>
      <w:r>
        <w:rPr>
          <w:rFonts w:ascii="Arial" w:cs="Arial" w:eastAsia="Arial" w:hAnsi="Arial"/>
          <w:sz w:val="15"/>
          <w:szCs w:val="15"/>
          <w:i w:val="1"/>
          <w:iCs w:val="1"/>
          <w:color w:val="auto"/>
        </w:rPr>
        <w:t>History of</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the Company</w:t>
      </w:r>
      <w:r>
        <w:rPr>
          <w:rFonts w:ascii="Arial" w:cs="Arial" w:eastAsia="Arial" w:hAnsi="Arial"/>
          <w:sz w:val="15"/>
          <w:szCs w:val="15"/>
          <w:color w:val="auto"/>
        </w:rPr>
        <w:t>” in the AIF.</w:t>
      </w:r>
    </w:p>
    <w:p>
      <w:pPr>
        <w:spacing w:after="0" w:line="1" w:lineRule="exact"/>
        <w:rPr>
          <w:rFonts w:ascii="Arial" w:cs="Arial" w:eastAsia="Arial" w:hAnsi="Arial"/>
          <w:sz w:val="15"/>
          <w:szCs w:val="15"/>
          <w:color w:val="auto"/>
        </w:rPr>
      </w:pPr>
    </w:p>
    <w:p>
      <w:pPr>
        <w:jc w:val="both"/>
        <w:ind w:left="582" w:hanging="582"/>
        <w:spacing w:after="0" w:line="195" w:lineRule="auto"/>
        <w:tabs>
          <w:tab w:leader="none" w:pos="582"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potentially superior molecule in the most cost effective manner</w:t>
      </w:r>
    </w:p>
    <w:p>
      <w:pPr>
        <w:spacing w:after="0" w:line="2" w:lineRule="exact"/>
        <w:rPr>
          <w:rFonts w:ascii="Arial" w:cs="Arial" w:eastAsia="Arial" w:hAnsi="Arial"/>
          <w:sz w:val="15"/>
          <w:szCs w:val="15"/>
          <w:color w:val="auto"/>
        </w:rPr>
      </w:pPr>
    </w:p>
    <w:p>
      <w:pPr>
        <w:ind w:left="342" w:hanging="342"/>
        <w:spacing w:after="0"/>
        <w:tabs>
          <w:tab w:leader="none" w:pos="3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material factors and assumptions underlying this forward-looking statement are: (a) drug development involves long lead times, is very expensive and involves many variables of</w:t>
      </w:r>
    </w:p>
    <w:p>
      <w:pPr>
        <w:spacing w:after="0" w:line="22" w:lineRule="exact"/>
        <w:rPr>
          <w:sz w:val="20"/>
          <w:szCs w:val="20"/>
          <w:color w:val="auto"/>
        </w:rPr>
      </w:pPr>
    </w:p>
    <w:p>
      <w:pPr>
        <w:ind w:left="582"/>
        <w:spacing w:after="0"/>
        <w:rPr>
          <w:sz w:val="20"/>
          <w:szCs w:val="20"/>
          <w:color w:val="auto"/>
        </w:rPr>
      </w:pPr>
      <w:r>
        <w:rPr>
          <w:rFonts w:ascii="Arial" w:cs="Arial" w:eastAsia="Arial" w:hAnsi="Arial"/>
          <w:sz w:val="15"/>
          <w:szCs w:val="15"/>
          <w:color w:val="auto"/>
        </w:rPr>
        <w:t>uncertainty. Anticipated timelines regarding drug development are based on reasonable</w:t>
      </w:r>
    </w:p>
    <w:p>
      <w:pPr>
        <w:sectPr>
          <w:pgSz w:w="11900" w:h="16838" w:orient="portrait"/>
          <w:cols w:equalWidth="0" w:num="1">
            <w:col w:w="11242"/>
          </w:cols>
          <w:pgMar w:left="318" w:top="73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2"/>
          </w:cols>
          <w:pgMar w:left="318" w:top="731" w:right="339" w:bottom="1440" w:gutter="0" w:footer="0" w:header="0"/>
          <w:type w:val="continuous"/>
        </w:sectPr>
      </w:pPr>
    </w:p>
    <w:bookmarkStart w:id="42" w:name="page43"/>
    <w:bookmarkEnd w:id="42"/>
    <w:p>
      <w:pPr>
        <w:jc w:val="both"/>
        <w:ind w:left="582" w:right="20"/>
        <w:spacing w:after="0" w:line="278" w:lineRule="auto"/>
        <w:rPr>
          <w:sz w:val="20"/>
          <w:szCs w:val="20"/>
          <w:color w:val="auto"/>
        </w:rPr>
      </w:pPr>
      <w:r>
        <w:rPr>
          <w:rFonts w:ascii="Arial" w:cs="Arial" w:eastAsia="Arial" w:hAnsi="Arial"/>
          <w:sz w:val="13"/>
          <w:szCs w:val="13"/>
          <w:color w:val="auto"/>
        </w:rPr>
        <w:t>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The Company is prioritizing its Deuterated Psilocybin Analog Program</w:t>
      </w:r>
    </w:p>
    <w:p>
      <w:pPr>
        <w:spacing w:after="0" w:line="2" w:lineRule="exact"/>
        <w:rPr>
          <w:sz w:val="20"/>
          <w:szCs w:val="20"/>
          <w:color w:val="auto"/>
        </w:rPr>
      </w:pPr>
    </w:p>
    <w:p>
      <w:pPr>
        <w:ind w:left="582" w:right="20" w:hanging="582"/>
        <w:spacing w:after="0" w:line="238" w:lineRule="auto"/>
        <w:tabs>
          <w:tab w:leader="none" w:pos="39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Company is currently prioritizing its Deuterated Psilocybin Analog Program and it has merged its efforts from both the Psilocybin Program and the deuterated tryptamine CYB003 preclinical program, focusing on both the MDD and AUD indications in the U.S. and the UK.</w:t>
      </w:r>
    </w:p>
    <w:p>
      <w:pPr>
        <w:ind w:left="582" w:right="20" w:hanging="582"/>
        <w:spacing w:after="0" w:line="229" w:lineRule="auto"/>
        <w:tabs>
          <w:tab w:leader="none" w:pos="441" w:val="left"/>
        </w:tabs>
        <w:numPr>
          <w:ilvl w:val="0"/>
          <w:numId w:val="36"/>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CCPS of its decision to terminate this arrangement, as a result, the actual cost is lower than previously anticipated, and as previously disclosed in the Listing Statement and February 2021 Prospectus. See “</w:t>
      </w:r>
      <w:r>
        <w:rPr>
          <w:rFonts w:ascii="Arial" w:cs="Arial" w:eastAsia="Arial" w:hAnsi="Arial"/>
          <w:sz w:val="15"/>
          <w:szCs w:val="15"/>
          <w:i w:val="1"/>
          <w:iCs w:val="1"/>
          <w:color w:val="auto"/>
        </w:rPr>
        <w:t>History of the Company</w:t>
      </w:r>
      <w:r>
        <w:rPr>
          <w:rFonts w:ascii="Arial" w:cs="Arial" w:eastAsia="Arial" w:hAnsi="Arial"/>
          <w:sz w:val="15"/>
          <w:szCs w:val="15"/>
          <w:color w:val="auto"/>
        </w:rPr>
        <w:t>” in the AIF.</w:t>
      </w:r>
    </w:p>
    <w:p>
      <w:pPr>
        <w:spacing w:after="0" w:line="1" w:lineRule="exact"/>
        <w:rPr>
          <w:rFonts w:ascii="Arial" w:cs="Arial" w:eastAsia="Arial" w:hAnsi="Arial"/>
          <w:sz w:val="15"/>
          <w:szCs w:val="15"/>
          <w:color w:val="auto"/>
        </w:rPr>
      </w:pPr>
    </w:p>
    <w:p>
      <w:pPr>
        <w:ind w:left="582" w:hanging="582"/>
        <w:spacing w:after="0" w:line="256" w:lineRule="auto"/>
        <w:tabs>
          <w:tab w:leader="none" w:pos="404"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Deuterated Tryptamines Program was a new objective following completion of the Adelia Transaction. This business objective requires clinical trial sites, contract manufacturers, certain scale-ups in operation, etc. which may impact the time frame that these are completed. The proceeds allocated include estimated costs associated with the progression of CYB004 to clinical studies over the period from June 1, 2021 up to June 30, 2023. The Company intends to continue preclinical studies and other research and development activities throughout the year and has therefore revised its timeline to ongoing. The anticipated timeline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There is no assurance that these timelines will be met or that these preclinical drug candidates will advance to clinical trials at all. See “</w:t>
      </w:r>
      <w:r>
        <w:rPr>
          <w:rFonts w:ascii="Arial" w:cs="Arial" w:eastAsia="Arial" w:hAnsi="Arial"/>
          <w:sz w:val="13"/>
          <w:szCs w:val="13"/>
          <w:i w:val="1"/>
          <w:iCs w:val="1"/>
          <w:color w:val="auto"/>
        </w:rPr>
        <w:t>Risk Factors</w:t>
      </w:r>
      <w:r>
        <w:rPr>
          <w:rFonts w:ascii="Arial" w:cs="Arial" w:eastAsia="Arial" w:hAnsi="Arial"/>
          <w:sz w:val="13"/>
          <w:szCs w:val="13"/>
          <w:color w:val="auto"/>
        </w:rPr>
        <w:t>”.</w:t>
      </w:r>
    </w:p>
    <w:p>
      <w:pPr>
        <w:spacing w:after="0" w:line="6" w:lineRule="exact"/>
        <w:rPr>
          <w:rFonts w:ascii="Arial" w:cs="Arial" w:eastAsia="Arial" w:hAnsi="Arial"/>
          <w:sz w:val="13"/>
          <w:szCs w:val="13"/>
          <w:color w:val="auto"/>
        </w:rPr>
      </w:pPr>
    </w:p>
    <w:p>
      <w:pPr>
        <w:ind w:left="582" w:right="20" w:hanging="582"/>
        <w:spacing w:after="0" w:line="255" w:lineRule="auto"/>
        <w:tabs>
          <w:tab w:leader="none" w:pos="41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Phenethylamine Preclinical Program was a new objectives following completion of the Adelia Transaction. This business objective requires clinical trial sites, contract manufacturers, certain scale-ups in operation, etc. which may impact the time frame that these are completed. The proceeds allocated include estimated costs for the next 12 months associated with the progression of phenethylamine candidate to clinical studies. The Company anticipates that its phenethylamine program may deliver a drug candidate suitable for entry into clinical studies by Q4 2023, updated from Q4 2022 - Q1 2023, due to certain research and development delays.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14"/>
          <w:szCs w:val="14"/>
          <w:color w:val="auto"/>
        </w:rPr>
      </w:pPr>
    </w:p>
    <w:p>
      <w:pPr>
        <w:ind w:left="582" w:right="20" w:hanging="582"/>
        <w:spacing w:after="0" w:line="238" w:lineRule="auto"/>
        <w:tabs>
          <w:tab w:leader="none" w:pos="396"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582" w:right="20" w:hanging="582"/>
        <w:spacing w:after="0" w:line="252" w:lineRule="auto"/>
        <w:tabs>
          <w:tab w:leader="none" w:pos="38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proceeds allocated include estimated costs associated to establish the design of a proof of concept. The Company shall base future plans for the Digital platform on the results of the planned proof of concept work. The anticipated timeline to complete the proof of concept work is Q2-2022. This is an update from the previous disclosed milestone which included spend for the ongoing development of the patient digital platform, which was expected to be completed by Q4-2021. The anticipated timeline for completing this objective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ind w:left="382" w:hanging="382"/>
        <w:spacing w:after="0" w:line="238" w:lineRule="auto"/>
        <w:tabs>
          <w:tab w:leader="none" w:pos="38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Kernel Flow study will require the identification and recruitment of investigators and development of acceptable study protocols. See “Risk Factors”.</w:t>
      </w:r>
    </w:p>
    <w:p>
      <w:pPr>
        <w:ind w:left="582" w:right="20" w:hanging="582"/>
        <w:spacing w:after="0" w:line="255" w:lineRule="auto"/>
        <w:tabs>
          <w:tab w:leader="none" w:pos="395"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completed clinical trial application filings and received a “may proceed letter” and IND Application clearance from the FDA in Q2 2022 and plans to conduct its first in human trial, in patients with MDD. Study initiation is expected to be completed when the first patient is dosed. There is no assurance that these timelines will be met.</w:t>
      </w:r>
    </w:p>
    <w:p>
      <w:pPr>
        <w:ind w:left="582" w:right="20" w:hanging="582"/>
        <w:spacing w:after="0" w:line="238" w:lineRule="auto"/>
        <w:tabs>
          <w:tab w:leader="none" w:pos="495"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progression of these milestones are expected to be ongoing for the duration of the Deuterated Psilocybin Analog Program, however, the spend presented in the table is representative of the expected expenditures from June 1, 2021 up to June 30, 2023.</w:t>
      </w:r>
    </w:p>
    <w:p>
      <w:pPr>
        <w:ind w:left="582" w:right="20" w:hanging="582"/>
        <w:spacing w:after="0" w:line="241" w:lineRule="auto"/>
        <w:tabs>
          <w:tab w:leader="none" w:pos="44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anticipated timeline to complete the CYB004-E Phase I DMT study is Q1-2023. There is no assurance that these timelines will be met. Anticipated timelines regarding drug development are based on reasonable assumptions informed by current knowledge and information available to the Company.</w:t>
      </w:r>
    </w:p>
    <w:p>
      <w:pPr>
        <w:spacing w:after="0" w:line="200" w:lineRule="exact"/>
        <w:rPr>
          <w:sz w:val="20"/>
          <w:szCs w:val="20"/>
          <w:color w:val="auto"/>
        </w:rPr>
      </w:pP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2"/>
          </w:cols>
          <w:pgMar w:left="318" w:top="718" w:right="319" w:bottom="1440" w:gutter="0" w:footer="0" w:header="0"/>
        </w:sectPr>
      </w:pPr>
    </w:p>
    <w:bookmarkStart w:id="43" w:name="page44"/>
    <w:bookmarkEnd w:id="43"/>
    <w:p>
      <w:pPr>
        <w:ind w:left="582" w:right="20" w:hanging="582"/>
        <w:spacing w:after="0" w:line="246" w:lineRule="auto"/>
        <w:tabs>
          <w:tab w:leader="none" w:pos="434"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There is no assurance that these timelines will be met. Anticipated timelines regarding drug development are based on reasonable assumptions informed by current knowledge and information available to the Company.</w:t>
      </w:r>
    </w:p>
    <w:p>
      <w:pPr>
        <w:ind w:left="582" w:right="20" w:hanging="582"/>
        <w:spacing w:after="0" w:line="232" w:lineRule="auto"/>
        <w:tabs>
          <w:tab w:leader="none" w:pos="434"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anticipated timeline to complete the sponsorship of studies utilizing Kernel Flow technology is Q3-2022. This is an update from the previous disclosed milestone of Q4-2022. There is no assurance that these timelines will be met. Anticipated timelines regarding sponsorships are based on reasonable assumptions informed by current knowledge and information available to the Company from sponsorship partners.</w:t>
      </w:r>
    </w:p>
    <w:p>
      <w:pPr>
        <w:spacing w:after="0" w:line="1" w:lineRule="exact"/>
        <w:rPr>
          <w:rFonts w:ascii="Arial" w:cs="Arial" w:eastAsia="Arial" w:hAnsi="Arial"/>
          <w:sz w:val="15"/>
          <w:szCs w:val="15"/>
          <w:color w:val="auto"/>
        </w:rPr>
      </w:pPr>
    </w:p>
    <w:p>
      <w:pPr>
        <w:ind w:left="582" w:right="40" w:hanging="582"/>
        <w:spacing w:after="0" w:line="232" w:lineRule="auto"/>
        <w:tabs>
          <w:tab w:leader="none" w:pos="386" w:val="left"/>
        </w:tabs>
        <w:numPr>
          <w:ilvl w:val="0"/>
          <w:numId w:val="37"/>
        </w:numPr>
        <w:rPr>
          <w:rFonts w:ascii="Arial" w:cs="Arial" w:eastAsia="Arial" w:hAnsi="Arial"/>
          <w:sz w:val="15"/>
          <w:szCs w:val="15"/>
          <w:color w:val="auto"/>
        </w:rPr>
      </w:pPr>
      <w:r>
        <w:rPr>
          <w:rFonts w:ascii="Arial" w:cs="Arial" w:eastAsia="Arial" w:hAnsi="Arial"/>
          <w:sz w:val="15"/>
          <w:szCs w:val="15"/>
          <w:color w:val="auto"/>
        </w:rPr>
        <w:t>Due to an inadvertent typographical error in the Company’s MD&amp;A for the year ended March 31, 2022, certain numbers in this column were transposed. This column in the Company’s MD&amp;A for the year ended March 31, 2022, has been corrected in this MD&amp;A.</w:t>
      </w:r>
    </w:p>
    <w:p>
      <w:pPr>
        <w:spacing w:after="0" w:line="196" w:lineRule="exact"/>
        <w:rPr>
          <w:sz w:val="20"/>
          <w:szCs w:val="20"/>
          <w:color w:val="auto"/>
        </w:rPr>
      </w:pPr>
    </w:p>
    <w:p>
      <w:pPr>
        <w:jc w:val="both"/>
        <w:ind w:left="2"/>
        <w:spacing w:after="0" w:line="283" w:lineRule="auto"/>
        <w:rPr>
          <w:sz w:val="20"/>
          <w:szCs w:val="20"/>
          <w:color w:val="auto"/>
        </w:rPr>
      </w:pPr>
      <w:r>
        <w:rPr>
          <w:rFonts w:ascii="Arial" w:cs="Arial" w:eastAsia="Arial" w:hAnsi="Arial"/>
          <w:sz w:val="16"/>
          <w:szCs w:val="16"/>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66"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7"/>
          <w:szCs w:val="17"/>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Major Objectives</w:t>
      </w:r>
    </w:p>
    <w:p>
      <w:pPr>
        <w:spacing w:after="0" w:line="221"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As of the date of this MD&amp;A, the Company has four major objectives which have not generated revenue. The Company previously had a fifth major objective, however has made the decision to not progress with the Nutraceutical Products Program. In addition, the Company has merged its Psilocybin Program with its CYB003 deuterated tryptamine preclinical program and will be prioritizing the progression of the Deuterated Psilocybin Analog Program going forward, as it has been identified as a superior molecule.</w:t>
      </w:r>
    </w:p>
    <w:p>
      <w:pPr>
        <w:spacing w:after="0" w:line="205"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following is a description of each such objective, including a description of the Company’s plan for such objective, the status of the objective relative to the Company’s plan for such objective and anticipated expenditures to advance the objective to the next stage of the Company’s plan for the specific objective.</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Deuterated Psilocybin Analog Program (formerly the Psilocybin Program)</w:t>
      </w:r>
    </w:p>
    <w:p>
      <w:pPr>
        <w:spacing w:after="0" w:line="225" w:lineRule="exact"/>
        <w:rPr>
          <w:sz w:val="20"/>
          <w:szCs w:val="20"/>
          <w:color w:val="auto"/>
        </w:rPr>
      </w:pPr>
    </w:p>
    <w:p>
      <w:pPr>
        <w:jc w:val="both"/>
        <w:ind w:left="2" w:right="20"/>
        <w:spacing w:after="0" w:line="246" w:lineRule="auto"/>
        <w:rPr>
          <w:sz w:val="20"/>
          <w:szCs w:val="20"/>
          <w:color w:val="auto"/>
        </w:rPr>
      </w:pPr>
      <w:r>
        <w:rPr>
          <w:rFonts w:ascii="Arial" w:cs="Arial" w:eastAsia="Arial" w:hAnsi="Arial"/>
          <w:sz w:val="18"/>
          <w:szCs w:val="18"/>
          <w:color w:val="auto"/>
        </w:rPr>
        <w:t>While oral psilocybin has been demonstrated to be efficacious, the Company recognized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has the potential to merge both the MDD and AUD indication into a single program. The Company has determined that this merger of programs would be the most efficient and cost-effective way for the Company to move forward.</w:t>
      </w:r>
    </w:p>
    <w:p>
      <w:pPr>
        <w:spacing w:after="0" w:line="195"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As a result, the Company will be prioritizing the progression of the Deuterated Psilocybin Analog Program going forward, as this has been demonstrated to be the potentially superior molecule. The Company will continue to advance on the previous disclosed psilocybin milestones, in the U.S., Europe, Canada, and the UK, as it deems them necessary to bring psychedelics to therapeutics.</w:t>
      </w:r>
    </w:p>
    <w:p>
      <w:pPr>
        <w:spacing w:after="0" w:line="18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w:t>
      </w:r>
    </w:p>
    <w:p>
      <w:pPr>
        <w:spacing w:after="0" w:line="200" w:lineRule="exact"/>
        <w:rPr>
          <w:sz w:val="20"/>
          <w:szCs w:val="20"/>
          <w:color w:val="auto"/>
        </w:rPr>
      </w:pPr>
    </w:p>
    <w:p>
      <w:pPr>
        <w:spacing w:after="0" w:line="35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2"/>
          </w:cols>
          <w:pgMar w:left="318" w:top="718" w:right="319" w:bottom="1440" w:gutter="0" w:footer="0" w:header="0"/>
        </w:sectPr>
      </w:pPr>
    </w:p>
    <w:bookmarkStart w:id="44" w:name="page45"/>
    <w:bookmarkEnd w:id="44"/>
    <w:p>
      <w:pPr>
        <w:ind w:left="2"/>
        <w:spacing w:after="0"/>
        <w:rPr>
          <w:sz w:val="20"/>
          <w:szCs w:val="20"/>
          <w:color w:val="auto"/>
        </w:rPr>
      </w:pPr>
      <w:r>
        <w:rPr>
          <w:rFonts w:ascii="Arial" w:cs="Arial" w:eastAsia="Arial" w:hAnsi="Arial"/>
          <w:sz w:val="16"/>
          <w:szCs w:val="16"/>
          <w:color w:val="auto"/>
        </w:rPr>
        <w:t>drug application submission and approval, and assumes the success of implementation and results of such studies on timelines indicated as possible by such</w:t>
      </w:r>
    </w:p>
    <w:p>
      <w:pPr>
        <w:spacing w:after="0" w:line="48"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guidelines, other industry examples, and the Company’s development efforts to date. The result is a reallocation of funds and shifting of priorities to meet the overall objective of the Company’s spending estimates.</w:t>
      </w:r>
    </w:p>
    <w:p>
      <w:pPr>
        <w:spacing w:after="0" w:line="175"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inhalation methods, IV and intramuscular delivery.</w:t>
      </w:r>
    </w:p>
    <w:p>
      <w:pPr>
        <w:spacing w:after="0" w:line="193" w:lineRule="exact"/>
        <w:rPr>
          <w:sz w:val="20"/>
          <w:szCs w:val="20"/>
          <w:color w:val="auto"/>
        </w:rPr>
      </w:pPr>
    </w:p>
    <w:p>
      <w:pPr>
        <w:jc w:val="both"/>
        <w:ind w:left="2" w:right="20"/>
        <w:spacing w:after="0" w:line="221" w:lineRule="auto"/>
        <w:rPr>
          <w:sz w:val="20"/>
          <w:szCs w:val="20"/>
          <w:color w:val="auto"/>
        </w:rPr>
      </w:pPr>
      <w:r>
        <w:rPr>
          <w:rFonts w:ascii="Arial" w:cs="Arial" w:eastAsia="Arial" w:hAnsi="Arial"/>
          <w:sz w:val="18"/>
          <w:szCs w:val="18"/>
          <w:color w:val="auto"/>
        </w:rPr>
        <w:t>Academic research performed at New York University and John Hopkins University has indicated oral psilocybin to be efficacious in the treatment of mental health disorders, especially MDD, but with significant limitations, specifically: slow onset of action, extended duration of effect, and a variability in response among patients</w:t>
      </w:r>
      <w:r>
        <w:rPr>
          <w:rFonts w:ascii="Arial" w:cs="Arial" w:eastAsia="Arial" w:hAnsi="Arial"/>
          <w:sz w:val="23"/>
          <w:szCs w:val="23"/>
          <w:color w:val="auto"/>
          <w:vertAlign w:val="superscript"/>
        </w:rPr>
        <w:t>20</w:t>
      </w:r>
      <w:r>
        <w:rPr>
          <w:rFonts w:ascii="Arial" w:cs="Arial" w:eastAsia="Arial" w:hAnsi="Arial"/>
          <w:sz w:val="18"/>
          <w:szCs w:val="18"/>
          <w:color w:val="auto"/>
        </w:rPr>
        <w:t>. The Company’s CYB001 and CYB002 programs studied proprietary formulations, while the Company’s CYB003 program explored proprietary analogs with the goal to retain the benefits and address the challenges.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multi-species preclinical studies, the Company’s deuterated psilocybin analog from its CYB003 program demonstrates:</w:t>
      </w:r>
    </w:p>
    <w:p>
      <w:pPr>
        <w:spacing w:after="0" w:line="221" w:lineRule="exact"/>
        <w:rPr>
          <w:sz w:val="20"/>
          <w:szCs w:val="20"/>
          <w:color w:val="auto"/>
        </w:rPr>
      </w:pPr>
    </w:p>
    <w:p>
      <w:pPr>
        <w:ind w:left="582" w:hanging="289"/>
        <w:spacing w:after="0"/>
        <w:tabs>
          <w:tab w:leader="none" w:pos="5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50% reduction in variability compared to oral psilocybin; which indicates potential for more predictable dosing in patients;</w:t>
      </w:r>
    </w:p>
    <w:p>
      <w:pPr>
        <w:spacing w:after="0" w:line="4" w:lineRule="exact"/>
        <w:rPr>
          <w:rFonts w:ascii="Arial" w:cs="Arial" w:eastAsia="Arial" w:hAnsi="Arial"/>
          <w:sz w:val="18"/>
          <w:szCs w:val="18"/>
          <w:color w:val="auto"/>
        </w:rPr>
      </w:pPr>
    </w:p>
    <w:p>
      <w:pPr>
        <w:ind w:left="582" w:hanging="289"/>
        <w:spacing w:after="0"/>
        <w:tabs>
          <w:tab w:leader="none" w:pos="582"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50% reduction in dose compared to oral psilocybin; which indicates potential to maintain equivalent efficacy while reducing side effects;</w:t>
      </w:r>
    </w:p>
    <w:p>
      <w:pPr>
        <w:ind w:left="582" w:hanging="289"/>
        <w:spacing w:after="0"/>
        <w:tabs>
          <w:tab w:leader="none" w:pos="5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50% shorter time to onset when compared to oral psilocybin; which indicates potential for shorter duration of treatment; and</w:t>
      </w:r>
    </w:p>
    <w:p>
      <w:pPr>
        <w:ind w:left="582" w:right="20" w:hanging="289"/>
        <w:spacing w:after="0" w:line="248" w:lineRule="auto"/>
        <w:tabs>
          <w:tab w:leader="none" w:pos="5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nearly double brain penetration when compared to oral psilocybin; which indicates potential for a lower dose therapeutic effect, and potentially reduced patient side effects.</w:t>
      </w:r>
    </w:p>
    <w:p>
      <w:pPr>
        <w:spacing w:after="0" w:line="192" w:lineRule="exact"/>
        <w:rPr>
          <w:sz w:val="20"/>
          <w:szCs w:val="20"/>
          <w:color w:val="auto"/>
        </w:rPr>
      </w:pPr>
    </w:p>
    <w:p>
      <w:pPr>
        <w:ind w:left="2" w:right="20"/>
        <w:spacing w:after="0" w:line="267" w:lineRule="auto"/>
        <w:rPr>
          <w:sz w:val="20"/>
          <w:szCs w:val="20"/>
          <w:color w:val="auto"/>
        </w:rPr>
      </w:pPr>
      <w:r>
        <w:rPr>
          <w:rFonts w:ascii="Arial" w:cs="Arial" w:eastAsia="Arial" w:hAnsi="Arial"/>
          <w:sz w:val="18"/>
          <w:szCs w:val="18"/>
          <w:color w:val="auto"/>
        </w:rPr>
        <w:t>Based on the Company's multi-species preclinical studies, the deuterated psilocybin analog in CYB003 has the potential to reduce time and resource burden on patients, providers and payers, with the potential to improve scalability and accessibility from the following conclusions:</w:t>
      </w:r>
    </w:p>
    <w:p>
      <w:pPr>
        <w:spacing w:after="0" w:line="175" w:lineRule="exact"/>
        <w:rPr>
          <w:sz w:val="20"/>
          <w:szCs w:val="20"/>
          <w:color w:val="auto"/>
        </w:rPr>
      </w:pPr>
    </w:p>
    <w:p>
      <w:pPr>
        <w:ind w:left="582" w:hanging="289"/>
        <w:spacing w:after="0"/>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faster onset of action equates to less down time in the clinic before effects begin;</w:t>
      </w:r>
    </w:p>
    <w:p>
      <w:pPr>
        <w:spacing w:after="0" w:line="4" w:lineRule="exact"/>
        <w:rPr>
          <w:rFonts w:ascii="Arial" w:cs="Arial" w:eastAsia="Arial" w:hAnsi="Arial"/>
          <w:sz w:val="18"/>
          <w:szCs w:val="18"/>
          <w:color w:val="auto"/>
        </w:rPr>
      </w:pPr>
    </w:p>
    <w:p>
      <w:pPr>
        <w:ind w:left="582" w:hanging="289"/>
        <w:spacing w:after="0" w:line="226" w:lineRule="auto"/>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half the duration of effect translates to shorter clinic days or more patients per day;</w:t>
      </w:r>
    </w:p>
    <w:p>
      <w:pPr>
        <w:ind w:left="582" w:hanging="289"/>
        <w:spacing w:after="0" w:line="226" w:lineRule="auto"/>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more predictable dose effects create a safer and more effective patient response;</w:t>
      </w:r>
    </w:p>
    <w:p>
      <w:pPr>
        <w:ind w:left="582" w:hanging="289"/>
        <w:spacing w:after="0" w:line="226" w:lineRule="auto"/>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lowered peripheral exposure diminishes the risk of side effects; and</w:t>
      </w:r>
    </w:p>
    <w:p>
      <w:pPr>
        <w:ind w:left="582" w:hanging="289"/>
        <w:spacing w:after="0"/>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better brain penetration suggests lower overall dose needed to achieve clinical efficacy.</w:t>
      </w:r>
    </w:p>
    <w:p>
      <w:pPr>
        <w:spacing w:after="0" w:line="181" w:lineRule="exact"/>
        <w:rPr>
          <w:sz w:val="20"/>
          <w:szCs w:val="20"/>
          <w:color w:val="auto"/>
        </w:rPr>
      </w:pPr>
    </w:p>
    <w:p>
      <w:pPr>
        <w:jc w:val="both"/>
        <w:ind w:left="2" w:right="20"/>
        <w:spacing w:after="0" w:line="230" w:lineRule="auto"/>
        <w:rPr>
          <w:sz w:val="20"/>
          <w:szCs w:val="20"/>
          <w:color w:val="auto"/>
        </w:rPr>
      </w:pPr>
      <w:r>
        <w:rPr>
          <w:rFonts w:ascii="Arial" w:cs="Arial" w:eastAsia="Arial" w:hAnsi="Arial"/>
          <w:sz w:val="18"/>
          <w:szCs w:val="18"/>
          <w:color w:val="auto"/>
        </w:rPr>
        <w:t>The Company completed its CYB003 IND enabling preclinical studies and CMC development, including the production of clinical materials required for clinical trials, in Q2 2022. The Company intends to continue its progression of post IND enabling preclinical studies and CMC development progression throughout calendar year 2023.</w:t>
      </w:r>
    </w:p>
    <w:p>
      <w:pPr>
        <w:spacing w:after="0" w:line="188" w:lineRule="exact"/>
        <w:rPr>
          <w:sz w:val="20"/>
          <w:szCs w:val="20"/>
          <w:color w:val="auto"/>
        </w:rPr>
      </w:pPr>
    </w:p>
    <w:p>
      <w:pPr>
        <w:jc w:val="both"/>
        <w:ind w:left="2" w:right="20"/>
        <w:spacing w:after="0" w:line="233" w:lineRule="auto"/>
        <w:rPr>
          <w:sz w:val="20"/>
          <w:szCs w:val="20"/>
          <w:color w:val="auto"/>
        </w:rPr>
      </w:pPr>
      <w:r>
        <w:rPr>
          <w:rFonts w:ascii="Arial" w:cs="Arial" w:eastAsia="Arial" w:hAnsi="Arial"/>
          <w:sz w:val="18"/>
          <w:szCs w:val="18"/>
          <w:color w:val="auto"/>
        </w:rPr>
        <w:t>During the three-month period ended June 30, 2022, the Company submitted an IND application to the FDA and received a “may proceed letter” and IND Application clearance from the FDA for its Phase I/IIa, randomized, double-blind, placebo-controlled study in participants with moderate to severe MDD. The study will investigate the safety, tolerability, PK and PD of ascending oral doses of CYB003 in MDD participants. Approximately 32 MDD participants are planned to be enrolled into six cohorts. The study is listed on ClinicalTrials.gov under Identifier: NCT05385783. In addition, the Company received Institutional Review Board (the “</w:t>
      </w:r>
      <w:r>
        <w:rPr>
          <w:rFonts w:ascii="Arial" w:cs="Arial" w:eastAsia="Arial" w:hAnsi="Arial"/>
          <w:sz w:val="18"/>
          <w:szCs w:val="18"/>
          <w:b w:val="1"/>
          <w:bCs w:val="1"/>
          <w:color w:val="auto"/>
        </w:rPr>
        <w:t>IRB</w:t>
      </w:r>
      <w:r>
        <w:rPr>
          <w:rFonts w:ascii="Arial" w:cs="Arial" w:eastAsia="Arial" w:hAnsi="Arial"/>
          <w:sz w:val="18"/>
          <w:szCs w:val="18"/>
          <w:color w:val="auto"/>
        </w:rPr>
        <w:t>”) approval in the U.S. to begin the first-in-human Phase I/IIa clinical trial evaluating CYB003 for the treatment of MDD.</w:t>
      </w:r>
    </w:p>
    <w:p>
      <w:pPr>
        <w:spacing w:after="0" w:line="201" w:lineRule="exact"/>
        <w:rPr>
          <w:sz w:val="20"/>
          <w:szCs w:val="20"/>
          <w:color w:val="auto"/>
        </w:rPr>
      </w:pPr>
    </w:p>
    <w:p>
      <w:pPr>
        <w:jc w:val="both"/>
        <w:ind w:left="2" w:right="20"/>
        <w:spacing w:after="0" w:line="219" w:lineRule="auto"/>
        <w:rPr>
          <w:sz w:val="20"/>
          <w:szCs w:val="20"/>
          <w:color w:val="auto"/>
        </w:rPr>
      </w:pPr>
      <w:r>
        <w:rPr>
          <w:rFonts w:ascii="Arial" w:cs="Arial" w:eastAsia="Arial" w:hAnsi="Arial"/>
          <w:sz w:val="18"/>
          <w:szCs w:val="18"/>
          <w:color w:val="auto"/>
        </w:rPr>
        <w:t>Subsequent to regulatory approval, early-phase clinical trials, leveraging the Company's innovative EMBARK</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psychotherapeutic support program, are able to commence. As the Company has been progressing through the program, additional milestones related to the Phase I/IIa clinical trial have been identified. The Company intends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5532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62" w:lineRule="exact"/>
        <w:rPr>
          <w:sz w:val="20"/>
          <w:szCs w:val="20"/>
          <w:color w:val="auto"/>
        </w:rPr>
      </w:pPr>
    </w:p>
    <w:p>
      <w:pPr>
        <w:jc w:val="both"/>
        <w:ind w:left="2" w:right="20" w:hanging="2"/>
        <w:spacing w:after="0" w:line="205" w:lineRule="auto"/>
        <w:tabs>
          <w:tab w:leader="none" w:pos="203"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 xml:space="preserve">Effects of Psilocybin-Assisted Therapy on Major Depressive Disorder A Randomized Clinical Trial: </w:t>
      </w:r>
      <w:r>
        <w:rPr>
          <w:rFonts w:ascii="Arial" w:cs="Arial" w:eastAsia="Arial" w:hAnsi="Arial"/>
          <w:sz w:val="15"/>
          <w:szCs w:val="15"/>
          <w:u w:val="single" w:color="auto"/>
          <w:color w:val="3051F2"/>
        </w:rPr>
        <w:t>https://jamanetwork.com/journals/jamapsychiatry/fullarticle/2772630</w:t>
      </w:r>
      <w:r>
        <w:rPr>
          <w:rFonts w:ascii="Arial" w:cs="Arial" w:eastAsia="Arial" w:hAnsi="Arial"/>
          <w:sz w:val="15"/>
          <w:szCs w:val="15"/>
          <w:color w:val="auto"/>
        </w:rPr>
        <w:t xml:space="preserve">; Rapid and sustained symptom reduction following psilocybin treatment for anxiety and depression in patients with life-threatening cancer: a randomized controlled trial: </w:t>
      </w:r>
      <w:r>
        <w:rPr>
          <w:rFonts w:ascii="Arial" w:cs="Arial" w:eastAsia="Arial" w:hAnsi="Arial"/>
          <w:sz w:val="15"/>
          <w:szCs w:val="15"/>
          <w:u w:val="single" w:color="auto"/>
          <w:color w:val="3051F2"/>
        </w:rPr>
        <w:t>https://pubmed.ncbi.nlm.nih.gov/27909164/</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2"/>
          </w:cols>
          <w:pgMar w:left="318" w:top="710" w:right="319" w:bottom="1440" w:gutter="0" w:footer="0" w:header="0"/>
        </w:sectPr>
      </w:pPr>
    </w:p>
    <w:bookmarkStart w:id="45" w:name="page46"/>
    <w:bookmarkEnd w:id="45"/>
    <w:p>
      <w:pPr>
        <w:ind w:left="580" w:hanging="28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its first in human study clinical trial by Q3 2022;</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its initial pharmacokinetic and safety readout by the end of calendar 2022; and</w:t>
      </w:r>
    </w:p>
    <w:p>
      <w:pPr>
        <w:ind w:left="580" w:hanging="28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its clinical trial first in human full study report by Q3 2023.</w:t>
      </w:r>
    </w:p>
    <w:p>
      <w:pPr>
        <w:spacing w:after="0" w:line="21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8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Company had previously estimated that its actual and expected spend up to September 30, 2022 for this program would be similar to that previously disclosed for the Psilocybin Program and the deuterated tryptamine CYB003 preclinical program, being $4,762. However, the Company has updated its milestones to include additional planned progressions and has increased spend to reflect expenditures expected to be incurred up to the period ended June 30, 2023.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Deuterated Tryptamines Programs</w:t>
      </w:r>
    </w:p>
    <w:p>
      <w:pPr>
        <w:spacing w:after="0" w:line="22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Company is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w:t>
      </w:r>
    </w:p>
    <w:p>
      <w:pPr>
        <w:jc w:val="both"/>
        <w:spacing w:after="0" w:line="278" w:lineRule="auto"/>
        <w:rPr>
          <w:sz w:val="20"/>
          <w:szCs w:val="20"/>
          <w:color w:val="auto"/>
        </w:rPr>
      </w:pPr>
      <w:r>
        <w:rPr>
          <w:rFonts w:ascii="Arial" w:cs="Arial" w:eastAsia="Arial" w:hAnsi="Arial"/>
          <w:sz w:val="16"/>
          <w:szCs w:val="16"/>
          <w:color w:val="auto"/>
        </w:rPr>
        <w:t>In order to assess the feasibility and viability of these deuterated tryptamine derivatives entering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APIs at laboratory scale, the development and optimization of production processes for such APIs. To date, the Company has undertaken sufficient work to enable selection of two deuterated tryptamine candidates and has scaled up production processes to optimize and maximize yields and ensure the drug candidates meet the required purity levels. In vitro and in vivo proof of principal in animal models has been undertaken to ensure selection of molecules with optimal anticipated pharmacokinetics best suited for future clinical trials.</w:t>
      </w:r>
    </w:p>
    <w:p>
      <w:pPr>
        <w:spacing w:after="0" w:line="17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Further preclinical development activities over the next 12 months are anticipated to include the development of stable formulations utilizing such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Good Manufacturing Processes (“</w:t>
      </w:r>
      <w:r>
        <w:rPr>
          <w:rFonts w:ascii="Arial" w:cs="Arial" w:eastAsia="Arial" w:hAnsi="Arial"/>
          <w:sz w:val="18"/>
          <w:szCs w:val="18"/>
          <w:b w:val="1"/>
          <w:bCs w:val="1"/>
          <w:color w:val="auto"/>
        </w:rPr>
        <w:t>cGMP</w:t>
      </w:r>
      <w:r>
        <w:rPr>
          <w:rFonts w:ascii="Arial" w:cs="Arial" w:eastAsia="Arial" w:hAnsi="Arial"/>
          <w:sz w:val="18"/>
          <w:szCs w:val="18"/>
          <w:color w:val="auto"/>
        </w:rPr>
        <w:t>”). There is no assurance that the aforementioned timelines will be met or that the studies will advance to clinical trials, at all.</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Further the Company’s third-party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The Company intends to complete these studies, and collect further relevant safety and toxicity data, prior to the filing for an IND application with FDA, clinical trial application ("</w:t>
      </w:r>
      <w:r>
        <w:rPr>
          <w:rFonts w:ascii="Arial" w:cs="Arial" w:eastAsia="Arial" w:hAnsi="Arial"/>
          <w:sz w:val="18"/>
          <w:szCs w:val="18"/>
          <w:b w:val="1"/>
          <w:bCs w:val="1"/>
          <w:color w:val="auto"/>
        </w:rPr>
        <w:t>CTA")</w:t>
      </w:r>
      <w:r>
        <w:rPr>
          <w:rFonts w:ascii="Arial" w:cs="Arial" w:eastAsia="Arial" w:hAnsi="Arial"/>
          <w:sz w:val="18"/>
          <w:szCs w:val="18"/>
          <w:color w:val="auto"/>
        </w:rPr>
        <w:t xml:space="preserve"> with Health Canada, or other similar application with regulatory bodies in other jurisdictions. There is no assurance that the aforementioned timelines will be met or that the studies will advance to clinical trials, at all.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930" w:right="319" w:bottom="1440" w:gutter="0" w:footer="0" w:header="0"/>
        </w:sectPr>
      </w:pPr>
    </w:p>
    <w:bookmarkStart w:id="46" w:name="page47"/>
    <w:bookmarkEnd w:id="46"/>
    <w:p>
      <w:pPr>
        <w:jc w:val="both"/>
        <w:ind w:left="2"/>
        <w:spacing w:after="0" w:line="236" w:lineRule="auto"/>
        <w:rPr>
          <w:sz w:val="20"/>
          <w:szCs w:val="20"/>
          <w:color w:val="auto"/>
        </w:rPr>
      </w:pPr>
      <w:r>
        <w:rPr>
          <w:rFonts w:ascii="Arial" w:cs="Arial" w:eastAsia="Arial" w:hAnsi="Arial"/>
          <w:sz w:val="18"/>
          <w:szCs w:val="18"/>
          <w:color w:val="auto"/>
        </w:rPr>
        <w:t>The Company’s Deuterated Tryptamines Program is primarily focused on a lead candidate, CYB004, a deuterated version of DMT. The Deuterated Psilocybin Analog Program, merged the initiatives of the Psilocybin Program and the deuterated tryptamine CYB003 preclinical program into one single program (Deuterated Psilocybin Analog Program). The work performed related to CYB003 in this program was instrumental in defining the Deuterated Psilocybin Analog Program.</w:t>
      </w:r>
    </w:p>
    <w:p>
      <w:pPr>
        <w:spacing w:after="0" w:line="189"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On April 14, 2022, the Company announced positive preclinical data from a pharmacokinetic study evaluating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w:t>
      </w:r>
    </w:p>
    <w:p>
      <w:pPr>
        <w:spacing w:after="0" w:line="189" w:lineRule="exact"/>
        <w:rPr>
          <w:sz w:val="20"/>
          <w:szCs w:val="20"/>
          <w:color w:val="auto"/>
        </w:rPr>
      </w:pPr>
    </w:p>
    <w:p>
      <w:pPr>
        <w:jc w:val="both"/>
        <w:ind w:left="2"/>
        <w:spacing w:after="0" w:line="265" w:lineRule="auto"/>
        <w:rPr>
          <w:sz w:val="20"/>
          <w:szCs w:val="20"/>
          <w:color w:val="auto"/>
        </w:rPr>
      </w:pPr>
      <w:r>
        <w:rPr>
          <w:rFonts w:ascii="Arial" w:cs="Arial" w:eastAsia="Arial" w:hAnsi="Arial"/>
          <w:sz w:val="17"/>
          <w:szCs w:val="17"/>
          <w:color w:val="auto"/>
        </w:rPr>
        <w:t>The Company previously disclosed it intended to file a clinical trial application for a pilot study for the CYB004 candidate by the end of Q2 2022. As a result of the agreement with Entheon to acquire a Phase I DMT study. The Company has replaced the intended CYB004 pilot study with the acquired study, EBRX-101, now named CYB004-E. The CYB004-E study is expected to yield essential safety and dosing optimization data. The Company expects to complete the Phase I DMT study by Q1 2023. There is no assurance that the aforementioned timeline will be met. Anticipated timelines regarding drug development are based on reasonable assumptions informed by current knowledge and information available to the Company.</w:t>
      </w:r>
    </w:p>
    <w:p>
      <w:pPr>
        <w:spacing w:after="0" w:line="181" w:lineRule="exact"/>
        <w:rPr>
          <w:sz w:val="20"/>
          <w:szCs w:val="20"/>
          <w:color w:val="auto"/>
        </w:rPr>
      </w:pPr>
    </w:p>
    <w:p>
      <w:pPr>
        <w:jc w:val="both"/>
        <w:ind w:left="2"/>
        <w:spacing w:after="0" w:line="228" w:lineRule="auto"/>
        <w:rPr>
          <w:sz w:val="20"/>
          <w:szCs w:val="20"/>
          <w:color w:val="auto"/>
        </w:rPr>
      </w:pPr>
      <w:r>
        <w:rPr>
          <w:rFonts w:ascii="Arial" w:cs="Arial" w:eastAsia="Arial" w:hAnsi="Arial"/>
          <w:sz w:val="18"/>
          <w:szCs w:val="18"/>
          <w:color w:val="auto"/>
        </w:rPr>
        <w:t>The Company intends to continue preclinical studies and other research and development activities on its proprietary DMT molecule, CYB004, throughout the year and has therefore revised its timeline for this objective to ongoing</w:t>
      </w:r>
      <w:r>
        <w:rPr>
          <w:rFonts w:ascii="Arial" w:cs="Arial" w:eastAsia="Arial" w:hAnsi="Arial"/>
          <w:sz w:val="23"/>
          <w:szCs w:val="23"/>
          <w:color w:val="auto"/>
          <w:vertAlign w:val="superscript"/>
        </w:rPr>
        <w:t>21</w:t>
      </w:r>
      <w:r>
        <w:rPr>
          <w:rFonts w:ascii="Arial" w:cs="Arial" w:eastAsia="Arial" w:hAnsi="Arial"/>
          <w:sz w:val="18"/>
          <w:szCs w:val="18"/>
          <w:color w:val="auto"/>
        </w:rPr>
        <w:t>. The Company plans to evaluate CYB004 delivery to determine the clinical path forward.</w:t>
      </w:r>
    </w:p>
    <w:p>
      <w:pPr>
        <w:spacing w:after="0" w:line="212" w:lineRule="exact"/>
        <w:rPr>
          <w:sz w:val="20"/>
          <w:szCs w:val="20"/>
          <w:color w:val="auto"/>
        </w:rPr>
      </w:pPr>
    </w:p>
    <w:p>
      <w:pPr>
        <w:jc w:val="both"/>
        <w:ind w:left="2"/>
        <w:spacing w:after="0" w:line="281" w:lineRule="auto"/>
        <w:rPr>
          <w:sz w:val="20"/>
          <w:szCs w:val="20"/>
          <w:color w:val="auto"/>
        </w:rPr>
      </w:pPr>
      <w:r>
        <w:rPr>
          <w:rFonts w:ascii="Arial" w:cs="Arial" w:eastAsia="Arial" w:hAnsi="Arial"/>
          <w:sz w:val="16"/>
          <w:szCs w:val="16"/>
          <w:color w:val="auto"/>
        </w:rPr>
        <w:t>The Company expects to spend $13,673 to advance preclinical development of CYB004 and $2,872 to advance Phase I DMT study for CYB004-E by June 30, 2023. The Company cannot at this time estimate the cost of bringing CYB004 to market as much of the associated costs depend on the outcomes of the clinical trials. Further, there is no assurance that the aforementioned timelines will be met or that the CYB004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Phenethylamine Program</w:t>
      </w:r>
    </w:p>
    <w:p>
      <w:pPr>
        <w:spacing w:after="0" w:line="225"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is investigating the development of phenethylamine derivatives with the aim of creating clinical development candidates suitable for preclinical and clinical research, utilizing (i) the chemical modification of phenethylamine derivatives; and (ii) the combination of such phenethylamine derivative molecules with selected drug delivery methods, including but not limited to sublingual delivery, orally dissolving tablets, inhalation methods, intravenous and intramuscular delivery.</w:t>
      </w:r>
    </w:p>
    <w:p>
      <w:pPr>
        <w:spacing w:after="0" w:line="193" w:lineRule="exact"/>
        <w:rPr>
          <w:sz w:val="20"/>
          <w:szCs w:val="20"/>
          <w:color w:val="auto"/>
        </w:rPr>
      </w:pPr>
    </w:p>
    <w:p>
      <w:pPr>
        <w:jc w:val="both"/>
        <w:ind w:left="2"/>
        <w:spacing w:after="0" w:line="301" w:lineRule="auto"/>
        <w:rPr>
          <w:sz w:val="20"/>
          <w:szCs w:val="20"/>
          <w:color w:val="auto"/>
        </w:rPr>
      </w:pPr>
      <w:r>
        <w:rPr>
          <w:rFonts w:ascii="Arial" w:cs="Arial" w:eastAsia="Arial" w:hAnsi="Arial"/>
          <w:sz w:val="16"/>
          <w:szCs w:val="16"/>
          <w:color w:val="auto"/>
        </w:rPr>
        <w:t>Work on the synthesis and optimization of these molecules has recently begun at a licensed third-party vendor. In order to assess the feasibility and viability of these phenethylamine derivatives entering clinical studies, the Company has and will contract with reputable and licensed third-party vendors to undertake extensive preclinical characterization of target molecules on the Company’s behalf. These activities include, but are not limited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5532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26" w:lineRule="exact"/>
        <w:rPr>
          <w:sz w:val="20"/>
          <w:szCs w:val="20"/>
          <w:color w:val="auto"/>
        </w:rPr>
      </w:pPr>
    </w:p>
    <w:p>
      <w:pPr>
        <w:jc w:val="both"/>
        <w:ind w:left="2" w:hanging="2"/>
        <w:spacing w:after="0" w:line="262" w:lineRule="auto"/>
        <w:tabs>
          <w:tab w:leader="none" w:pos="178" w:val="left"/>
        </w:tabs>
        <w:numPr>
          <w:ilvl w:val="0"/>
          <w:numId w:val="42"/>
        </w:numPr>
        <w:rPr>
          <w:rFonts w:ascii="Arial" w:cs="Arial" w:eastAsia="Arial" w:hAnsi="Arial"/>
          <w:sz w:val="22"/>
          <w:szCs w:val="22"/>
          <w:color w:val="auto"/>
          <w:vertAlign w:val="superscript"/>
        </w:rPr>
      </w:pPr>
      <w:r>
        <w:rPr>
          <w:rFonts w:ascii="Arial" w:cs="Arial" w:eastAsia="Arial" w:hAnsi="Arial"/>
          <w:sz w:val="13"/>
          <w:szCs w:val="13"/>
          <w:color w:val="auto"/>
        </w:rPr>
        <w:t xml:space="preserve">The Company previously disclosed that the anticipated timeline for completing this objective was Q2 2022. The Company intends to continue preclinical studies and other research and development activities throughout the year and has therefore revised its timeline to ongoing. Timing for this program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3"/>
          <w:szCs w:val="13"/>
          <w:i w:val="1"/>
          <w:iCs w:val="1"/>
          <w:color w:val="auto"/>
        </w:rPr>
        <w:t>“Risk Factors”</w:t>
      </w:r>
      <w:r>
        <w:rPr>
          <w:rFonts w:ascii="Arial" w:cs="Arial" w:eastAsia="Arial" w:hAnsi="Arial"/>
          <w:sz w:val="13"/>
          <w:szCs w:val="13"/>
          <w:color w:val="auto"/>
        </w:rPr>
        <w:t>.</w:t>
      </w: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2"/>
          </w:cols>
          <w:pgMar w:left="318" w:top="710" w:right="339" w:bottom="1440" w:gutter="0" w:footer="0" w:header="0"/>
        </w:sectPr>
      </w:pPr>
    </w:p>
    <w:bookmarkStart w:id="47" w:name="page48"/>
    <w:bookmarkEnd w:id="47"/>
    <w:p>
      <w:pPr>
        <w:jc w:val="both"/>
        <w:ind w:right="20"/>
        <w:spacing w:after="0" w:line="249" w:lineRule="auto"/>
        <w:rPr>
          <w:sz w:val="20"/>
          <w:szCs w:val="20"/>
          <w:color w:val="auto"/>
        </w:rPr>
      </w:pPr>
      <w:r>
        <w:rPr>
          <w:rFonts w:ascii="Arial" w:cs="Arial" w:eastAsia="Arial" w:hAnsi="Arial"/>
          <w:sz w:val="18"/>
          <w:szCs w:val="18"/>
          <w:color w:val="auto"/>
        </w:rPr>
        <w:t>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cGMP.</w:t>
      </w:r>
    </w:p>
    <w:p>
      <w:pPr>
        <w:spacing w:after="0" w:line="193"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In addition, utilizing the expertise of selected third parties, the Company intends to oversee the study of the pharmacokinetic profiles of its formulations in a number of animal models and the completion of Absorption, Distribution, Metabolism, and Excretion profiles. Further, the Company’s licensed third party vendors will be responsible for completing a range of additional preclinical programs including but not limited to dos-ranging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plans to report preliminary preclinical data for CYB005 in the second half of 2022 (assuming the completion of the related preclinical trials) at which time the Company expects to nominate a candidate and complete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end 2023. The Company expects to spend $2,663 to complete preclinical development of a phenethylamine drug candidate by June 30, 2023. The Company cannot at this time estimate the cost of bringing a phenethylamine drug candidate to market as much of the associated costs depend on the outcomes of the phase I and phase II clinical trials. Further, there is no assurance that the aforementioned timelines will be met or that such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Nutraceutical Products</w:t>
      </w:r>
    </w:p>
    <w:p>
      <w:pPr>
        <w:spacing w:after="0" w:line="22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November 2021, the Company determined that it would not proceed with the Product Line in order to focus its efforts on the research and development progression of psychedelic molecules. As a result, the Company no longer expects to complete its anticipated milestone and is expecting to spend $NIL on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Programs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worked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 With the decision to no longer pursue with the nutraceutical business segment, the spend has been reduced to $NIL.</w:t>
      </w:r>
    </w:p>
    <w:p>
      <w:pPr>
        <w:spacing w:after="0" w:line="19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has begun work on the creation of a Digital Platform.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 Proof of concept testing was completed during Q2 2022. The Company is evaluating paths forward for the program.</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previously announced an agreement with Kernel that will enable the Company to use Kernel Flow devices to potentially measure neural activity during psychedelic therapy. While the Company previously announced that delivery was expected in Q2 2021 and studies would commence in the second half of 2021, the Company has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710" w:right="31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7"/>
          <w:szCs w:val="17"/>
          <w:color w:val="auto"/>
        </w:rPr>
        <w:t>since decided to focus on sponsoring studies in the near term. On June 1, 2021, the Company announced its sponsorship of Kernel’s feasibility study of its Kernel Flow technology to measure Ketamine’s psychedelic effect on cerebral cortex hemodynamics. On October 26, 2021, the Company announced that the FDA has authorized an IND application to proceed with the Company’s sponsored feasibility study using Kernel’s Flow technology to measure ketamine’s psychedelic effect on cerebral cortex hemodynamics. On January 11, 2022, the Company announced that the IRB has approved the Company’s sponsored feasibility study and on March 31, 2022, the Company announced that the first study visit has been conducted in a Cybin-sponsored feasibility study evaluating Kernel’s quantitative neuroimaging technology, Flow, to measure ketamine’s psychedelic effects on cerebral cortex hemodynamics. On May 9, 2022 the Company announced that preliminary data confirmed Flow’s ability to successfully measure neuro-effect of ketamine over 10 days. The Company expects to spend $532 to sponsor clinical studies utilizing these devices by Q3 2022. This is a decrease from the original estimate of $1,825 as the Company will base any future sponsorships on the preliminary study results received. There is no guarantee that the use of such devices in clinical studies will result in a commercially viable product and there is no assurance that the aforementioned timelines will be met or that such studies will advance to clinical trials, at all.</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8"/>
              <w:spacing w:after="0"/>
              <w:rPr>
                <w:sz w:val="20"/>
                <w:szCs w:val="20"/>
                <w:color w:val="auto"/>
              </w:rPr>
            </w:pPr>
            <w:r>
              <w:rPr>
                <w:rFonts w:ascii="Arial" w:cs="Arial" w:eastAsia="Arial" w:hAnsi="Arial"/>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1</w:t>
            </w:r>
          </w:p>
        </w:tc>
        <w:tc>
          <w:tcPr>
            <w:tcW w:w="2040" w:type="dxa"/>
            <w:vAlign w:val="bottom"/>
            <w:tcBorders>
              <w:top w:val="single" w:sz="8" w:color="auto"/>
              <w:right w:val="single" w:sz="8" w:color="auto"/>
            </w:tcBorders>
          </w:tcPr>
          <w:p>
            <w:pPr>
              <w:jc w:val="right"/>
              <w:ind w:right="1238"/>
              <w:spacing w:after="0"/>
              <w:rPr>
                <w:sz w:val="20"/>
                <w:szCs w:val="20"/>
                <w:color w:val="auto"/>
              </w:rPr>
            </w:pPr>
            <w:r>
              <w:rPr>
                <w:rFonts w:ascii="Arial" w:cs="Arial" w:eastAsia="Arial" w:hAnsi="Arial"/>
                <w:sz w:val="16"/>
                <w:szCs w:val="16"/>
                <w:color w:val="auto"/>
                <w:w w:val="87"/>
              </w:rPr>
              <w:t>11,242,318</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7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r>
    </w:tbl>
    <w:p>
      <w:pPr>
        <w:spacing w:after="0" w:line="2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Cybin has title to ten provisional patent applications, one US non-provisional patent application, and eight Patent Cooperation Treaty (“</w:t>
      </w:r>
      <w:r>
        <w:rPr>
          <w:rFonts w:ascii="Arial" w:cs="Arial" w:eastAsia="Arial" w:hAnsi="Arial"/>
          <w:sz w:val="18"/>
          <w:szCs w:val="18"/>
          <w:b w:val="1"/>
          <w:bCs w:val="1"/>
          <w:color w:val="auto"/>
        </w:rPr>
        <w:t>PCT</w:t>
      </w:r>
      <w:r>
        <w:rPr>
          <w:rFonts w:ascii="Arial" w:cs="Arial" w:eastAsia="Arial" w:hAnsi="Arial"/>
          <w:sz w:val="18"/>
          <w:szCs w:val="18"/>
          <w:color w:val="auto"/>
        </w:rPr>
        <w:t>”) applications, including claims directed to compositions of matter and methods of use in support of its research and development and preclinical and clinical trial programs.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2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6"/>
                <w:szCs w:val="16"/>
                <w:b w:val="1"/>
                <w:bCs w:val="1"/>
                <w:color w:val="auto"/>
                <w:w w:val="95"/>
              </w:rPr>
              <w:t>Patent Application Number</w:t>
            </w:r>
          </w:p>
        </w:tc>
        <w:tc>
          <w:tcPr>
            <w:tcW w:w="176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3960" w:type="dxa"/>
            <w:vAlign w:val="bottom"/>
            <w:tcBorders>
              <w:top w:val="single" w:sz="8" w:color="auto"/>
              <w:bottom w:val="single" w:sz="8" w:color="BFBFBF"/>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840" w:type="dxa"/>
            <w:vAlign w:val="bottom"/>
            <w:tcBorders>
              <w:top w:val="single" w:sz="8" w:color="auto"/>
              <w:bottom w:val="single" w:sz="8" w:color="BFBFBF"/>
            </w:tcBorders>
            <w:shd w:val="clear" w:color="auto" w:fill="BFBFBF"/>
          </w:tcPr>
          <w:p>
            <w:pPr>
              <w:spacing w:after="0"/>
              <w:rPr>
                <w:sz w:val="22"/>
                <w:szCs w:val="22"/>
                <w:color w:val="auto"/>
              </w:rPr>
            </w:pPr>
          </w:p>
        </w:tc>
        <w:tc>
          <w:tcPr>
            <w:tcW w:w="320" w:type="dxa"/>
            <w:vAlign w:val="bottom"/>
            <w:tcBorders>
              <w:top w:val="single" w:sz="8" w:color="auto"/>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20" w:type="dxa"/>
            <w:vAlign w:val="bottom"/>
            <w:tcBorders>
              <w:top w:val="single" w:sz="8" w:color="auto"/>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1</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PCT/IB2021/054340</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9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Tryptamine Derivative Compounds and Methods</w:t>
            </w: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jc w:val="right"/>
              <w:ind w:right="138"/>
              <w:spacing w:after="0"/>
              <w:rPr>
                <w:sz w:val="20"/>
                <w:szCs w:val="20"/>
                <w:color w:val="auto"/>
              </w:rPr>
            </w:pPr>
            <w:r>
              <w:rPr>
                <w:rFonts w:ascii="Arial" w:cs="Arial" w:eastAsia="Arial" w:hAnsi="Arial"/>
                <w:sz w:val="16"/>
                <w:szCs w:val="16"/>
                <w:color w:val="auto"/>
                <w:w w:val="89"/>
              </w:rPr>
              <w:t>2</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PCT/EP2022/069109</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960" w:type="dxa"/>
            <w:vAlign w:val="bottom"/>
          </w:tcPr>
          <w:p>
            <w:pPr>
              <w:spacing w:after="0"/>
              <w:rPr>
                <w:sz w:val="20"/>
                <w:szCs w:val="20"/>
                <w:color w:val="auto"/>
              </w:rPr>
            </w:pPr>
            <w:r>
              <w:rPr>
                <w:rFonts w:ascii="Arial" w:cs="Arial" w:eastAsia="Arial" w:hAnsi="Arial"/>
                <w:sz w:val="16"/>
                <w:szCs w:val="16"/>
                <w:color w:val="auto"/>
              </w:rPr>
              <w:t>Integrated Data Collection Devices for Use in Various</w:t>
            </w:r>
          </w:p>
        </w:tc>
        <w:tc>
          <w:tcPr>
            <w:tcW w:w="840" w:type="dxa"/>
            <w:vAlign w:val="bottom"/>
          </w:tcPr>
          <w:p>
            <w:pPr>
              <w:spacing w:after="0"/>
              <w:rPr>
                <w:sz w:val="20"/>
                <w:szCs w:val="20"/>
                <w:color w:val="auto"/>
              </w:rPr>
            </w:pPr>
            <w:r>
              <w:rPr>
                <w:rFonts w:ascii="Arial" w:cs="Arial" w:eastAsia="Arial" w:hAnsi="Arial"/>
                <w:sz w:val="16"/>
                <w:szCs w:val="16"/>
                <w:color w:val="auto"/>
                <w:w w:val="97"/>
              </w:rPr>
              <w:t>Therapeutic</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3960" w:type="dxa"/>
            <w:vAlign w:val="bottom"/>
            <w:vMerge w:val="restart"/>
          </w:tcPr>
          <w:p>
            <w:pPr>
              <w:spacing w:after="0"/>
              <w:rPr>
                <w:sz w:val="20"/>
                <w:szCs w:val="20"/>
                <w:color w:val="auto"/>
              </w:rPr>
            </w:pPr>
            <w:r>
              <w:rPr>
                <w:rFonts w:ascii="Arial" w:cs="Arial" w:eastAsia="Arial" w:hAnsi="Arial"/>
                <w:sz w:val="16"/>
                <w:szCs w:val="16"/>
                <w:color w:val="auto"/>
              </w:rPr>
              <w:t>Wellness Applications</w:t>
            </w:r>
          </w:p>
        </w:tc>
        <w:tc>
          <w:tcPr>
            <w:tcW w:w="8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39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4800" w:type="dxa"/>
            <w:vAlign w:val="bottom"/>
            <w:gridSpan w:val="2"/>
          </w:tcPr>
          <w:p>
            <w:pPr>
              <w:spacing w:after="0"/>
              <w:rPr>
                <w:sz w:val="20"/>
                <w:szCs w:val="20"/>
                <w:color w:val="auto"/>
              </w:rPr>
            </w:pPr>
            <w:r>
              <w:rPr>
                <w:rFonts w:ascii="Arial" w:cs="Arial" w:eastAsia="Arial" w:hAnsi="Arial"/>
                <w:sz w:val="16"/>
                <w:szCs w:val="16"/>
                <w:color w:val="auto"/>
              </w:rPr>
              <w:t>Phenethylamine Derivatives,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PCT/EP2021/072896</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4800" w:type="dxa"/>
            <w:vAlign w:val="bottom"/>
            <w:gridSpan w:val="2"/>
          </w:tcPr>
          <w:p>
            <w:pPr>
              <w:spacing w:after="0"/>
              <w:rPr>
                <w:sz w:val="20"/>
                <w:szCs w:val="20"/>
                <w:color w:val="auto"/>
              </w:rPr>
            </w:pPr>
            <w:r>
              <w:rPr>
                <w:rFonts w:ascii="Arial" w:cs="Arial" w:eastAsia="Arial" w:hAnsi="Arial"/>
                <w:sz w:val="16"/>
                <w:szCs w:val="16"/>
                <w:color w:val="auto"/>
              </w:rPr>
              <w:t>Therapeutic Phenethylamine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63/241,891</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960" w:type="dxa"/>
            <w:vAlign w:val="bottom"/>
          </w:tcPr>
          <w:p>
            <w:pPr>
              <w:spacing w:after="0"/>
              <w:rPr>
                <w:sz w:val="20"/>
                <w:szCs w:val="20"/>
                <w:color w:val="auto"/>
              </w:rPr>
            </w:pPr>
            <w:r>
              <w:rPr>
                <w:rFonts w:ascii="Arial" w:cs="Arial" w:eastAsia="Arial" w:hAnsi="Arial"/>
                <w:sz w:val="16"/>
                <w:szCs w:val="16"/>
                <w:color w:val="auto"/>
              </w:rPr>
              <w:t>Combination Drug Therapies</w:t>
            </w:r>
          </w:p>
        </w:tc>
        <w:tc>
          <w:tcPr>
            <w:tcW w:w="8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jc w:val="right"/>
              <w:ind w:right="138"/>
              <w:spacing w:after="0"/>
              <w:rPr>
                <w:sz w:val="20"/>
                <w:szCs w:val="20"/>
                <w:color w:val="auto"/>
              </w:rPr>
            </w:pPr>
            <w:r>
              <w:rPr>
                <w:rFonts w:ascii="Arial" w:cs="Arial" w:eastAsia="Arial" w:hAnsi="Arial"/>
                <w:sz w:val="16"/>
                <w:szCs w:val="16"/>
                <w:color w:val="auto"/>
                <w:w w:val="89"/>
              </w:rPr>
              <w:t>6</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PCT/EP2021/077057</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960" w:type="dxa"/>
            <w:vAlign w:val="bottom"/>
          </w:tcPr>
          <w:p>
            <w:pPr>
              <w:spacing w:after="0"/>
              <w:rPr>
                <w:sz w:val="20"/>
                <w:szCs w:val="20"/>
                <w:color w:val="auto"/>
              </w:rPr>
            </w:pPr>
            <w:r>
              <w:rPr>
                <w:rFonts w:ascii="Arial" w:cs="Arial" w:eastAsia="Arial" w:hAnsi="Arial"/>
                <w:sz w:val="16"/>
                <w:szCs w:val="16"/>
                <w:color w:val="auto"/>
                <w:w w:val="98"/>
              </w:rPr>
              <w:t>Methods  For  Delivery  of  Psychedelic  Medications  By</w:t>
            </w:r>
          </w:p>
        </w:tc>
        <w:tc>
          <w:tcPr>
            <w:tcW w:w="840" w:type="dxa"/>
            <w:vAlign w:val="bottom"/>
          </w:tcPr>
          <w:p>
            <w:pPr>
              <w:ind w:left="100"/>
              <w:spacing w:after="0"/>
              <w:rPr>
                <w:sz w:val="20"/>
                <w:szCs w:val="20"/>
                <w:color w:val="auto"/>
              </w:rPr>
            </w:pPr>
            <w:r>
              <w:rPr>
                <w:rFonts w:ascii="Arial" w:cs="Arial" w:eastAsia="Arial" w:hAnsi="Arial"/>
                <w:sz w:val="16"/>
                <w:szCs w:val="16"/>
                <w:color w:val="auto"/>
              </w:rPr>
              <w:t>Inhalation</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3960" w:type="dxa"/>
            <w:vAlign w:val="bottom"/>
            <w:vMerge w:val="restart"/>
          </w:tcPr>
          <w:p>
            <w:pPr>
              <w:spacing w:after="0"/>
              <w:rPr>
                <w:sz w:val="20"/>
                <w:szCs w:val="20"/>
                <w:color w:val="auto"/>
              </w:rPr>
            </w:pPr>
            <w:r>
              <w:rPr>
                <w:rFonts w:ascii="Arial" w:cs="Arial" w:eastAsia="Arial" w:hAnsi="Arial"/>
                <w:sz w:val="16"/>
                <w:szCs w:val="16"/>
                <w:color w:val="auto"/>
              </w:rPr>
              <w:t>Systems For Performing the Methods</w:t>
            </w:r>
          </w:p>
        </w:tc>
        <w:tc>
          <w:tcPr>
            <w:tcW w:w="8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39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7</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63/276,117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960" w:type="dxa"/>
            <w:vAlign w:val="bottom"/>
          </w:tcPr>
          <w:p>
            <w:pPr>
              <w:spacing w:after="0"/>
              <w:rPr>
                <w:sz w:val="20"/>
                <w:szCs w:val="20"/>
                <w:color w:val="auto"/>
              </w:rPr>
            </w:pPr>
            <w:r>
              <w:rPr>
                <w:rFonts w:ascii="Arial" w:cs="Arial" w:eastAsia="Arial" w:hAnsi="Arial"/>
                <w:sz w:val="16"/>
                <w:szCs w:val="16"/>
                <w:color w:val="auto"/>
              </w:rPr>
              <w:t>Psilocybin Analog Formulations and Methods of Use</w:t>
            </w:r>
          </w:p>
        </w:tc>
        <w:tc>
          <w:tcPr>
            <w:tcW w:w="8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8</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17/564,707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960" w:type="dxa"/>
            <w:vAlign w:val="bottom"/>
          </w:tcPr>
          <w:p>
            <w:pPr>
              <w:spacing w:after="0"/>
              <w:rPr>
                <w:sz w:val="20"/>
                <w:szCs w:val="20"/>
                <w:color w:val="auto"/>
              </w:rPr>
            </w:pPr>
            <w:r>
              <w:rPr>
                <w:rFonts w:ascii="Arial" w:cs="Arial" w:eastAsia="Arial" w:hAnsi="Arial"/>
                <w:sz w:val="16"/>
                <w:szCs w:val="16"/>
                <w:color w:val="auto"/>
                <w:w w:val="99"/>
              </w:rPr>
              <w:t>Deuterated Tryptamine Derivatives and Methods of Use</w:t>
            </w:r>
          </w:p>
        </w:tc>
        <w:tc>
          <w:tcPr>
            <w:tcW w:w="8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9</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PCT/EP2022/056991</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4800" w:type="dxa"/>
            <w:vAlign w:val="bottom"/>
            <w:gridSpan w:val="2"/>
          </w:tcPr>
          <w:p>
            <w:pPr>
              <w:spacing w:after="0"/>
              <w:rPr>
                <w:sz w:val="20"/>
                <w:szCs w:val="20"/>
                <w:color w:val="auto"/>
              </w:rPr>
            </w:pPr>
            <w:r>
              <w:rPr>
                <w:rFonts w:ascii="Arial" w:cs="Arial" w:eastAsia="Arial" w:hAnsi="Arial"/>
                <w:sz w:val="16"/>
                <w:szCs w:val="16"/>
                <w:color w:val="auto"/>
              </w:rPr>
              <w:t>Psilocybin Analogs, Salts,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710" w:right="31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2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6"/>
                <w:szCs w:val="16"/>
                <w:b w:val="1"/>
                <w:bCs w:val="1"/>
                <w:color w:val="auto"/>
                <w:w w:val="95"/>
              </w:rPr>
              <w:t>Patent Application Number</w:t>
            </w:r>
          </w:p>
        </w:tc>
        <w:tc>
          <w:tcPr>
            <w:tcW w:w="176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10</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63/268,019</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Therapeutic Phenethylamine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11</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Phenethylamine Derivatives,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PCT/EP2022/058574</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Combination Drug Therapies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63/268,022</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Therapeutic Phenethylamine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63/268,024</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Amphetamine Derivatives,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63/299,599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Tryptamine Compositions and Methods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16</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63/362,238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17</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63/362,258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Combination Drug Therapies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18</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PCT/EP2022/063269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Formulations of Psilocybin</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w w:val="89"/>
              </w:rPr>
              <w:t>19</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63/366,788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Formulations of Psilocybin</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bl>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Cybin has also filed applications for registration of twenty-five trademarks, including Changing Minds™, Cybin, Embark™, It’s not magic. It’s mushrooms™, It’s not magic, its science™, Journey™, Mushroom &amp; Friends™, Psilotonin™, Psychedelics to Therapeutics™, MindClef™ and CYB™. The Company has registered the CYBIN trademark in the EU (reg. 18495520) and the UK (reg. UK00003656496) and the mark PSYCHEDELICS TO THERAPEUTICS in the UK (reg. UK00003717706).</w:t>
      </w:r>
    </w:p>
    <w:p>
      <w:pPr>
        <w:spacing w:after="0" w:line="193"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68"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 xml:space="preserve">Certain psychoactive compounds, such as psilocybin, are considered controlled substances under Schedule III of the </w:t>
      </w:r>
      <w:r>
        <w:rPr>
          <w:rFonts w:ascii="Arial" w:cs="Arial" w:eastAsia="Arial" w:hAnsi="Arial"/>
          <w:sz w:val="18"/>
          <w:szCs w:val="18"/>
          <w:i w:val="1"/>
          <w:iCs w:val="1"/>
          <w:color w:val="auto"/>
        </w:rPr>
        <w:t>Controlled Drugs and Substances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CDSA</w:t>
      </w:r>
      <w:r>
        <w:rPr>
          <w:rFonts w:ascii="Arial" w:cs="Arial" w:eastAsia="Arial" w:hAnsi="Arial"/>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731" w:right="319" w:bottom="1440" w:gutter="0" w:footer="0" w:header="0"/>
        </w:sectPr>
      </w:pPr>
    </w:p>
    <w:bookmarkStart w:id="50" w:name="page51"/>
    <w:bookmarkEnd w:id="50"/>
    <w:p>
      <w:pPr>
        <w:jc w:val="both"/>
        <w:ind w:left="2"/>
        <w:spacing w:after="0" w:line="267" w:lineRule="auto"/>
        <w:rPr>
          <w:sz w:val="20"/>
          <w:szCs w:val="20"/>
          <w:color w:val="auto"/>
        </w:rPr>
      </w:pPr>
      <w:r>
        <w:rPr>
          <w:rFonts w:ascii="Arial" w:cs="Arial" w:eastAsia="Arial" w:hAnsi="Arial"/>
          <w:sz w:val="18"/>
          <w:szCs w:val="18"/>
          <w:color w:val="auto"/>
        </w:rPr>
        <w:t>possess and use the controlled substance without being subject to the restrictions set out in the CDSA. The Company has not applied for a Section 56 Exemption from Health Canada.</w:t>
      </w:r>
    </w:p>
    <w:p>
      <w:pPr>
        <w:spacing w:after="0" w:line="151" w:lineRule="exact"/>
        <w:rPr>
          <w:sz w:val="20"/>
          <w:szCs w:val="20"/>
          <w:color w:val="auto"/>
        </w:rPr>
      </w:pPr>
    </w:p>
    <w:p>
      <w:pPr>
        <w:jc w:val="both"/>
        <w:ind w:left="2"/>
        <w:spacing w:after="0" w:line="245"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7"/>
          <w:szCs w:val="17"/>
          <w:i w:val="1"/>
          <w:iCs w:val="1"/>
          <w:color w:val="auto"/>
        </w:rPr>
        <w:t>Controlled Drugs and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w:t>
      </w:r>
      <w:r>
        <w:rPr>
          <w:rFonts w:ascii="Arial" w:cs="Arial" w:eastAsia="Arial" w:hAnsi="Arial"/>
          <w:sz w:val="17"/>
          <w:szCs w:val="17"/>
          <w:i w:val="1"/>
          <w:iCs w:val="1"/>
          <w:color w:val="auto"/>
        </w:rPr>
        <w:t xml:space="preserve"> Food and Drugs Regulations</w:t>
      </w:r>
      <w:r>
        <w:rPr>
          <w:rFonts w:ascii="Arial" w:cs="Arial" w:eastAsia="Arial" w:hAnsi="Arial"/>
          <w:sz w:val="17"/>
          <w:szCs w:val="17"/>
          <w:color w:val="auto"/>
        </w:rPr>
        <w:t>) and subject to any restrictions placed on the licence by Health Canada, an entity with a Dealer’s Licence may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w:t>
      </w:r>
    </w:p>
    <w:p>
      <w:pPr>
        <w:spacing w:after="0" w:line="40"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the Company were to conduct this work without the reliance on third parties, it would need to obtain additional licences and approvals described above.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United States</w:t>
      </w:r>
    </w:p>
    <w:p>
      <w:pPr>
        <w:spacing w:after="0" w:line="197" w:lineRule="exact"/>
        <w:rPr>
          <w:sz w:val="20"/>
          <w:szCs w:val="20"/>
          <w:color w:val="auto"/>
        </w:rPr>
      </w:pPr>
    </w:p>
    <w:p>
      <w:pPr>
        <w:jc w:val="both"/>
        <w:ind w:left="2"/>
        <w:spacing w:after="0" w:line="269" w:lineRule="auto"/>
        <w:rPr>
          <w:sz w:val="20"/>
          <w:szCs w:val="20"/>
          <w:color w:val="auto"/>
        </w:rPr>
      </w:pPr>
      <w:r>
        <w:rPr>
          <w:rFonts w:ascii="Arial" w:cs="Arial" w:eastAsia="Arial" w:hAnsi="Arial"/>
          <w:sz w:val="16"/>
          <w:szCs w:val="16"/>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Arial" w:cs="Arial" w:eastAsia="Arial" w:hAnsi="Arial"/>
          <w:sz w:val="21"/>
          <w:szCs w:val="21"/>
          <w:color w:val="auto"/>
          <w:vertAlign w:val="superscript"/>
        </w:rPr>
        <w:t>22</w:t>
      </w:r>
      <w:r>
        <w:rPr>
          <w:rFonts w:ascii="Arial" w:cs="Arial" w:eastAsia="Arial" w:hAnsi="Arial"/>
          <w:sz w:val="16"/>
          <w:szCs w:val="16"/>
          <w:color w:val="auto"/>
        </w:rPr>
        <w:t>. Anticipated timelines related to regulatory filings are based on reasonable assumptions informed by current knowledge and information available to the Company.</w:t>
      </w:r>
    </w:p>
    <w:p>
      <w:pPr>
        <w:spacing w:after="0" w:line="182" w:lineRule="exact"/>
        <w:rPr>
          <w:sz w:val="20"/>
          <w:szCs w:val="20"/>
          <w:color w:val="auto"/>
        </w:rPr>
      </w:pPr>
    </w:p>
    <w:p>
      <w:pPr>
        <w:jc w:val="both"/>
        <w:ind w:left="2"/>
        <w:spacing w:after="0" w:line="279" w:lineRule="auto"/>
        <w:rPr>
          <w:sz w:val="20"/>
          <w:szCs w:val="20"/>
          <w:color w:val="auto"/>
        </w:rPr>
      </w:pPr>
      <w:r>
        <w:rPr>
          <w:rFonts w:ascii="Arial" w:cs="Arial" w:eastAsia="Arial" w:hAnsi="Arial"/>
          <w:sz w:val="16"/>
          <w:szCs w:val="16"/>
          <w:color w:val="auto"/>
        </w:rPr>
        <w:t>Psilocybin, psilocin, dimethyltryptamine, and 5-Methoxy-N-N-dimethyltryptamine are strictly controlled under the federal Controlled Substances Act, 21 U.S.C. §801, et. seq. (“</w:t>
      </w:r>
      <w:r>
        <w:rPr>
          <w:rFonts w:ascii="Arial" w:cs="Arial" w:eastAsia="Arial" w:hAnsi="Arial"/>
          <w:sz w:val="16"/>
          <w:szCs w:val="16"/>
          <w:b w:val="1"/>
          <w:bCs w:val="1"/>
          <w:color w:val="auto"/>
        </w:rPr>
        <w:t>CSA</w:t>
      </w:r>
      <w:r>
        <w:rPr>
          <w:rFonts w:ascii="Arial" w:cs="Arial" w:eastAsia="Arial" w:hAnsi="Arial"/>
          <w:sz w:val="16"/>
          <w:szCs w:val="16"/>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Europe (Netherlands)</w:t>
      </w:r>
    </w:p>
    <w:p>
      <w:pPr>
        <w:spacing w:after="0" w:line="217" w:lineRule="exact"/>
        <w:rPr>
          <w:sz w:val="20"/>
          <w:szCs w:val="20"/>
          <w:color w:val="auto"/>
        </w:rPr>
      </w:pPr>
    </w:p>
    <w:p>
      <w:pPr>
        <w:jc w:val="both"/>
        <w:ind w:left="2"/>
        <w:spacing w:after="0" w:line="303" w:lineRule="auto"/>
        <w:rPr>
          <w:sz w:val="20"/>
          <w:szCs w:val="20"/>
          <w:color w:val="auto"/>
        </w:rPr>
      </w:pPr>
      <w:r>
        <w:rPr>
          <w:rFonts w:ascii="Arial" w:cs="Arial" w:eastAsia="Arial" w:hAnsi="Arial"/>
          <w:sz w:val="16"/>
          <w:szCs w:val="16"/>
          <w:color w:val="auto"/>
        </w:rPr>
        <w:t>The International Narcotics Control Board (“</w:t>
      </w:r>
      <w:r>
        <w:rPr>
          <w:rFonts w:ascii="Arial" w:cs="Arial" w:eastAsia="Arial" w:hAnsi="Arial"/>
          <w:sz w:val="16"/>
          <w:szCs w:val="16"/>
          <w:b w:val="1"/>
          <w:bCs w:val="1"/>
          <w:color w:val="auto"/>
        </w:rPr>
        <w:t>INCB</w:t>
      </w:r>
      <w:r>
        <w:rPr>
          <w:rFonts w:ascii="Arial" w:cs="Arial" w:eastAsia="Arial" w:hAnsi="Arial"/>
          <w:sz w:val="16"/>
          <w:szCs w:val="16"/>
          <w:color w:val="auto"/>
        </w:rPr>
        <w:t>”), a United Nations (“</w:t>
      </w:r>
      <w:r>
        <w:rPr>
          <w:rFonts w:ascii="Arial" w:cs="Arial" w:eastAsia="Arial" w:hAnsi="Arial"/>
          <w:sz w:val="16"/>
          <w:szCs w:val="16"/>
          <w:b w:val="1"/>
          <w:bCs w:val="1"/>
          <w:color w:val="auto"/>
        </w:rPr>
        <w:t>UN</w:t>
      </w:r>
      <w:r>
        <w:rPr>
          <w:rFonts w:ascii="Arial" w:cs="Arial" w:eastAsia="Arial" w:hAnsi="Arial"/>
          <w:sz w:val="16"/>
          <w:szCs w:val="16"/>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5532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76" w:lineRule="exact"/>
        <w:rPr>
          <w:sz w:val="20"/>
          <w:szCs w:val="20"/>
          <w:color w:val="auto"/>
        </w:rPr>
      </w:pPr>
    </w:p>
    <w:p>
      <w:pPr>
        <w:jc w:val="both"/>
        <w:ind w:left="2" w:hanging="2"/>
        <w:spacing w:after="0" w:line="247" w:lineRule="auto"/>
        <w:tabs>
          <w:tab w:leader="none" w:pos="154"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2"/>
          </w:cols>
          <w:pgMar w:left="318" w:top="710" w:right="339" w:bottom="1440" w:gutter="0" w:footer="0" w:header="0"/>
        </w:sectPr>
      </w:pPr>
    </w:p>
    <w:bookmarkStart w:id="51" w:name="page52"/>
    <w:bookmarkEnd w:id="51"/>
    <w:p>
      <w:pPr>
        <w:jc w:val="both"/>
        <w:spacing w:after="0" w:line="248" w:lineRule="auto"/>
        <w:rPr>
          <w:sz w:val="20"/>
          <w:szCs w:val="20"/>
          <w:color w:val="auto"/>
        </w:rPr>
      </w:pPr>
      <w:r>
        <w:rPr>
          <w:rFonts w:ascii="Arial" w:cs="Arial" w:eastAsia="Arial" w:hAnsi="Arial"/>
          <w:sz w:val="18"/>
          <w:szCs w:val="18"/>
          <w:color w:val="auto"/>
        </w:rPr>
        <w:t>contains provisions related to the control of controlled substance precursors. European Union (the "</w:t>
      </w:r>
      <w:r>
        <w:rPr>
          <w:rFonts w:ascii="Arial" w:cs="Arial" w:eastAsia="Arial" w:hAnsi="Arial"/>
          <w:sz w:val="18"/>
          <w:szCs w:val="18"/>
          <w:b w:val="1"/>
          <w:bCs w:val="1"/>
          <w:color w:val="auto"/>
        </w:rPr>
        <w:t>EU"</w:t>
      </w:r>
      <w:r>
        <w:rPr>
          <w:rFonts w:ascii="Arial" w:cs="Arial" w:eastAsia="Arial" w:hAnsi="Arial"/>
          <w:sz w:val="18"/>
          <w:szCs w:val="18"/>
          <w:color w:val="auto"/>
        </w:rPr>
        <w:t>) Member States, including the Netherlands, that have agreed to abide by the provisions of these treaties, each create responsible agencies and enact laws or regulations to implement the requirements of these conventions.</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73" w:lineRule="exact"/>
        <w:rPr>
          <w:sz w:val="20"/>
          <w:szCs w:val="20"/>
          <w:color w:val="auto"/>
        </w:rPr>
      </w:pPr>
    </w:p>
    <w:p>
      <w:pPr>
        <w:ind w:left="580" w:hanging="289"/>
        <w:spacing w:after="0" w:line="250"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manufacture, trade, distribution and possession be under a special licence or prior authorization;</w:t>
      </w:r>
    </w:p>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close supervision of the activities and acts mentioned in paragraphs (a) and (b);</w:t>
      </w:r>
    </w:p>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 the amount supplied to a duly authorized person to the quantity required for his authorized purpose;</w:t>
      </w:r>
    </w:p>
    <w:p>
      <w:pPr>
        <w:ind w:left="580" w:hanging="289"/>
        <w:spacing w:after="0" w:line="241"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jc w:val="both"/>
        <w:ind w:left="580" w:hanging="289"/>
        <w:spacing w:after="0" w:line="245"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7"/>
          <w:szCs w:val="17"/>
          <w:b w:val="1"/>
          <w:bCs w:val="1"/>
          <w:color w:val="auto"/>
        </w:rPr>
        <w:t>Dutch Opium Act</w:t>
      </w:r>
      <w:r>
        <w:rPr>
          <w:rFonts w:ascii="Arial" w:cs="Arial" w:eastAsia="Arial" w:hAnsi="Arial"/>
          <w:sz w:val="17"/>
          <w:szCs w:val="17"/>
          <w:color w:val="auto"/>
        </w:rPr>
        <w:t>”) and as such, subject to express authorization being obtained, the production, trade and possession of DMT are prohibited.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Dutch Opium Act, two other Dutch Acts may be relevant when it comes to drugs: the Medicines Act and the Commodities Act.</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17"/>
          <w:szCs w:val="17"/>
          <w:b w:val="1"/>
          <w:bCs w:val="1"/>
          <w:color w:val="auto"/>
        </w:rPr>
        <w:t>CCMO</w:t>
      </w:r>
      <w:r>
        <w:rPr>
          <w:rFonts w:ascii="Arial" w:cs="Arial" w:eastAsia="Arial" w:hAnsi="Arial"/>
          <w:sz w:val="17"/>
          <w:szCs w:val="17"/>
          <w:color w:val="auto"/>
        </w:rPr>
        <w:t>"), which is also known as the Competent Authority in The Netherlands. In Dutch, the CCMO is called the ‘</w:t>
      </w:r>
      <w:r>
        <w:rPr>
          <w:rFonts w:ascii="Arial" w:cs="Arial" w:eastAsia="Arial" w:hAnsi="Arial"/>
          <w:sz w:val="17"/>
          <w:szCs w:val="17"/>
          <w:i w:val="1"/>
          <w:iCs w:val="1"/>
          <w:color w:val="auto"/>
        </w:rPr>
        <w:t>Centrale Commissie Mensgebonden Onderzoek</w:t>
      </w:r>
      <w:r>
        <w:rPr>
          <w:rFonts w:ascii="Arial" w:cs="Arial" w:eastAsia="Arial" w:hAnsi="Arial"/>
          <w:sz w:val="17"/>
          <w:szCs w:val="17"/>
          <w:color w:val="auto"/>
        </w:rPr>
        <w:t>’. In cases where the study involves a substance subject to the Dutch Opium Act (such as DMT), an official exemption by Farmatec is needed, which needs to be included in the CTA.</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06" w:right="339" w:bottom="1440" w:gutter="0" w:footer="0" w:header="0"/>
        </w:sectPr>
      </w:pPr>
    </w:p>
    <w:bookmarkStart w:id="52" w:name="page53"/>
    <w:bookmarkEnd w:id="52"/>
    <w:p>
      <w:pPr>
        <w:jc w:val="both"/>
        <w:ind w:left="2" w:right="100"/>
        <w:spacing w:after="0" w:line="256"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1"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2"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62" w:lineRule="exact"/>
        <w:rPr>
          <w:sz w:val="20"/>
          <w:szCs w:val="20"/>
          <w:color w:val="auto"/>
        </w:rPr>
      </w:pPr>
    </w:p>
    <w:p>
      <w:pPr>
        <w:jc w:val="both"/>
        <w:ind w:left="2" w:right="100"/>
        <w:spacing w:after="0" w:line="269" w:lineRule="auto"/>
        <w:rPr>
          <w:sz w:val="20"/>
          <w:szCs w:val="20"/>
          <w:color w:val="auto"/>
        </w:rPr>
      </w:pPr>
      <w:r>
        <w:rPr>
          <w:rFonts w:ascii="Arial" w:cs="Arial" w:eastAsia="Arial" w:hAnsi="Arial"/>
          <w:sz w:val="17"/>
          <w:szCs w:val="17"/>
          <w:color w:val="auto"/>
        </w:rPr>
        <w:t>The Company previously mentioned that it intended to file a clinical trial application with the U.K. Medicines and Healthcare products Regulatory Agency (the “</w:t>
      </w:r>
      <w:r>
        <w:rPr>
          <w:rFonts w:ascii="Arial" w:cs="Arial" w:eastAsia="Arial" w:hAnsi="Arial"/>
          <w:sz w:val="17"/>
          <w:szCs w:val="17"/>
          <w:b w:val="1"/>
          <w:bCs w:val="1"/>
          <w:color w:val="auto"/>
        </w:rPr>
        <w:t>MHRA</w:t>
      </w:r>
      <w:r>
        <w:rPr>
          <w:rFonts w:ascii="Arial" w:cs="Arial" w:eastAsia="Arial" w:hAnsi="Arial"/>
          <w:sz w:val="17"/>
          <w:szCs w:val="17"/>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Licensing Requirements</w:t>
      </w:r>
    </w:p>
    <w:p>
      <w:pPr>
        <w:spacing w:after="0" w:line="197" w:lineRule="exact"/>
        <w:rPr>
          <w:sz w:val="20"/>
          <w:szCs w:val="20"/>
          <w:color w:val="auto"/>
        </w:rPr>
      </w:pPr>
    </w:p>
    <w:p>
      <w:pPr>
        <w:jc w:val="both"/>
        <w:ind w:left="2" w:right="100"/>
        <w:spacing w:after="0" w:line="245" w:lineRule="auto"/>
        <w:rPr>
          <w:sz w:val="20"/>
          <w:szCs w:val="20"/>
          <w:color w:val="auto"/>
        </w:rPr>
      </w:pPr>
      <w:r>
        <w:rPr>
          <w:rFonts w:ascii="Arial" w:cs="Arial" w:eastAsia="Arial" w:hAnsi="Arial"/>
          <w:sz w:val="18"/>
          <w:szCs w:val="18"/>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Arial" w:cs="Arial" w:eastAsia="Arial" w:hAnsi="Arial"/>
          <w:sz w:val="23"/>
          <w:szCs w:val="23"/>
          <w:color w:val="auto"/>
          <w:vertAlign w:val="superscript"/>
        </w:rPr>
        <w:t>23</w:t>
      </w:r>
      <w:r>
        <w:rPr>
          <w:rFonts w:ascii="Arial" w:cs="Arial" w:eastAsia="Arial" w:hAnsi="Arial"/>
          <w:sz w:val="18"/>
          <w:szCs w:val="18"/>
          <w:color w:val="auto"/>
        </w:rPr>
        <w:t>.</w:t>
      </w:r>
    </w:p>
    <w:p>
      <w:pPr>
        <w:spacing w:after="0" w:line="108" w:lineRule="exact"/>
        <w:rPr>
          <w:sz w:val="20"/>
          <w:szCs w:val="20"/>
          <w:color w:val="auto"/>
        </w:rPr>
      </w:pPr>
    </w:p>
    <w:p>
      <w:pPr>
        <w:jc w:val="both"/>
        <w:ind w:left="2" w:right="80"/>
        <w:spacing w:after="0" w:line="283"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42" w:lineRule="exact"/>
        <w:rPr>
          <w:sz w:val="20"/>
          <w:szCs w:val="20"/>
          <w:color w:val="auto"/>
        </w:rPr>
      </w:pPr>
    </w:p>
    <w:p>
      <w:pPr>
        <w:jc w:val="both"/>
        <w:ind w:left="2" w:right="10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23"/>
          <w:szCs w:val="23"/>
          <w:color w:val="auto"/>
          <w:vertAlign w:val="superscript"/>
        </w:rPr>
        <w:t>24</w:t>
      </w:r>
    </w:p>
    <w:p>
      <w:pPr>
        <w:spacing w:after="0" w:line="67" w:lineRule="exact"/>
        <w:rPr>
          <w:sz w:val="20"/>
          <w:szCs w:val="20"/>
          <w:color w:val="auto"/>
        </w:rPr>
      </w:pPr>
    </w:p>
    <w:p>
      <w:pPr>
        <w:jc w:val="both"/>
        <w:ind w:left="2" w:right="100"/>
        <w:spacing w:after="0" w:line="268"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15532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15" w:lineRule="exact"/>
        <w:rPr>
          <w:sz w:val="20"/>
          <w:szCs w:val="20"/>
          <w:color w:val="auto"/>
        </w:rPr>
      </w:pPr>
    </w:p>
    <w:p>
      <w:pPr>
        <w:jc w:val="both"/>
        <w:ind w:left="2" w:right="100" w:hanging="2"/>
        <w:spacing w:after="0" w:line="229" w:lineRule="auto"/>
        <w:tabs>
          <w:tab w:leader="none" w:pos="147"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2" w:hanging="2"/>
        <w:spacing w:after="0" w:line="274" w:lineRule="auto"/>
        <w:tabs>
          <w:tab w:leader="none" w:pos="124" w:val="left"/>
        </w:tabs>
        <w:numPr>
          <w:ilvl w:val="0"/>
          <w:numId w:val="45"/>
        </w:numPr>
        <w:rPr>
          <w:rFonts w:ascii="Arial" w:cs="Arial" w:eastAsia="Arial" w:hAnsi="Arial"/>
          <w:sz w:val="7"/>
          <w:szCs w:val="7"/>
          <w:color w:val="auto"/>
        </w:rPr>
      </w:pPr>
      <w:r>
        <w:rPr>
          <w:rFonts w:ascii="Arial" w:cs="Arial" w:eastAsia="Arial" w:hAnsi="Arial"/>
          <w:sz w:val="13"/>
          <w:szCs w:val="13"/>
          <w:color w:val="auto"/>
        </w:rPr>
        <w:t>Home Office guidance; Security guidance for all existing or prospective Home Office Controlled Drug Licensees and/or Precursor Chemical Licensees or Registrants; 2020</w:t>
      </w:r>
      <w:r>
        <w:rPr>
          <w:rFonts w:ascii="Arial" w:cs="Arial" w:eastAsia="Arial" w:hAnsi="Arial"/>
          <w:sz w:val="13"/>
          <w:szCs w:val="13"/>
          <w:u w:val="single" w:color="auto"/>
          <w:color w:val="3051F2"/>
        </w:rPr>
        <w:t>;</w:t>
      </w:r>
      <w:r>
        <w:rPr>
          <w:rFonts w:ascii="Arial" w:cs="Arial" w:eastAsia="Arial" w:hAnsi="Arial"/>
          <w:sz w:val="13"/>
          <w:szCs w:val="13"/>
          <w:color w:val="auto"/>
        </w:rPr>
        <w:t xml:space="preserve"> </w:t>
      </w:r>
      <w:r>
        <w:rPr>
          <w:rFonts w:ascii="Arial" w:cs="Arial" w:eastAsia="Arial" w:hAnsi="Arial"/>
          <w:sz w:val="13"/>
          <w:szCs w:val="13"/>
          <w:u w:val="single" w:color="auto"/>
          <w:color w:val="3051F2"/>
        </w:rPr>
        <w:t>https://assets.publishing.service.gov.uk/government/uploads/system/uploads/attachment_data/file/857591/Security_Guidance_for_all_Businesses_and_Other_Organisations_v1.4_Jan_2020.pdf.</w:t>
      </w:r>
    </w:p>
    <w:p>
      <w:pPr>
        <w:spacing w:after="0" w:line="1" w:lineRule="exact"/>
        <w:rPr>
          <w:rFonts w:ascii="Arial" w:cs="Arial" w:eastAsia="Arial" w:hAnsi="Arial"/>
          <w:sz w:val="7"/>
          <w:szCs w:val="7"/>
          <w:color w:val="auto"/>
        </w:rPr>
      </w:pPr>
    </w:p>
    <w:p>
      <w:pPr>
        <w:ind w:left="122" w:hanging="122"/>
        <w:spacing w:after="0" w:line="238" w:lineRule="auto"/>
        <w:tabs>
          <w:tab w:leader="none" w:pos="122" w:val="left"/>
        </w:tabs>
        <w:numPr>
          <w:ilvl w:val="0"/>
          <w:numId w:val="45"/>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ind w:left="2"/>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65"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2"/>
          </w:cols>
          <w:pgMar w:left="318" w:top="70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Pharmaceutical Products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 the API is subsequently processed will determine the licences that the UK-based facility must hold. In particular:</w:t>
      </w:r>
    </w:p>
    <w:p>
      <w:pPr>
        <w:spacing w:after="0" w:line="193" w:lineRule="exact"/>
        <w:rPr>
          <w:sz w:val="20"/>
          <w:szCs w:val="20"/>
          <w:color w:val="auto"/>
        </w:rPr>
      </w:pPr>
    </w:p>
    <w:p>
      <w:pPr>
        <w:jc w:val="both"/>
        <w:ind w:left="580" w:right="20" w:hanging="289"/>
        <w:spacing w:after="0" w:line="248" w:lineRule="auto"/>
        <w:tabs>
          <w:tab w:leader="none" w:pos="5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spacing w:after="0" w:line="2" w:lineRule="exact"/>
        <w:rPr>
          <w:rFonts w:ascii="Arial" w:cs="Arial" w:eastAsia="Arial" w:hAnsi="Arial"/>
          <w:sz w:val="18"/>
          <w:szCs w:val="18"/>
          <w:color w:val="auto"/>
        </w:rPr>
      </w:pPr>
    </w:p>
    <w:p>
      <w:pPr>
        <w:jc w:val="both"/>
        <w:ind w:left="580" w:right="20" w:hanging="289"/>
        <w:spacing w:after="0" w:line="245" w:lineRule="auto"/>
        <w:tabs>
          <w:tab w:leader="none" w:pos="5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 EEA Member State or a third country (such as the United States or Canada).</w:t>
      </w:r>
    </w:p>
    <w:p>
      <w:pPr>
        <w:spacing w:after="0" w:line="194"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5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7"/>
          <w:szCs w:val="17"/>
          <w:i w:val="1"/>
          <w:iCs w:val="1"/>
          <w:color w:val="auto"/>
        </w:rPr>
        <w:t>Psilocybe</w:t>
      </w:r>
      <w:r>
        <w:rPr>
          <w:rFonts w:ascii="Arial" w:cs="Arial" w:eastAsia="Arial" w:hAnsi="Arial"/>
          <w:sz w:val="17"/>
          <w:szCs w:val="17"/>
          <w:color w:val="auto"/>
        </w:rPr>
        <w:t xml:space="preserve">, such as </w:t>
      </w:r>
      <w:r>
        <w:rPr>
          <w:rFonts w:ascii="Arial" w:cs="Arial" w:eastAsia="Arial" w:hAnsi="Arial"/>
          <w:sz w:val="17"/>
          <w:szCs w:val="17"/>
          <w:i w:val="1"/>
          <w:iCs w:val="1"/>
          <w:color w:val="auto"/>
        </w:rPr>
        <w:t>P. azurescens</w:t>
      </w:r>
      <w:r>
        <w:rPr>
          <w:rFonts w:ascii="Arial" w:cs="Arial" w:eastAsia="Arial" w:hAnsi="Arial"/>
          <w:sz w:val="17"/>
          <w:szCs w:val="17"/>
          <w:color w:val="auto"/>
        </w:rPr>
        <w:t xml:space="preserve">, </w:t>
      </w:r>
      <w:r>
        <w:rPr>
          <w:rFonts w:ascii="Arial" w:cs="Arial" w:eastAsia="Arial" w:hAnsi="Arial"/>
          <w:sz w:val="17"/>
          <w:szCs w:val="17"/>
          <w:i w:val="1"/>
          <w:iCs w:val="1"/>
          <w:color w:val="auto"/>
        </w:rPr>
        <w:t>P. semilanceata</w:t>
      </w:r>
      <w:r>
        <w:rPr>
          <w:rFonts w:ascii="Arial" w:cs="Arial" w:eastAsia="Arial" w:hAnsi="Arial"/>
          <w:sz w:val="17"/>
          <w:szCs w:val="17"/>
          <w:color w:val="auto"/>
        </w:rPr>
        <w:t xml:space="preserve">, and </w:t>
      </w:r>
      <w:r>
        <w:rPr>
          <w:rFonts w:ascii="Arial" w:cs="Arial" w:eastAsia="Arial" w:hAnsi="Arial"/>
          <w:sz w:val="17"/>
          <w:szCs w:val="17"/>
          <w:i w:val="1"/>
          <w:iCs w:val="1"/>
          <w:color w:val="auto"/>
        </w:rPr>
        <w:t>P. cyanescens</w:t>
      </w:r>
      <w:r>
        <w:rPr>
          <w:rFonts w:ascii="Arial" w:cs="Arial" w:eastAsia="Arial" w:hAnsi="Arial"/>
          <w:sz w:val="17"/>
          <w:szCs w:val="17"/>
          <w:color w:val="auto"/>
        </w:rPr>
        <w:t>, but psilocybin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710" w:right="319" w:bottom="1440" w:gutter="0" w:footer="0" w:header="0"/>
        </w:sectPr>
      </w:pPr>
    </w:p>
    <w:bookmarkStart w:id="54" w:name="page55"/>
    <w:bookmarkEnd w:id="54"/>
    <w:p>
      <w:pPr>
        <w:jc w:val="both"/>
        <w:spacing w:after="0" w:line="267" w:lineRule="auto"/>
        <w:rPr>
          <w:sz w:val="20"/>
          <w:szCs w:val="20"/>
          <w:color w:val="auto"/>
        </w:rPr>
      </w:pPr>
      <w:r>
        <w:rPr>
          <w:rFonts w:ascii="Arial" w:cs="Arial" w:eastAsia="Arial" w:hAnsi="Arial"/>
          <w:sz w:val="18"/>
          <w:szCs w:val="18"/>
          <w:color w:val="auto"/>
        </w:rPr>
        <w:t>has also been isolated from about a dozen other genera. As a prodrug, psilocybin is quickly converted by the body to psilocin, which has mind-altering effects.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ODT, IV, and by way of inhalation.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97" w:lineRule="exact"/>
        <w:rPr>
          <w:sz w:val="20"/>
          <w:szCs w:val="20"/>
          <w:color w:val="auto"/>
        </w:rPr>
      </w:pPr>
    </w:p>
    <w:p>
      <w:pPr>
        <w:ind w:left="580" w:hanging="289"/>
        <w:spacing w:after="0" w:line="267"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drug. If the results are promising, the manufacturer will proceed to the next step of development.</w:t>
      </w:r>
    </w:p>
    <w:p>
      <w:pPr>
        <w:spacing w:after="0" w:line="175" w:lineRule="exact"/>
        <w:rPr>
          <w:rFonts w:ascii="Arial" w:cs="Arial" w:eastAsia="Arial" w:hAnsi="Arial"/>
          <w:sz w:val="18"/>
          <w:szCs w:val="18"/>
          <w:color w:val="auto"/>
        </w:rPr>
      </w:pPr>
    </w:p>
    <w:p>
      <w:pPr>
        <w:ind w:left="580" w:hanging="289"/>
        <w:spacing w:after="0" w:line="267"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75" w:lineRule="exact"/>
        <w:rPr>
          <w:rFonts w:ascii="Arial" w:cs="Arial" w:eastAsia="Arial" w:hAnsi="Arial"/>
          <w:sz w:val="18"/>
          <w:szCs w:val="18"/>
          <w:color w:val="auto"/>
        </w:rPr>
      </w:pPr>
    </w:p>
    <w:p>
      <w:pPr>
        <w:jc w:val="both"/>
        <w:ind w:left="580" w:hanging="289"/>
        <w:spacing w:after="0" w:line="269" w:lineRule="auto"/>
        <w:tabs>
          <w:tab w:leader="none" w:pos="569"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Clinical Trials – Phase I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175" w:lineRule="exact"/>
        <w:rPr>
          <w:rFonts w:ascii="Arial" w:cs="Arial" w:eastAsia="Arial" w:hAnsi="Arial"/>
          <w:sz w:val="17"/>
          <w:szCs w:val="17"/>
          <w:color w:val="auto"/>
        </w:rPr>
      </w:pPr>
    </w:p>
    <w:p>
      <w:pPr>
        <w:jc w:val="both"/>
        <w:ind w:left="580" w:hanging="289"/>
        <w:spacing w:after="0" w:line="254"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186" w:lineRule="exact"/>
        <w:rPr>
          <w:rFonts w:ascii="Arial" w:cs="Arial" w:eastAsia="Arial" w:hAnsi="Arial"/>
          <w:sz w:val="18"/>
          <w:szCs w:val="18"/>
          <w:color w:val="auto"/>
        </w:rPr>
      </w:pPr>
    </w:p>
    <w:p>
      <w:pPr>
        <w:jc w:val="both"/>
        <w:ind w:left="580" w:hanging="289"/>
        <w:spacing w:after="0" w:line="249"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88" w:lineRule="exact"/>
        <w:rPr>
          <w:rFonts w:ascii="Arial" w:cs="Arial" w:eastAsia="Arial" w:hAnsi="Arial"/>
          <w:sz w:val="18"/>
          <w:szCs w:val="18"/>
          <w:color w:val="auto"/>
        </w:rPr>
      </w:pPr>
    </w:p>
    <w:p>
      <w:pPr>
        <w:jc w:val="both"/>
        <w:ind w:left="580" w:hanging="289"/>
        <w:spacing w:after="0" w:line="248"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1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United States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7" w:lineRule="exact"/>
        <w:rPr>
          <w:sz w:val="20"/>
          <w:szCs w:val="20"/>
          <w:color w:val="auto"/>
        </w:rPr>
      </w:pPr>
    </w:p>
    <w:p>
      <w:pPr>
        <w:ind w:left="580" w:right="20" w:hanging="289"/>
        <w:spacing w:after="0" w:line="241" w:lineRule="auto"/>
        <w:tabs>
          <w:tab w:leader="none" w:pos="5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IND, which the FDA must approve before human clinical trials may begin;</w:t>
      </w: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by an IRB or independent ethics committee at each clinical trial site before each trial may be initiated;</w:t>
      </w:r>
    </w:p>
    <w:p>
      <w:pPr>
        <w:ind w:left="580" w:right="20" w:hanging="289"/>
        <w:spacing w:after="0" w:line="255" w:lineRule="auto"/>
        <w:tabs>
          <w:tab w:leader="none" w:pos="5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jc w:val="both"/>
        <w:ind w:left="580" w:right="20" w:hanging="289"/>
        <w:spacing w:after="0" w:line="241" w:lineRule="auto"/>
        <w:tabs>
          <w:tab w:leader="none" w:pos="5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68"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942" w:right="319" w:bottom="1440" w:gutter="0" w:footer="0" w:header="0"/>
        </w:sectPr>
      </w:pPr>
    </w:p>
    <w:bookmarkStart w:id="56" w:name="page57"/>
    <w:bookmarkEnd w:id="56"/>
    <w:p>
      <w:pPr>
        <w:jc w:val="both"/>
        <w:ind w:right="20"/>
        <w:spacing w:after="0" w:line="261" w:lineRule="auto"/>
        <w:rPr>
          <w:sz w:val="20"/>
          <w:szCs w:val="20"/>
          <w:color w:val="auto"/>
        </w:rPr>
      </w:pPr>
      <w:r>
        <w:rPr>
          <w:rFonts w:ascii="Arial" w:cs="Arial" w:eastAsia="Arial" w:hAnsi="Arial"/>
          <w:sz w:val="17"/>
          <w:szCs w:val="17"/>
          <w:color w:val="auto"/>
        </w:rPr>
        <w:t>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0"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 xml:space="preserve">In the United States, pharmaceutical manufacturers are subject to complex laws and regulations pertaining to healthcare “fraud and abuse,” including, but not limited to, the Anti-Kickback Statute, the federal </w:t>
      </w:r>
      <w:r>
        <w:rPr>
          <w:rFonts w:ascii="Arial" w:cs="Arial" w:eastAsia="Arial" w:hAnsi="Arial"/>
          <w:sz w:val="18"/>
          <w:szCs w:val="18"/>
          <w:i w:val="1"/>
          <w:iCs w:val="1"/>
          <w:color w:val="auto"/>
        </w:rPr>
        <w:t>False Claims Act</w:t>
      </w:r>
      <w:r>
        <w:rPr>
          <w:rFonts w:ascii="Arial" w:cs="Arial" w:eastAsia="Arial" w:hAnsi="Arial"/>
          <w:sz w:val="17"/>
          <w:szCs w:val="17"/>
          <w:color w:val="auto"/>
        </w:rPr>
        <w:t xml:space="preserve"> (the “</w:t>
      </w:r>
      <w:r>
        <w:rPr>
          <w:rFonts w:ascii="Arial" w:cs="Arial" w:eastAsia="Arial" w:hAnsi="Arial"/>
          <w:sz w:val="18"/>
          <w:szCs w:val="18"/>
          <w:b w:val="1"/>
          <w:bCs w:val="1"/>
          <w:color w:val="auto"/>
        </w:rPr>
        <w:t>FCA</w:t>
      </w:r>
      <w:r>
        <w:rPr>
          <w:rFonts w:ascii="Arial" w:cs="Arial" w:eastAsia="Arial" w:hAnsi="Arial"/>
          <w:sz w:val="17"/>
          <w:szCs w:val="17"/>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w:t>
      </w:r>
    </w:p>
    <w:p>
      <w:pPr>
        <w:spacing w:after="0" w:line="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710" w:right="31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A majority of state laws in the United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34" w:right="339" w:bottom="1440" w:gutter="0" w:footer="0" w:header="0"/>
        </w:sectPr>
      </w:pPr>
    </w:p>
    <w:bookmarkStart w:id="58" w:name="page59"/>
    <w:bookmarkEnd w:id="58"/>
    <w:p>
      <w:pPr>
        <w:jc w:val="both"/>
        <w:ind w:right="20"/>
        <w:spacing w:after="0" w:line="247" w:lineRule="auto"/>
        <w:rPr>
          <w:sz w:val="20"/>
          <w:szCs w:val="20"/>
          <w:color w:val="auto"/>
        </w:rPr>
      </w:pPr>
      <w:r>
        <w:rPr>
          <w:rFonts w:ascii="Arial" w:cs="Arial" w:eastAsia="Arial" w:hAnsi="Arial"/>
          <w:sz w:val="18"/>
          <w:szCs w:val="18"/>
          <w:color w:val="auto"/>
        </w:rPr>
        <w:t>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Netherlands</w:t>
      </w:r>
    </w:p>
    <w:p>
      <w:pPr>
        <w:spacing w:after="0" w:line="22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8"/>
          <w:szCs w:val="18"/>
          <w:b w:val="1"/>
          <w:bCs w:val="1"/>
          <w:color w:val="auto"/>
        </w:rPr>
        <w:t>IMP</w:t>
      </w:r>
      <w:r>
        <w:rPr>
          <w:rFonts w:ascii="Arial" w:cs="Arial" w:eastAsia="Arial" w:hAnsi="Arial"/>
          <w:sz w:val="18"/>
          <w:szCs w:val="18"/>
          <w:color w:val="auto"/>
        </w:rPr>
        <w:t>”), and data from non-clinical and clinical studies. Guidance concerning IMPDs is based on Regulation (EU) No 536/2014 on Clinical Trials on Medicinal Products for Human Use (the “</w:t>
      </w:r>
      <w:r>
        <w:rPr>
          <w:rFonts w:ascii="Arial" w:cs="Arial" w:eastAsia="Arial" w:hAnsi="Arial"/>
          <w:sz w:val="18"/>
          <w:szCs w:val="18"/>
          <w:b w:val="1"/>
          <w:bCs w:val="1"/>
          <w:color w:val="auto"/>
        </w:rPr>
        <w:t>CTR</w:t>
      </w:r>
      <w:r>
        <w:rPr>
          <w:rFonts w:ascii="Arial" w:cs="Arial" w:eastAsia="Arial" w:hAnsi="Arial"/>
          <w:sz w:val="18"/>
          <w:szCs w:val="18"/>
          <w:color w:val="auto"/>
        </w:rPr>
        <w:t>”)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 The CTR is applicable as of January 31, 2022, harmonizing the laws, regulations and administrative provisions of the Member States relating to the implementation of Good Clinical Practice in the conduct of clinical trials on medicinal products for human use. European Member States have transformed the requirements outlined in the Clinical Trials Directive into the respective national laws.</w:t>
      </w:r>
    </w:p>
    <w:p>
      <w:pPr>
        <w:spacing w:after="0" w:line="198"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I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I Study, the Leiden University Medical Center, have all the required approvals to possess and handle DMT for the Phase I Study.</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Failure of the Company to receive the necessary regulatory approvals required to conduct the Phase I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710"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Pharmaceutical products</w:t>
      </w:r>
    </w:p>
    <w:p>
      <w:pPr>
        <w:spacing w:after="0" w:line="23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 accordance with the Dutch Medicines Act (</w:t>
      </w:r>
      <w:r>
        <w:rPr>
          <w:rFonts w:ascii="Arial" w:cs="Arial" w:eastAsia="Arial" w:hAnsi="Arial"/>
          <w:sz w:val="19"/>
          <w:szCs w:val="19"/>
          <w:i w:val="1"/>
          <w:iCs w:val="1"/>
          <w:color w:val="auto"/>
        </w:rPr>
        <w:t>Geneesmiddelenwet</w:t>
      </w:r>
      <w:r>
        <w:rPr>
          <w:rFonts w:ascii="Arial" w:cs="Arial" w:eastAsia="Arial" w:hAnsi="Arial"/>
          <w:sz w:val="18"/>
          <w:szCs w:val="18"/>
          <w:color w:val="auto"/>
        </w:rPr>
        <w: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Arial" w:cs="Arial" w:eastAsia="Arial" w:hAnsi="Arial"/>
          <w:sz w:val="16"/>
          <w:szCs w:val="16"/>
          <w:b w:val="1"/>
          <w:bCs w:val="1"/>
          <w:color w:val="auto"/>
        </w:rPr>
        <w:t>EMA</w:t>
      </w:r>
      <w:r>
        <w:rPr>
          <w:rFonts w:ascii="Arial" w:cs="Arial" w:eastAsia="Arial" w:hAnsi="Arial"/>
          <w:sz w:val="16"/>
          <w:szCs w:val="16"/>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77"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7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Authorization Regulatory Process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930" w:right="31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6"/>
          <w:szCs w:val="16"/>
          <w:color w:val="auto"/>
        </w:rPr>
        <w:t>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Arial" w:cs="Arial" w:eastAsia="Arial" w:hAnsi="Arial"/>
          <w:sz w:val="16"/>
          <w:szCs w:val="16"/>
          <w:b w:val="1"/>
          <w:bCs w:val="1"/>
          <w:color w:val="auto"/>
        </w:rPr>
        <w:t>RMS</w:t>
      </w:r>
      <w:r>
        <w:rPr>
          <w:rFonts w:ascii="Arial" w:cs="Arial" w:eastAsia="Arial" w:hAnsi="Arial"/>
          <w:sz w:val="16"/>
          <w:szCs w:val="16"/>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6"/>
          <w:szCs w:val="16"/>
          <w:b w:val="1"/>
          <w:bCs w:val="1"/>
          <w:color w:val="auto"/>
        </w:rPr>
        <w:t>CMDh</w:t>
      </w:r>
      <w:r>
        <w:rPr>
          <w:rFonts w:ascii="Arial" w:cs="Arial" w:eastAsia="Arial" w:hAnsi="Arial"/>
          <w:sz w:val="16"/>
          <w:szCs w:val="16"/>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22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710" w:right="31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156 countries, including Canada and the United States have ratified the PCT.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930" w:right="339" w:bottom="1440" w:gutter="0" w:footer="0" w:header="0"/>
        </w:sectPr>
      </w:pPr>
    </w:p>
    <w:bookmarkStart w:id="62" w:name="page63"/>
    <w:bookmarkEnd w:id="62"/>
    <w:p>
      <w:pPr>
        <w:jc w:val="both"/>
        <w:spacing w:after="0" w:line="297" w:lineRule="auto"/>
        <w:rPr>
          <w:sz w:val="20"/>
          <w:szCs w:val="20"/>
          <w:color w:val="auto"/>
        </w:rPr>
      </w:pPr>
      <w:r>
        <w:rPr>
          <w:rFonts w:ascii="Arial" w:cs="Arial" w:eastAsia="Arial" w:hAnsi="Arial"/>
          <w:sz w:val="17"/>
          <w:szCs w:val="17"/>
          <w:color w:val="auto"/>
        </w:rPr>
        <w:t>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table sets forth selected consolidated financial information for the periods indicated that are derived from, and should be read in conjunction with, the Interim Financial Statements and related notes thereto.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w w:val="95"/>
              </w:rPr>
              <w:t>(Canadian dollars in thousands,</w:t>
            </w:r>
          </w:p>
        </w:tc>
        <w:tc>
          <w:tcPr>
            <w:tcW w:w="1140" w:type="dxa"/>
            <w:vAlign w:val="bottom"/>
            <w:shd w:val="clear" w:color="auto" w:fill="DBDBDB"/>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1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7"/>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except per share and share</w:t>
            </w:r>
          </w:p>
        </w:tc>
        <w:tc>
          <w:tcPr>
            <w:tcW w:w="1140" w:type="dxa"/>
            <w:vAlign w:val="bottom"/>
            <w:shd w:val="clear" w:color="auto" w:fill="DBDBDB"/>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figures)</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June 30, 2022</w:t>
            </w:r>
          </w:p>
        </w:tc>
        <w:tc>
          <w:tcPr>
            <w:tcW w:w="1280" w:type="dxa"/>
            <w:vAlign w:val="bottom"/>
          </w:tcPr>
          <w:p>
            <w:pPr>
              <w:jc w:val="right"/>
              <w:ind w:right="111"/>
              <w:spacing w:after="0"/>
              <w:rPr>
                <w:sz w:val="20"/>
                <w:szCs w:val="20"/>
                <w:color w:val="auto"/>
              </w:rPr>
            </w:pPr>
            <w:r>
              <w:rPr>
                <w:rFonts w:ascii="Arial" w:cs="Arial" w:eastAsia="Arial" w:hAnsi="Arial"/>
                <w:sz w:val="14"/>
                <w:szCs w:val="14"/>
                <w:b w:val="1"/>
                <w:bCs w:val="1"/>
                <w:color w:val="auto"/>
              </w:rPr>
              <w:t>March 31, 2022</w:t>
            </w:r>
          </w:p>
        </w:tc>
        <w:tc>
          <w:tcPr>
            <w:tcW w:w="11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March 31, 2021</w:t>
            </w:r>
          </w:p>
        </w:tc>
        <w:tc>
          <w:tcPr>
            <w:tcW w:w="11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Revenues ($)</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13,395</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16,338</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16,455</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17,106</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13,939</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12,363</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11,379</w:t>
            </w:r>
          </w:p>
        </w:tc>
        <w:tc>
          <w:tcPr>
            <w:tcW w:w="1040" w:type="dxa"/>
            <w:vAlign w:val="bottom"/>
          </w:tcPr>
          <w:p>
            <w:pPr>
              <w:jc w:val="right"/>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(13,055)</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(18,097)</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(17,210)</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(17,607)</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(14,717)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(13,777)</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(11,419)</w:t>
            </w:r>
          </w:p>
        </w:tc>
        <w:tc>
          <w:tcPr>
            <w:tcW w:w="1040" w:type="dxa"/>
            <w:vAlign w:val="bottom"/>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175,874,475</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173,873,017</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171,833,544</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165,783,294</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157,711,518</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150,494,164</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110,223,000</w:t>
            </w:r>
          </w:p>
        </w:tc>
        <w:tc>
          <w:tcPr>
            <w:tcW w:w="1040" w:type="dxa"/>
            <w:vAlign w:val="bottom"/>
          </w:tcPr>
          <w:p>
            <w:pPr>
              <w:jc w:val="right"/>
              <w:spacing w:after="0"/>
              <w:rPr>
                <w:sz w:val="20"/>
                <w:szCs w:val="20"/>
                <w:color w:val="auto"/>
              </w:rPr>
            </w:pPr>
            <w:r>
              <w:rPr>
                <w:rFonts w:ascii="Arial" w:cs="Arial" w:eastAsia="Arial" w:hAnsi="Arial"/>
                <w:sz w:val="14"/>
                <w:szCs w:val="14"/>
                <w:color w:val="auto"/>
              </w:rPr>
              <w:t>69,150,124</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(0.11)</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(0.09)</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175,874,475</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173,873,017</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171,833,544</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165,783,294</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157,711,518</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150,494,164</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110,223,000</w:t>
            </w:r>
          </w:p>
        </w:tc>
        <w:tc>
          <w:tcPr>
            <w:tcW w:w="1040" w:type="dxa"/>
            <w:vAlign w:val="bottom"/>
          </w:tcPr>
          <w:p>
            <w:pPr>
              <w:jc w:val="right"/>
              <w:spacing w:after="0"/>
              <w:rPr>
                <w:sz w:val="20"/>
                <w:szCs w:val="20"/>
                <w:color w:val="auto"/>
              </w:rPr>
            </w:pPr>
            <w:r>
              <w:rPr>
                <w:rFonts w:ascii="Arial" w:cs="Arial" w:eastAsia="Arial" w:hAnsi="Arial"/>
                <w:sz w:val="14"/>
                <w:szCs w:val="14"/>
                <w:color w:val="auto"/>
              </w:rPr>
              <w:t>69,150,124</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(0.11)</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(0.09)</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465"/>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42,460</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53,641</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63,580</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75,179</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55,075</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64,026</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40,028</w:t>
            </w:r>
          </w:p>
        </w:tc>
        <w:tc>
          <w:tcPr>
            <w:tcW w:w="1040" w:type="dxa"/>
            <w:vAlign w:val="bottom"/>
          </w:tcPr>
          <w:p>
            <w:pPr>
              <w:jc w:val="right"/>
              <w:spacing w:after="0"/>
              <w:rPr>
                <w:sz w:val="20"/>
                <w:szCs w:val="20"/>
                <w:color w:val="auto"/>
              </w:rPr>
            </w:pPr>
            <w:r>
              <w:rPr>
                <w:rFonts w:ascii="Arial" w:cs="Arial" w:eastAsia="Arial" w:hAnsi="Arial"/>
                <w:sz w:val="14"/>
                <w:szCs w:val="14"/>
                <w:color w:val="auto"/>
              </w:rPr>
              <w:t>3,868</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74,590</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84,063</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95,161</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105,465</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82,837</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92,112</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61,254</w:t>
            </w:r>
          </w:p>
        </w:tc>
        <w:tc>
          <w:tcPr>
            <w:tcW w:w="1040" w:type="dxa"/>
            <w:vAlign w:val="bottom"/>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212"/>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w w:val="99"/>
              </w:rPr>
              <w:t>Total Non-Current Liabilities</w:t>
            </w:r>
          </w:p>
        </w:tc>
        <w:tc>
          <w:tcPr>
            <w:tcW w:w="1140" w:type="dxa"/>
            <w:vAlign w:val="bottom"/>
            <w:shd w:val="clear" w:color="auto" w:fill="DBDBDB"/>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363</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770</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1,094</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3,442</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Total assets decreased by $9,473 from March 31, 2022 to June 30, 2022 mainly as a result in a decrease in cash as the Company continues to progress its operations. The decrease is partially offset by an increase in other current assets, accounts receivable and the impact of foreign exchange on translation.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have any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66"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1374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762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2022</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r>
      <w:tr>
        <w:trPr>
          <w:trHeight w:val="29"/>
        </w:trPr>
        <w:tc>
          <w:tcPr>
            <w:tcW w:w="6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9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29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Research</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6,048</w:t>
            </w:r>
          </w:p>
        </w:tc>
        <w:tc>
          <w:tcPr>
            <w:tcW w:w="1440" w:type="dxa"/>
            <w:vAlign w:val="bottom"/>
          </w:tcPr>
          <w:p>
            <w:pPr>
              <w:jc w:val="right"/>
              <w:spacing w:after="0"/>
              <w:rPr>
                <w:sz w:val="20"/>
                <w:szCs w:val="20"/>
                <w:color w:val="auto"/>
              </w:rPr>
            </w:pPr>
            <w:r>
              <w:rPr>
                <w:rFonts w:ascii="Arial" w:cs="Arial" w:eastAsia="Arial" w:hAnsi="Arial"/>
                <w:sz w:val="15"/>
                <w:szCs w:val="15"/>
                <w:color w:val="auto"/>
              </w:rPr>
              <w:t>2,976</w:t>
            </w: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5,192</w:t>
            </w:r>
          </w:p>
        </w:tc>
        <w:tc>
          <w:tcPr>
            <w:tcW w:w="1440" w:type="dxa"/>
            <w:vAlign w:val="bottom"/>
          </w:tcPr>
          <w:p>
            <w:pPr>
              <w:jc w:val="right"/>
              <w:spacing w:after="0"/>
              <w:rPr>
                <w:sz w:val="20"/>
                <w:szCs w:val="20"/>
                <w:color w:val="auto"/>
              </w:rPr>
            </w:pPr>
            <w:r>
              <w:rPr>
                <w:rFonts w:ascii="Arial" w:cs="Arial" w:eastAsia="Arial" w:hAnsi="Arial"/>
                <w:sz w:val="15"/>
                <w:szCs w:val="15"/>
                <w:color w:val="auto"/>
              </w:rPr>
              <w:t>6,190</w:t>
            </w: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2,155</w:t>
            </w:r>
          </w:p>
        </w:tc>
        <w:tc>
          <w:tcPr>
            <w:tcW w:w="1440" w:type="dxa"/>
            <w:vAlign w:val="bottom"/>
          </w:tcPr>
          <w:p>
            <w:pPr>
              <w:jc w:val="right"/>
              <w:spacing w:after="0"/>
              <w:rPr>
                <w:sz w:val="20"/>
                <w:szCs w:val="20"/>
                <w:color w:val="auto"/>
              </w:rPr>
            </w:pPr>
            <w:r>
              <w:rPr>
                <w:rFonts w:ascii="Arial" w:cs="Arial" w:eastAsia="Arial" w:hAnsi="Arial"/>
                <w:sz w:val="15"/>
                <w:szCs w:val="15"/>
                <w:color w:val="auto"/>
              </w:rPr>
              <w:t>4,773</w:t>
            </w:r>
          </w:p>
        </w:tc>
      </w:tr>
      <w:tr>
        <w:trPr>
          <w:trHeight w:val="115"/>
        </w:trPr>
        <w:tc>
          <w:tcPr>
            <w:tcW w:w="69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r>
        <w:trPr>
          <w:trHeight w:val="195"/>
        </w:trPr>
        <w:tc>
          <w:tcPr>
            <w:tcW w:w="690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13,395</w:t>
            </w:r>
          </w:p>
        </w:tc>
        <w:tc>
          <w:tcPr>
            <w:tcW w:w="1440" w:type="dxa"/>
            <w:vAlign w:val="bottom"/>
          </w:tcPr>
          <w:p>
            <w:pPr>
              <w:jc w:val="right"/>
              <w:spacing w:after="0"/>
              <w:rPr>
                <w:sz w:val="20"/>
                <w:szCs w:val="20"/>
                <w:color w:val="auto"/>
              </w:rPr>
            </w:pPr>
            <w:r>
              <w:rPr>
                <w:rFonts w:ascii="Arial" w:cs="Arial" w:eastAsia="Arial" w:hAnsi="Arial"/>
                <w:sz w:val="15"/>
                <w:szCs w:val="15"/>
                <w:color w:val="auto"/>
              </w:rPr>
              <w:t>13,939</w:t>
            </w:r>
          </w:p>
        </w:tc>
      </w:tr>
      <w:tr>
        <w:trPr>
          <w:trHeight w:val="29"/>
        </w:trPr>
        <w:tc>
          <w:tcPr>
            <w:tcW w:w="6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9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29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Foreign currency translation gain (loss)</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525</w:t>
            </w:r>
          </w:p>
        </w:tc>
        <w:tc>
          <w:tcPr>
            <w:tcW w:w="14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124</w:t>
            </w:r>
          </w:p>
        </w:tc>
        <w:tc>
          <w:tcPr>
            <w:tcW w:w="14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32"/>
        </w:trPr>
        <w:tc>
          <w:tcPr>
            <w:tcW w:w="6900" w:type="dxa"/>
            <w:vAlign w:val="bottom"/>
          </w:tcPr>
          <w:p>
            <w:pPr>
              <w:ind w:left="200"/>
              <w:spacing w:after="0"/>
              <w:rPr>
                <w:sz w:val="20"/>
                <w:szCs w:val="20"/>
                <w:color w:val="auto"/>
              </w:rPr>
            </w:pPr>
            <w:r>
              <w:rPr>
                <w:rFonts w:ascii="Arial" w:cs="Arial" w:eastAsia="Arial" w:hAnsi="Arial"/>
                <w:sz w:val="15"/>
                <w:szCs w:val="15"/>
                <w:color w:val="auto"/>
              </w:rPr>
              <w:t>Change in fair value of investments measured at fair value through profit or loss</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12</w:t>
            </w: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690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(13)</w:t>
            </w:r>
          </w:p>
        </w:tc>
        <w:tc>
          <w:tcPr>
            <w:tcW w:w="144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32"/>
        </w:trPr>
        <w:tc>
          <w:tcPr>
            <w:tcW w:w="6900" w:type="dxa"/>
            <w:vAlign w:val="bottom"/>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(308)</w:t>
            </w:r>
          </w:p>
        </w:tc>
        <w:tc>
          <w:tcPr>
            <w:tcW w:w="144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115"/>
        </w:trPr>
        <w:tc>
          <w:tcPr>
            <w:tcW w:w="69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r>
        <w:trPr>
          <w:trHeight w:val="195"/>
        </w:trPr>
        <w:tc>
          <w:tcPr>
            <w:tcW w:w="6900" w:type="dxa"/>
            <w:vAlign w:val="bottom"/>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340</w:t>
            </w:r>
          </w:p>
        </w:tc>
        <w:tc>
          <w:tcPr>
            <w:tcW w:w="1440" w:type="dxa"/>
            <w:vAlign w:val="bottom"/>
          </w:tcPr>
          <w:p>
            <w:pPr>
              <w:jc w:val="right"/>
              <w:spacing w:after="0"/>
              <w:rPr>
                <w:sz w:val="20"/>
                <w:szCs w:val="20"/>
                <w:color w:val="auto"/>
              </w:rPr>
            </w:pPr>
            <w:r>
              <w:rPr>
                <w:rFonts w:ascii="Arial" w:cs="Arial" w:eastAsia="Arial" w:hAnsi="Arial"/>
                <w:sz w:val="15"/>
                <w:szCs w:val="15"/>
                <w:color w:val="auto"/>
              </w:rPr>
              <w:t>(778)</w:t>
            </w:r>
          </w:p>
        </w:tc>
      </w:tr>
      <w:tr>
        <w:trPr>
          <w:trHeight w:val="29"/>
        </w:trPr>
        <w:tc>
          <w:tcPr>
            <w:tcW w:w="6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27"/>
        </w:trPr>
        <w:tc>
          <w:tcPr>
            <w:tcW w:w="690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230"/>
        </w:trPr>
        <w:tc>
          <w:tcPr>
            <w:tcW w:w="69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900" w:type="dxa"/>
            <w:vAlign w:val="bottom"/>
            <w:tcBorders>
              <w:bottom w:val="single" w:sz="8" w:color="D9D9D9"/>
            </w:tcBorders>
            <w:shd w:val="clear" w:color="auto" w:fill="D9D9D9"/>
          </w:tcPr>
          <w:p>
            <w:pPr>
              <w:jc w:val="right"/>
              <w:ind w:right="487"/>
              <w:spacing w:after="0"/>
              <w:rPr>
                <w:sz w:val="20"/>
                <w:szCs w:val="20"/>
                <w:color w:val="auto"/>
              </w:rPr>
            </w:pPr>
            <w:r>
              <w:rPr>
                <w:rFonts w:ascii="Arial" w:cs="Arial" w:eastAsia="Arial" w:hAnsi="Arial"/>
                <w:sz w:val="15"/>
                <w:szCs w:val="15"/>
                <w:b w:val="1"/>
                <w:bCs w:val="1"/>
                <w:color w:val="auto"/>
              </w:rPr>
              <w:t>(13,055)</w:t>
            </w:r>
          </w:p>
        </w:tc>
        <w:tc>
          <w:tcPr>
            <w:tcW w:w="14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5"/>
                <w:szCs w:val="15"/>
                <w:color w:val="auto"/>
              </w:rPr>
              <w:t>(14,717)</w:t>
            </w:r>
          </w:p>
        </w:tc>
      </w:tr>
      <w:tr>
        <w:trPr>
          <w:trHeight w:val="415"/>
        </w:trPr>
        <w:tc>
          <w:tcPr>
            <w:tcW w:w="69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 shareholders</w:t>
            </w:r>
          </w:p>
        </w:tc>
        <w:tc>
          <w:tcPr>
            <w:tcW w:w="2900" w:type="dxa"/>
            <w:vAlign w:val="bottom"/>
            <w:tcBorders>
              <w:top w:val="single" w:sz="8" w:color="auto"/>
            </w:tcBorders>
          </w:tcPr>
          <w:p>
            <w:pPr>
              <w:jc w:val="right"/>
              <w:ind w:right="487"/>
              <w:spacing w:after="0"/>
              <w:rPr>
                <w:sz w:val="20"/>
                <w:szCs w:val="20"/>
                <w:color w:val="auto"/>
              </w:rPr>
            </w:pPr>
            <w:r>
              <w:rPr>
                <w:rFonts w:ascii="Arial" w:cs="Arial" w:eastAsia="Arial" w:hAnsi="Arial"/>
                <w:sz w:val="15"/>
                <w:szCs w:val="15"/>
                <w:b w:val="1"/>
                <w:bCs w:val="1"/>
                <w:color w:val="auto"/>
              </w:rPr>
              <w:t>(0.07)</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(0.09)</w:t>
            </w:r>
          </w:p>
        </w:tc>
      </w:tr>
      <w:tr>
        <w:trPr>
          <w:trHeight w:val="29"/>
        </w:trPr>
        <w:tc>
          <w:tcPr>
            <w:tcW w:w="6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5"/>
        </w:trPr>
        <w:tc>
          <w:tcPr>
            <w:tcW w:w="690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2900" w:type="dxa"/>
            <w:vAlign w:val="bottom"/>
          </w:tcPr>
          <w:p>
            <w:pPr>
              <w:jc w:val="right"/>
              <w:ind w:right="487"/>
              <w:spacing w:after="0"/>
              <w:rPr>
                <w:sz w:val="20"/>
                <w:szCs w:val="20"/>
                <w:color w:val="auto"/>
              </w:rPr>
            </w:pPr>
            <w:r>
              <w:rPr>
                <w:rFonts w:ascii="Arial" w:cs="Arial" w:eastAsia="Arial" w:hAnsi="Arial"/>
                <w:sz w:val="15"/>
                <w:szCs w:val="15"/>
                <w:b w:val="1"/>
                <w:bCs w:val="1"/>
                <w:color w:val="auto"/>
              </w:rPr>
              <w:t>175,874,475</w:t>
            </w:r>
          </w:p>
        </w:tc>
        <w:tc>
          <w:tcPr>
            <w:tcW w:w="1440" w:type="dxa"/>
            <w:vAlign w:val="bottom"/>
          </w:tcPr>
          <w:p>
            <w:pPr>
              <w:jc w:val="right"/>
              <w:spacing w:after="0"/>
              <w:rPr>
                <w:sz w:val="20"/>
                <w:szCs w:val="20"/>
                <w:color w:val="auto"/>
              </w:rPr>
            </w:pPr>
            <w:r>
              <w:rPr>
                <w:rFonts w:ascii="Arial" w:cs="Arial" w:eastAsia="Arial" w:hAnsi="Arial"/>
                <w:sz w:val="15"/>
                <w:szCs w:val="15"/>
                <w:color w:val="auto"/>
              </w:rPr>
              <w:t>157,711,518</w:t>
            </w:r>
          </w:p>
        </w:tc>
      </w:tr>
      <w:tr>
        <w:trPr>
          <w:trHeight w:val="29"/>
        </w:trPr>
        <w:tc>
          <w:tcPr>
            <w:tcW w:w="6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three month period ended June 30, 2022, Cybin incurred a net loss of $13,055, compared to a net loss of $14,717 during the same period in prior year. During the quarter, the Company submitted an IND and received a “may proceed letter” and IND clearance from the FDA for its Phase I/IIa first-in-human clinical trial evaluating CYB003. In addition, the Company announced the Asset Acquisition from Entheon to accelerate the clinical development path for CYB004.</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During the three month period, the Company was focused on progressing its various research programs and raising awareness of the Company and its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 period ended June 30, 2022, operating expenses totaled $13,395. The operating expenses include a non-cash component of $2,155 (2021 - $4,773) related to share-based compensation. The remaining operating expenses were incurred to support raising capital, research &amp; development and the overall development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three-month period ended June 30, 2022, the Company’s research expenses totaled $6,048 compared to $2,976 during the same period in prior year. Research expenses for the three-month period are comprised of advancement of the development programs of $3,592 (2021 - $1,166), payroll related expenses of $2,027 (2021 - $973), professional and consulting fees of $238 (2021 – $702), lab and administration expenses of $191 (2021 - $135),</w:t>
      </w:r>
    </w:p>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date of this MD&amp;A, Cybin’s research and development team has completed over 200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1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22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 the three-month period ended June 30, 2022, general and administrative expenses were $5,192 compared to $6,190 during the same period in prior year. General and administrative expense for the three-month period are comprised of payroll related expenses of $1,686 (2021 - $1,224), professional and consulting fees of $988 (2021 – $1,068), office and administration expenses of $860 (2021 - $838), marketing media fees of $713 (2021 - $350), capital market expenses of $346 (2021 - $1,741), investor relations expenses of $254 (2021 - $353), business development expenses of $250 (2021 - $515), and listing fees of $95 (2021 – $101).</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three-month period ended June 30, 2022, the overall decrease in general and administrative expenses relates to a reduction in the marketing related spend to raise awareness of the Company and its industry. The Company continues to incur expenditures related to market awareness, some of which it considers one-time events, but to a lesser extent. The Company expects these expenses to decrease during the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three-month period ended June 30, 2022, Cybin issued warrants and options incurring share-based payment expense of $2,155 compared to $4,773 during the same period in prior year. The decrease is largely related to the timing of warrant and option grants.</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June 30, 2022, the Company recorded interest income of $124 compared to $44 during the same period in prior year. The increase is largely related to an increase in interest rates being earned on cash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loss</w:t>
      </w:r>
    </w:p>
    <w:p>
      <w:pPr>
        <w:spacing w:after="0" w:line="225"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For the three-month period ended June 30, 2022, the Company incurred a foreign currency translation gain from operations and revaluation of balance sheet assets held in U.S. dollars of $525. The U.S. dollar increased $0.039 from $1.2496 on March 31, 2022 to $1.2886 on June 30,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accretion</w:t>
      </w:r>
    </w:p>
    <w:p>
      <w:pPr>
        <w:spacing w:after="0" w:line="20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June 30, 2022, the Company recorded an accretion expense $13 (2021 - $161), related to commitments to the former shareholders of Adelia based on milestone achievements (see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 period ended June 30, 2022, the Company recorded a change in fair value of $308 (2021 - $612) related to the achievement of certain milestones in connection with the Adelia Transaction (see “Acquisitions”). The amount recorded represents the difference between the fair value of the contingent consideration determined as at March 31, 2022 and the fair value on June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8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706" w:right="319" w:bottom="1440" w:gutter="0" w:footer="0" w:header="0"/>
        </w:sectPr>
      </w:pPr>
    </w:p>
    <w:bookmarkStart w:id="65" w:name="page66"/>
    <w:bookmarkEnd w:id="65"/>
    <w:p>
      <w:pPr>
        <w:jc w:val="both"/>
        <w:spacing w:after="0" w:line="267" w:lineRule="auto"/>
        <w:rPr>
          <w:sz w:val="20"/>
          <w:szCs w:val="20"/>
          <w:color w:val="auto"/>
        </w:rPr>
      </w:pPr>
      <w:r>
        <w:rPr>
          <w:rFonts w:ascii="Arial" w:cs="Arial" w:eastAsia="Arial" w:hAnsi="Arial"/>
          <w:sz w:val="18"/>
          <w:szCs w:val="18"/>
          <w:color w:val="auto"/>
        </w:rPr>
        <w:t>United States, and the UK related to social distancing and restrictions on travel outside of the home. The Company has and will continue to abide by the protocols within Canada, the United States, and the UK regarding the performance of work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the Company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twelve-month periods ended June 30, 2022,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raised capital pursuant to the February 2021 Prospectus and July Prospectus Supplement (as defined below)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40" w:type="dxa"/>
            <w:vAlign w:val="bottom"/>
          </w:tcPr>
          <w:p>
            <w:pPr>
              <w:spacing w:after="0"/>
              <w:rPr>
                <w:sz w:val="16"/>
                <w:szCs w:val="16"/>
                <w:color w:val="auto"/>
              </w:rPr>
            </w:pPr>
          </w:p>
        </w:tc>
        <w:tc>
          <w:tcPr>
            <w:tcW w:w="2780" w:type="dxa"/>
            <w:vAlign w:val="bottom"/>
            <w:gridSpan w:val="2"/>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800" w:type="dxa"/>
            <w:vAlign w:val="bottom"/>
          </w:tcPr>
          <w:p>
            <w:pPr>
              <w:spacing w:after="0"/>
              <w:rPr>
                <w:sz w:val="16"/>
                <w:szCs w:val="16"/>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
        </w:trPr>
        <w:tc>
          <w:tcPr>
            <w:tcW w:w="5540" w:type="dxa"/>
            <w:vAlign w:val="bottom"/>
          </w:tcPr>
          <w:p>
            <w:pPr>
              <w:spacing w:after="0"/>
              <w:rPr>
                <w:sz w:val="2"/>
                <w:szCs w:val="2"/>
                <w:color w:val="auto"/>
              </w:rPr>
            </w:pPr>
          </w:p>
        </w:tc>
        <w:tc>
          <w:tcPr>
            <w:tcW w:w="184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r>
      <w:tr>
        <w:trPr>
          <w:trHeight w:val="195"/>
        </w:trPr>
        <w:tc>
          <w:tcPr>
            <w:tcW w:w="5540" w:type="dxa"/>
            <w:vAlign w:val="bottom"/>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1840" w:type="dxa"/>
            <w:vAlign w:val="bottom"/>
          </w:tcPr>
          <w:p>
            <w:pPr>
              <w:jc w:val="right"/>
              <w:ind w:right="387"/>
              <w:spacing w:after="0"/>
              <w:rPr>
                <w:sz w:val="20"/>
                <w:szCs w:val="20"/>
                <w:color w:val="auto"/>
              </w:rPr>
            </w:pPr>
            <w:r>
              <w:rPr>
                <w:rFonts w:ascii="Arial" w:cs="Arial" w:eastAsia="Arial" w:hAnsi="Arial"/>
                <w:sz w:val="15"/>
                <w:szCs w:val="15"/>
                <w:b w:val="1"/>
                <w:bCs w:val="1"/>
                <w:color w:val="auto"/>
              </w:rPr>
              <w:t>2022</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spacing w:after="0"/>
              <w:rPr>
                <w:sz w:val="16"/>
                <w:szCs w:val="16"/>
                <w:color w:val="auto"/>
              </w:rPr>
            </w:pPr>
          </w:p>
        </w:tc>
        <w:tc>
          <w:tcPr>
            <w:tcW w:w="880" w:type="dxa"/>
            <w:vAlign w:val="bottom"/>
          </w:tcPr>
          <w:p>
            <w:pPr>
              <w:jc w:val="right"/>
              <w:ind w:right="467"/>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r>
      <w:tr>
        <w:trPr>
          <w:trHeight w:val="29"/>
        </w:trPr>
        <w:tc>
          <w:tcPr>
            <w:tcW w:w="5540" w:type="dxa"/>
            <w:vAlign w:val="bottom"/>
            <w:tcBorders>
              <w:bottom w:val="single" w:sz="8" w:color="B6B6B6"/>
            </w:tcBorders>
          </w:tcPr>
          <w:p>
            <w:pPr>
              <w:spacing w:after="0"/>
              <w:rPr>
                <w:sz w:val="2"/>
                <w:szCs w:val="2"/>
                <w:color w:val="auto"/>
              </w:rPr>
            </w:pPr>
          </w:p>
        </w:tc>
        <w:tc>
          <w:tcPr>
            <w:tcW w:w="1840" w:type="dxa"/>
            <w:vAlign w:val="bottom"/>
            <w:tcBorders>
              <w:bottom w:val="single" w:sz="8" w:color="B6B6B6"/>
            </w:tcBorders>
          </w:tcPr>
          <w:p>
            <w:pPr>
              <w:spacing w:after="0"/>
              <w:rPr>
                <w:sz w:val="2"/>
                <w:szCs w:val="2"/>
                <w:color w:val="auto"/>
              </w:rPr>
            </w:pPr>
          </w:p>
        </w:tc>
        <w:tc>
          <w:tcPr>
            <w:tcW w:w="94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140" w:type="dxa"/>
            <w:vAlign w:val="bottom"/>
            <w:tcBorders>
              <w:bottom w:val="single" w:sz="8" w:color="B6B6B6"/>
            </w:tcBorders>
          </w:tcPr>
          <w:p>
            <w:pPr>
              <w:spacing w:after="0"/>
              <w:rPr>
                <w:sz w:val="2"/>
                <w:szCs w:val="2"/>
                <w:color w:val="auto"/>
              </w:rPr>
            </w:pPr>
          </w:p>
        </w:tc>
      </w:tr>
      <w:tr>
        <w:trPr>
          <w:trHeight w:val="195"/>
        </w:trPr>
        <w:tc>
          <w:tcPr>
            <w:tcW w:w="554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1840" w:type="dxa"/>
            <w:vAlign w:val="bottom"/>
          </w:tcPr>
          <w:p>
            <w:pPr>
              <w:jc w:val="right"/>
              <w:ind w:right="407"/>
              <w:spacing w:after="0"/>
              <w:rPr>
                <w:sz w:val="20"/>
                <w:szCs w:val="20"/>
                <w:color w:val="auto"/>
              </w:rPr>
            </w:pPr>
            <w:r>
              <w:rPr>
                <w:rFonts w:ascii="Arial" w:cs="Arial" w:eastAsia="Arial" w:hAnsi="Arial"/>
                <w:sz w:val="15"/>
                <w:szCs w:val="15"/>
                <w:b w:val="1"/>
                <w:bCs w:val="1"/>
                <w:color w:val="auto"/>
              </w:rPr>
              <w:t>(11,139)</w:t>
            </w:r>
          </w:p>
        </w:tc>
        <w:tc>
          <w:tcPr>
            <w:tcW w:w="940" w:type="dxa"/>
            <w:vAlign w:val="bottom"/>
          </w:tcPr>
          <w:p>
            <w:pPr>
              <w:jc w:val="right"/>
              <w:spacing w:after="0"/>
              <w:rPr>
                <w:sz w:val="20"/>
                <w:szCs w:val="20"/>
                <w:color w:val="auto"/>
              </w:rPr>
            </w:pPr>
            <w:r>
              <w:rPr>
                <w:rFonts w:ascii="Arial" w:cs="Arial" w:eastAsia="Arial" w:hAnsi="Arial"/>
                <w:sz w:val="15"/>
                <w:szCs w:val="15"/>
                <w:color w:val="auto"/>
              </w:rPr>
              <w:t>(8,880)</w:t>
            </w:r>
          </w:p>
        </w:tc>
        <w:tc>
          <w:tcPr>
            <w:tcW w:w="8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447"/>
              <w:spacing w:after="0"/>
              <w:rPr>
                <w:sz w:val="20"/>
                <w:szCs w:val="20"/>
                <w:color w:val="auto"/>
              </w:rPr>
            </w:pPr>
            <w:r>
              <w:rPr>
                <w:rFonts w:ascii="Arial" w:cs="Arial" w:eastAsia="Arial" w:hAnsi="Arial"/>
                <w:sz w:val="15"/>
                <w:szCs w:val="15"/>
                <w:color w:val="auto"/>
              </w:rPr>
              <w:t>(2,259)</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25 %</w:t>
            </w:r>
          </w:p>
        </w:tc>
      </w:tr>
      <w:tr>
        <w:trPr>
          <w:trHeight w:val="232"/>
        </w:trPr>
        <w:tc>
          <w:tcPr>
            <w:tcW w:w="55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840" w:type="dxa"/>
            <w:vAlign w:val="bottom"/>
          </w:tcPr>
          <w:p>
            <w:pPr>
              <w:jc w:val="right"/>
              <w:ind w:right="407"/>
              <w:spacing w:after="0"/>
              <w:rPr>
                <w:sz w:val="20"/>
                <w:szCs w:val="20"/>
                <w:color w:val="auto"/>
              </w:rPr>
            </w:pPr>
            <w:r>
              <w:rPr>
                <w:rFonts w:ascii="Arial" w:cs="Arial" w:eastAsia="Arial" w:hAnsi="Arial"/>
                <w:sz w:val="15"/>
                <w:szCs w:val="15"/>
                <w:b w:val="1"/>
                <w:bCs w:val="1"/>
                <w:color w:val="auto"/>
              </w:rPr>
              <w:t>(208)</w:t>
            </w:r>
          </w:p>
        </w:tc>
        <w:tc>
          <w:tcPr>
            <w:tcW w:w="940" w:type="dxa"/>
            <w:vAlign w:val="bottom"/>
          </w:tcPr>
          <w:p>
            <w:pPr>
              <w:jc w:val="right"/>
              <w:spacing w:after="0"/>
              <w:rPr>
                <w:sz w:val="20"/>
                <w:szCs w:val="20"/>
                <w:color w:val="auto"/>
              </w:rPr>
            </w:pPr>
            <w:r>
              <w:rPr>
                <w:rFonts w:ascii="Arial" w:cs="Arial" w:eastAsia="Arial" w:hAnsi="Arial"/>
                <w:sz w:val="15"/>
                <w:szCs w:val="15"/>
                <w:color w:val="auto"/>
              </w:rPr>
              <w:t>(395)</w:t>
            </w:r>
          </w:p>
        </w:tc>
        <w:tc>
          <w:tcPr>
            <w:tcW w:w="8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487"/>
              <w:spacing w:after="0"/>
              <w:rPr>
                <w:sz w:val="20"/>
                <w:szCs w:val="20"/>
                <w:color w:val="auto"/>
              </w:rPr>
            </w:pPr>
            <w:r>
              <w:rPr>
                <w:rFonts w:ascii="Arial" w:cs="Arial" w:eastAsia="Arial" w:hAnsi="Arial"/>
                <w:sz w:val="15"/>
                <w:szCs w:val="15"/>
                <w:color w:val="auto"/>
              </w:rPr>
              <w:t>187</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(47)%</w:t>
            </w:r>
          </w:p>
        </w:tc>
      </w:tr>
      <w:tr>
        <w:trPr>
          <w:trHeight w:val="262"/>
        </w:trPr>
        <w:tc>
          <w:tcPr>
            <w:tcW w:w="5540" w:type="dxa"/>
            <w:vAlign w:val="bottom"/>
          </w:tcPr>
          <w:p>
            <w:pPr>
              <w:ind w:left="20"/>
              <w:spacing w:after="0"/>
              <w:rPr>
                <w:sz w:val="20"/>
                <w:szCs w:val="20"/>
                <w:color w:val="auto"/>
              </w:rPr>
            </w:pPr>
            <w:r>
              <w:rPr>
                <w:rFonts w:ascii="Arial" w:cs="Arial" w:eastAsia="Arial" w:hAnsi="Arial"/>
                <w:sz w:val="15"/>
                <w:szCs w:val="15"/>
                <w:color w:val="auto"/>
              </w:rPr>
              <w:t>Net cash from financing activities</w:t>
            </w:r>
          </w:p>
        </w:tc>
        <w:tc>
          <w:tcPr>
            <w:tcW w:w="1840" w:type="dxa"/>
            <w:vAlign w:val="bottom"/>
          </w:tcPr>
          <w:p>
            <w:pPr>
              <w:jc w:val="right"/>
              <w:ind w:right="427"/>
              <w:spacing w:after="0"/>
              <w:rPr>
                <w:sz w:val="20"/>
                <w:szCs w:val="20"/>
                <w:color w:val="auto"/>
              </w:rPr>
            </w:pPr>
            <w:r>
              <w:rPr>
                <w:rFonts w:ascii="Arial" w:cs="Arial" w:eastAsia="Arial" w:hAnsi="Arial"/>
                <w:sz w:val="15"/>
                <w:szCs w:val="15"/>
                <w:b w:val="1"/>
                <w:bCs w:val="1"/>
                <w:color w:val="auto"/>
              </w:rPr>
              <w:t>314</w:t>
            </w:r>
          </w:p>
        </w:tc>
        <w:tc>
          <w:tcPr>
            <w:tcW w:w="940" w:type="dxa"/>
            <w:vAlign w:val="bottom"/>
          </w:tcPr>
          <w:p>
            <w:pPr>
              <w:jc w:val="right"/>
              <w:spacing w:after="0"/>
              <w:rPr>
                <w:sz w:val="20"/>
                <w:szCs w:val="20"/>
                <w:color w:val="auto"/>
              </w:rPr>
            </w:pPr>
            <w:r>
              <w:rPr>
                <w:rFonts w:ascii="Arial" w:cs="Arial" w:eastAsia="Arial" w:hAnsi="Arial"/>
                <w:sz w:val="15"/>
                <w:szCs w:val="15"/>
                <w:color w:val="auto"/>
              </w:rPr>
              <w:t>329</w:t>
            </w:r>
          </w:p>
        </w:tc>
        <w:tc>
          <w:tcPr>
            <w:tcW w:w="800" w:type="dxa"/>
            <w:vAlign w:val="bottom"/>
            <w:tcBorders>
              <w:bottom w:val="single" w:sz="8" w:color="DBDBDB"/>
            </w:tcBorders>
            <w:shd w:val="clear" w:color="auto" w:fill="DBDBDB"/>
          </w:tcPr>
          <w:p>
            <w:pPr>
              <w:spacing w:after="0"/>
              <w:rPr>
                <w:sz w:val="22"/>
                <w:szCs w:val="22"/>
                <w:color w:val="auto"/>
              </w:rPr>
            </w:pPr>
          </w:p>
        </w:tc>
        <w:tc>
          <w:tcPr>
            <w:tcW w:w="1100" w:type="dxa"/>
            <w:vAlign w:val="bottom"/>
            <w:tcBorders>
              <w:bottom w:val="single" w:sz="8" w:color="DBDBDB"/>
            </w:tcBorders>
            <w:shd w:val="clear" w:color="auto" w:fill="DBDBDB"/>
          </w:tcPr>
          <w:p>
            <w:pPr>
              <w:jc w:val="right"/>
              <w:ind w:right="447"/>
              <w:spacing w:after="0"/>
              <w:rPr>
                <w:sz w:val="20"/>
                <w:szCs w:val="20"/>
                <w:color w:val="auto"/>
              </w:rPr>
            </w:pPr>
            <w:r>
              <w:rPr>
                <w:rFonts w:ascii="Arial" w:cs="Arial" w:eastAsia="Arial" w:hAnsi="Arial"/>
                <w:sz w:val="15"/>
                <w:szCs w:val="15"/>
                <w:color w:val="auto"/>
              </w:rPr>
              <w:t>(15)</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195"/>
        </w:trPr>
        <w:tc>
          <w:tcPr>
            <w:tcW w:w="554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Decrease in cash</w:t>
            </w:r>
          </w:p>
        </w:tc>
        <w:tc>
          <w:tcPr>
            <w:tcW w:w="1840" w:type="dxa"/>
            <w:vAlign w:val="bottom"/>
            <w:tcBorders>
              <w:top w:val="single" w:sz="8" w:color="929292"/>
            </w:tcBorders>
          </w:tcPr>
          <w:p>
            <w:pPr>
              <w:jc w:val="right"/>
              <w:ind w:right="407"/>
              <w:spacing w:after="0"/>
              <w:rPr>
                <w:sz w:val="20"/>
                <w:szCs w:val="20"/>
                <w:color w:val="auto"/>
              </w:rPr>
            </w:pPr>
            <w:r>
              <w:rPr>
                <w:rFonts w:ascii="Arial" w:cs="Arial" w:eastAsia="Arial" w:hAnsi="Arial"/>
                <w:sz w:val="15"/>
                <w:szCs w:val="15"/>
                <w:b w:val="1"/>
                <w:bCs w:val="1"/>
                <w:color w:val="auto"/>
              </w:rPr>
              <w:t>(11,033)</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(8,946)</w:t>
            </w:r>
          </w:p>
        </w:tc>
        <w:tc>
          <w:tcPr>
            <w:tcW w:w="800" w:type="dxa"/>
            <w:vAlign w:val="bottom"/>
            <w:tcBorders>
              <w:top w:val="single" w:sz="8" w:color="929292"/>
            </w:tcBorders>
            <w:shd w:val="clear" w:color="auto" w:fill="DBDBDB"/>
          </w:tcPr>
          <w:p>
            <w:pPr>
              <w:spacing w:after="0"/>
              <w:rPr>
                <w:sz w:val="16"/>
                <w:szCs w:val="16"/>
                <w:color w:val="auto"/>
              </w:rPr>
            </w:pPr>
          </w:p>
        </w:tc>
        <w:tc>
          <w:tcPr>
            <w:tcW w:w="1100" w:type="dxa"/>
            <w:vAlign w:val="bottom"/>
            <w:tcBorders>
              <w:top w:val="single" w:sz="8" w:color="929292"/>
            </w:tcBorders>
            <w:shd w:val="clear" w:color="auto" w:fill="DBDBDB"/>
          </w:tcPr>
          <w:p>
            <w:pPr>
              <w:jc w:val="right"/>
              <w:ind w:right="447"/>
              <w:spacing w:after="0"/>
              <w:rPr>
                <w:sz w:val="20"/>
                <w:szCs w:val="20"/>
                <w:color w:val="auto"/>
              </w:rPr>
            </w:pPr>
            <w:r>
              <w:rPr>
                <w:rFonts w:ascii="Arial" w:cs="Arial" w:eastAsia="Arial" w:hAnsi="Arial"/>
                <w:sz w:val="15"/>
                <w:szCs w:val="15"/>
                <w:color w:val="auto"/>
              </w:rPr>
              <w:t>(2,087)</w:t>
            </w:r>
          </w:p>
        </w:tc>
        <w:tc>
          <w:tcPr>
            <w:tcW w:w="88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14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32"/>
        </w:trPr>
        <w:tc>
          <w:tcPr>
            <w:tcW w:w="554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1840" w:type="dxa"/>
            <w:vAlign w:val="bottom"/>
          </w:tcPr>
          <w:p>
            <w:pPr>
              <w:jc w:val="right"/>
              <w:ind w:right="407"/>
              <w:spacing w:after="0"/>
              <w:rPr>
                <w:sz w:val="20"/>
                <w:szCs w:val="20"/>
                <w:color w:val="auto"/>
              </w:rPr>
            </w:pPr>
            <w:r>
              <w:rPr>
                <w:rFonts w:ascii="Arial" w:cs="Arial" w:eastAsia="Arial" w:hAnsi="Arial"/>
                <w:sz w:val="15"/>
                <w:szCs w:val="15"/>
                <w:b w:val="1"/>
                <w:bCs w:val="1"/>
                <w:color w:val="auto"/>
              </w:rPr>
              <w:t>(148)</w:t>
            </w:r>
          </w:p>
        </w:tc>
        <w:tc>
          <w:tcPr>
            <w:tcW w:w="940" w:type="dxa"/>
            <w:vAlign w:val="bottom"/>
          </w:tcPr>
          <w:p>
            <w:pPr>
              <w:jc w:val="right"/>
              <w:spacing w:after="0"/>
              <w:rPr>
                <w:sz w:val="20"/>
                <w:szCs w:val="20"/>
                <w:color w:val="auto"/>
              </w:rPr>
            </w:pPr>
            <w:r>
              <w:rPr>
                <w:rFonts w:ascii="Arial" w:cs="Arial" w:eastAsia="Arial" w:hAnsi="Arial"/>
                <w:sz w:val="15"/>
                <w:szCs w:val="15"/>
                <w:color w:val="auto"/>
              </w:rPr>
              <w:t>(5)</w:t>
            </w:r>
          </w:p>
        </w:tc>
        <w:tc>
          <w:tcPr>
            <w:tcW w:w="8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447"/>
              <w:spacing w:after="0"/>
              <w:rPr>
                <w:sz w:val="20"/>
                <w:szCs w:val="20"/>
                <w:color w:val="auto"/>
              </w:rPr>
            </w:pPr>
            <w:r>
              <w:rPr>
                <w:rFonts w:ascii="Arial" w:cs="Arial" w:eastAsia="Arial" w:hAnsi="Arial"/>
                <w:sz w:val="15"/>
                <w:szCs w:val="15"/>
                <w:color w:val="auto"/>
              </w:rPr>
              <w:t>(143)</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2860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62"/>
        </w:trPr>
        <w:tc>
          <w:tcPr>
            <w:tcW w:w="554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1840" w:type="dxa"/>
            <w:vAlign w:val="bottom"/>
          </w:tcPr>
          <w:p>
            <w:pPr>
              <w:jc w:val="right"/>
              <w:ind w:right="427"/>
              <w:spacing w:after="0"/>
              <w:rPr>
                <w:sz w:val="20"/>
                <w:szCs w:val="20"/>
                <w:color w:val="auto"/>
              </w:rPr>
            </w:pPr>
            <w:r>
              <w:rPr>
                <w:rFonts w:ascii="Arial" w:cs="Arial" w:eastAsia="Arial" w:hAnsi="Arial"/>
                <w:sz w:val="15"/>
                <w:szCs w:val="15"/>
                <w:b w:val="1"/>
                <w:bCs w:val="1"/>
                <w:color w:val="auto"/>
              </w:rPr>
              <w:t>53,641</w:t>
            </w:r>
          </w:p>
        </w:tc>
        <w:tc>
          <w:tcPr>
            <w:tcW w:w="940" w:type="dxa"/>
            <w:vAlign w:val="bottom"/>
          </w:tcPr>
          <w:p>
            <w:pPr>
              <w:jc w:val="right"/>
              <w:spacing w:after="0"/>
              <w:rPr>
                <w:sz w:val="20"/>
                <w:szCs w:val="20"/>
                <w:color w:val="auto"/>
              </w:rPr>
            </w:pPr>
            <w:r>
              <w:rPr>
                <w:rFonts w:ascii="Arial" w:cs="Arial" w:eastAsia="Arial" w:hAnsi="Arial"/>
                <w:sz w:val="15"/>
                <w:szCs w:val="15"/>
                <w:color w:val="auto"/>
              </w:rPr>
              <w:t>64,026</w:t>
            </w:r>
          </w:p>
        </w:tc>
        <w:tc>
          <w:tcPr>
            <w:tcW w:w="800" w:type="dxa"/>
            <w:vAlign w:val="bottom"/>
            <w:tcBorders>
              <w:bottom w:val="single" w:sz="8" w:color="DBDBDB"/>
            </w:tcBorders>
            <w:shd w:val="clear" w:color="auto" w:fill="DBDBDB"/>
          </w:tcPr>
          <w:p>
            <w:pPr>
              <w:spacing w:after="0"/>
              <w:rPr>
                <w:sz w:val="22"/>
                <w:szCs w:val="22"/>
                <w:color w:val="auto"/>
              </w:rPr>
            </w:pPr>
          </w:p>
        </w:tc>
        <w:tc>
          <w:tcPr>
            <w:tcW w:w="1100" w:type="dxa"/>
            <w:vAlign w:val="bottom"/>
            <w:tcBorders>
              <w:bottom w:val="single" w:sz="8" w:color="DBDBDB"/>
            </w:tcBorders>
            <w:shd w:val="clear" w:color="auto" w:fill="DBDBDB"/>
          </w:tcPr>
          <w:p>
            <w:pPr>
              <w:jc w:val="right"/>
              <w:ind w:right="447"/>
              <w:spacing w:after="0"/>
              <w:rPr>
                <w:sz w:val="20"/>
                <w:szCs w:val="20"/>
                <w:color w:val="auto"/>
              </w:rPr>
            </w:pPr>
            <w:r>
              <w:rPr>
                <w:rFonts w:ascii="Arial" w:cs="Arial" w:eastAsia="Arial" w:hAnsi="Arial"/>
                <w:sz w:val="15"/>
                <w:szCs w:val="15"/>
                <w:color w:val="auto"/>
              </w:rPr>
              <w:t>(10,385)</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(16)</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05"/>
        </w:trPr>
        <w:tc>
          <w:tcPr>
            <w:tcW w:w="554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1840" w:type="dxa"/>
            <w:vAlign w:val="bottom"/>
            <w:tcBorders>
              <w:top w:val="single" w:sz="8" w:color="929292"/>
            </w:tcBorders>
          </w:tcPr>
          <w:p>
            <w:pPr>
              <w:jc w:val="right"/>
              <w:ind w:right="427"/>
              <w:spacing w:after="0"/>
              <w:rPr>
                <w:sz w:val="20"/>
                <w:szCs w:val="20"/>
                <w:color w:val="auto"/>
              </w:rPr>
            </w:pPr>
            <w:r>
              <w:rPr>
                <w:rFonts w:ascii="Arial" w:cs="Arial" w:eastAsia="Arial" w:hAnsi="Arial"/>
                <w:sz w:val="15"/>
                <w:szCs w:val="15"/>
                <w:b w:val="1"/>
                <w:bCs w:val="1"/>
                <w:color w:val="auto"/>
              </w:rPr>
              <w:t>42,460</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55,075</w:t>
            </w:r>
          </w:p>
        </w:tc>
        <w:tc>
          <w:tcPr>
            <w:tcW w:w="800" w:type="dxa"/>
            <w:vAlign w:val="bottom"/>
            <w:tcBorders>
              <w:top w:val="single" w:sz="8" w:color="929292"/>
              <w:bottom w:val="single" w:sz="8" w:color="DBDBDB"/>
            </w:tcBorders>
            <w:shd w:val="clear" w:color="auto" w:fill="DBDBDB"/>
          </w:tcPr>
          <w:p>
            <w:pPr>
              <w:spacing w:after="0"/>
              <w:rPr>
                <w:sz w:val="17"/>
                <w:szCs w:val="17"/>
                <w:color w:val="auto"/>
              </w:rPr>
            </w:pPr>
          </w:p>
        </w:tc>
        <w:tc>
          <w:tcPr>
            <w:tcW w:w="1100" w:type="dxa"/>
            <w:vAlign w:val="bottom"/>
            <w:tcBorders>
              <w:top w:val="single" w:sz="8" w:color="929292"/>
              <w:bottom w:val="single" w:sz="8" w:color="DBDBDB"/>
            </w:tcBorders>
            <w:shd w:val="clear" w:color="auto" w:fill="DBDBDB"/>
          </w:tcPr>
          <w:p>
            <w:pPr>
              <w:jc w:val="right"/>
              <w:ind w:right="447"/>
              <w:spacing w:after="0"/>
              <w:rPr>
                <w:sz w:val="20"/>
                <w:szCs w:val="20"/>
                <w:color w:val="auto"/>
              </w:rPr>
            </w:pPr>
            <w:r>
              <w:rPr>
                <w:rFonts w:ascii="Arial" w:cs="Arial" w:eastAsia="Arial" w:hAnsi="Arial"/>
                <w:sz w:val="15"/>
                <w:szCs w:val="15"/>
                <w:color w:val="auto"/>
              </w:rPr>
              <w:t>(12,615)</w:t>
            </w:r>
          </w:p>
        </w:tc>
        <w:tc>
          <w:tcPr>
            <w:tcW w:w="88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1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55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1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1"/>
        </w:trPr>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ind w:left="2400"/>
              <w:spacing w:after="0"/>
              <w:rPr>
                <w:sz w:val="20"/>
                <w:szCs w:val="20"/>
                <w:color w:val="auto"/>
              </w:rPr>
            </w:pPr>
            <w:r>
              <w:rPr>
                <w:rFonts w:ascii="Arial" w:cs="Arial" w:eastAsia="Arial" w:hAnsi="Arial"/>
                <w:sz w:val="16"/>
                <w:szCs w:val="16"/>
                <w:b w:val="1"/>
                <w:bCs w:val="1"/>
                <w:color w:val="auto"/>
              </w:rPr>
              <w:t>Three Months ended June 30</w:t>
            </w:r>
          </w:p>
        </w:tc>
      </w:tr>
      <w:tr>
        <w:trPr>
          <w:trHeight w:val="25"/>
        </w:trPr>
        <w:tc>
          <w:tcPr>
            <w:tcW w:w="382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gridSpan w:val="2"/>
          </w:tcPr>
          <w:p>
            <w:pPr>
              <w:spacing w:after="0"/>
              <w:rPr>
                <w:sz w:val="2"/>
                <w:szCs w:val="2"/>
                <w:color w:val="auto"/>
              </w:rPr>
            </w:pPr>
          </w:p>
        </w:tc>
      </w:tr>
      <w:tr>
        <w:trPr>
          <w:trHeight w:val="200"/>
        </w:trPr>
        <w:tc>
          <w:tcPr>
            <w:tcW w:w="38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0"/>
              </w:rPr>
              <w:t>Primarily relates to cash used for operating expenses including research and development expenses, salaries, and</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3"/>
              </w:rPr>
              <w:t>other general and administration expenses. Cash flows from operating activities exclude expenses not affecting</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0"/>
              </w:rPr>
              <w:t>cash, such as share based compensation expense, depreciation, unrealized foreign exchange gains or losses, and</w:t>
            </w:r>
          </w:p>
        </w:tc>
      </w:tr>
      <w:tr>
        <w:trPr>
          <w:trHeight w:val="207"/>
        </w:trPr>
        <w:tc>
          <w:tcPr>
            <w:tcW w:w="3820" w:type="dxa"/>
            <w:vAlign w:val="bottom"/>
            <w:shd w:val="clear" w:color="auto" w:fill="DBDBDB"/>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rPr>
              <w:t>net changes in non-cash balances relating to operations.</w:t>
            </w:r>
          </w:p>
        </w:tc>
      </w:tr>
      <w:tr>
        <w:trPr>
          <w:trHeight w:val="233"/>
        </w:trPr>
        <w:tc>
          <w:tcPr>
            <w:tcW w:w="3820" w:type="dxa"/>
            <w:vAlign w:val="bottom"/>
            <w:shd w:val="clear" w:color="auto" w:fill="DBDBDB"/>
          </w:tcPr>
          <w:p>
            <w:pPr>
              <w:spacing w:after="0"/>
              <w:rPr>
                <w:sz w:val="20"/>
                <w:szCs w:val="20"/>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3"/>
              </w:rPr>
              <w:t>For the three-month period ended June 30, 2022, cash used in operating activities was $11,139 driven by a net</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4"/>
              </w:rPr>
              <w:t>loss for the period of $13,055, unrealized foreign exchange gain of $525, an increase in working capital of $70,</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8"/>
              </w:rPr>
              <w:t>net gain on financial instruments measured at fair value through profit or loss of $12 and non cash interest</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4"/>
              </w:rPr>
              <w:t>income of $6, partially offset by the following non-cash items: share-based compensation of $2,155, change in</w:t>
            </w:r>
          </w:p>
        </w:tc>
      </w:tr>
      <w:tr>
        <w:trPr>
          <w:trHeight w:val="196"/>
        </w:trPr>
        <w:tc>
          <w:tcPr>
            <w:tcW w:w="3820" w:type="dxa"/>
            <w:vAlign w:val="bottom"/>
            <w:shd w:val="clear" w:color="auto" w:fill="DBDBDB"/>
          </w:tcPr>
          <w:p>
            <w:pPr>
              <w:spacing w:after="0"/>
              <w:rPr>
                <w:sz w:val="17"/>
                <w:szCs w:val="17"/>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w w:val="97"/>
              </w:rPr>
              <w:t>fair value of contingent consideration of $308, depreciation of $53,and contingent consideration accretion of</w:t>
            </w:r>
          </w:p>
        </w:tc>
      </w:tr>
      <w:tr>
        <w:trPr>
          <w:trHeight w:val="233"/>
        </w:trPr>
        <w:tc>
          <w:tcPr>
            <w:tcW w:w="3820" w:type="dxa"/>
            <w:vAlign w:val="bottom"/>
            <w:tcBorders>
              <w:bottom w:val="single" w:sz="8" w:color="DBDBDB"/>
            </w:tcBorders>
            <w:shd w:val="clear" w:color="auto" w:fill="DBDBDB"/>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w w:val="83"/>
              </w:rPr>
              <w:t>$13.</w:t>
            </w:r>
          </w:p>
        </w:tc>
        <w:tc>
          <w:tcPr>
            <w:tcW w:w="7120" w:type="dxa"/>
            <w:vAlign w:val="bottom"/>
          </w:tcPr>
          <w:p>
            <w:pPr>
              <w:spacing w:after="0"/>
              <w:rPr>
                <w:sz w:val="20"/>
                <w:szCs w:val="20"/>
                <w:color w:val="auto"/>
              </w:rPr>
            </w:pPr>
          </w:p>
        </w:tc>
      </w:tr>
      <w:tr>
        <w:trPr>
          <w:trHeight w:val="200"/>
        </w:trPr>
        <w:tc>
          <w:tcPr>
            <w:tcW w:w="3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74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For the three-month period ended June 30, 2022, cash flows were mainly driven by:</w:t>
            </w:r>
          </w:p>
        </w:tc>
      </w:tr>
      <w:tr>
        <w:trPr>
          <w:trHeight w:val="196"/>
        </w:trPr>
        <w:tc>
          <w:tcPr>
            <w:tcW w:w="3820" w:type="dxa"/>
            <w:vAlign w:val="bottom"/>
            <w:shd w:val="clear" w:color="auto" w:fill="DBDBDB"/>
          </w:tcPr>
          <w:p>
            <w:pPr>
              <w:spacing w:after="0"/>
              <w:rPr>
                <w:sz w:val="17"/>
                <w:szCs w:val="17"/>
                <w:color w:val="auto"/>
              </w:rPr>
            </w:pP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120" w:type="dxa"/>
            <w:vAlign w:val="bottom"/>
          </w:tcPr>
          <w:p>
            <w:pPr>
              <w:ind w:left="20"/>
              <w:spacing w:after="0"/>
              <w:rPr>
                <w:sz w:val="20"/>
                <w:szCs w:val="20"/>
                <w:color w:val="auto"/>
              </w:rPr>
            </w:pPr>
            <w:r>
              <w:rPr>
                <w:rFonts w:ascii="Arial" w:cs="Arial" w:eastAsia="Arial" w:hAnsi="Arial"/>
                <w:sz w:val="16"/>
                <w:szCs w:val="16"/>
                <w:color w:val="auto"/>
              </w:rPr>
              <w:t>purchase of intangible assets of $66 and</w:t>
            </w:r>
          </w:p>
        </w:tc>
      </w:tr>
      <w:tr>
        <w:trPr>
          <w:trHeight w:val="233"/>
        </w:trPr>
        <w:tc>
          <w:tcPr>
            <w:tcW w:w="3820" w:type="dxa"/>
            <w:vAlign w:val="bottom"/>
            <w:tcBorders>
              <w:bottom w:val="single" w:sz="8" w:color="DBDBDB"/>
            </w:tcBorders>
            <w:shd w:val="clear" w:color="auto" w:fill="DBDBDB"/>
          </w:tcPr>
          <w:p>
            <w:pPr>
              <w:spacing w:after="0"/>
              <w:rPr>
                <w:sz w:val="20"/>
                <w:szCs w:val="20"/>
                <w:color w:val="auto"/>
              </w:rPr>
            </w:pP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120" w:type="dxa"/>
            <w:vAlign w:val="bottom"/>
          </w:tcPr>
          <w:p>
            <w:pPr>
              <w:ind w:left="20"/>
              <w:spacing w:after="0"/>
              <w:rPr>
                <w:sz w:val="20"/>
                <w:szCs w:val="20"/>
                <w:color w:val="auto"/>
              </w:rPr>
            </w:pPr>
            <w:r>
              <w:rPr>
                <w:rFonts w:ascii="Arial" w:cs="Arial" w:eastAsia="Arial" w:hAnsi="Arial"/>
                <w:sz w:val="16"/>
                <w:szCs w:val="16"/>
                <w:color w:val="auto"/>
              </w:rPr>
              <w:t>purchase of equipment of $142.</w:t>
            </w:r>
          </w:p>
        </w:tc>
      </w:tr>
      <w:tr>
        <w:trPr>
          <w:trHeight w:val="200"/>
        </w:trPr>
        <w:tc>
          <w:tcPr>
            <w:tcW w:w="3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from financing activities</w:t>
            </w:r>
          </w:p>
        </w:tc>
        <w:tc>
          <w:tcPr>
            <w:tcW w:w="74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5"/>
              </w:rPr>
              <w:t>For the three-month period ended June 30, 2022, cash generated from financing activities were related to the</w:t>
            </w:r>
          </w:p>
        </w:tc>
      </w:tr>
      <w:tr>
        <w:trPr>
          <w:trHeight w:val="213"/>
        </w:trPr>
        <w:tc>
          <w:tcPr>
            <w:tcW w:w="3820" w:type="dxa"/>
            <w:vAlign w:val="bottom"/>
            <w:tcBorders>
              <w:bottom w:val="single" w:sz="8" w:color="DBDBDB"/>
            </w:tcBorders>
            <w:shd w:val="clear" w:color="auto" w:fill="DBDBDB"/>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Arial" w:cs="Arial" w:eastAsia="Arial" w:hAnsi="Arial"/>
                <w:sz w:val="16"/>
                <w:szCs w:val="16"/>
                <w:color w:val="auto"/>
              </w:rPr>
              <w:t>exercise of warrants.</w:t>
            </w:r>
          </w:p>
        </w:tc>
      </w:tr>
      <w:tr>
        <w:trPr>
          <w:trHeight w:val="20"/>
        </w:trPr>
        <w:tc>
          <w:tcPr>
            <w:tcW w:w="3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120" w:type="dxa"/>
            <w:vAlign w:val="bottom"/>
            <w:shd w:val="clear" w:color="auto" w:fill="000000"/>
          </w:tcPr>
          <w:p>
            <w:pPr>
              <w:spacing w:after="0" w:line="20" w:lineRule="exact"/>
              <w:rPr>
                <w:sz w:val="1"/>
                <w:szCs w:val="1"/>
                <w:color w:val="auto"/>
              </w:rPr>
            </w:pPr>
          </w:p>
        </w:tc>
      </w:tr>
    </w:tbl>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at June 30, 2022, the Company had working capital of $41,775.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intends to continue its rapid growth and expand its operations in the next twelve to twenty-four months. This growth, along with the expectation of operating at a loss for at minimum the next 12 months, will diminish the Company’s working capital. As such, further financings may be required to develop the Company’s facility and products,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June 30, 2022, the Company had a cash balance of $42,460 and current liabilities of $6,405, of which $467 represent non-cash liabilities. The Company’s current resources are sufficient to settle its current liabilities.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759"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raised capital pursuant to the February 2021 Prospectus, under which the Company issues 15,264,000 units of the Company (each, a "</w:t>
      </w:r>
      <w:r>
        <w:rPr>
          <w:rFonts w:ascii="Arial" w:cs="Arial" w:eastAsia="Arial" w:hAnsi="Arial"/>
          <w:sz w:val="16"/>
          <w:szCs w:val="16"/>
          <w:b w:val="1"/>
          <w:bCs w:val="1"/>
          <w:color w:val="auto"/>
        </w:rPr>
        <w:t>Unit</w:t>
      </w:r>
      <w:r>
        <w:rPr>
          <w:rFonts w:ascii="Arial" w:cs="Arial" w:eastAsia="Arial" w:hAnsi="Arial"/>
          <w:sz w:val="16"/>
          <w:szCs w:val="16"/>
          <w:color w:val="auto"/>
        </w:rPr>
        <w:t>") at a price of $2.25 per Unit for aggregate gross proceeds of $34,304, and pursuant to the July Prospectus Supplement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at June 30, 2022, the Company had also entered into agreements for various studies which may require the Company to spend up to an additional US$7,812. The Company expects to pay this amount within the next 18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June 30, 2022 and as of the date of this MD&amp;A: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40"/>
              <w:spacing w:after="0"/>
              <w:rPr>
                <w:sz w:val="20"/>
                <w:szCs w:val="20"/>
                <w:color w:val="auto"/>
              </w:rPr>
            </w:pPr>
            <w:r>
              <w:rPr>
                <w:rFonts w:ascii="Arial" w:cs="Arial" w:eastAsia="Arial" w:hAnsi="Arial"/>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878"/>
              <w:spacing w:after="0"/>
              <w:rPr>
                <w:sz w:val="20"/>
                <w:szCs w:val="20"/>
                <w:color w:val="auto"/>
              </w:rPr>
            </w:pPr>
            <w:r>
              <w:rPr>
                <w:rFonts w:ascii="Arial" w:cs="Arial" w:eastAsia="Arial" w:hAnsi="Arial"/>
                <w:sz w:val="16"/>
                <w:szCs w:val="16"/>
                <w:b w:val="1"/>
                <w:bCs w:val="1"/>
                <w:color w:val="auto"/>
              </w:rPr>
              <w:t>As of June 30, 2022</w:t>
            </w:r>
          </w:p>
        </w:tc>
        <w:tc>
          <w:tcPr>
            <w:tcW w:w="3660" w:type="dxa"/>
            <w:vAlign w:val="bottom"/>
            <w:tcBorders>
              <w:top w:val="single" w:sz="8" w:color="auto"/>
              <w:bottom w:val="single" w:sz="8" w:color="DBDBDB"/>
              <w:right w:val="single" w:sz="8" w:color="auto"/>
            </w:tcBorders>
            <w:shd w:val="clear" w:color="auto" w:fill="DBDBDB"/>
          </w:tcPr>
          <w:p>
            <w:pPr>
              <w:jc w:val="right"/>
              <w:ind w:right="778"/>
              <w:spacing w:after="0"/>
              <w:rPr>
                <w:sz w:val="20"/>
                <w:szCs w:val="20"/>
                <w:color w:val="auto"/>
              </w:rPr>
            </w:pPr>
            <w:r>
              <w:rPr>
                <w:rFonts w:ascii="Arial" w:cs="Arial" w:eastAsia="Arial" w:hAnsi="Arial"/>
                <w:sz w:val="16"/>
                <w:szCs w:val="16"/>
                <w:b w:val="1"/>
                <w:bCs w:val="1"/>
                <w:color w:val="auto"/>
              </w:rPr>
              <w:t>As of the date of this MD&amp;A</w:t>
            </w:r>
          </w:p>
        </w:tc>
      </w:tr>
      <w:tr>
        <w:trPr>
          <w:trHeight w:val="211"/>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166,120,171</w:t>
            </w:r>
          </w:p>
        </w:tc>
        <w:tc>
          <w:tcPr>
            <w:tcW w:w="3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166,120,171</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29,365,002</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29,105,002</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24,449,198</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24,449,198</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86"/>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1,336,296.2</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1,336,296.2</w:t>
            </w:r>
          </w:p>
        </w:tc>
      </w:tr>
      <w:tr>
        <w:trPr>
          <w:trHeight w:val="146"/>
        </w:trPr>
        <w:tc>
          <w:tcPr>
            <w:tcW w:w="4280" w:type="dxa"/>
            <w:vAlign w:val="bottom"/>
            <w:tcBorders>
              <w:left w:val="single" w:sz="8" w:color="auto"/>
              <w:bottom w:val="single" w:sz="8" w:color="auto"/>
              <w:right w:val="single" w:sz="8" w:color="auto"/>
            </w:tcBorders>
          </w:tcPr>
          <w:p>
            <w:pPr>
              <w:spacing w:after="0"/>
              <w:rPr>
                <w:sz w:val="12"/>
                <w:szCs w:val="12"/>
                <w:color w:val="auto"/>
              </w:rPr>
            </w:pPr>
          </w:p>
        </w:tc>
        <w:tc>
          <w:tcPr>
            <w:tcW w:w="322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48" w:lineRule="exact"/>
        <w:rPr>
          <w:sz w:val="20"/>
          <w:szCs w:val="20"/>
          <w:color w:val="auto"/>
        </w:rPr>
      </w:pPr>
    </w:p>
    <w:p>
      <w:pPr>
        <w:ind w:left="580" w:firstLine="5"/>
        <w:spacing w:after="0" w:line="275" w:lineRule="auto"/>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1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capital of the Company consists of an unlimited number of Common Shares without par value and an unlimited number of preferred shares.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and as of the date of this MD&amp;A, 166,120,171 Common Shares were outstanding and no preferred shares are issued and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of June 30, 2022, options to purchase up to 29,365,002 Common Shares were outstanding under Cybin’s equity incentive plan. As of the date of this MD&amp;A, options to purchase up to 29,105,002 Common Shares are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 Warrants</w:t>
      </w:r>
    </w:p>
    <w:p>
      <w:pPr>
        <w:spacing w:after="0" w:line="1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As of June 30, 2022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of June 30, 2022, and as of the date of this MD&amp;A, warrants to purchase up to 24,449,198 Common Shares were outstanding, exercisable at weighted average exercise price of $1.26 per Common Share.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June 30, 2022, and as of the date of this MD&amp;A, 1,336,296.2 Class B Shares were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December 4, 2020, Cybin entered into a contribution agreement, as amended on September 24, 2021,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Cybin Corp., Cybin U.S. (the “</w:t>
      </w:r>
      <w:r>
        <w:rPr>
          <w:rFonts w:ascii="Arial" w:cs="Arial" w:eastAsia="Arial" w:hAnsi="Arial"/>
          <w:sz w:val="18"/>
          <w:szCs w:val="18"/>
          <w:b w:val="1"/>
          <w:bCs w:val="1"/>
          <w:color w:val="auto"/>
        </w:rPr>
        <w:t>Acquiror</w:t>
      </w:r>
      <w:r>
        <w:rPr>
          <w:rFonts w:ascii="Arial" w:cs="Arial" w:eastAsia="Arial" w:hAnsi="Arial"/>
          <w:sz w:val="18"/>
          <w:szCs w:val="18"/>
          <w:color w:val="auto"/>
        </w:rPr>
        <w:t>”), a newly formed fully-controlled subsidiary of Cybin created for the purposes of the Adelia Transaction, and all of the shareholders of Adelia (the “</w:t>
      </w:r>
      <w:r>
        <w:rPr>
          <w:rFonts w:ascii="Arial" w:cs="Arial" w:eastAsia="Arial" w:hAnsi="Arial"/>
          <w:sz w:val="18"/>
          <w:szCs w:val="18"/>
          <w:b w:val="1"/>
          <w:bCs w:val="1"/>
          <w:color w:val="auto"/>
        </w:rPr>
        <w:t>Adelia Shareholders</w:t>
      </w:r>
      <w:r>
        <w:rPr>
          <w:rFonts w:ascii="Arial" w:cs="Arial" w:eastAsia="Arial" w:hAnsi="Arial"/>
          <w:sz w:val="18"/>
          <w:szCs w:val="18"/>
          <w:color w:val="auto"/>
        </w:rPr>
        <w:t>”) whereby the Acquiror has agreed to purchase from the Adelia Shareholders all of the issued and outstanding common shares of Adelia (the “</w:t>
      </w:r>
      <w:r>
        <w:rPr>
          <w:rFonts w:ascii="Arial" w:cs="Arial" w:eastAsia="Arial" w:hAnsi="Arial"/>
          <w:sz w:val="18"/>
          <w:szCs w:val="18"/>
          <w:b w:val="1"/>
          <w:bCs w:val="1"/>
          <w:color w:val="auto"/>
        </w:rPr>
        <w:t>Adelia Shares</w:t>
      </w:r>
      <w:r>
        <w:rPr>
          <w:rFonts w:ascii="Arial" w:cs="Arial" w:eastAsia="Arial" w:hAnsi="Arial"/>
          <w:sz w:val="18"/>
          <w:szCs w:val="18"/>
          <w:color w:val="auto"/>
        </w:rPr>
        <w:t>”) in exchange for non-voting Class B common shares in the capital of the Acquiror (the “</w:t>
      </w:r>
      <w:r>
        <w:rPr>
          <w:rFonts w:ascii="Arial" w:cs="Arial" w:eastAsia="Arial" w:hAnsi="Arial"/>
          <w:sz w:val="18"/>
          <w:szCs w:val="18"/>
          <w:b w:val="1"/>
          <w:bCs w:val="1"/>
          <w:color w:val="auto"/>
        </w:rPr>
        <w:t>Class</w:t>
      </w:r>
      <w:r>
        <w:rPr>
          <w:rFonts w:ascii="Arial" w:cs="Arial" w:eastAsia="Arial" w:hAnsi="Arial"/>
          <w:sz w:val="18"/>
          <w:szCs w:val="18"/>
          <w:color w:val="auto"/>
        </w:rPr>
        <w:t xml:space="preserve"> </w:t>
      </w:r>
      <w:r>
        <w:rPr>
          <w:rFonts w:ascii="Arial" w:cs="Arial" w:eastAsia="Arial" w:hAnsi="Arial"/>
          <w:sz w:val="18"/>
          <w:szCs w:val="18"/>
          <w:b w:val="1"/>
          <w:bCs w:val="1"/>
          <w:color w:val="auto"/>
        </w:rPr>
        <w:t>B Shares</w:t>
      </w:r>
      <w:r>
        <w:rPr>
          <w:rFonts w:ascii="Arial" w:cs="Arial" w:eastAsia="Arial" w:hAnsi="Arial"/>
          <w:sz w:val="18"/>
          <w:szCs w:val="18"/>
          <w:color w:val="auto"/>
        </w:rPr>
        <w:t>”). The Adelia Transaction closed on December 14, 2020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3"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jc w:val="both"/>
        <w:ind w:right="20"/>
        <w:spacing w:after="0" w:line="242"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710" w:right="319" w:bottom="1440" w:gutter="0" w:footer="0" w:header="0"/>
        </w:sectPr>
      </w:pPr>
    </w:p>
    <w:bookmarkStart w:id="69" w:name="page70"/>
    <w:bookmarkEnd w:id="69"/>
    <w:p>
      <w:pPr>
        <w:jc w:val="both"/>
        <w:spacing w:after="0" w:line="274" w:lineRule="auto"/>
        <w:rPr>
          <w:sz w:val="20"/>
          <w:szCs w:val="20"/>
          <w:color w:val="auto"/>
        </w:rPr>
      </w:pPr>
      <w:r>
        <w:rPr>
          <w:rFonts w:ascii="Arial" w:cs="Arial" w:eastAsia="Arial" w:hAnsi="Arial"/>
          <w:sz w:val="16"/>
          <w:szCs w:val="16"/>
          <w:color w:val="auto"/>
        </w:rPr>
        <w:t>On the occurrence of certain milestones as set out in the Contribution Agreement (each a “</w:t>
      </w:r>
      <w:r>
        <w:rPr>
          <w:rFonts w:ascii="Arial" w:cs="Arial" w:eastAsia="Arial" w:hAnsi="Arial"/>
          <w:sz w:val="16"/>
          <w:szCs w:val="16"/>
          <w:b w:val="1"/>
          <w:bCs w:val="1"/>
          <w:color w:val="auto"/>
        </w:rPr>
        <w:t>Milestone</w:t>
      </w:r>
      <w:r>
        <w:rPr>
          <w:rFonts w:ascii="Arial" w:cs="Arial" w:eastAsia="Arial" w:hAnsi="Arial"/>
          <w:sz w:val="16"/>
          <w:szCs w:val="16"/>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6"/>
          <w:szCs w:val="16"/>
          <w:b w:val="1"/>
          <w:bCs w:val="1"/>
          <w:color w:val="auto"/>
        </w:rPr>
        <w:t>Milestone Determination Date</w:t>
      </w:r>
      <w:r>
        <w:rPr>
          <w:rFonts w:ascii="Arial" w:cs="Arial" w:eastAsia="Arial" w:hAnsi="Arial"/>
          <w:sz w:val="16"/>
          <w:szCs w:val="16"/>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 $7.33 million), assuming all Milestones are met prior to the applicable deadlines. As of the date of this MD&amp;A, 689,602.2 Class B Shares had been issued on the achievement of Milestones, and 222,139.0 Class B Shares have been exchanged into Common Shares. Pursuant to the Contribution Agreement, Cybin, the Acquiror and the Adelia Shareholders also entered into a support agreement dated December 14, 2020 (the “</w:t>
      </w:r>
      <w:r>
        <w:rPr>
          <w:rFonts w:ascii="Arial" w:cs="Arial" w:eastAsia="Arial" w:hAnsi="Arial"/>
          <w:sz w:val="16"/>
          <w:szCs w:val="16"/>
          <w:b w:val="1"/>
          <w:bCs w:val="1"/>
          <w:color w:val="auto"/>
        </w:rPr>
        <w:t>Support Agreement</w:t>
      </w:r>
      <w:r>
        <w:rPr>
          <w:rFonts w:ascii="Arial" w:cs="Arial" w:eastAsia="Arial" w:hAnsi="Arial"/>
          <w:sz w:val="16"/>
          <w:szCs w:val="16"/>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06"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$2,033 at a price per Class B Share of $7.62. These Class B Shares are exchangeable for a total of 2,669,331 Common Shares, representing an effective issue price of $0.762 per Common Share.</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930"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555,900 options to acquire Common Shares were issued to eligible participants at the direction of the Adelia Shareholders following the Closing.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at June 30, 2022 and the date of this MD&amp;A, other than these contractual obligations and commitments disclosed in note 12 of the Interim Financial Statements, the Company does not have any off-balance sheet arrangements that have or are reasonably likely to have a current or future effect on the results of operations or financial condition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and twelve-month periods ended June 30, 2022,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 Operating Officer, Chief Growth Officer, Chief Compliance, Ethics &amp; Administrative Officer, Chief Legal Officer, Chief Innovation Officer, Chief Medical Officer, and Chief Scientific Officers.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Compensation for key management personnel of the Company for the three month period ended June 30, 2022 consisted of consulting fees, short term benefits and other compensation of $2,468 (three-month period ended June 30, 2021 - $3,276).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2022, found on SEDAR at </w:t>
      </w:r>
      <w:r>
        <w:rPr>
          <w:rFonts w:ascii="Arial" w:cs="Arial" w:eastAsia="Arial" w:hAnsi="Arial"/>
          <w:sz w:val="16"/>
          <w:szCs w:val="16"/>
          <w:i w:val="1"/>
          <w:iCs w:val="1"/>
          <w:u w:val="single" w:color="auto"/>
          <w:color w:val="0563C1"/>
        </w:rPr>
        <w:t>www.sedar.com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annual consolidated financial statements for the year ended March 31, 2022, found on SEDAR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and Chief Financial Officer (the “</w:t>
      </w:r>
      <w:r>
        <w:rPr>
          <w:rFonts w:ascii="Arial" w:cs="Arial" w:eastAsia="Arial" w:hAnsi="Arial"/>
          <w:sz w:val="18"/>
          <w:szCs w:val="18"/>
          <w:b w:val="1"/>
          <w:bCs w:val="1"/>
          <w:color w:val="auto"/>
        </w:rPr>
        <w:t>CFO</w:t>
      </w:r>
      <w:r>
        <w:rPr>
          <w:rFonts w:ascii="Arial" w:cs="Arial" w:eastAsia="Arial" w:hAnsi="Arial"/>
          <w:sz w:val="18"/>
          <w:szCs w:val="18"/>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IFRS. Internal control over financial reporting should include those policies and procedures that establish the following:</w:t>
      </w:r>
    </w:p>
    <w:p>
      <w:pPr>
        <w:spacing w:after="0" w:line="221" w:lineRule="exact"/>
        <w:rPr>
          <w:sz w:val="20"/>
          <w:szCs w:val="20"/>
          <w:color w:val="auto"/>
        </w:rPr>
      </w:pPr>
    </w:p>
    <w:p>
      <w:pPr>
        <w:ind w:left="580" w:hanging="289"/>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ind w:left="580" w:right="20" w:hanging="289"/>
        <w:spacing w:after="0" w:line="248"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9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During the period ended June 30, 2022, the Company did not make any significant changes to its internal controls over financial reporting that would have materially affected, or reasonably likely to materially affect, its internal controls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 number of new standards, amendments to standards and interpretations are not yet effective at June 30, 2022, and have not been applied in preparing the Interim Financial Statements. Management has determined that none of these will have a significant effect on the consolidated financial statements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Risk Management</w:t>
      </w:r>
    </w:p>
    <w:p>
      <w:pPr>
        <w:spacing w:after="0" w:line="2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14, </w:t>
      </w:r>
      <w:r>
        <w:rPr>
          <w:rFonts w:ascii="Arial" w:cs="Arial" w:eastAsia="Arial" w:hAnsi="Arial"/>
          <w:sz w:val="16"/>
          <w:szCs w:val="16"/>
          <w:i w:val="1"/>
          <w:iCs w:val="1"/>
          <w:color w:val="auto"/>
        </w:rPr>
        <w:t>Financial Risk Management</w:t>
      </w:r>
      <w:r>
        <w:rPr>
          <w:rFonts w:ascii="Arial" w:cs="Arial" w:eastAsia="Arial" w:hAnsi="Arial"/>
          <w:sz w:val="16"/>
          <w:szCs w:val="16"/>
          <w:color w:val="auto"/>
        </w:rPr>
        <w:t xml:space="preserve"> in the Interim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noted the following risks specific to the psychedelic industry that it is exposed to: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Regulatory risk pertains to the risk that the Company’s business objectives are contingent, in part, upon the compliance with regulatory requirements. Due to the nature of the industry, regulatory requirements can be more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710" w:right="319" w:bottom="1440" w:gutter="0" w:footer="0" w:header="0"/>
        </w:sectPr>
      </w:pPr>
    </w:p>
    <w:bookmarkStart w:id="73" w:name="page74"/>
    <w:bookmarkEnd w:id="73"/>
    <w:p>
      <w:pPr>
        <w:jc w:val="both"/>
        <w:spacing w:after="0" w:line="330" w:lineRule="auto"/>
        <w:rPr>
          <w:sz w:val="20"/>
          <w:szCs w:val="20"/>
          <w:color w:val="auto"/>
        </w:rPr>
      </w:pPr>
      <w:r>
        <w:rPr>
          <w:rFonts w:ascii="Arial" w:cs="Arial" w:eastAsia="Arial" w:hAnsi="Arial"/>
          <w:sz w:val="16"/>
          <w:szCs w:val="16"/>
          <w:color w:val="auto"/>
        </w:rPr>
        <w:t>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July 11, 2022, the Company completed the Asset Acquisition from Entheon to accelerate the clinical development path for CYB004, Cybin’s proprietary deuterated DMT molecule for the potential treatment of anxiety disorders. The Company paid $1,000 for the Asset Acquisition, of which a portion was paid as a deposit during the three-month period ended June 30, 2022. In addition, the Company may pay up to $480 for consulting services to be provided from Entheon over a period of up to twelve months following the close of the Asset Acquisition. In connection with the Asset Acquisition, the Company has entered into a data license agreement with Entheon that permits Entheon to access certain data.</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July 12, 2022, the Company announced that through its partner, Clinilabs, enrollment begun for a Phase I/IIa clinical trial of CYB003, the first novel psilocybin analog to be evaluated in Phase I/IIa development for the treatment of MDD.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from July 1, 2022 to August 7, 2022, 10,000 vested options expired and 250,000 unvested options were forfeited.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Coronavirus “COVID-19”</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10" w:right="3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7"/>
          <w:szCs w:val="17"/>
          <w:color w:val="auto"/>
        </w:rPr>
        <w:t>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189" w:lineRule="exact"/>
        <w:rPr>
          <w:sz w:val="20"/>
          <w:szCs w:val="20"/>
          <w:color w:val="auto"/>
        </w:rPr>
      </w:pPr>
    </w:p>
    <w:p>
      <w:pPr>
        <w:jc w:val="both"/>
        <w:ind w:left="580" w:hanging="289"/>
        <w:spacing w:after="0" w:line="261" w:lineRule="auto"/>
        <w:tabs>
          <w:tab w:leader="none" w:pos="569"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Mandatory Closure. </w:t>
      </w:r>
      <w:r>
        <w:rPr>
          <w:rFonts w:ascii="Arial" w:cs="Arial" w:eastAsia="Arial" w:hAnsi="Arial"/>
          <w:sz w:val="17"/>
          <w:szCs w:val="17"/>
          <w:color w:val="auto"/>
        </w:rPr>
        <w:t>In response to the pandemic, many provinces, states and localities have implemented mandatory shut-downs of business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1" w:lineRule="exact"/>
        <w:rPr>
          <w:rFonts w:ascii="Arial" w:cs="Arial" w:eastAsia="Arial" w:hAnsi="Arial"/>
          <w:sz w:val="17"/>
          <w:szCs w:val="17"/>
          <w:color w:val="auto"/>
        </w:rPr>
      </w:pPr>
    </w:p>
    <w:p>
      <w:pPr>
        <w:jc w:val="both"/>
        <w:ind w:left="580" w:hanging="289"/>
        <w:spacing w:after="0" w:line="271" w:lineRule="auto"/>
        <w:tabs>
          <w:tab w:leader="none" w:pos="569"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Research and Development Disruptions</w:t>
      </w:r>
      <w:r>
        <w:rPr>
          <w:rFonts w:ascii="Arial" w:cs="Arial" w:eastAsia="Arial" w:hAnsi="Arial"/>
          <w:sz w:val="16"/>
          <w:szCs w:val="16"/>
          <w:color w:val="auto"/>
        </w:rPr>
        <w:t>. The Company relies on a third parties for its research and development activities. If these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jc w:val="both"/>
        <w:ind w:left="580" w:hanging="289"/>
        <w:spacing w:after="0" w:line="278" w:lineRule="auto"/>
        <w:tabs>
          <w:tab w:leader="none" w:pos="569"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Staffing Disruption</w:t>
      </w:r>
      <w:r>
        <w:rPr>
          <w:rFonts w:ascii="Arial" w:cs="Arial" w:eastAsia="Arial" w:hAnsi="Arial"/>
          <w:sz w:val="16"/>
          <w:szCs w:val="16"/>
          <w:color w:val="auto"/>
        </w:rPr>
        <w:t>. The Company is, for the time being, implementing among its staff where feasible “social distancing” measures recommended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1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22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EMA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can make no assurance that any future studies, if undertaken, will yield favorable results. Many companies in the pharmaceutical and biotechnology industries have suffered significant setbacks in later-stage clinical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930"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18"/>
          <w:szCs w:val="18"/>
          <w:color w:val="auto"/>
        </w:rPr>
        <w:t>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Controlled Substances Import and Export Act and as such, medical and recreational use is illegal under the U.S. federal laws.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710" w:right="319" w:bottom="1440" w:gutter="0" w:footer="0" w:header="0"/>
        </w:sectPr>
      </w:pPr>
    </w:p>
    <w:bookmarkStart w:id="77" w:name="page78"/>
    <w:bookmarkEnd w:id="77"/>
    <w:p>
      <w:pPr>
        <w:jc w:val="both"/>
        <w:spacing w:after="0" w:line="267" w:lineRule="auto"/>
        <w:rPr>
          <w:sz w:val="20"/>
          <w:szCs w:val="20"/>
          <w:color w:val="auto"/>
        </w:rPr>
      </w:pPr>
      <w:r>
        <w:rPr>
          <w:rFonts w:ascii="Arial" w:cs="Arial" w:eastAsia="Arial" w:hAnsi="Arial"/>
          <w:sz w:val="18"/>
          <w:szCs w:val="18"/>
          <w:color w:val="auto"/>
        </w:rPr>
        <w:t>administrative sanctions, convictions or settlements arising from civil proceedings initiated by either government entities in the jurisdictions in which the Company operates, or private citizens or criminal charges.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necessary licences and permits for any of the above scheduled drugs could have an adverse effect on the Company’s operations.</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of Operating in European Countries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and other risks associated with the Company’s international operations may materially adversely affect its ability to attain or maintain profitable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71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71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22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has limited manufacturing experience and relies on contract manufacturing organizations (“</w:t>
      </w:r>
      <w:r>
        <w:rPr>
          <w:rFonts w:ascii="Arial" w:cs="Arial" w:eastAsia="Arial" w:hAnsi="Arial"/>
          <w:sz w:val="17"/>
          <w:szCs w:val="17"/>
          <w:b w:val="1"/>
          <w:bCs w:val="1"/>
          <w:color w:val="auto"/>
        </w:rPr>
        <w:t>CMOs</w:t>
      </w:r>
      <w:r>
        <w:rPr>
          <w:rFonts w:ascii="Arial" w:cs="Arial" w:eastAsia="Arial" w:hAnsi="Arial"/>
          <w:sz w:val="17"/>
          <w:szCs w:val="17"/>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and the EMA,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221"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10" w:right="319" w:bottom="1440" w:gutter="0" w:footer="0" w:header="0"/>
        </w:sectPr>
      </w:pPr>
    </w:p>
    <w:bookmarkStart w:id="80" w:name="page81"/>
    <w:bookmarkEnd w:id="80"/>
    <w:p>
      <w:pPr>
        <w:jc w:val="both"/>
        <w:ind w:right="20"/>
        <w:spacing w:after="0" w:line="301" w:lineRule="auto"/>
        <w:rPr>
          <w:sz w:val="20"/>
          <w:szCs w:val="20"/>
          <w:color w:val="auto"/>
        </w:rPr>
      </w:pPr>
      <w:r>
        <w:rPr>
          <w:rFonts w:ascii="Arial" w:cs="Arial" w:eastAsia="Arial" w:hAnsi="Arial"/>
          <w:sz w:val="16"/>
          <w:szCs w:val="16"/>
          <w:color w:val="auto"/>
        </w:rPr>
        <w:t>efficacy reasons at any stage of the testing process. A major risk the Company faces is the possibility that none of its prescription drug product candidates under development will successfully gain market approval from Health Canada, the FDA, the EMA or other regulatory authorities, resulting in the Company being unable to derive any commercial revenue from them after investing significant amounts of capital in their development.</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8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92" w:lineRule="exact"/>
        <w:rPr>
          <w:sz w:val="20"/>
          <w:szCs w:val="20"/>
          <w:color w:val="auto"/>
        </w:rPr>
      </w:pPr>
    </w:p>
    <w:p>
      <w:pPr>
        <w:ind w:left="580" w:hanging="289"/>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16" w:lineRule="exact"/>
        <w:rPr>
          <w:rFonts w:ascii="Arial" w:cs="Arial" w:eastAsia="Arial" w:hAnsi="Arial"/>
          <w:sz w:val="18"/>
          <w:szCs w:val="18"/>
          <w:color w:val="auto"/>
        </w:rPr>
      </w:pPr>
    </w:p>
    <w:p>
      <w:pPr>
        <w:ind w:left="580" w:right="20" w:hanging="289"/>
        <w:spacing w:after="0" w:line="241" w:lineRule="auto"/>
        <w:tabs>
          <w:tab w:leader="none" w:pos="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580" w:right="20" w:hanging="289"/>
        <w:spacing w:after="0" w:line="241" w:lineRule="auto"/>
        <w:tabs>
          <w:tab w:leader="none" w:pos="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ind w:left="580" w:right="20" w:hanging="289"/>
        <w:spacing w:after="0" w:line="248" w:lineRule="auto"/>
        <w:tabs>
          <w:tab w:leader="none" w:pos="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710" w:right="319" w:bottom="1440" w:gutter="0" w:footer="0" w:header="0"/>
        </w:sectPr>
      </w:pPr>
    </w:p>
    <w:bookmarkStart w:id="81" w:name="page82"/>
    <w:bookmarkEnd w:id="81"/>
    <w:p>
      <w:pPr>
        <w:jc w:val="both"/>
        <w:ind w:left="580" w:right="20" w:hanging="289"/>
        <w:spacing w:after="0" w:line="247"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580" w:hanging="28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ind w:left="580" w:hanging="28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ind w:left="580" w:right="20" w:hanging="289"/>
        <w:spacing w:after="0" w:line="241"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89"/>
        <w:spacing w:after="0" w:line="241"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80" w:hanging="28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2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710" w:right="319" w:bottom="1440" w:gutter="0" w:footer="0" w:header="0"/>
        </w:sectPr>
      </w:pPr>
    </w:p>
    <w:bookmarkStart w:id="82" w:name="page83"/>
    <w:bookmarkEnd w:id="82"/>
    <w:p>
      <w:pPr>
        <w:jc w:val="both"/>
        <w:ind w:right="20"/>
        <w:spacing w:after="0" w:line="249" w:lineRule="auto"/>
        <w:rPr>
          <w:sz w:val="20"/>
          <w:szCs w:val="20"/>
          <w:color w:val="auto"/>
        </w:rPr>
      </w:pPr>
      <w:r>
        <w:rPr>
          <w:rFonts w:ascii="Arial" w:cs="Arial" w:eastAsia="Arial" w:hAnsi="Arial"/>
          <w:sz w:val="18"/>
          <w:szCs w:val="18"/>
          <w:color w:val="auto"/>
        </w:rPr>
        <w:t>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Company’s development and commercialization activities and prescription drug product candidates are significantly regulated by a number of governmental entities, including Health Canada, the FDA and the EMA.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EMA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6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EMA or other regulatory authorities may impose a risk evaluation and mitigation strategy, thereby imposing certain restrictions on the sale and marketability of such products.</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believes the psychedelic pharmaceutical industry is highly dependent upon consumer perception regarding the safety, efficacy and quality of psychedelic pharmaceutical products. Consumer perception of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320" w:top="710" w:right="319" w:bottom="1440" w:gutter="0" w:footer="0" w:header="0"/>
        </w:sectPr>
      </w:pPr>
    </w:p>
    <w:bookmarkStart w:id="83" w:name="page84"/>
    <w:bookmarkEnd w:id="83"/>
    <w:p>
      <w:pPr>
        <w:jc w:val="both"/>
        <w:spacing w:after="0" w:line="258" w:lineRule="auto"/>
        <w:rPr>
          <w:sz w:val="20"/>
          <w:szCs w:val="20"/>
          <w:color w:val="auto"/>
        </w:rPr>
      </w:pPr>
      <w:r>
        <w:rPr>
          <w:rFonts w:ascii="Arial" w:cs="Arial" w:eastAsia="Arial" w:hAnsi="Arial"/>
          <w:sz w:val="17"/>
          <w:szCs w:val="17"/>
          <w:color w:val="auto"/>
        </w:rPr>
        <w:t>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93" w:lineRule="exact"/>
        <w:rPr>
          <w:sz w:val="20"/>
          <w:szCs w:val="20"/>
          <w:color w:val="auto"/>
        </w:rPr>
      </w:pPr>
    </w:p>
    <w:p>
      <w:pPr>
        <w:ind w:left="580" w:right="20" w:hanging="289"/>
        <w:spacing w:after="0" w:line="250"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ability to develop and maintain a competitive position in the product categories and technologies on which it focuses;</w:t>
      </w:r>
    </w:p>
    <w:p>
      <w:pPr>
        <w:ind w:left="580" w:hanging="289"/>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time it takes for the Company’s prescription drug product candidates to complete clinical development and receive marketing approval;</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710" w:right="319" w:bottom="1440" w:gutter="0" w:footer="0" w:header="0"/>
        </w:sectPr>
      </w:pPr>
    </w:p>
    <w:bookmarkStart w:id="84" w:name="page85"/>
    <w:bookmarkEnd w:id="84"/>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Company’s ability to establish, maintain and protect intellectual property rights related to its prescription drug product candidates; and</w:t>
      </w:r>
    </w:p>
    <w:p>
      <w:pPr>
        <w:spacing w:after="0" w:line="12" w:lineRule="exact"/>
        <w:rPr>
          <w:rFonts w:ascii="Arial" w:cs="Arial" w:eastAsia="Arial" w:hAnsi="Arial"/>
          <w:sz w:val="17"/>
          <w:szCs w:val="17"/>
          <w:color w:val="auto"/>
        </w:rPr>
      </w:pPr>
    </w:p>
    <w:p>
      <w:pPr>
        <w:ind w:left="580" w:right="20" w:hanging="289"/>
        <w:spacing w:after="0" w:line="248" w:lineRule="auto"/>
        <w:tabs>
          <w:tab w:leader="none" w:pos="5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9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9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and/or the EMA regulations, provide accurate information to Health Canada, the FDA and/or the EMA,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320" w:top="710" w:right="319" w:bottom="1440" w:gutter="0" w:footer="0" w:header="0"/>
        </w:sectPr>
      </w:pPr>
    </w:p>
    <w:bookmarkStart w:id="85" w:name="page86"/>
    <w:bookmarkEnd w:id="85"/>
    <w:p>
      <w:pPr>
        <w:jc w:val="both"/>
        <w:ind w:right="20"/>
        <w:spacing w:after="0" w:line="297" w:lineRule="auto"/>
        <w:rPr>
          <w:sz w:val="20"/>
          <w:szCs w:val="20"/>
          <w:color w:val="auto"/>
        </w:rPr>
      </w:pPr>
      <w:r>
        <w:rPr>
          <w:rFonts w:ascii="Arial" w:cs="Arial" w:eastAsia="Arial" w:hAnsi="Arial"/>
          <w:sz w:val="17"/>
          <w:szCs w:val="17"/>
          <w:color w:val="auto"/>
        </w:rPr>
        <w:t>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95"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9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Due to the nature of the business of the Company and the fact that certain of its contracts involve psilocybin, the use of which is not legal under Canadian or U.S. federal law and in certain other jurisdictions, the Company may face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320" w:top="710" w:right="319" w:bottom="1440" w:gutter="0" w:footer="0" w:header="0"/>
        </w:sectPr>
      </w:pPr>
    </w:p>
    <w:bookmarkStart w:id="86" w:name="page87"/>
    <w:bookmarkEnd w:id="86"/>
    <w:p>
      <w:pPr>
        <w:jc w:val="both"/>
        <w:spacing w:after="0" w:line="267" w:lineRule="auto"/>
        <w:rPr>
          <w:sz w:val="20"/>
          <w:szCs w:val="20"/>
          <w:color w:val="auto"/>
        </w:rPr>
      </w:pPr>
      <w:r>
        <w:rPr>
          <w:rFonts w:ascii="Arial" w:cs="Arial" w:eastAsia="Arial" w:hAnsi="Arial"/>
          <w:sz w:val="18"/>
          <w:szCs w:val="18"/>
          <w:color w:val="auto"/>
        </w:rPr>
        <w:t>difficulties in enforcing its contracts in Canadian or U.S. federal and state courts. The inability to enforce any of its contracts could have a material adverse effect on its business, operating results, financial condition or prospects.</w:t>
      </w:r>
    </w:p>
    <w:p>
      <w:pPr>
        <w:spacing w:after="0" w:line="17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1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71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2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95"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9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22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20" w:top="710" w:right="31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over the areas in which the Company’s operations are conducted, as well as risks of loss due to civil strife, acts of war, guerrilla activities and insurrections.</w:t>
      </w:r>
    </w:p>
    <w:p>
      <w:pPr>
        <w:spacing w:after="0" w:line="24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52"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7"/>
          <w:szCs w:val="17"/>
          <w:i w:val="1"/>
          <w:iCs w:val="1"/>
          <w:color w:val="auto"/>
        </w:rPr>
        <w:t>Personal Information Protection and Electronics Documents Act</w:t>
      </w:r>
      <w:r>
        <w:rPr>
          <w:rFonts w:ascii="Arial" w:cs="Arial" w:eastAsia="Arial" w:hAnsi="Arial"/>
          <w:sz w:val="17"/>
          <w:szCs w:val="17"/>
          <w:color w:val="auto"/>
        </w:rPr>
        <w:t xml:space="preserve"> (Canada) (“</w:t>
      </w:r>
      <w:r>
        <w:rPr>
          <w:rFonts w:ascii="Arial" w:cs="Arial" w:eastAsia="Arial" w:hAnsi="Arial"/>
          <w:sz w:val="17"/>
          <w:szCs w:val="17"/>
          <w:b w:val="1"/>
          <w:bCs w:val="1"/>
          <w:color w:val="auto"/>
        </w:rPr>
        <w:t>PIPEDA</w:t>
      </w:r>
      <w:r>
        <w:rPr>
          <w:rFonts w:ascii="Arial" w:cs="Arial" w:eastAsia="Arial" w:hAnsi="Arial"/>
          <w:sz w:val="17"/>
          <w:szCs w:val="17"/>
          <w:color w:val="auto"/>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22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320" w:top="710" w:right="319" w:bottom="1440" w:gutter="0" w:footer="0" w:header="0"/>
        </w:sectPr>
      </w:pPr>
    </w:p>
    <w:bookmarkStart w:id="90" w:name="page91"/>
    <w:bookmarkEnd w:id="90"/>
    <w:p>
      <w:pPr>
        <w:jc w:val="both"/>
        <w:ind w:right="20"/>
        <w:spacing w:after="0" w:line="269"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Decriminalisation of Psychedelics</w:t>
      </w:r>
    </w:p>
    <w:p>
      <w:pPr>
        <w:spacing w:after="0" w:line="221"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2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Economic Conditions</w:t>
      </w:r>
    </w:p>
    <w:p>
      <w:pPr>
        <w:spacing w:after="0" w:line="1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9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52" w:lineRule="exact"/>
        <w:rPr>
          <w:sz w:val="20"/>
          <w:szCs w:val="20"/>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exchange rates;</w:t>
      </w: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exchange controls and restrictions on remittances abroad;</w:t>
      </w: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rates and monetary policies;</w:t>
      </w: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10" w:right="319" w:bottom="1440" w:gutter="0" w:footer="0" w:header="0"/>
        </w:sectPr>
      </w:pPr>
    </w:p>
    <w:bookmarkStart w:id="91" w:name="page92"/>
    <w:bookmarkEnd w:id="91"/>
    <w:p>
      <w:pPr>
        <w:ind w:left="580" w:hanging="28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liquidity of domestic capital, credit and financial markets;</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or contraction of foreign economies, as measured by rates of growth in gross domestic product;</w:t>
      </w:r>
    </w:p>
    <w:p>
      <w:pPr>
        <w:ind w:left="580" w:hanging="28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fiscal policies; and</w:t>
      </w:r>
    </w:p>
    <w:p>
      <w:pPr>
        <w:ind w:left="580" w:hanging="28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political, social and economic developments in or affecting foreign markets.</w:t>
      </w:r>
    </w:p>
    <w:p>
      <w:pPr>
        <w:spacing w:after="0" w:line="205"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93"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and Interpretation of Tax Laws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320" w:top="710"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706" w:right="339" w:bottom="1440" w:gutter="0" w:footer="0" w:header="0"/>
        </w:sectPr>
      </w:pPr>
    </w:p>
    <w:bookmarkStart w:id="93" w:name="page94"/>
    <w:bookmarkEnd w:id="93"/>
    <w:p>
      <w:pPr>
        <w:jc w:val="both"/>
        <w:ind w:right="20"/>
        <w:spacing w:after="0" w:line="330" w:lineRule="auto"/>
        <w:rPr>
          <w:sz w:val="20"/>
          <w:szCs w:val="20"/>
          <w:color w:val="auto"/>
        </w:rPr>
      </w:pPr>
      <w:r>
        <w:rPr>
          <w:rFonts w:ascii="Arial" w:cs="Arial" w:eastAsia="Arial" w:hAnsi="Arial"/>
          <w:sz w:val="16"/>
          <w:szCs w:val="16"/>
          <w:color w:val="auto"/>
        </w:rPr>
        <w:t>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06"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197"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Accounting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Number of Authorized but Unissued Common Shares</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320" w:top="710" w:right="319" w:bottom="1440" w:gutter="0" w:footer="0" w:header="0"/>
        </w:sectPr>
      </w:pPr>
    </w:p>
    <w:bookmarkStart w:id="94" w:name="page95"/>
    <w:bookmarkEnd w:id="94"/>
    <w:p>
      <w:pPr>
        <w:jc w:val="both"/>
        <w:ind w:right="20"/>
        <w:spacing w:after="0" w:line="267" w:lineRule="auto"/>
        <w:rPr>
          <w:sz w:val="20"/>
          <w:szCs w:val="20"/>
          <w:color w:val="auto"/>
        </w:rPr>
      </w:pPr>
      <w:r>
        <w:rPr>
          <w:rFonts w:ascii="Arial" w:cs="Arial" w:eastAsia="Arial" w:hAnsi="Arial"/>
          <w:sz w:val="18"/>
          <w:szCs w:val="18"/>
          <w:color w:val="auto"/>
        </w:rPr>
        <w:t>not all of the shareholders of the Company agree, and the issuance of such Common Shares will cause dilution to the ownership interests of the shareholders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Cash Flow from Operating Activities and Going Concern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The threat of the Company’s ability </w:t>
      </w:r>
      <w:r>
        <w:rPr>
          <w:rFonts w:ascii="Arial" w:cs="Arial" w:eastAsia="Arial" w:hAnsi="Arial"/>
          <w:sz w:val="17"/>
          <w:szCs w:val="17"/>
          <w:color w:val="auto"/>
        </w:rPr>
        <w:t>to</w:t>
      </w:r>
      <w:r>
        <w:rPr>
          <w:rFonts w:ascii="Arial" w:cs="Arial" w:eastAsia="Arial" w:hAnsi="Arial"/>
          <w:sz w:val="16"/>
          <w:szCs w:val="16"/>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 adjustments to the Company’s recorded assets or liabilities that might be necessary if the Company becomes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Requirements</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Significant Product Revenue</w:t>
      </w:r>
    </w:p>
    <w:p>
      <w:pPr>
        <w:spacing w:after="0" w:line="2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60"/>
          </w:cols>
          <w:pgMar w:left="320" w:top="710" w:right="319" w:bottom="1440" w:gutter="0" w:footer="0" w:header="0"/>
        </w:sectPr>
      </w:pPr>
    </w:p>
    <w:bookmarkStart w:id="95" w:name="page96"/>
    <w:bookmarkEnd w:id="95"/>
    <w:p>
      <w:pPr>
        <w:ind w:left="2"/>
        <w:spacing w:after="0"/>
        <w:rPr>
          <w:sz w:val="20"/>
          <w:szCs w:val="20"/>
          <w:color w:val="auto"/>
        </w:rPr>
      </w:pPr>
      <w:r>
        <w:rPr>
          <w:rFonts w:ascii="Arial" w:cs="Arial" w:eastAsia="Arial" w:hAnsi="Arial"/>
          <w:sz w:val="18"/>
          <w:szCs w:val="18"/>
          <w:b w:val="1"/>
          <w:bCs w:val="1"/>
          <w:i w:val="1"/>
          <w:iCs w:val="1"/>
          <w:color w:val="auto"/>
        </w:rPr>
        <w:t>Estimates or Judgments Relating to Critical Accounting Policies</w:t>
      </w:r>
    </w:p>
    <w:p>
      <w:pPr>
        <w:spacing w:after="0" w:line="221"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6"/>
          <w:szCs w:val="16"/>
          <w:color w:val="auto"/>
        </w:rPr>
        <w:t>The preparation of financial statements in conformity with the International Financial Reporting Standards requires management to make estimates and assumptions that affect the amounts reported in the Company's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Company's financial statements include those related to income tax credits receivable, share based payments, impairment of non-financial assets, fair value of biological assets, as well as cost recognition.</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Inadequate Internal Controls</w:t>
      </w:r>
    </w:p>
    <w:p>
      <w:pPr>
        <w:spacing w:after="0" w:line="221" w:lineRule="exact"/>
        <w:rPr>
          <w:sz w:val="20"/>
          <w:szCs w:val="20"/>
          <w:color w:val="auto"/>
        </w:rPr>
      </w:pPr>
    </w:p>
    <w:p>
      <w:pPr>
        <w:jc w:val="both"/>
        <w:ind w:left="2" w:right="20"/>
        <w:spacing w:after="0" w:line="247" w:lineRule="auto"/>
        <w:rPr>
          <w:sz w:val="20"/>
          <w:szCs w:val="20"/>
          <w:color w:val="auto"/>
        </w:rPr>
      </w:pPr>
      <w:r>
        <w:rPr>
          <w:rFonts w:ascii="Arial" w:cs="Arial" w:eastAsia="Arial" w:hAnsi="Arial"/>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Risks Related to the Common Shares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197" w:lineRule="exact"/>
        <w:rPr>
          <w:sz w:val="20"/>
          <w:szCs w:val="20"/>
          <w:color w:val="auto"/>
        </w:rPr>
      </w:pPr>
    </w:p>
    <w:p>
      <w:pPr>
        <w:jc w:val="both"/>
        <w:ind w:left="2"/>
        <w:spacing w:after="0" w:line="273"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5" w:lineRule="exact"/>
        <w:rPr>
          <w:sz w:val="20"/>
          <w:szCs w:val="20"/>
          <w:color w:val="auto"/>
        </w:rPr>
      </w:pPr>
    </w:p>
    <w:p>
      <w:pPr>
        <w:jc w:val="both"/>
        <w:ind w:left="2" w:right="20" w:hanging="2"/>
        <w:spacing w:after="0" w:line="271" w:lineRule="auto"/>
        <w:tabs>
          <w:tab w:leader="none" w:pos="4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ind w:left="402" w:hanging="402"/>
        <w:spacing w:after="0"/>
        <w:tabs>
          <w:tab w:leader="none" w:pos="4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herein.</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197"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7"/>
          <w:szCs w:val="17"/>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97" w:lineRule="exact"/>
        <w:rPr>
          <w:sz w:val="20"/>
          <w:szCs w:val="20"/>
          <w:color w:val="auto"/>
        </w:rPr>
      </w:pPr>
    </w:p>
    <w:p>
      <w:pPr>
        <w:jc w:val="both"/>
        <w:ind w:left="2" w:right="20"/>
        <w:spacing w:after="0" w:line="301" w:lineRule="auto"/>
        <w:rPr>
          <w:sz w:val="20"/>
          <w:szCs w:val="20"/>
          <w:color w:val="auto"/>
        </w:rPr>
      </w:pPr>
      <w:r>
        <w:rPr>
          <w:rFonts w:ascii="Arial" w:cs="Arial" w:eastAsia="Arial" w:hAnsi="Arial"/>
          <w:sz w:val="16"/>
          <w:szCs w:val="16"/>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2"/>
          </w:cols>
          <w:pgMar w:left="318" w:top="710" w:right="319" w:bottom="1440" w:gutter="0" w:footer="0" w:header="0"/>
        </w:sectPr>
      </w:pPr>
    </w:p>
    <w:bookmarkStart w:id="96" w:name="page97"/>
    <w:bookmarkEnd w:id="96"/>
    <w:p>
      <w:pPr>
        <w:jc w:val="both"/>
        <w:ind w:right="20"/>
        <w:spacing w:after="0" w:line="267" w:lineRule="auto"/>
        <w:rPr>
          <w:sz w:val="20"/>
          <w:szCs w:val="20"/>
          <w:color w:val="auto"/>
        </w:rPr>
      </w:pPr>
      <w:r>
        <w:rPr>
          <w:rFonts w:ascii="Arial" w:cs="Arial" w:eastAsia="Arial" w:hAnsi="Arial"/>
          <w:sz w:val="18"/>
          <w:szCs w:val="18"/>
          <w:color w:val="auto"/>
        </w:rPr>
        <w:t>Shares will be subject to market trends generally, notwithstanding any potential success of the Company. The value of the Common Shares distributed hereunder will be affected by such volatility.</w:t>
      </w:r>
    </w:p>
    <w:p>
      <w:pPr>
        <w:spacing w:after="0" w:line="151"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320" w:top="710"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07" w:lineRule="auto"/>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(formerly, Clarmin Explorations Inc.), certify the following:</w:t>
      </w:r>
    </w:p>
    <w:p>
      <w:pPr>
        <w:spacing w:after="0" w:line="171" w:lineRule="exact"/>
        <w:rPr>
          <w:sz w:val="20"/>
          <w:szCs w:val="20"/>
          <w:color w:val="auto"/>
        </w:rPr>
      </w:pPr>
    </w:p>
    <w:p>
      <w:pPr>
        <w:ind w:left="580" w:hanging="289"/>
        <w:spacing w:after="0" w:line="23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June 30, 2022.</w:t>
      </w:r>
    </w:p>
    <w:p>
      <w:pPr>
        <w:spacing w:after="0" w:line="173"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3" w:lineRule="exact"/>
        <w:rPr>
          <w:rFonts w:ascii="Arial" w:cs="Arial" w:eastAsia="Arial" w:hAnsi="Arial"/>
          <w:sz w:val="16"/>
          <w:szCs w:val="16"/>
          <w:color w:val="auto"/>
        </w:rPr>
      </w:pPr>
    </w:p>
    <w:p>
      <w:pPr>
        <w:ind w:left="1180" w:hanging="302"/>
        <w:spacing w:after="0"/>
        <w:tabs>
          <w:tab w:leader="none" w:pos="11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5"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0"/>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3"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0"/>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3" w:lineRule="exact"/>
        <w:rPr>
          <w:rFonts w:ascii="Arial" w:cs="Arial" w:eastAsia="Arial" w:hAnsi="Arial"/>
          <w:sz w:val="16"/>
          <w:szCs w:val="16"/>
          <w:color w:val="auto"/>
        </w:rPr>
      </w:pPr>
    </w:p>
    <w:p>
      <w:pPr>
        <w:ind w:left="1180" w:hanging="302"/>
        <w:spacing w:after="0" w:line="238" w:lineRule="auto"/>
        <w:tabs>
          <w:tab w:leader="none" w:pos="11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3" w:lineRule="exact"/>
        <w:rPr>
          <w:sz w:val="20"/>
          <w:szCs w:val="20"/>
          <w:color w:val="auto"/>
        </w:rPr>
      </w:pPr>
    </w:p>
    <w:p>
      <w:pPr>
        <w:ind w:left="580" w:hanging="293"/>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38"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April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ended on June 30, 2022 that has materially affected, or is reasonably likely to materially affect, the issuer’s ICFR.</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2022.</w:t>
      </w:r>
    </w:p>
    <w:p>
      <w:pPr>
        <w:spacing w:after="0" w:line="244" w:lineRule="exact"/>
        <w:rPr>
          <w:sz w:val="20"/>
          <w:szCs w:val="20"/>
          <w:color w:val="auto"/>
        </w:rPr>
      </w:pPr>
    </w:p>
    <w:p>
      <w:pPr>
        <w:ind w:left="60" w:right="10000" w:hanging="1"/>
        <w:spacing w:after="0" w:line="297" w:lineRule="auto"/>
        <w:tabs>
          <w:tab w:leader="none" w:pos="273"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"Greg Cavers" </w:t>
      </w:r>
      <w:r>
        <w:rPr>
          <w:rFonts w:ascii="Arial" w:cs="Arial" w:eastAsia="Arial" w:hAnsi="Arial"/>
          <w:sz w:val="15"/>
          <w:szCs w:val="15"/>
          <w:color w:val="auto"/>
        </w:rPr>
        <w:t>Greg Cavers</w:t>
      </w:r>
    </w:p>
    <w:p>
      <w:pPr>
        <w:spacing w:after="0" w:line="1" w:lineRule="exact"/>
        <w:rPr>
          <w:rFonts w:ascii="Arial" w:cs="Arial" w:eastAsia="Arial" w:hAnsi="Arial"/>
          <w:sz w:val="15"/>
          <w:szCs w:val="15"/>
          <w:color w:val="auto"/>
        </w:rPr>
      </w:pPr>
    </w:p>
    <w:p>
      <w:pPr>
        <w:ind w:left="60"/>
        <w:spacing w:after="0"/>
        <w:rPr>
          <w:rFonts w:ascii="Arial" w:cs="Arial" w:eastAsia="Arial" w:hAnsi="Arial"/>
          <w:sz w:val="15"/>
          <w:szCs w:val="15"/>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195707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07" w:lineRule="auto"/>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Douglas Drysdale, as Chief Executive Officer of Cybin Inc. (formerly, Clarmin Explorations Inc.), certify the following:</w:t>
      </w:r>
    </w:p>
    <w:p>
      <w:pPr>
        <w:spacing w:after="0" w:line="195" w:lineRule="exact"/>
        <w:rPr>
          <w:sz w:val="20"/>
          <w:szCs w:val="20"/>
          <w:color w:val="auto"/>
        </w:rPr>
      </w:pPr>
    </w:p>
    <w:p>
      <w:pPr>
        <w:ind w:left="580" w:hanging="289"/>
        <w:spacing w:after="0" w:line="23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June 30, 2022.</w:t>
      </w:r>
    </w:p>
    <w:p>
      <w:pPr>
        <w:spacing w:after="0" w:line="173"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3" w:lineRule="exact"/>
        <w:rPr>
          <w:rFonts w:ascii="Arial" w:cs="Arial" w:eastAsia="Arial" w:hAnsi="Arial"/>
          <w:sz w:val="16"/>
          <w:szCs w:val="16"/>
          <w:color w:val="auto"/>
        </w:rPr>
      </w:pPr>
    </w:p>
    <w:p>
      <w:pPr>
        <w:ind w:left="1180" w:hanging="302"/>
        <w:spacing w:after="0"/>
        <w:tabs>
          <w:tab w:leader="none" w:pos="11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5"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3"/>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3"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3" w:lineRule="exact"/>
        <w:rPr>
          <w:rFonts w:ascii="Arial" w:cs="Arial" w:eastAsia="Arial" w:hAnsi="Arial"/>
          <w:sz w:val="16"/>
          <w:szCs w:val="16"/>
          <w:color w:val="auto"/>
        </w:rPr>
      </w:pPr>
    </w:p>
    <w:p>
      <w:pPr>
        <w:ind w:left="1180" w:hanging="302"/>
        <w:spacing w:after="0" w:line="238" w:lineRule="auto"/>
        <w:tabs>
          <w:tab w:leader="none" w:pos="11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3" w:lineRule="exact"/>
        <w:rPr>
          <w:sz w:val="20"/>
          <w:szCs w:val="20"/>
          <w:color w:val="auto"/>
        </w:rPr>
      </w:pPr>
    </w:p>
    <w:p>
      <w:pPr>
        <w:ind w:left="580" w:hanging="293"/>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38"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April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ended on June 30, 2022 that has materially affected, or is reasonably likely to materially affect, the issuer’s ICFR.</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2022.</w:t>
      </w:r>
    </w:p>
    <w:p>
      <w:pPr>
        <w:spacing w:after="0" w:line="244" w:lineRule="exact"/>
        <w:rPr>
          <w:sz w:val="20"/>
          <w:szCs w:val="20"/>
          <w:color w:val="auto"/>
        </w:rPr>
      </w:pPr>
    </w:p>
    <w:p>
      <w:pPr>
        <w:ind w:left="60" w:right="9620" w:hanging="1"/>
        <w:spacing w:after="0" w:line="322" w:lineRule="auto"/>
        <w:tabs>
          <w:tab w:leader="none" w:pos="273"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"Douglas Drysdale" </w:t>
      </w:r>
      <w:r>
        <w:rPr>
          <w:rFonts w:ascii="Arial" w:cs="Arial" w:eastAsia="Arial" w:hAnsi="Arial"/>
          <w:sz w:val="15"/>
          <w:szCs w:val="15"/>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-307975</wp:posOffset>
            </wp:positionV>
            <wp:extent cx="19570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2974340</wp:posOffset>
            </wp:positionH>
            <wp:positionV relativeFrom="page">
              <wp:posOffset>1122045</wp:posOffset>
            </wp:positionV>
            <wp:extent cx="1600200" cy="1009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00200"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23"/>
          <w:szCs w:val="23"/>
          <w:b w:val="1"/>
          <w:bCs w:val="1"/>
          <w:color w:val="auto"/>
        </w:rPr>
        <w:t>Cybin Inc. Reports First Quarter Financial Results and Recent Business Highlights</w:t>
      </w:r>
    </w:p>
    <w:p>
      <w:pPr>
        <w:spacing w:after="0" w:line="200" w:lineRule="exact"/>
        <w:rPr>
          <w:sz w:val="20"/>
          <w:szCs w:val="20"/>
          <w:color w:val="auto"/>
        </w:rPr>
      </w:pPr>
    </w:p>
    <w:p>
      <w:pPr>
        <w:spacing w:after="0" w:line="307" w:lineRule="exact"/>
        <w:rPr>
          <w:sz w:val="20"/>
          <w:szCs w:val="20"/>
          <w:color w:val="auto"/>
        </w:rPr>
      </w:pPr>
    </w:p>
    <w:p>
      <w:pPr>
        <w:jc w:val="both"/>
        <w:ind w:left="2"/>
        <w:spacing w:after="0" w:line="26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8, 2022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563C1"/>
        </w:rPr>
        <w:t>NEO:CYBN</w:t>
      </w:r>
      <w:r>
        <w:rPr>
          <w:rFonts w:ascii="Arial" w:cs="Arial" w:eastAsia="Arial" w:hAnsi="Arial"/>
          <w:sz w:val="18"/>
          <w:szCs w:val="18"/>
          <w:color w:val="auto"/>
        </w:rPr>
        <w:t>) (</w:t>
      </w:r>
      <w:r>
        <w:rPr>
          <w:rFonts w:ascii="Arial" w:cs="Arial" w:eastAsia="Arial" w:hAnsi="Arial"/>
          <w:sz w:val="18"/>
          <w:szCs w:val="18"/>
          <w:u w:val="single" w:color="auto"/>
          <w:color w:val="0563C1"/>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23"/>
          <w:szCs w:val="23"/>
          <w:color w:val="auto"/>
          <w:vertAlign w:val="superscript"/>
        </w:rPr>
        <w:t>TM</w:t>
      </w:r>
      <w:r>
        <w:rPr>
          <w:rFonts w:ascii="Arial" w:cs="Arial" w:eastAsia="Arial" w:hAnsi="Arial"/>
          <w:sz w:val="18"/>
          <w:szCs w:val="18"/>
          <w:color w:val="auto"/>
        </w:rPr>
        <w:t>”, today reported unaudited financial results for its first quarter ended June 30, 2022 and recent business highlights.</w:t>
      </w:r>
    </w:p>
    <w:p>
      <w:pPr>
        <w:spacing w:after="0" w:line="206" w:lineRule="exact"/>
        <w:rPr>
          <w:sz w:val="20"/>
          <w:szCs w:val="20"/>
          <w:color w:val="auto"/>
        </w:rPr>
      </w:pPr>
    </w:p>
    <w:p>
      <w:pPr>
        <w:jc w:val="both"/>
        <w:ind w:left="2"/>
        <w:spacing w:after="0" w:line="274" w:lineRule="auto"/>
        <w:rPr>
          <w:sz w:val="20"/>
          <w:szCs w:val="20"/>
          <w:color w:val="auto"/>
        </w:rPr>
      </w:pPr>
      <w:r>
        <w:rPr>
          <w:rFonts w:ascii="Arial" w:cs="Arial" w:eastAsia="Arial" w:hAnsi="Arial"/>
          <w:sz w:val="18"/>
          <w:szCs w:val="18"/>
          <w:color w:val="auto"/>
        </w:rPr>
        <w:t>“Looking back at the last 12 months, we have made positive progress toward our goal of advancing psychedelics to therapeutics. In that time, we have moved from the lab to the clinic where we now have two major development programs underway,” said Doug Drysdale, Chief Executive Officer of Cybin.</w:t>
      </w:r>
    </w:p>
    <w:p>
      <w:pPr>
        <w:spacing w:after="0" w:line="208"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"Our lead candidate CYB003 is the first novel psilocybin analog to be evaluated in a Phase 1/2a trial for the treatment of major depressive disorder. Enrollment has commenced and interim pharmacokinetic and safety data is expected at the end of the year.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Our Phase 1 CYB004-E study to evaluate the safety, pharmacokinetics and pharmacodynamics of a target-controlled intravenous infusion of DMT in healthy tobacco smokers is also underway. This is the largest Phase 1 DMT study to date and has the potential to yield important information as we look to potentially create improved treatment options for anxiety disorders,” continued Drysdale.</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46" w:lineRule="exact"/>
        <w:rPr>
          <w:sz w:val="20"/>
          <w:szCs w:val="20"/>
          <w:color w:val="auto"/>
        </w:rPr>
      </w:pPr>
    </w:p>
    <w:p>
      <w:pPr>
        <w:jc w:val="both"/>
        <w:ind w:left="302" w:hanging="302"/>
        <w:spacing w:after="0" w:line="273" w:lineRule="auto"/>
        <w:tabs>
          <w:tab w:leader="none" w:pos="297" w:val="left"/>
        </w:tabs>
        <w:numPr>
          <w:ilvl w:val="0"/>
          <w:numId w:val="66"/>
        </w:numPr>
        <w:rPr>
          <w:rFonts w:ascii="Arial" w:cs="Arial" w:eastAsia="Arial" w:hAnsi="Arial"/>
          <w:sz w:val="20"/>
          <w:szCs w:val="20"/>
          <w:color w:val="auto"/>
        </w:rPr>
      </w:pPr>
      <w:r>
        <w:rPr>
          <w:rFonts w:ascii="Arial" w:cs="Arial" w:eastAsia="Arial" w:hAnsi="Arial"/>
          <w:sz w:val="18"/>
          <w:szCs w:val="18"/>
          <w:b w:val="1"/>
          <w:bCs w:val="1"/>
          <w:color w:val="auto"/>
        </w:rPr>
        <w:t xml:space="preserve">Initiated enrollment for its first-in-human Phase 1/2a trial of CYB003 in major depressive disorder (“MDD”).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received a "may proceed letter" and Investigational New Drug Application clearance from the U.S. Food and Drug Administration (the "</w:t>
      </w:r>
      <w:r>
        <w:rPr>
          <w:rFonts w:ascii="Arial" w:cs="Arial" w:eastAsia="Arial" w:hAnsi="Arial"/>
          <w:sz w:val="19"/>
          <w:szCs w:val="19"/>
          <w:b w:val="1"/>
          <w:bCs w:val="1"/>
          <w:color w:val="auto"/>
        </w:rPr>
        <w:t>FDA</w:t>
      </w:r>
      <w:r>
        <w:rPr>
          <w:rFonts w:ascii="Arial" w:cs="Arial" w:eastAsia="Arial" w:hAnsi="Arial"/>
          <w:sz w:val="18"/>
          <w:szCs w:val="18"/>
          <w:color w:val="auto"/>
        </w:rPr>
        <w:t>") for its Phase 1/2a study in June 2022. The Phase 1/2a trial is a randomized, double-blind, placebo-controlled study evaluating up to two doses of CYB003 in approximately 32 patients with moderate to severe MDD. The Company has partnered with Clinilabs Drug Development Corporation, a full-service contract research organization with expertise in central nervous system drug development, to conduct this Phase 1/2a trial. CYB003 is designed to potentially address the challenges and limitations of oral psilocybin.</w:t>
      </w:r>
    </w:p>
    <w:p>
      <w:pPr>
        <w:sectPr>
          <w:pgSz w:w="11900" w:h="16838" w:orient="portrait"/>
          <w:cols w:equalWidth="0" w:num="1">
            <w:col w:w="11242"/>
          </w:cols>
          <w:pgMar w:left="318" w:top="1440" w:right="339" w:bottom="1440" w:gutter="0" w:footer="0" w:header="0"/>
        </w:sectPr>
      </w:pPr>
    </w:p>
    <w:bookmarkStart w:id="100" w:name="page101"/>
    <w:bookmarkEnd w:id="100"/>
    <w:p>
      <w:pPr>
        <w:spacing w:after="0" w:line="91" w:lineRule="exact"/>
        <w:rPr>
          <w:sz w:val="20"/>
          <w:szCs w:val="20"/>
          <w:color w:val="auto"/>
        </w:rPr>
      </w:pPr>
    </w:p>
    <w:p>
      <w:pPr>
        <w:ind w:left="302"/>
        <w:spacing w:after="0"/>
        <w:rPr>
          <w:sz w:val="20"/>
          <w:szCs w:val="20"/>
          <w:color w:val="auto"/>
        </w:rPr>
      </w:pPr>
      <w:r>
        <w:rPr>
          <w:rFonts w:ascii="Arial" w:cs="Arial" w:eastAsia="Arial" w:hAnsi="Arial"/>
          <w:sz w:val="18"/>
          <w:szCs w:val="18"/>
          <w:color w:val="auto"/>
        </w:rPr>
        <w:t>Based on preclinical data, CYB003 achieved less variability in plasma levels, faster onset of action, and shorter duration of effect.</w:t>
      </w:r>
    </w:p>
    <w:p>
      <w:pPr>
        <w:spacing w:after="0" w:line="248" w:lineRule="exact"/>
        <w:rPr>
          <w:sz w:val="20"/>
          <w:szCs w:val="20"/>
          <w:color w:val="auto"/>
        </w:rPr>
      </w:pPr>
    </w:p>
    <w:p>
      <w:pPr>
        <w:jc w:val="both"/>
        <w:ind w:left="302" w:hanging="302"/>
        <w:spacing w:after="0" w:line="270" w:lineRule="auto"/>
        <w:tabs>
          <w:tab w:leader="none" w:pos="297" w:val="left"/>
        </w:tabs>
        <w:numPr>
          <w:ilvl w:val="0"/>
          <w:numId w:val="67"/>
        </w:numPr>
        <w:rPr>
          <w:rFonts w:ascii="Arial" w:cs="Arial" w:eastAsia="Arial" w:hAnsi="Arial"/>
          <w:sz w:val="20"/>
          <w:szCs w:val="20"/>
          <w:color w:val="auto"/>
        </w:rPr>
      </w:pPr>
      <w:r>
        <w:rPr>
          <w:rFonts w:ascii="Arial" w:cs="Arial" w:eastAsia="Arial" w:hAnsi="Arial"/>
          <w:sz w:val="18"/>
          <w:szCs w:val="18"/>
          <w:b w:val="1"/>
          <w:bCs w:val="1"/>
          <w:color w:val="auto"/>
        </w:rPr>
        <w:t xml:space="preserve">Completed the acquisition of a Phase 1 DMT study from Entheon Biomedical Corp. </w:t>
      </w:r>
      <w:r>
        <w:rPr>
          <w:rFonts w:ascii="Arial" w:cs="Arial" w:eastAsia="Arial" w:hAnsi="Arial"/>
          <w:sz w:val="18"/>
          <w:szCs w:val="18"/>
          <w:color w:val="auto"/>
        </w:rPr>
        <w:t>The CYB004-E study, which is ongoing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Centre for Human Drug Research in the Netherlands, is the largest Phase 1 DMT study conducted to date. The study is assessing the pharmacokinetics and pharmacodynamics of intravenous DMT in 50 healthy tobacco smokers, and is anticipated to provide safety and dosing data to inform the clinical development plan for CYB004. In preclinical studies, CYB004 demonstrated key advantages over intravenous and inhaled DMT, including longer duration and rapid onset of effect, improved bioavailability, and low variability.</w:t>
      </w:r>
    </w:p>
    <w:p>
      <w:pPr>
        <w:spacing w:after="0" w:line="204" w:lineRule="exact"/>
        <w:rPr>
          <w:rFonts w:ascii="Arial" w:cs="Arial" w:eastAsia="Arial" w:hAnsi="Arial"/>
          <w:sz w:val="20"/>
          <w:szCs w:val="20"/>
          <w:color w:val="auto"/>
        </w:rPr>
      </w:pPr>
    </w:p>
    <w:p>
      <w:pPr>
        <w:jc w:val="both"/>
        <w:ind w:left="302" w:hanging="302"/>
        <w:spacing w:after="0" w:line="271" w:lineRule="auto"/>
        <w:tabs>
          <w:tab w:leader="none" w:pos="297" w:val="left"/>
        </w:tabs>
        <w:numPr>
          <w:ilvl w:val="0"/>
          <w:numId w:val="67"/>
        </w:numPr>
        <w:rPr>
          <w:rFonts w:ascii="Arial" w:cs="Arial" w:eastAsia="Arial" w:hAnsi="Arial"/>
          <w:sz w:val="20"/>
          <w:szCs w:val="20"/>
          <w:color w:val="auto"/>
        </w:rPr>
      </w:pPr>
      <w:r>
        <w:rPr>
          <w:rFonts w:ascii="Arial" w:cs="Arial" w:eastAsia="Arial" w:hAnsi="Arial"/>
          <w:sz w:val="18"/>
          <w:szCs w:val="18"/>
          <w:b w:val="1"/>
          <w:bCs w:val="1"/>
          <w:color w:val="auto"/>
        </w:rPr>
        <w:t xml:space="preserve">Continued to build the Company’s intellectual property portfolio, with 1 patent issued and 19 patents pending across six patent families. </w:t>
      </w:r>
      <w:r>
        <w:rPr>
          <w:rFonts w:ascii="Arial" w:cs="Arial" w:eastAsia="Arial" w:hAnsi="Arial"/>
          <w:sz w:val="18"/>
          <w:szCs w:val="18"/>
          <w:color w:val="auto"/>
        </w:rPr>
        <w:t>The Company's IP portfolio includes a United States Patent and Trademark Office patent covering certain deuterated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DMT and 5-MeO-DMT. This patent protects CYB004 as a putative new chemical entity. In addition, an international patent application was published by the World Intellectual Property Organization covering inhalation delivery methods for multiple psychedelic molecules.</w:t>
      </w:r>
    </w:p>
    <w:p>
      <w:pPr>
        <w:spacing w:after="0" w:line="213" w:lineRule="exact"/>
        <w:rPr>
          <w:rFonts w:ascii="Arial" w:cs="Arial" w:eastAsia="Arial" w:hAnsi="Arial"/>
          <w:sz w:val="20"/>
          <w:szCs w:val="20"/>
          <w:color w:val="auto"/>
        </w:rPr>
      </w:pPr>
    </w:p>
    <w:p>
      <w:pPr>
        <w:jc w:val="both"/>
        <w:ind w:left="302" w:hanging="302"/>
        <w:spacing w:after="0" w:line="271" w:lineRule="auto"/>
        <w:tabs>
          <w:tab w:leader="none" w:pos="297" w:val="left"/>
        </w:tabs>
        <w:numPr>
          <w:ilvl w:val="0"/>
          <w:numId w:val="67"/>
        </w:numPr>
        <w:rPr>
          <w:rFonts w:ascii="Arial" w:cs="Arial" w:eastAsia="Arial" w:hAnsi="Arial"/>
          <w:sz w:val="20"/>
          <w:szCs w:val="20"/>
          <w:color w:val="auto"/>
        </w:rPr>
      </w:pPr>
      <w:r>
        <w:rPr>
          <w:rFonts w:ascii="Arial" w:cs="Arial" w:eastAsia="Arial" w:hAnsi="Arial"/>
          <w:sz w:val="18"/>
          <w:szCs w:val="18"/>
          <w:b w:val="1"/>
          <w:bCs w:val="1"/>
          <w:color w:val="auto"/>
        </w:rPr>
        <w:t xml:space="preserve">Completed more than 200 preclinical studies to date, supporting the Company's growing portfolio of proprietary psychedelic molecules. </w:t>
      </w:r>
      <w:r>
        <w:rPr>
          <w:rFonts w:ascii="Arial" w:cs="Arial" w:eastAsia="Arial" w:hAnsi="Arial"/>
          <w:sz w:val="18"/>
          <w:szCs w:val="18"/>
          <w:color w:val="auto"/>
        </w:rPr>
        <w:t>This highlights Cybin's dedication to researching and developing potential psychedelic treatments for patients in need.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developed over 50 novel compounds, and continues to advance preclinical work on its proprietary molecules being developed for the potential treatment of various mental health conditions.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Upcoming Pipeline and Strategic Milestones:</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CYB003: Deuterated psilocybin analog for the potential treatment of MDD and AUD</w:t>
      </w:r>
    </w:p>
    <w:p>
      <w:pPr>
        <w:spacing w:after="0" w:line="58" w:lineRule="exact"/>
        <w:rPr>
          <w:sz w:val="20"/>
          <w:szCs w:val="20"/>
          <w:color w:val="auto"/>
        </w:rPr>
      </w:pPr>
    </w:p>
    <w:p>
      <w:pPr>
        <w:ind w:left="582" w:hanging="289"/>
        <w:spacing w:after="0"/>
        <w:tabs>
          <w:tab w:leader="none" w:pos="582" w:val="left"/>
        </w:tabs>
        <w:numPr>
          <w:ilvl w:val="0"/>
          <w:numId w:val="68"/>
        </w:numPr>
        <w:rPr>
          <w:rFonts w:ascii="Arial" w:cs="Arial" w:eastAsia="Arial" w:hAnsi="Arial"/>
          <w:sz w:val="20"/>
          <w:szCs w:val="20"/>
          <w:color w:val="auto"/>
        </w:rPr>
      </w:pPr>
      <w:r>
        <w:rPr>
          <w:rFonts w:ascii="Arial" w:cs="Arial" w:eastAsia="Arial" w:hAnsi="Arial"/>
          <w:sz w:val="18"/>
          <w:szCs w:val="18"/>
          <w:color w:val="auto"/>
        </w:rPr>
        <w:t>The Company plans to report interim safety and PK data from the Phase 1/2a study at the end of calendar year 2022.</w:t>
      </w:r>
      <w:r>
        <w:rPr>
          <w:rFonts w:ascii="Arial" w:cs="Arial" w:eastAsia="Arial" w:hAnsi="Arial"/>
          <w:sz w:val="10"/>
          <w:szCs w:val="10"/>
          <w:color w:val="auto"/>
        </w:rPr>
        <w:t>(1)</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CYB004: Deuterated DMT for the potential treatment of anxiety disorders</w:t>
      </w:r>
    </w:p>
    <w:p>
      <w:pPr>
        <w:spacing w:after="0" w:line="72" w:lineRule="exact"/>
        <w:rPr>
          <w:sz w:val="20"/>
          <w:szCs w:val="20"/>
          <w:color w:val="auto"/>
        </w:rPr>
      </w:pPr>
    </w:p>
    <w:p>
      <w:pPr>
        <w:ind w:left="582" w:hanging="289"/>
        <w:spacing w:after="0" w:line="253" w:lineRule="auto"/>
        <w:tabs>
          <w:tab w:leader="none" w:pos="577" w:val="left"/>
        </w:tabs>
        <w:numPr>
          <w:ilvl w:val="0"/>
          <w:numId w:val="69"/>
        </w:numPr>
        <w:rPr>
          <w:rFonts w:ascii="Arial" w:cs="Arial" w:eastAsia="Arial" w:hAnsi="Arial"/>
          <w:sz w:val="20"/>
          <w:szCs w:val="20"/>
          <w:color w:val="auto"/>
        </w:rPr>
      </w:pPr>
      <w:r>
        <w:rPr>
          <w:rFonts w:ascii="Arial" w:cs="Arial" w:eastAsia="Arial" w:hAnsi="Arial"/>
          <w:sz w:val="18"/>
          <w:szCs w:val="18"/>
          <w:color w:val="auto"/>
        </w:rPr>
        <w:t>The CYB004-E Phase 1 study is currently underway, and is evaluating DMT in 50 healthy volunteers who smoke tobacco. The Company expects the last subject visit by November, and to complete the Phase 1 study in the first quarter of calendar 2023.</w:t>
      </w:r>
      <w:r>
        <w:rPr>
          <w:rFonts w:ascii="Arial" w:cs="Arial" w:eastAsia="Arial" w:hAnsi="Arial"/>
          <w:sz w:val="10"/>
          <w:szCs w:val="10"/>
          <w:color w:val="auto"/>
        </w:rPr>
        <w:t>(1)</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CYB005: Phenethylamine derivative for the potential treatment of neuroinflammation</w:t>
      </w:r>
    </w:p>
    <w:p>
      <w:pPr>
        <w:spacing w:after="0" w:line="72" w:lineRule="exact"/>
        <w:rPr>
          <w:sz w:val="20"/>
          <w:szCs w:val="20"/>
          <w:color w:val="auto"/>
        </w:rPr>
      </w:pPr>
    </w:p>
    <w:p>
      <w:pPr>
        <w:jc w:val="both"/>
        <w:ind w:left="582" w:hanging="289"/>
        <w:spacing w:after="0" w:line="260" w:lineRule="auto"/>
        <w:tabs>
          <w:tab w:leader="none" w:pos="577" w:val="left"/>
        </w:tabs>
        <w:numPr>
          <w:ilvl w:val="0"/>
          <w:numId w:val="70"/>
        </w:numPr>
        <w:rPr>
          <w:rFonts w:ascii="Arial" w:cs="Arial" w:eastAsia="Arial" w:hAnsi="Arial"/>
          <w:sz w:val="20"/>
          <w:szCs w:val="20"/>
          <w:color w:val="auto"/>
        </w:rPr>
      </w:pPr>
      <w:r>
        <w:rPr>
          <w:rFonts w:ascii="Arial" w:cs="Arial" w:eastAsia="Arial" w:hAnsi="Arial"/>
          <w:sz w:val="18"/>
          <w:szCs w:val="18"/>
          <w:color w:val="auto"/>
        </w:rPr>
        <w:t>The Company expects to report preclinical data for CYB005 in the second half of calendar year 2022, at which time the Company expects to nominate a candidate and complete its assessment of the potential path forward for this candidate, including whether to develop internally or by way of a potential third party partnership.</w:t>
      </w:r>
      <w:r>
        <w:rPr>
          <w:rFonts w:ascii="Arial" w:cs="Arial" w:eastAsia="Arial" w:hAnsi="Arial"/>
          <w:sz w:val="10"/>
          <w:szCs w:val="10"/>
          <w:color w:val="auto"/>
        </w:rPr>
        <w:t>(2)</w:t>
      </w:r>
    </w:p>
    <w:p>
      <w:pPr>
        <w:sectPr>
          <w:pgSz w:w="11900" w:h="16838" w:orient="portrait"/>
          <w:cols w:equalWidth="0" w:num="1">
            <w:col w:w="11242"/>
          </w:cols>
          <w:pgMar w:left="318" w:top="1440" w:right="339" w:bottom="1440" w:gutter="0" w:footer="0" w:header="0"/>
        </w:sectPr>
      </w:pPr>
    </w:p>
    <w:bookmarkStart w:id="101" w:name="page102"/>
    <w:bookmarkEnd w:id="101"/>
    <w:p>
      <w:pPr>
        <w:spacing w:after="0" w:line="6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Kernel Flow</w:t>
      </w:r>
      <w:r>
        <w:rPr>
          <w:rFonts w:ascii="Arial" w:cs="Arial" w:eastAsia="Arial" w:hAnsi="Arial"/>
          <w:sz w:val="23"/>
          <w:szCs w:val="23"/>
          <w:b w:val="1"/>
          <w:bCs w:val="1"/>
          <w:color w:val="auto"/>
          <w:vertAlign w:val="superscript"/>
        </w:rPr>
        <w:t>®</w:t>
      </w:r>
    </w:p>
    <w:p>
      <w:pPr>
        <w:spacing w:after="0" w:line="15" w:lineRule="exact"/>
        <w:rPr>
          <w:sz w:val="20"/>
          <w:szCs w:val="20"/>
          <w:color w:val="auto"/>
        </w:rPr>
      </w:pPr>
    </w:p>
    <w:p>
      <w:pPr>
        <w:jc w:val="both"/>
        <w:ind w:left="582" w:hanging="289"/>
        <w:spacing w:after="0" w:line="268" w:lineRule="auto"/>
        <w:tabs>
          <w:tab w:leader="none" w:pos="577" w:val="left"/>
        </w:tabs>
        <w:numPr>
          <w:ilvl w:val="0"/>
          <w:numId w:val="71"/>
        </w:numPr>
        <w:rPr>
          <w:rFonts w:ascii="Arial" w:cs="Arial" w:eastAsia="Arial" w:hAnsi="Arial"/>
          <w:sz w:val="20"/>
          <w:szCs w:val="20"/>
          <w:color w:val="auto"/>
        </w:rPr>
      </w:pPr>
      <w:r>
        <w:rPr>
          <w:rFonts w:ascii="Arial" w:cs="Arial" w:eastAsia="Arial" w:hAnsi="Arial"/>
          <w:sz w:val="18"/>
          <w:szCs w:val="18"/>
          <w:color w:val="auto"/>
        </w:rPr>
        <w:t>Cybin and its partner Kernel expect to report data from a Phase 1 feasibility study evaluating brain activity following ketamine administration and the participant’s experience wearing the Flow headset in the fourth quarter of calendar year 2022. Results from the</w:t>
      </w:r>
    </w:p>
    <w:p>
      <w:pPr>
        <w:spacing w:after="0" w:line="1" w:lineRule="exact"/>
        <w:rPr>
          <w:sz w:val="20"/>
          <w:szCs w:val="20"/>
          <w:color w:val="auto"/>
        </w:rPr>
      </w:pPr>
    </w:p>
    <w:p>
      <w:pPr>
        <w:ind w:left="582"/>
        <w:spacing w:after="0"/>
        <w:rPr>
          <w:sz w:val="20"/>
          <w:szCs w:val="20"/>
          <w:color w:val="auto"/>
        </w:rPr>
      </w:pPr>
      <w:r>
        <w:rPr>
          <w:rFonts w:ascii="Arial" w:cs="Arial" w:eastAsia="Arial" w:hAnsi="Arial"/>
          <w:sz w:val="18"/>
          <w:szCs w:val="18"/>
          <w:color w:val="auto"/>
        </w:rPr>
        <w:t>study will determine the next steps forward for this important program.</w:t>
      </w:r>
      <w:r>
        <w:rPr>
          <w:rFonts w:ascii="Arial" w:cs="Arial" w:eastAsia="Arial" w:hAnsi="Arial"/>
          <w:sz w:val="10"/>
          <w:szCs w:val="10"/>
          <w:color w:val="auto"/>
        </w:rPr>
        <w:t>(3)</w:t>
      </w:r>
    </w:p>
    <w:p>
      <w:pPr>
        <w:spacing w:after="0" w:line="25" w:lineRule="exact"/>
        <w:rPr>
          <w:sz w:val="20"/>
          <w:szCs w:val="20"/>
          <w:color w:val="auto"/>
        </w:rPr>
      </w:pPr>
    </w:p>
    <w:p>
      <w:pPr>
        <w:jc w:val="both"/>
        <w:ind w:left="2"/>
        <w:spacing w:after="0" w:line="273" w:lineRule="auto"/>
        <w:rPr>
          <w:sz w:val="20"/>
          <w:szCs w:val="20"/>
          <w:color w:val="auto"/>
        </w:rPr>
      </w:pPr>
      <w:r>
        <w:rPr>
          <w:rFonts w:ascii="Arial" w:cs="Arial" w:eastAsia="Arial" w:hAnsi="Arial"/>
          <w:sz w:val="18"/>
          <w:szCs w:val="18"/>
          <w:color w:val="auto"/>
        </w:rPr>
        <w:t>“Our commitment to finding safe and more effective treatments across the spectrum of mental health conditions has never been greater. Looking ahead, we are especially encouraged by the support that the healing potential of psychedelics continues to receive by many governmental and mainstream organizations. This is an exciting time for Cybin and for the industry as a whole as we move even closer to bringing potential psychedelic therapies to people in need,” concluded Drysdale.</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First Quarter Financial Highlights:</w:t>
      </w:r>
    </w:p>
    <w:p>
      <w:pPr>
        <w:spacing w:after="0" w:line="231" w:lineRule="exact"/>
        <w:rPr>
          <w:sz w:val="20"/>
          <w:szCs w:val="20"/>
          <w:color w:val="auto"/>
        </w:rPr>
      </w:pPr>
    </w:p>
    <w:p>
      <w:pPr>
        <w:ind w:left="282" w:hanging="282"/>
        <w:spacing w:after="0"/>
        <w:tabs>
          <w:tab w:leader="none" w:pos="2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and cash equivalents totaled to C$42.5 million as of June 30, 2022.</w:t>
      </w:r>
    </w:p>
    <w:p>
      <w:pPr>
        <w:spacing w:after="0" w:line="221" w:lineRule="exact"/>
        <w:rPr>
          <w:rFonts w:ascii="Arial" w:cs="Arial" w:eastAsia="Arial" w:hAnsi="Arial"/>
          <w:sz w:val="18"/>
          <w:szCs w:val="18"/>
          <w:color w:val="auto"/>
        </w:rPr>
      </w:pPr>
    </w:p>
    <w:p>
      <w:pPr>
        <w:ind w:left="302" w:right="80" w:hanging="302"/>
        <w:spacing w:after="0" w:line="280" w:lineRule="auto"/>
        <w:tabs>
          <w:tab w:leader="none" w:pos="2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Cash-based operating expenses totaled C$11.2 million for the quarter ended June 30, 2022, of which C$1.1 million were one-time, non-recurring costs. Non-cash expenses totaled C$1.9 million for a net loss of C$13.1 million.</w:t>
      </w:r>
    </w:p>
    <w:p>
      <w:pPr>
        <w:spacing w:after="0" w:line="177" w:lineRule="exact"/>
        <w:rPr>
          <w:rFonts w:ascii="Arial" w:cs="Arial" w:eastAsia="Arial" w:hAnsi="Arial"/>
          <w:sz w:val="18"/>
          <w:szCs w:val="18"/>
          <w:color w:val="auto"/>
        </w:rPr>
      </w:pPr>
    </w:p>
    <w:p>
      <w:pPr>
        <w:ind w:left="302" w:right="80" w:hanging="302"/>
        <w:spacing w:after="0" w:line="280" w:lineRule="auto"/>
        <w:tabs>
          <w:tab w:leader="none" w:pos="2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flows used in operating activities were C$11.1 million for the quarter ended June 30, 2022 of which C$1.1 million were one-time, non-recurring costs.</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About Cybin</w:t>
      </w:r>
    </w:p>
    <w:p>
      <w:pPr>
        <w:spacing w:after="0" w:line="255" w:lineRule="exact"/>
        <w:rPr>
          <w:sz w:val="20"/>
          <w:szCs w:val="20"/>
          <w:color w:val="auto"/>
        </w:rPr>
      </w:pPr>
    </w:p>
    <w:p>
      <w:pPr>
        <w:jc w:val="both"/>
        <w:ind w:left="2"/>
        <w:spacing w:after="0" w:line="286"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5" w:lineRule="exact"/>
        <w:rPr>
          <w:sz w:val="20"/>
          <w:szCs w:val="20"/>
          <w:color w:val="auto"/>
        </w:rPr>
      </w:pPr>
    </w:p>
    <w:p>
      <w:pPr>
        <w:jc w:val="both"/>
        <w:ind w:left="2"/>
        <w:spacing w:after="0" w:line="285"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of the Company’s CYB003 Phase 1/2a trial, statements regarding the</w:t>
      </w:r>
    </w:p>
    <w:p>
      <w:pPr>
        <w:sectPr>
          <w:pgSz w:w="11900" w:h="16838" w:orient="portrait"/>
          <w:cols w:equalWidth="0" w:num="1">
            <w:col w:w="11242"/>
          </w:cols>
          <w:pgMar w:left="318" w:top="1440" w:right="339" w:bottom="1440" w:gutter="0" w:footer="0" w:header="0"/>
        </w:sectPr>
      </w:pPr>
    </w:p>
    <w:bookmarkStart w:id="102" w:name="page103"/>
    <w:bookmarkEnd w:id="102"/>
    <w:p>
      <w:pPr>
        <w:jc w:val="both"/>
        <w:spacing w:after="0" w:line="287" w:lineRule="auto"/>
        <w:rPr>
          <w:sz w:val="20"/>
          <w:szCs w:val="20"/>
          <w:color w:val="auto"/>
        </w:rPr>
      </w:pPr>
      <w:r>
        <w:rPr>
          <w:rFonts w:ascii="Arial" w:cs="Arial" w:eastAsia="Arial" w:hAnsi="Arial"/>
          <w:sz w:val="18"/>
          <w:szCs w:val="18"/>
          <w:color w:val="auto"/>
        </w:rPr>
        <w:t>Company’s Phase 1 DMT clinical study for CYB004-E and anticipated results, the Company’s statements regarding its preclinical data for CYB005 and partnering opportunities, statements regarding the Phase 1 Flow feasibility study and expected results, and anticipated results and the Company’s plans to engineer proprietary drug discovery platforms, innovative drug delivery systems, novel formulation approaches and treatment regimens for mental health conditions.</w:t>
      </w:r>
    </w:p>
    <w:p>
      <w:pPr>
        <w:spacing w:after="0" w:line="196" w:lineRule="exact"/>
        <w:rPr>
          <w:sz w:val="20"/>
          <w:szCs w:val="20"/>
          <w:color w:val="auto"/>
        </w:rPr>
      </w:pPr>
    </w:p>
    <w:p>
      <w:pPr>
        <w:jc w:val="both"/>
        <w:ind w:firstLine="1"/>
        <w:spacing w:after="0" w:line="273" w:lineRule="auto"/>
        <w:rPr>
          <w:sz w:val="20"/>
          <w:szCs w:val="20"/>
          <w:color w:val="auto"/>
        </w:rPr>
      </w:pPr>
      <w:r>
        <w:rPr>
          <w:rFonts w:ascii="Arial" w:cs="Arial" w:eastAsia="Arial" w:hAnsi="Arial"/>
          <w:sz w:val="18"/>
          <w:szCs w:val="18"/>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annual information form for the year ended March 31, 2022,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8"/>
          <w:szCs w:val="18"/>
          <w:color w:val="auto"/>
        </w:rPr>
        <w:t>.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218" w:lineRule="exact"/>
        <w:rPr>
          <w:sz w:val="20"/>
          <w:szCs w:val="20"/>
          <w:color w:val="auto"/>
        </w:rPr>
      </w:pPr>
    </w:p>
    <w:p>
      <w:pPr>
        <w:jc w:val="both"/>
        <w:ind w:firstLine="1"/>
        <w:spacing w:after="0" w:line="270" w:lineRule="auto"/>
        <w:rPr>
          <w:sz w:val="20"/>
          <w:szCs w:val="20"/>
          <w:color w:val="auto"/>
        </w:rPr>
      </w:pPr>
      <w:r>
        <w:rPr>
          <w:rFonts w:ascii="Arial" w:cs="Arial" w:eastAsia="Arial" w:hAnsi="Arial"/>
          <w:sz w:val="18"/>
          <w:szCs w:val="18"/>
          <w:color w:val="auto"/>
        </w:rPr>
        <w:t>Cybin makes no medical, treatment or health benefit claims about Cybin’s proposed products. The FDA,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335" w:right="339" w:bottom="1440" w:gutter="0" w:footer="0" w:header="0"/>
        </w:sectPr>
      </w:pPr>
    </w:p>
    <w:bookmarkStart w:id="103" w:name="page104"/>
    <w:bookmarkEnd w:id="103"/>
    <w:p>
      <w:pPr>
        <w:spacing w:after="0" w:line="315"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333333"/>
        </w:rPr>
        <w:t>Notes:</w:t>
      </w:r>
    </w:p>
    <w:p>
      <w:pPr>
        <w:spacing w:after="0" w:line="23" w:lineRule="exact"/>
        <w:rPr>
          <w:sz w:val="20"/>
          <w:szCs w:val="20"/>
          <w:color w:val="auto"/>
        </w:rPr>
      </w:pPr>
    </w:p>
    <w:p>
      <w:pPr>
        <w:ind w:left="580" w:hanging="289"/>
        <w:spacing w:after="0" w:line="272" w:lineRule="auto"/>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color w:val="333333"/>
        </w:rPr>
        <w:t>There is no assurance that these timelines will be met. Anticipated timelines regarding drug development are based on reasonable assumptions informed by current knowledge and information available to the Company.</w:t>
      </w:r>
    </w:p>
    <w:p>
      <w:pPr>
        <w:jc w:val="both"/>
        <w:ind w:left="580" w:hanging="289"/>
        <w:spacing w:after="0" w:line="291" w:lineRule="auto"/>
        <w:tabs>
          <w:tab w:leader="none" w:pos="580" w:val="left"/>
        </w:tabs>
        <w:numPr>
          <w:ilvl w:val="0"/>
          <w:numId w:val="73"/>
        </w:numPr>
        <w:rPr>
          <w:rFonts w:ascii="Arial" w:cs="Arial" w:eastAsia="Arial" w:hAnsi="Arial"/>
          <w:sz w:val="14"/>
          <w:szCs w:val="14"/>
          <w:color w:val="auto"/>
        </w:rPr>
      </w:pPr>
      <w:r>
        <w:rPr>
          <w:rFonts w:ascii="Arial" w:cs="Arial" w:eastAsia="Arial" w:hAnsi="Arial"/>
          <w:sz w:val="14"/>
          <w:szCs w:val="14"/>
          <w:color w:val="333333"/>
        </w:rPr>
        <w:t>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Arial" w:cs="Arial" w:eastAsia="Arial" w:hAnsi="Arial"/>
          <w:sz w:val="14"/>
          <w:szCs w:val="14"/>
          <w:color w:val="auto"/>
        </w:rPr>
      </w:pPr>
    </w:p>
    <w:p>
      <w:pPr>
        <w:ind w:left="580" w:hanging="289"/>
        <w:spacing w:after="0" w:line="278" w:lineRule="auto"/>
        <w:tabs>
          <w:tab w:leader="none" w:pos="572" w:val="left"/>
        </w:tabs>
        <w:numPr>
          <w:ilvl w:val="0"/>
          <w:numId w:val="73"/>
        </w:numPr>
        <w:rPr>
          <w:rFonts w:ascii="Arial" w:cs="Arial" w:eastAsia="Arial" w:hAnsi="Arial"/>
          <w:sz w:val="15"/>
          <w:szCs w:val="15"/>
          <w:color w:val="auto"/>
        </w:rPr>
      </w:pPr>
      <w:r>
        <w:rPr>
          <w:rFonts w:ascii="Arial" w:cs="Arial" w:eastAsia="Arial" w:hAnsi="Arial"/>
          <w:sz w:val="15"/>
          <w:szCs w:val="15"/>
          <w:color w:val="333333"/>
        </w:rPr>
        <w:t>There is no assurance that these timelines will be met. Anticipated timelines regarding sponsorships are based on reasonable assumptions informed by current knowledge and information available to the Company from sponsorship partners.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Strategic Communications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irteam@cybin.com </w:t>
      </w:r>
      <w:r>
        <w:rPr>
          <w:rFonts w:ascii="Arial" w:cs="Arial" w:eastAsia="Arial" w:hAnsi="Arial"/>
          <w:sz w:val="18"/>
          <w:szCs w:val="18"/>
          <w:color w:val="000000"/>
        </w:rPr>
        <w:t>– or –</w:t>
      </w:r>
      <w:r>
        <w:rPr>
          <w:rFonts w:ascii="Arial" w:cs="Arial" w:eastAsia="Arial" w:hAnsi="Arial"/>
          <w:sz w:val="18"/>
          <w:szCs w:val="18"/>
          <w:color w:val="0000FF"/>
        </w:rPr>
        <w:t xml:space="preserve"> media@cybin.com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1-866-292-460</w:t>
      </w:r>
    </w:p>
    <w:sectPr>
      <w:pgSz w:w="11900" w:h="16838" w:orient="portrait"/>
      <w:cols w:equalWidth="0" w:num="1">
        <w:col w:w="11240"/>
      </w:cols>
      <w:pgMar w:left="320" w:top="13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decimal"/>
      <w:start w:val="2"/>
    </w:lvl>
  </w:abstractNum>
  <w:abstractNum w:abstractNumId="2">
    <w:nsid w:val="5C482A97"/>
    <w:multiLevelType w:val="hybridMultilevel"/>
    <w:lvl w:ilvl="0">
      <w:lvlJc w:val="left"/>
      <w:lvlText w:val="%1."/>
      <w:numFmt w:val="decimal"/>
      <w:start w:val="3"/>
    </w:lvl>
  </w:abstractNum>
  <w:abstractNum w:abstractNumId="3">
    <w:nsid w:val="2463B9EA"/>
    <w:multiLevelType w:val="hybridMultilevel"/>
    <w:lvl w:ilvl="0">
      <w:lvlJc w:val="left"/>
      <w:lvlText w:val="%1."/>
      <w:numFmt w:val="decimal"/>
      <w:start w:val="7"/>
    </w:lvl>
  </w:abstractNum>
  <w:abstractNum w:abstractNumId="4">
    <w:nsid w:val="5E884ADC"/>
    <w:multiLevelType w:val="hybridMultilevel"/>
    <w:lvl w:ilvl="0">
      <w:lvlJc w:val="left"/>
      <w:lvlText w:val="%1."/>
      <w:numFmt w:val="decimal"/>
      <w:start w:val="8"/>
    </w:lvl>
    <w:lvl w:ilvl="1">
      <w:lvlJc w:val="left"/>
      <w:lvlText w:val="%2)"/>
      <w:numFmt w:val="lowerLetter"/>
      <w:start w:val="1"/>
    </w:lvl>
  </w:abstractNum>
  <w:abstractNum w:abstractNumId="5">
    <w:nsid w:val="51EAD36B"/>
    <w:multiLevelType w:val="hybridMultilevel"/>
    <w:lvl w:ilvl="0">
      <w:lvlJc w:val="left"/>
      <w:lvlText w:val="%1)"/>
      <w:numFmt w:val="lowerLetter"/>
      <w:start w:val="2"/>
    </w:lvl>
  </w:abstractNum>
  <w:abstractNum w:abstractNumId="6">
    <w:nsid w:val="2D517796"/>
    <w:multiLevelType w:val="hybridMultilevel"/>
    <w:lvl w:ilvl="0">
      <w:lvlJc w:val="left"/>
      <w:lvlText w:val="%1)"/>
      <w:numFmt w:val="lowerLetter"/>
      <w:start w:val="3"/>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lowerLetter"/>
      <w:start w:val="4"/>
    </w:lvl>
  </w:abstractNum>
  <w:abstractNum w:abstractNumId="9">
    <w:nsid w:val="3855585C"/>
    <w:multiLevelType w:val="hybridMultilevel"/>
    <w:lvl w:ilvl="0">
      <w:lvlJc w:val="left"/>
      <w:lvlText w:val="%1."/>
      <w:numFmt w:val="decimal"/>
      <w:start w:val="9"/>
    </w:lvl>
  </w:abstractNum>
  <w:abstractNum w:abstractNumId="10">
    <w:nsid w:val="70A64E2A"/>
    <w:multiLevelType w:val="hybridMultilevel"/>
    <w:lvl w:ilvl="0">
      <w:lvlJc w:val="left"/>
      <w:lvlText w:val="%1"/>
      <w:numFmt w:val="decimal"/>
      <w:start w:val="1"/>
    </w:lvl>
    <w:lvl w:ilvl="1">
      <w:lvlJc w:val="left"/>
      <w:lvlText w:val="(%2)"/>
      <w:numFmt w:val="decimal"/>
      <w:start w:val="1"/>
    </w:lvl>
  </w:abstractNum>
  <w:abstractNum w:abstractNumId="11">
    <w:nsid w:val="6A2342EC"/>
    <w:multiLevelType w:val="hybridMultilevel"/>
    <w:lvl w:ilvl="0">
      <w:lvlJc w:val="left"/>
      <w:lvlText w:val="%1."/>
      <w:numFmt w:val="decimal"/>
      <w:start w:val="10"/>
    </w:lvl>
    <w:lvl w:ilvl="1">
      <w:lvlJc w:val="left"/>
      <w:lvlText w:val="%2"/>
      <w:numFmt w:val="decimal"/>
      <w:start w:val="1"/>
    </w:lvl>
  </w:abstractNum>
  <w:abstractNum w:abstractNumId="12">
    <w:nsid w:val="2A487CB0"/>
    <w:multiLevelType w:val="hybridMultilevel"/>
    <w:lvl w:ilvl="0">
      <w:lvlJc w:val="left"/>
      <w:lvlText w:val="%1."/>
      <w:numFmt w:val="decimal"/>
      <w:start w:val="12"/>
    </w:lvl>
  </w:abstractNum>
  <w:abstractNum w:abstractNumId="13">
    <w:nsid w:val="1D4ED43B"/>
    <w:multiLevelType w:val="hybridMultilevel"/>
    <w:lvl w:ilvl="0">
      <w:lvlJc w:val="left"/>
      <w:lvlText w:val="%1."/>
      <w:numFmt w:val="decimal"/>
      <w:start w:val="13"/>
    </w:lvl>
  </w:abstractNum>
  <w:abstractNum w:abstractNumId="14">
    <w:nsid w:val="725A06FB"/>
    <w:multiLevelType w:val="hybridMultilevel"/>
    <w:lvl w:ilvl="0">
      <w:lvlJc w:val="left"/>
      <w:lvlText w:val="%1."/>
      <w:numFmt w:val="decimal"/>
      <w:start w:val="14"/>
    </w:lvl>
  </w:abstractNum>
  <w:abstractNum w:abstractNumId="15">
    <w:nsid w:val="2CD89A32"/>
    <w:multiLevelType w:val="hybridMultilevel"/>
    <w:lvl w:ilvl="0">
      <w:lvlJc w:val="left"/>
      <w:lvlText w:val="%1."/>
      <w:numFmt w:val="decimal"/>
      <w:start w:val="15"/>
    </w:lvl>
  </w:abstractNum>
  <w:abstractNum w:abstractNumId="16">
    <w:nsid w:val="57E4CCAF"/>
    <w:multiLevelType w:val="hybridMultilevel"/>
    <w:lvl w:ilvl="0">
      <w:lvlJc w:val="left"/>
      <w:lvlText w:val="%1."/>
      <w:numFmt w:val="decimal"/>
      <w:start w:val="16"/>
    </w:lvl>
    <w:lvl w:ilvl="1">
      <w:lvlJc w:val="left"/>
      <w:lvlText w:val="(%2)"/>
      <w:numFmt w:val="lowerLetter"/>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bullet"/>
      <w:start w:val="1"/>
    </w:lvl>
  </w:abstractNum>
  <w:abstractNum w:abstractNumId="24">
    <w:nsid w:val="684A481A"/>
    <w:multiLevelType w:val="hybridMultilevel"/>
    <w:lvl w:ilvl="0">
      <w:lvlJc w:val="left"/>
      <w:lvlText w:val="4"/>
      <w:numFmt w:val="bullet"/>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7"/>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9"/>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decimal"/>
      <w:start w:val="12"/>
    </w:lvl>
  </w:abstractNum>
  <w:abstractNum w:abstractNumId="31">
    <w:nsid w:val="12E685FB"/>
    <w:multiLevelType w:val="hybridMultilevel"/>
    <w:lvl w:ilvl="0">
      <w:lvlJc w:val="left"/>
      <w:lvlText w:val="%1"/>
      <w:numFmt w:val="decimal"/>
      <w:start w:val="14"/>
    </w:lvl>
  </w:abstractNum>
  <w:abstractNum w:abstractNumId="32">
    <w:nsid w:val="70C6A529"/>
    <w:multiLevelType w:val="hybridMultilevel"/>
    <w:lvl w:ilvl="0">
      <w:lvlJc w:val="left"/>
      <w:lvlText w:val="%1"/>
      <w:numFmt w:val="decimal"/>
      <w:start w:val="18"/>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0"/>
    </w:lvl>
  </w:abstractNum>
  <w:abstractNum w:abstractNumId="36">
    <w:nsid w:val="23F9C13C"/>
    <w:multiLevelType w:val="hybridMultilevel"/>
    <w:lvl w:ilvl="0">
      <w:lvlJc w:val="left"/>
      <w:lvlText w:val="(%1)"/>
      <w:numFmt w:val="decimal"/>
      <w:start w:val="20"/>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decimal"/>
      <w:start w:val="20"/>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21"/>
    </w:lvl>
  </w:abstractNum>
  <w:abstractNum w:abstractNumId="42">
    <w:nsid w:val="235BA861"/>
    <w:multiLevelType w:val="hybridMultilevel"/>
    <w:lvl w:ilvl="0">
      <w:lvlJc w:val="left"/>
      <w:lvlText w:val="%1"/>
      <w:numFmt w:val="decimal"/>
      <w:start w:val="22"/>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23"/>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lowerRoman"/>
      <w:start w:val="8"/>
    </w:lvl>
  </w:abstractNum>
  <w:abstractNum w:abstractNumId="58">
    <w:nsid w:val="1DBABF00"/>
    <w:multiLevelType w:val="hybridMultilevel"/>
    <w:lvl w:ilvl="0">
      <w:lvlJc w:val="left"/>
      <w:lvlText w:val="(%1)"/>
      <w:numFmt w:val="lowerRoman"/>
      <w:start w:val="14"/>
    </w:lvl>
  </w:abstractNum>
  <w:abstractNum w:abstractNumId="59">
    <w:nsid w:val="4AD084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0">
    <w:nsid w:val="1F48EAA1"/>
    <w:multiLevelType w:val="hybridMultilevel"/>
    <w:lvl w:ilvl="0">
      <w:lvlJc w:val="left"/>
      <w:lvlText w:val="%1."/>
      <w:numFmt w:val="decimal"/>
      <w:start w:val="6"/>
    </w:lvl>
  </w:abstractNum>
  <w:abstractNum w:abstractNumId="61">
    <w:nsid w:val="1381823A"/>
    <w:multiLevelType w:val="hybridMultilevel"/>
    <w:lvl w:ilvl="0">
      <w:lvlJc w:val="left"/>
      <w:lvlText w:val="(%1)"/>
      <w:numFmt w:val="lowerLetter"/>
      <w:start w:val="19"/>
    </w:lvl>
  </w:abstractNum>
  <w:abstractNum w:abstractNumId="62">
    <w:nsid w:val="5DB70AE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3">
    <w:nsid w:val="100F8FCA"/>
    <w:multiLevelType w:val="hybridMultilevel"/>
    <w:lvl w:ilvl="0">
      <w:lvlJc w:val="left"/>
      <w:lvlText w:val="%1."/>
      <w:numFmt w:val="decimal"/>
      <w:start w:val="6"/>
    </w:lvl>
  </w:abstractNum>
  <w:abstractNum w:abstractNumId="64">
    <w:nsid w:val="6590700B"/>
    <w:multiLevelType w:val="hybridMultilevel"/>
    <w:lvl w:ilvl="0">
      <w:lvlJc w:val="left"/>
      <w:lvlText w:val="(%1)"/>
      <w:numFmt w:val="lowerLetter"/>
      <w:start w:val="19"/>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2022-08-09T03:52:49Z</dcterms:created>
  <dcterms:modified xsi:type="dcterms:W3CDTF">2022-08-09T03:52:49Z</dcterms:modified>
</cp:coreProperties>
</file>