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232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27305"/>
                    </a:xfrm>
                    <a:prstGeom prst="rect">
                      <a:avLst/>
                    </a:prstGeom>
                    <a:noFill/>
                  </pic:spPr>
                </pic:pic>
              </a:graphicData>
            </a:graphic>
          </wp:anchor>
        </w:drawing>
        <w:t>As filed with the Securities and Exchange Commission on December 29, 2023.</w:t>
      </w:r>
    </w:p>
    <w:p>
      <w:pPr>
        <w:spacing w:after="0" w:line="185"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w:t>
      </w:r>
    </w:p>
    <w:p>
      <w:pPr>
        <w:spacing w:after="0" w:line="1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F-10</w:t>
      </w:r>
    </w:p>
    <w:p>
      <w:pPr>
        <w:spacing w:after="0" w:line="18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2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u w:val="single" w:color="auto"/>
          <w:color w:val="auto"/>
        </w:rPr>
        <w:t>CYBIN INC.</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6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Ontario, Canada</w:t>
      </w:r>
    </w:p>
    <w:p>
      <w:pPr>
        <w:spacing w:after="0" w:line="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(Province or other jurisdiction of incorporation or organization)</w:t>
      </w:r>
    </w:p>
    <w:p>
      <w:pPr>
        <w:spacing w:after="0" w:line="16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u w:val="single" w:color="auto"/>
          <w:color w:val="auto"/>
        </w:rPr>
        <w:t>2834</w:t>
      </w:r>
    </w:p>
    <w:p>
      <w:pPr>
        <w:spacing w:after="0" w:line="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(Primary Standard Industrial Classification Code Number, if applicable)</w:t>
      </w:r>
    </w:p>
    <w:p>
      <w:pPr>
        <w:spacing w:after="0" w:line="16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(I.R.S. Employer Identification No., if applicable)</w:t>
      </w:r>
    </w:p>
    <w:p>
      <w:pPr>
        <w:spacing w:after="0" w:line="1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100 King Street West, Suite 5600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Toronto, Ontario, Canada M5X 1C9</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(908) 764-8385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(Address and telephone number of Registrant's principal executive offices)</w:t>
      </w:r>
    </w:p>
    <w:p>
      <w:pPr>
        <w:spacing w:after="0" w:line="16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ind w:left="4340"/>
        <w:spacing w:after="0" w:line="193" w:lineRule="auto"/>
        <w:rPr>
          <w:sz w:val="20"/>
          <w:szCs w:val="20"/>
          <w:color w:val="auto"/>
        </w:rPr>
      </w:pPr>
      <w:r>
        <w:rPr>
          <w:rFonts w:ascii="Times New Roman" w:cs="Times New Roman" w:eastAsia="Times New Roman" w:hAnsi="Times New Roman"/>
          <w:sz w:val="18"/>
          <w:szCs w:val="18"/>
          <w:b w:val="1"/>
          <w:bCs w:val="1"/>
          <w:color w:val="auto"/>
        </w:rPr>
        <w:t>1015 15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Street N.W., Suite 1000</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(202) 572-3133</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 in the United States)</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341"/>
        </w:trPr>
        <w:tc>
          <w:tcPr>
            <w:tcW w:w="4580" w:type="dxa"/>
            <w:vAlign w:val="bottom"/>
          </w:tcPr>
          <w:p>
            <w:pPr>
              <w:jc w:val="center"/>
              <w:ind w:left="983"/>
              <w:spacing w:after="0"/>
              <w:rPr>
                <w:sz w:val="20"/>
                <w:szCs w:val="20"/>
                <w:color w:val="auto"/>
              </w:rPr>
            </w:pPr>
            <w:r>
              <w:rPr>
                <w:rFonts w:ascii="Times New Roman" w:cs="Times New Roman" w:eastAsia="Times New Roman" w:hAnsi="Times New Roman"/>
                <w:sz w:val="15"/>
                <w:szCs w:val="15"/>
                <w:b w:val="1"/>
                <w:bCs w:val="1"/>
                <w:color w:val="auto"/>
              </w:rPr>
              <w:t>Douglas Drysdale</w:t>
            </w: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Richard Raymer</w:t>
            </w:r>
          </w:p>
        </w:tc>
      </w:tr>
      <w:tr>
        <w:trPr>
          <w:trHeight w:val="185"/>
        </w:trPr>
        <w:tc>
          <w:tcPr>
            <w:tcW w:w="45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Cybin, Inc.</w:t>
            </w: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Dorsey &amp; Whitney LLP</w:t>
            </w:r>
          </w:p>
        </w:tc>
      </w:tr>
      <w:tr>
        <w:trPr>
          <w:trHeight w:val="185"/>
        </w:trPr>
        <w:tc>
          <w:tcPr>
            <w:tcW w:w="45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100 King Street West, Suite 5600</w:t>
            </w: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TD Canada Trust Tower</w:t>
            </w:r>
          </w:p>
        </w:tc>
      </w:tr>
      <w:tr>
        <w:trPr>
          <w:trHeight w:val="185"/>
        </w:trPr>
        <w:tc>
          <w:tcPr>
            <w:tcW w:w="45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Toronto, Ontario, Canada</w:t>
            </w: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Brookfield Place, 161 Bay</w:t>
            </w:r>
          </w:p>
        </w:tc>
      </w:tr>
      <w:tr>
        <w:trPr>
          <w:trHeight w:val="185"/>
        </w:trPr>
        <w:tc>
          <w:tcPr>
            <w:tcW w:w="45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w w:val="99"/>
              </w:rPr>
              <w:t>M5X 1C9</w:t>
            </w: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Street, Suite 4310 Toronto, Ontario</w:t>
            </w:r>
          </w:p>
        </w:tc>
      </w:tr>
      <w:tr>
        <w:trPr>
          <w:trHeight w:val="185"/>
        </w:trPr>
        <w:tc>
          <w:tcPr>
            <w:tcW w:w="4580" w:type="dxa"/>
            <w:vAlign w:val="bottom"/>
          </w:tcPr>
          <w:p>
            <w:pPr>
              <w:jc w:val="right"/>
              <w:ind w:right="1203"/>
              <w:spacing w:after="0"/>
              <w:rPr>
                <w:sz w:val="20"/>
                <w:szCs w:val="20"/>
                <w:color w:val="auto"/>
              </w:rPr>
            </w:pPr>
            <w:r>
              <w:rPr>
                <w:rFonts w:ascii="Times New Roman" w:cs="Times New Roman" w:eastAsia="Times New Roman" w:hAnsi="Times New Roman"/>
                <w:sz w:val="15"/>
                <w:szCs w:val="15"/>
                <w:b w:val="1"/>
                <w:bCs w:val="1"/>
                <w:color w:val="auto"/>
              </w:rPr>
              <w:t>(866) 292-4601</w:t>
            </w:r>
          </w:p>
        </w:tc>
        <w:tc>
          <w:tcPr>
            <w:tcW w:w="6720" w:type="dxa"/>
            <w:vAlign w:val="bottom"/>
          </w:tcPr>
          <w:p>
            <w:pPr>
              <w:jc w:val="center"/>
              <w:ind w:left="921"/>
              <w:spacing w:after="0"/>
              <w:rPr>
                <w:sz w:val="20"/>
                <w:szCs w:val="20"/>
                <w:color w:val="auto"/>
              </w:rPr>
            </w:pPr>
            <w:r>
              <w:rPr>
                <w:rFonts w:ascii="Times New Roman" w:cs="Times New Roman" w:eastAsia="Times New Roman" w:hAnsi="Times New Roman"/>
                <w:sz w:val="15"/>
                <w:szCs w:val="15"/>
                <w:b w:val="1"/>
                <w:bCs w:val="1"/>
                <w:color w:val="auto"/>
              </w:rPr>
              <w:t>Canada, M5J 2S1</w:t>
            </w:r>
          </w:p>
        </w:tc>
      </w:tr>
      <w:tr>
        <w:trPr>
          <w:trHeight w:val="203"/>
        </w:trPr>
        <w:tc>
          <w:tcPr>
            <w:tcW w:w="4580" w:type="dxa"/>
            <w:vAlign w:val="bottom"/>
          </w:tcPr>
          <w:p>
            <w:pPr>
              <w:spacing w:after="0"/>
              <w:rPr>
                <w:sz w:val="17"/>
                <w:szCs w:val="17"/>
                <w:color w:val="auto"/>
              </w:rPr>
            </w:pPr>
          </w:p>
        </w:tc>
        <w:tc>
          <w:tcPr>
            <w:tcW w:w="6720" w:type="dxa"/>
            <w:vAlign w:val="bottom"/>
          </w:tcPr>
          <w:p>
            <w:pPr>
              <w:jc w:val="center"/>
              <w:ind w:left="961"/>
              <w:spacing w:after="0"/>
              <w:rPr>
                <w:sz w:val="20"/>
                <w:szCs w:val="20"/>
                <w:color w:val="auto"/>
              </w:rPr>
            </w:pPr>
            <w:r>
              <w:rPr>
                <w:rFonts w:ascii="Times New Roman" w:cs="Times New Roman" w:eastAsia="Times New Roman" w:hAnsi="Times New Roman"/>
                <w:sz w:val="15"/>
                <w:szCs w:val="15"/>
                <w:b w:val="1"/>
                <w:bCs w:val="1"/>
                <w:color w:val="auto"/>
              </w:rPr>
              <w:t>(416) 367-7388</w:t>
            </w:r>
          </w:p>
        </w:tc>
      </w:tr>
      <w:tr>
        <w:trPr>
          <w:trHeight w:val="296"/>
        </w:trPr>
        <w:tc>
          <w:tcPr>
            <w:tcW w:w="458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66"/>
        </w:trPr>
        <w:tc>
          <w:tcPr>
            <w:tcW w:w="4580" w:type="dxa"/>
            <w:vAlign w:val="bottom"/>
            <w:shd w:val="clear" w:color="auto" w:fill="000000"/>
          </w:tcPr>
          <w:p>
            <w:pPr>
              <w:spacing w:after="0"/>
              <w:rPr>
                <w:sz w:val="5"/>
                <w:szCs w:val="5"/>
                <w:color w:val="auto"/>
              </w:rPr>
            </w:pPr>
          </w:p>
        </w:tc>
        <w:tc>
          <w:tcPr>
            <w:tcW w:w="672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424" w:right="299" w:bottom="1440" w:gutter="0" w:footer="0" w:header="0"/>
        </w:sectPr>
      </w:pPr>
    </w:p>
    <w:bookmarkStart w:id="1" w:name="page2"/>
    <w:bookmarkEnd w:id="1"/>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p>
    <w:p>
      <w:pPr>
        <w:spacing w:after="0" w:line="24"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8"/>
          <w:szCs w:val="18"/>
          <w:color w:val="auto"/>
        </w:rPr>
        <w:t>From time to time after this Registration Statement becomes effective.</w:t>
      </w:r>
    </w:p>
    <w:p>
      <w:pPr>
        <w:spacing w:after="0" w:line="161" w:lineRule="exact"/>
        <w:rPr>
          <w:sz w:val="20"/>
          <w:szCs w:val="20"/>
          <w:color w:val="auto"/>
        </w:rPr>
      </w:pPr>
    </w:p>
    <w:p>
      <w:pPr>
        <w:ind w:left="4488"/>
        <w:spacing w:after="0"/>
        <w:rPr>
          <w:sz w:val="20"/>
          <w:szCs w:val="20"/>
          <w:color w:val="auto"/>
        </w:rPr>
      </w:pPr>
      <w:r>
        <w:rPr>
          <w:rFonts w:ascii="Times New Roman" w:cs="Times New Roman" w:eastAsia="Times New Roman" w:hAnsi="Times New Roman"/>
          <w:sz w:val="18"/>
          <w:szCs w:val="18"/>
          <w:b w:val="1"/>
          <w:bCs w:val="1"/>
          <w:u w:val="single" w:color="auto"/>
          <w:color w:val="auto"/>
        </w:rPr>
        <w:t>Province of Ontario, Canada</w:t>
      </w:r>
    </w:p>
    <w:p>
      <w:pPr>
        <w:spacing w:after="0" w:line="25" w:lineRule="exact"/>
        <w:rPr>
          <w:sz w:val="20"/>
          <w:szCs w:val="20"/>
          <w:color w:val="auto"/>
        </w:rPr>
      </w:pPr>
    </w:p>
    <w:p>
      <w:pPr>
        <w:ind w:left="3888"/>
        <w:spacing w:after="0"/>
        <w:rPr>
          <w:sz w:val="20"/>
          <w:szCs w:val="20"/>
          <w:color w:val="auto"/>
        </w:rPr>
      </w:pPr>
      <w:r>
        <w:rPr>
          <w:rFonts w:ascii="Times New Roman" w:cs="Times New Roman" w:eastAsia="Times New Roman" w:hAnsi="Times New Roman"/>
          <w:sz w:val="18"/>
          <w:szCs w:val="18"/>
          <w:i w:val="1"/>
          <w:iCs w:val="1"/>
          <w:color w:val="auto"/>
        </w:rPr>
        <w:t>(Principal jurisdiction regulating this offering)</w:t>
      </w:r>
    </w:p>
    <w:p>
      <w:pPr>
        <w:spacing w:after="0" w:line="165"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8"/>
          <w:szCs w:val="18"/>
          <w:color w:val="auto"/>
        </w:rPr>
        <w:t>It is proposed that this filing shall become effective (check appropriate box below):</w:t>
      </w:r>
    </w:p>
    <w:p>
      <w:pPr>
        <w:spacing w:after="0" w:line="158" w:lineRule="exact"/>
        <w:rPr>
          <w:sz w:val="20"/>
          <w:szCs w:val="20"/>
          <w:color w:val="auto"/>
        </w:rPr>
      </w:pPr>
    </w:p>
    <w:p>
      <w:pPr>
        <w:ind w:left="368" w:hanging="368"/>
        <w:spacing w:after="0" w:line="173" w:lineRule="exact"/>
        <w:tabs>
          <w:tab w:leader="none" w:pos="368" w:val="left"/>
        </w:tabs>
        <w:numPr>
          <w:ilvl w:val="0"/>
          <w:numId w:val="1"/>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upon filing with the Commission pursuant to Rule 467(a) (if in connection with an offering being made contemporaneously in the United States and Canada).</w:t>
      </w:r>
    </w:p>
    <w:p>
      <w:pPr>
        <w:spacing w:after="0" w:line="63" w:lineRule="exact"/>
        <w:rPr>
          <w:rFonts w:ascii="Times New Roman" w:cs="Times New Roman" w:eastAsia="Times New Roman" w:hAnsi="Times New Roman"/>
          <w:sz w:val="15"/>
          <w:szCs w:val="15"/>
          <w:color w:val="auto"/>
        </w:rPr>
      </w:pPr>
    </w:p>
    <w:p>
      <w:pPr>
        <w:ind w:left="368" w:hanging="368"/>
        <w:spacing w:after="0" w:line="173" w:lineRule="exact"/>
        <w:tabs>
          <w:tab w:leader="none" w:pos="368" w:val="left"/>
        </w:tabs>
        <w:numPr>
          <w:ilvl w:val="0"/>
          <w:numId w:val="1"/>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at some future date (check the appropriate box below):</w:t>
      </w:r>
    </w:p>
    <w:tbl>
      <w:tblPr>
        <w:tblLayout w:type="fixed"/>
        <w:tblInd w:w="368" w:type="dxa"/>
        <w:tblCellMar>
          <w:top w:w="0" w:type="dxa"/>
          <w:left w:w="0" w:type="dxa"/>
          <w:bottom w:w="0" w:type="dxa"/>
          <w:right w:w="0" w:type="dxa"/>
        </w:tblCellMar>
      </w:tblPr>
      <w:tr>
        <w:trPr>
          <w:trHeight w:val="149"/>
        </w:trPr>
        <w:tc>
          <w:tcPr>
            <w:tcW w:w="240" w:type="dxa"/>
            <w:vAlign w:val="bottom"/>
          </w:tcPr>
          <w:p>
            <w:pPr>
              <w:jc w:val="right"/>
              <w:ind w:right="43"/>
              <w:spacing w:after="0" w:line="149" w:lineRule="exact"/>
              <w:rPr>
                <w:sz w:val="20"/>
                <w:szCs w:val="20"/>
                <w:color w:val="auto"/>
              </w:rPr>
            </w:pPr>
            <w:r>
              <w:rPr>
                <w:rFonts w:ascii="Times New Roman" w:cs="Times New Roman" w:eastAsia="Times New Roman" w:hAnsi="Times New Roman"/>
                <w:sz w:val="15"/>
                <w:szCs w:val="15"/>
                <w:color w:val="auto"/>
                <w:w w:val="88"/>
              </w:rPr>
              <w:t>1.</w:t>
            </w:r>
          </w:p>
        </w:tc>
        <w:tc>
          <w:tcPr>
            <w:tcW w:w="36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210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pursuant to Rule 467(b) on (</w:t>
            </w:r>
          </w:p>
        </w:tc>
        <w:tc>
          <w:tcPr>
            <w:tcW w:w="80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 at (</w:t>
            </w:r>
          </w:p>
        </w:tc>
        <w:tc>
          <w:tcPr>
            <w:tcW w:w="7380" w:type="dxa"/>
            <w:vAlign w:val="bottom"/>
            <w:gridSpan w:val="2"/>
          </w:tcPr>
          <w:p>
            <w:pPr>
              <w:jc w:val="right"/>
              <w:ind w:right="3223"/>
              <w:spacing w:after="0" w:line="149" w:lineRule="exact"/>
              <w:rPr>
                <w:sz w:val="20"/>
                <w:szCs w:val="20"/>
                <w:color w:val="auto"/>
              </w:rPr>
            </w:pPr>
            <w:r>
              <w:rPr>
                <w:rFonts w:ascii="Times New Roman" w:cs="Times New Roman" w:eastAsia="Times New Roman" w:hAnsi="Times New Roman"/>
                <w:sz w:val="15"/>
                <w:szCs w:val="15"/>
                <w:color w:val="auto"/>
              </w:rPr>
              <w:t>) (designate a time not sooner than 7 calendar days after filing).</w:t>
            </w:r>
          </w:p>
        </w:tc>
      </w:tr>
      <w:tr>
        <w:trPr>
          <w:trHeight w:val="216"/>
        </w:trPr>
        <w:tc>
          <w:tcPr>
            <w:tcW w:w="2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88"/>
              </w:rPr>
              <w:t>2.</w:t>
            </w:r>
          </w:p>
        </w:tc>
        <w:tc>
          <w:tcPr>
            <w:tcW w:w="36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21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pursuant to Rule 467(b) on (</w:t>
            </w:r>
          </w:p>
        </w:tc>
        <w:tc>
          <w:tcPr>
            <w:tcW w:w="8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 at (</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(designate a time 7 calendar days or sooner after filing) because the securities regulatory authority in the review</w:t>
            </w:r>
          </w:p>
        </w:tc>
      </w:tr>
      <w:tr>
        <w:trPr>
          <w:trHeight w:val="195"/>
        </w:trPr>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jurisdiction has issued a receipt or notification of clearance on (</w:t>
            </w:r>
          </w:p>
        </w:tc>
        <w:tc>
          <w:tcPr>
            <w:tcW w:w="6020" w:type="dxa"/>
            <w:vAlign w:val="bottom"/>
          </w:tcPr>
          <w:p>
            <w:pPr>
              <w:jc w:val="right"/>
              <w:ind w:right="5623"/>
              <w:spacing w:after="0"/>
              <w:rPr>
                <w:sz w:val="20"/>
                <w:szCs w:val="20"/>
                <w:color w:val="auto"/>
              </w:rPr>
            </w:pPr>
            <w:r>
              <w:rPr>
                <w:rFonts w:ascii="Times New Roman" w:cs="Times New Roman" w:eastAsia="Times New Roman" w:hAnsi="Times New Roman"/>
                <w:sz w:val="15"/>
                <w:szCs w:val="15"/>
                <w:color w:val="auto"/>
              </w:rPr>
              <w:t>).</w:t>
            </w:r>
          </w:p>
        </w:tc>
      </w:tr>
    </w:tbl>
    <w:p>
      <w:pPr>
        <w:ind w:left="1088" w:right="20" w:hanging="718"/>
        <w:spacing w:after="0" w:line="187" w:lineRule="exact"/>
        <w:tabs>
          <w:tab w:leader="none" w:pos="73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 w:lineRule="exact"/>
        <w:rPr>
          <w:rFonts w:ascii="Times New Roman" w:cs="Times New Roman" w:eastAsia="Times New Roman" w:hAnsi="Times New Roman"/>
          <w:sz w:val="15"/>
          <w:szCs w:val="15"/>
          <w:color w:val="auto"/>
        </w:rPr>
      </w:pPr>
    </w:p>
    <w:p>
      <w:pPr>
        <w:ind w:left="728" w:hanging="358"/>
        <w:spacing w:after="0" w:line="173" w:lineRule="exact"/>
        <w:tabs>
          <w:tab w:leader="none" w:pos="728"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after the filing of the next amendment to this Form (if preliminary material is being filed).</w:t>
      </w:r>
    </w:p>
    <w:p>
      <w:pPr>
        <w:spacing w:after="0" w:line="174" w:lineRule="exact"/>
        <w:rPr>
          <w:sz w:val="20"/>
          <w:szCs w:val="20"/>
          <w:color w:val="auto"/>
        </w:rPr>
      </w:pPr>
    </w:p>
    <w:p>
      <w:pPr>
        <w:jc w:val="both"/>
        <w:ind w:left="8" w:firstLine="524"/>
        <w:spacing w:after="0" w:line="244"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121"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spacing w:after="0" w:line="130"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8"/>
          <w:szCs w:val="18"/>
          <w:b w:val="1"/>
          <w:bCs w:val="1"/>
          <w:color w:val="auto"/>
        </w:rPr>
        <w:t>Pursuant to Rule 429 under the Securities Act, the prospectus contained in this Registration Statement relates to Registration Statement 333-272706.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7232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TO BE DELIVERED TO OFFEREES OR PURCHASERS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dated December 22, 2023 to the Short Form Base Shelf Prospectus dated August 17, 2023</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FF0000"/>
        </w:rPr>
        <w:t>The short form base shelf prospectus dated August 17, 2023, as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3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securities regulatory authority has expressed an opinion about these securities and it is an offence to claim otherwise. The short form base shelf prospectus dated August 17, 2023, as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8"/>
          <w:szCs w:val="18"/>
          <w:i w:val="1"/>
          <w:iCs w:val="1"/>
          <w:color w:val="auto"/>
        </w:rPr>
        <w:t>Copies of the documents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incorporated herein by reference may be obtained on request without charge from the Secretary of Cybin Inc. at 100 King Street West, Suite 5600, Toronto, Ontario M5X 1C9, telephone 1-866-292-4601, and are also available electronically at www.sedarplus.ca.</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132080</wp:posOffset>
            </wp:positionV>
            <wp:extent cx="1297305" cy="842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7305" cy="84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$400,000,000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Receipts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short form base shelf prospectus dated August 17, 2023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Cybin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is hereby amended by this Amendment No. 1 to increase the aggregate amount of Securities that may be offered from time to time under the Prospectus from $160,000,000 to $400,000,000. Capitalized terms used but not otherwise defined in this Amendment No. 1 have the meanings ascribed thereto in the Prospectus.</w:t>
      </w:r>
    </w:p>
    <w:p>
      <w:pPr>
        <w:spacing w:after="0" w:line="1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 - Enforcement of Civil Liabilities</w:t>
      </w:r>
      <w:r>
        <w:rPr>
          <w:rFonts w:ascii="Times New Roman" w:cs="Times New Roman" w:eastAsia="Times New Roman" w:hAnsi="Times New Roman"/>
          <w:sz w:val="18"/>
          <w:szCs w:val="18"/>
          <w:b w:val="1"/>
          <w:bCs w:val="1"/>
          <w:color w:val="auto"/>
        </w:rPr>
        <w:t>" in the Prospectus and in this Amendment No. 1.</w:t>
      </w:r>
    </w:p>
    <w:p>
      <w:pPr>
        <w:spacing w:after="0" w:line="1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Cautionary Statement Regarding Forward-Looking Statements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8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Specifically, the Prospectus is amended by deleting all references to "$160,000,000" contained on the face page of the Prospectus and substituting "$400,000,000" therefor. The first paragraph of the text on the face page of the Prospectus, as so amended, is deleted and replaced with the following:</w:t>
      </w:r>
    </w:p>
    <w:p>
      <w:pPr>
        <w:spacing w:after="0" w:line="115" w:lineRule="exact"/>
        <w:rPr>
          <w:sz w:val="20"/>
          <w:szCs w:val="20"/>
          <w:color w:val="auto"/>
        </w:rPr>
      </w:pPr>
    </w:p>
    <w:p>
      <w:pPr>
        <w:jc w:val="both"/>
        <w:ind w:left="540"/>
        <w:spacing w:after="0" w:line="246" w:lineRule="auto"/>
        <w:rPr>
          <w:sz w:val="20"/>
          <w:szCs w:val="20"/>
          <w:color w:val="auto"/>
        </w:rPr>
      </w:pPr>
      <w:r>
        <w:rPr>
          <w:rFonts w:ascii="Times New Roman" w:cs="Times New Roman" w:eastAsia="Times New Roman" w:hAnsi="Times New Roman"/>
          <w:sz w:val="18"/>
          <w:szCs w:val="18"/>
          <w:color w:val="auto"/>
        </w:rPr>
        <w:t>"This short form base shelf prospectus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(each, an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Cybin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Corporation; (ii)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other Securities (as defined below) of the Corporation; (iii)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comprising of one or more of the other Securities, (iv) senior and subordinated unsecured debt securities (collectively,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including debt securities convertible or exchangeable into other securities of the Corporation, and (v) subscription receipts ("</w:t>
      </w:r>
      <w:r>
        <w:rPr>
          <w:rFonts w:ascii="Times New Roman" w:cs="Times New Roman" w:eastAsia="Times New Roman" w:hAnsi="Times New Roman"/>
          <w:sz w:val="18"/>
          <w:szCs w:val="18"/>
          <w:b w:val="1"/>
          <w:bCs w:val="1"/>
          <w:color w:val="auto"/>
        </w:rPr>
        <w:t>Subscription Receipts"</w:t>
      </w:r>
      <w:r>
        <w:rPr>
          <w:rFonts w:ascii="Times New Roman" w:cs="Times New Roman" w:eastAsia="Times New Roman" w:hAnsi="Times New Roman"/>
          <w:sz w:val="18"/>
          <w:szCs w:val="18"/>
          <w:color w:val="auto"/>
        </w:rPr>
        <w:t xml:space="preserve"> and together with the Common Shares, Warrants, Units and Debt Securities,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Prospectus is further amended by deleting the reference to "$160,000,000" contained in the first sentence of the first paragraph under the heading "Plan of Distribution" on page 28, so that such sentence, as so amended, reads as follows:</w:t>
      </w:r>
    </w:p>
    <w:p>
      <w:pPr>
        <w:spacing w:after="0" w:line="119"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8"/>
          <w:szCs w:val="18"/>
          <w:color w:val="auto"/>
        </w:rPr>
        <w:t>"The Corporation may from time to time during the 25-month period commencing on August 17, 2023, that this Prospectus, including any amendments and supplements hereto, remains valid, offer for sale and sell up to an aggregate of $400,000,000 in Securities 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Prospectus is further amended by deleting the third paragraph on page iv of the Prospectus, and replacing with the following:</w:t>
      </w:r>
    </w:p>
    <w:p>
      <w:pPr>
        <w:spacing w:after="0" w:line="186" w:lineRule="exact"/>
        <w:rPr>
          <w:sz w:val="20"/>
          <w:szCs w:val="20"/>
          <w:color w:val="auto"/>
        </w:rPr>
      </w:pP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 xml:space="preserve">“Douglas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18"/>
          <w:szCs w:val="18"/>
          <w:i w:val="1"/>
          <w:iCs w:val="1"/>
          <w:color w:val="auto"/>
        </w:rPr>
        <w:t>“Risk Factors – Risks Related to an Offering – Enforcement of Civil Liabilities”.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Prospectus is further amended by deleting the second paragraph under the section titled “Documents Incorporated by Reference” and replacing it with the following:</w:t>
      </w:r>
    </w:p>
    <w:p>
      <w:pPr>
        <w:spacing w:after="0" w:line="119"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“The following documents of the Corporation filed with the securities commission or similar authorities in Canada are incorporated by reference in this Prospectus:</w:t>
      </w:r>
    </w:p>
    <w:p>
      <w:pPr>
        <w:spacing w:after="0" w:line="115" w:lineRule="exact"/>
        <w:rPr>
          <w:sz w:val="20"/>
          <w:szCs w:val="20"/>
          <w:color w:val="auto"/>
        </w:rPr>
      </w:pPr>
    </w:p>
    <w:p>
      <w:pPr>
        <w:ind w:left="1120" w:hanging="297"/>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form of the Corporation dated June 27, 2023 for the year ended March 31, 2023 (the “</w:t>
      </w:r>
      <w:r>
        <w:rPr>
          <w:rFonts w:ascii="Times New Roman" w:cs="Times New Roman" w:eastAsia="Times New Roman" w:hAnsi="Times New Roman"/>
          <w:sz w:val="18"/>
          <w:szCs w:val="18"/>
          <w:b w:val="1"/>
          <w:bCs w:val="1"/>
          <w:color w:val="auto"/>
        </w:rPr>
        <w:t>Annual Information Form</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100" w:right="20" w:hanging="277"/>
        <w:spacing w:after="0" w:line="279"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Corporation and the notes thereto as at and for the fiscal year ended March 31, 2023 and 2022, together with the auditor’s report thereon;</w:t>
      </w:r>
    </w:p>
    <w:p>
      <w:pPr>
        <w:spacing w:after="0" w:line="118" w:lineRule="exact"/>
        <w:rPr>
          <w:rFonts w:ascii="Times New Roman" w:cs="Times New Roman" w:eastAsia="Times New Roman" w:hAnsi="Times New Roman"/>
          <w:sz w:val="18"/>
          <w:szCs w:val="18"/>
          <w:color w:val="auto"/>
        </w:rPr>
      </w:pPr>
    </w:p>
    <w:p>
      <w:pPr>
        <w:ind w:left="1120" w:hanging="297"/>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the Corporation for the year ended March 31, 2023;</w:t>
      </w:r>
    </w:p>
    <w:p>
      <w:pPr>
        <w:spacing w:after="0" w:line="185" w:lineRule="exact"/>
        <w:rPr>
          <w:rFonts w:ascii="Times New Roman" w:cs="Times New Roman" w:eastAsia="Times New Roman" w:hAnsi="Times New Roman"/>
          <w:sz w:val="18"/>
          <w:szCs w:val="18"/>
          <w:color w:val="auto"/>
        </w:rPr>
      </w:pPr>
    </w:p>
    <w:p>
      <w:pPr>
        <w:ind w:left="1100" w:hanging="277"/>
        <w:spacing w:after="0" w:line="279"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condensed consolidated financial statements of the Corporation and the notes thereto for the three and six months ended September 30, 2023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100" w:right="20" w:hanging="277"/>
        <w:spacing w:after="0" w:line="262"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the Corporation for the three and six months ended September 30, 2023 (the “</w:t>
      </w:r>
      <w:r>
        <w:rPr>
          <w:rFonts w:ascii="Times New Roman" w:cs="Times New Roman" w:eastAsia="Times New Roman" w:hAnsi="Times New Roman"/>
          <w:sz w:val="18"/>
          <w:szCs w:val="18"/>
          <w:b w:val="1"/>
          <w:b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w:t>
      </w:r>
    </w:p>
    <w:p>
      <w:pPr>
        <w:spacing w:after="0" w:line="378" w:lineRule="exact"/>
        <w:rPr>
          <w:rFonts w:ascii="Times New Roman" w:cs="Times New Roman" w:eastAsia="Times New Roman" w:hAnsi="Times New Roman"/>
          <w:sz w:val="18"/>
          <w:szCs w:val="18"/>
          <w:color w:val="auto"/>
        </w:rPr>
      </w:pPr>
    </w:p>
    <w:p>
      <w:pPr>
        <w:ind w:left="1100" w:hanging="277"/>
        <w:spacing w:after="0" w:line="279"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circular of the Corporation dated September 13, 2023 relating to an annual and special meeting of shareholders of the Corporation held on October 12, 2023;</w:t>
      </w:r>
    </w:p>
    <w:p>
      <w:pPr>
        <w:spacing w:after="0" w:line="118" w:lineRule="exact"/>
        <w:rPr>
          <w:rFonts w:ascii="Times New Roman" w:cs="Times New Roman" w:eastAsia="Times New Roman" w:hAnsi="Times New Roman"/>
          <w:sz w:val="18"/>
          <w:szCs w:val="18"/>
          <w:color w:val="auto"/>
        </w:rPr>
      </w:pPr>
    </w:p>
    <w:p>
      <w:pPr>
        <w:jc w:val="both"/>
        <w:ind w:left="1100" w:hanging="277"/>
        <w:spacing w:after="0" w:line="253"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made pursuant to and qualified by a prospectus supplement dated May 30, 2023, to the Corporation’s short form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shelf prospectus dated July 5, 2021 (the “</w:t>
      </w:r>
      <w:r>
        <w:rPr>
          <w:rFonts w:ascii="Times New Roman" w:cs="Times New Roman" w:eastAsia="Times New Roman" w:hAnsi="Times New Roman"/>
          <w:sz w:val="18"/>
          <w:szCs w:val="18"/>
          <w:b w:val="1"/>
          <w:bCs w:val="1"/>
          <w:color w:val="auto"/>
        </w:rPr>
        <w:t>2021 Base Shelf Prospectus</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jc w:val="both"/>
        <w:ind w:left="1100" w:hanging="277"/>
        <w:spacing w:after="0" w:line="267"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347" w:lineRule="exact"/>
        <w:rPr>
          <w:rFonts w:ascii="Times New Roman" w:cs="Times New Roman" w:eastAsia="Times New Roman" w:hAnsi="Times New Roman"/>
          <w:sz w:val="18"/>
          <w:szCs w:val="18"/>
          <w:color w:val="auto"/>
        </w:rPr>
      </w:pPr>
    </w:p>
    <w:p>
      <w:pPr>
        <w:jc w:val="both"/>
        <w:ind w:left="1100" w:hanging="277"/>
        <w:spacing w:after="0" w:line="260"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18"/>
          <w:szCs w:val="18"/>
          <w:b w:val="1"/>
          <w:bCs w:val="1"/>
          <w:color w:val="auto"/>
        </w:rPr>
        <w:t>2023 ATM Program</w:t>
      </w:r>
      <w:r>
        <w:rPr>
          <w:rFonts w:ascii="Times New Roman" w:cs="Times New Roman" w:eastAsia="Times New Roman" w:hAnsi="Times New Roman"/>
          <w:sz w:val="18"/>
          <w:szCs w:val="18"/>
          <w:color w:val="auto"/>
        </w:rPr>
        <w:t>”) that allows the Corporation to issue and sell up to US$35,000,000 of Common Shares to the public from time to time, pursuant to a prospectus supplement dated August 23, 2023 to the Prospectus;</w:t>
      </w:r>
    </w:p>
    <w:p>
      <w:pPr>
        <w:spacing w:after="0" w:line="135" w:lineRule="exact"/>
        <w:rPr>
          <w:rFonts w:ascii="Times New Roman" w:cs="Times New Roman" w:eastAsia="Times New Roman" w:hAnsi="Times New Roman"/>
          <w:sz w:val="18"/>
          <w:szCs w:val="18"/>
          <w:color w:val="auto"/>
        </w:rPr>
      </w:pPr>
    </w:p>
    <w:p>
      <w:pPr>
        <w:ind w:left="1100" w:hanging="277"/>
        <w:spacing w:after="0" w:line="279" w:lineRule="auto"/>
        <w:tabs>
          <w:tab w:leader="none" w:pos="11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18"/>
          <w:szCs w:val="18"/>
          <w:b w:val="1"/>
          <w:bCs w:val="1"/>
          <w:color w:val="auto"/>
        </w:rPr>
        <w:t>August 2023 Prospectus Supplement</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jc w:val="both"/>
        <w:ind w:left="1100" w:hanging="277"/>
        <w:spacing w:after="0" w:line="262" w:lineRule="auto"/>
        <w:tabs>
          <w:tab w:leader="none" w:pos="11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September 7, 2023 with respect to the acquisition of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by the Corporation pursuant to the terms of the definitive agreement under which the Corporation will acquire all of the issued and outstanding common shares of Small Pharma pursuant to a court-approved plan of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w:t>
      </w:r>
    </w:p>
    <w:p>
      <w:pPr>
        <w:spacing w:after="0" w:line="133" w:lineRule="exact"/>
        <w:rPr>
          <w:rFonts w:ascii="Times New Roman" w:cs="Times New Roman" w:eastAsia="Times New Roman" w:hAnsi="Times New Roman"/>
          <w:sz w:val="18"/>
          <w:szCs w:val="18"/>
          <w:color w:val="auto"/>
        </w:rPr>
      </w:pPr>
    </w:p>
    <w:p>
      <w:pPr>
        <w:ind w:left="1140" w:hanging="317"/>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October 25, 2023 with respect to the closing of the Arrangement with Small Pharma;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 w:name="page6"/>
    <w:bookmarkEnd w:id="5"/>
    <w:p>
      <w:pPr>
        <w:jc w:val="both"/>
        <w:ind w:left="1100" w:hanging="277"/>
        <w:spacing w:after="0" w:line="260" w:lineRule="auto"/>
        <w:tabs>
          <w:tab w:leader="none" w:pos="11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 and</w:t>
      </w:r>
    </w:p>
    <w:p>
      <w:pPr>
        <w:spacing w:after="0" w:line="136" w:lineRule="exact"/>
        <w:rPr>
          <w:rFonts w:ascii="Times New Roman" w:cs="Times New Roman" w:eastAsia="Times New Roman" w:hAnsi="Times New Roman"/>
          <w:sz w:val="18"/>
          <w:szCs w:val="18"/>
          <w:color w:val="auto"/>
        </w:rPr>
      </w:pPr>
    </w:p>
    <w:p>
      <w:pPr>
        <w:ind w:left="1140" w:hanging="317"/>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 report dated October 27, 2023 relating to the Arrangement.”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is further amended by deleting the section titled “Select Recent Developments” and replacing it with the following:</w:t>
      </w:r>
    </w:p>
    <w:p>
      <w:pPr>
        <w:spacing w:after="0" w:line="185" w:lineRule="exact"/>
        <w:rPr>
          <w:sz w:val="20"/>
          <w:szCs w:val="20"/>
          <w:color w:val="auto"/>
        </w:rPr>
      </w:pPr>
    </w:p>
    <w:p>
      <w:pPr>
        <w:jc w:val="both"/>
        <w:ind w:left="540"/>
        <w:spacing w:after="0" w:line="279" w:lineRule="auto"/>
        <w:rPr>
          <w:sz w:val="20"/>
          <w:szCs w:val="20"/>
          <w:color w:val="auto"/>
        </w:rPr>
      </w:pPr>
      <w:r>
        <w:rPr>
          <w:rFonts w:ascii="Times New Roman" w:cs="Times New Roman" w:eastAsia="Times New Roman" w:hAnsi="Times New Roman"/>
          <w:sz w:val="18"/>
          <w:szCs w:val="18"/>
          <w:color w:val="auto"/>
        </w:rPr>
        <w:t>“Other than as set forth below and generally in this Prospectus or the documents incorporated by reference therein, there have been no material developments in the business of the Corporation since November 14, 2023, the date of the Interim Financial Statements and Interim MD&amp;A.</w:t>
      </w:r>
    </w:p>
    <w:p>
      <w:pPr>
        <w:spacing w:after="0" w:line="119" w:lineRule="exact"/>
        <w:rPr>
          <w:sz w:val="20"/>
          <w:szCs w:val="20"/>
          <w:color w:val="auto"/>
        </w:rPr>
      </w:pPr>
    </w:p>
    <w:p>
      <w:pPr>
        <w:jc w:val="both"/>
        <w:ind w:left="540" w:right="20"/>
        <w:spacing w:after="0" w:line="279" w:lineRule="auto"/>
        <w:rPr>
          <w:sz w:val="20"/>
          <w:szCs w:val="20"/>
          <w:color w:val="auto"/>
        </w:rPr>
      </w:pPr>
      <w:r>
        <w:rPr>
          <w:rFonts w:ascii="Times New Roman" w:cs="Times New Roman" w:eastAsia="Times New Roman" w:hAnsi="Times New Roman"/>
          <w:sz w:val="18"/>
          <w:szCs w:val="18"/>
          <w:color w:val="auto"/>
        </w:rPr>
        <w:t>On November 30, 2023, the Corporation announced positive Phase 2 topline safety and efficacy data for CYB0003, its proprietary deuterated psilocybin analog, being developed for the treatment of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On December 6, 2023, the Corporation announced that the United States Patent and Trademark Office had granted U.S. patent 11,834,410 in support of its CYB003 program. The patent, which is expected to provide exclusivity until at least 2041, includes composition of matter claims to pharmaceutical compositions within the Corporation’s proprietary deuterated psilocybin analog program, CYB003, as well as claims directed toward the therapeutic treatment of MDD, treatment-resistant depression, and alcohol use disorder.”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is further amended by deleting the section titled “Use of Proceeds” and replacing it with the following:</w:t>
      </w:r>
    </w:p>
    <w:p>
      <w:pPr>
        <w:spacing w:after="0" w:line="185" w:lineRule="exact"/>
        <w:rPr>
          <w:sz w:val="20"/>
          <w:szCs w:val="20"/>
          <w:color w:val="auto"/>
        </w:rPr>
      </w:pP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8"/>
          <w:szCs w:val="18"/>
          <w:i w:val="1"/>
          <w:iCs w:val="1"/>
          <w:color w:val="auto"/>
        </w:rPr>
        <w:t>“Risk Factors – Risks Related to an Offering – Discretion over the Use of Proceeds”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of Capital</w:t>
      </w:r>
    </w:p>
    <w:p>
      <w:pPr>
        <w:spacing w:after="0" w:line="189" w:lineRule="exact"/>
        <w:rPr>
          <w:sz w:val="20"/>
          <w:szCs w:val="20"/>
          <w:color w:val="auto"/>
        </w:rPr>
      </w:pPr>
    </w:p>
    <w:p>
      <w:pPr>
        <w:jc w:val="both"/>
        <w:ind w:left="540" w:right="20"/>
        <w:spacing w:after="0" w:line="253" w:lineRule="auto"/>
        <w:rPr>
          <w:sz w:val="20"/>
          <w:szCs w:val="20"/>
          <w:color w:val="auto"/>
        </w:rPr>
      </w:pPr>
      <w:r>
        <w:rPr>
          <w:rFonts w:ascii="Times New Roman" w:cs="Times New Roman" w:eastAsia="Times New Roman" w:hAnsi="Times New Roman"/>
          <w:sz w:val="18"/>
          <w:szCs w:val="18"/>
          <w:color w:val="auto"/>
        </w:rPr>
        <w:t>As at December 21, 2023, the Corporation had cash resources, being cash and an HST receivable, of approximately $39,290,000. As at December 21, 2023, the Corporation anticipates that it will require approximately $39,290,000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3" w:lineRule="exact"/>
        <w:rPr>
          <w:sz w:val="20"/>
          <w:szCs w:val="20"/>
          <w:color w:val="auto"/>
        </w:rPr>
      </w:pPr>
    </w:p>
    <w:p>
      <w:pPr>
        <w:jc w:val="both"/>
        <w:ind w:left="540"/>
        <w:spacing w:after="0" w:line="248" w:lineRule="auto"/>
        <w:rPr>
          <w:sz w:val="20"/>
          <w:szCs w:val="20"/>
          <w:color w:val="auto"/>
        </w:rPr>
      </w:pPr>
      <w:r>
        <w:rPr>
          <w:rFonts w:ascii="Times New Roman" w:cs="Times New Roman" w:eastAsia="Times New Roman" w:hAnsi="Times New Roman"/>
          <w:sz w:val="18"/>
          <w:szCs w:val="18"/>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 w:name="page7"/>
    <w:bookmarkEnd w:id="6"/>
    <w:tbl>
      <w:tblPr>
        <w:tblLayout w:type="fixed"/>
        <w:tblInd w:w="28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Anticipated</w:t>
            </w: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12 Month Use</w:t>
            </w:r>
          </w:p>
        </w:tc>
        <w:tc>
          <w:tcPr>
            <w:tcW w:w="1400" w:type="dxa"/>
            <w:vAlign w:val="bottom"/>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Anticipated</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Program</w:t>
            </w:r>
            <w:r>
              <w:rPr>
                <w:rFonts w:ascii="Times New Roman" w:cs="Times New Roman" w:eastAsia="Times New Roman" w:hAnsi="Times New Roman"/>
                <w:sz w:val="25"/>
                <w:szCs w:val="25"/>
                <w:b w:val="1"/>
                <w:bCs w:val="1"/>
                <w:color w:val="auto"/>
                <w:vertAlign w:val="superscript"/>
              </w:rPr>
              <w:t>(1)</w:t>
            </w:r>
          </w:p>
        </w:tc>
        <w:tc>
          <w:tcPr>
            <w:tcW w:w="190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4"/>
                <w:szCs w:val="14"/>
                <w:b w:val="1"/>
                <w:bCs w:val="1"/>
                <w:color w:val="auto"/>
              </w:rPr>
              <w:t>of Funds</w:t>
            </w:r>
            <w:r>
              <w:rPr>
                <w:rFonts w:ascii="Times New Roman" w:cs="Times New Roman" w:eastAsia="Times New Roman" w:hAnsi="Times New Roman"/>
                <w:sz w:val="22"/>
                <w:szCs w:val="22"/>
                <w:b w:val="1"/>
                <w:bCs w:val="1"/>
                <w:color w:val="auto"/>
                <w:vertAlign w:val="superscript"/>
              </w:rPr>
              <w:t>(2)(3)</w:t>
            </w:r>
          </w:p>
        </w:tc>
        <w:tc>
          <w:tcPr>
            <w:tcW w:w="1400" w:type="dxa"/>
            <w:vAlign w:val="bottom"/>
          </w:tcPr>
          <w:p>
            <w:pPr>
              <w:jc w:val="center"/>
              <w:ind w:left="343"/>
              <w:spacing w:after="0"/>
              <w:rPr>
                <w:sz w:val="20"/>
                <w:szCs w:val="20"/>
                <w:color w:val="auto"/>
              </w:rPr>
            </w:pPr>
            <w:r>
              <w:rPr>
                <w:rFonts w:ascii="Times New Roman" w:cs="Times New Roman" w:eastAsia="Times New Roman" w:hAnsi="Times New Roman"/>
                <w:sz w:val="15"/>
                <w:szCs w:val="15"/>
                <w:b w:val="1"/>
                <w:bCs w:val="1"/>
                <w:color w:val="auto"/>
              </w:rPr>
              <w:t>Timeline for</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840" w:type="dxa"/>
            <w:vAlign w:val="bottom"/>
            <w:tcBorders>
              <w:bottom w:val="single" w:sz="8" w:color="E6EFFF"/>
            </w:tcBorders>
            <w:vMerge w:val="continue"/>
          </w:tcPr>
          <w:p>
            <w:pPr>
              <w:spacing w:after="0"/>
              <w:rPr>
                <w:sz w:val="20"/>
                <w:szCs w:val="20"/>
                <w:color w:val="auto"/>
              </w:rPr>
            </w:pPr>
          </w:p>
        </w:tc>
        <w:tc>
          <w:tcPr>
            <w:tcW w:w="172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80" w:type="dxa"/>
            <w:vAlign w:val="bottom"/>
            <w:tcBorders>
              <w:bottom w:val="single" w:sz="8" w:color="E6EFFF"/>
            </w:tcBorders>
          </w:tcPr>
          <w:p>
            <w:pPr>
              <w:spacing w:after="0"/>
              <w:rPr>
                <w:sz w:val="20"/>
                <w:szCs w:val="20"/>
                <w:color w:val="auto"/>
              </w:rPr>
            </w:pPr>
          </w:p>
        </w:tc>
        <w:tc>
          <w:tcPr>
            <w:tcW w:w="1400" w:type="dxa"/>
            <w:vAlign w:val="bottom"/>
            <w:tcBorders>
              <w:bottom w:val="single" w:sz="8" w:color="auto"/>
            </w:tcBorders>
          </w:tcPr>
          <w:p>
            <w:pPr>
              <w:jc w:val="center"/>
              <w:ind w:left="323"/>
              <w:spacing w:after="0" w:line="230" w:lineRule="exact"/>
              <w:rPr>
                <w:sz w:val="20"/>
                <w:szCs w:val="20"/>
                <w:color w:val="auto"/>
              </w:rPr>
            </w:pPr>
            <w:r>
              <w:rPr>
                <w:rFonts w:ascii="Times New Roman" w:cs="Times New Roman" w:eastAsia="Times New Roman" w:hAnsi="Times New Roman"/>
                <w:sz w:val="15"/>
                <w:szCs w:val="15"/>
                <w:b w:val="1"/>
                <w:bCs w:val="1"/>
                <w:color w:val="auto"/>
                <w:w w:val="97"/>
              </w:rPr>
              <w:t>Completion</w:t>
            </w:r>
            <w:r>
              <w:rPr>
                <w:rFonts w:ascii="Times New Roman" w:cs="Times New Roman" w:eastAsia="Times New Roman" w:hAnsi="Times New Roman"/>
                <w:sz w:val="25"/>
                <w:szCs w:val="25"/>
                <w:b w:val="1"/>
                <w:bCs w:val="1"/>
                <w:color w:val="auto"/>
                <w:w w:val="97"/>
                <w:vertAlign w:val="superscript"/>
              </w:rPr>
              <w:t>(4)</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E6EFF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40" w:type="dxa"/>
            <w:vAlign w:val="bottom"/>
            <w:shd w:val="clear" w:color="auto" w:fill="E6EFFF"/>
          </w:tcPr>
          <w:p>
            <w:pPr>
              <w:spacing w:after="0"/>
              <w:rPr>
                <w:sz w:val="20"/>
                <w:szCs w:val="20"/>
                <w:color w:val="auto"/>
              </w:rPr>
            </w:pPr>
            <w:r>
              <w:rPr>
                <w:rFonts w:ascii="Times New Roman" w:cs="Times New Roman" w:eastAsia="Times New Roman" w:hAnsi="Times New Roman"/>
                <w:sz w:val="15"/>
                <w:szCs w:val="15"/>
                <w:color w:val="auto"/>
              </w:rPr>
              <w:t>Deuterated Psilocybin Analog Program</w:t>
            </w:r>
          </w:p>
        </w:tc>
        <w:tc>
          <w:tcPr>
            <w:tcW w:w="172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140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Complete Phase 1/2a topline safety and efficacy data readout for CYB003 in MDD</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Complete</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893,000</w:t>
            </w:r>
          </w:p>
        </w:tc>
        <w:tc>
          <w:tcPr>
            <w:tcW w:w="180" w:type="dxa"/>
            <w:vAlign w:val="bottom"/>
            <w:shd w:val="clear" w:color="auto" w:fill="E6EFFF"/>
          </w:tcPr>
          <w:p>
            <w:pPr>
              <w:spacing w:after="0"/>
              <w:rPr>
                <w:sz w:val="16"/>
                <w:szCs w:val="16"/>
                <w:color w:val="auto"/>
              </w:rPr>
            </w:pPr>
          </w:p>
        </w:tc>
        <w:tc>
          <w:tcPr>
            <w:tcW w:w="1900" w:type="dxa"/>
            <w:vAlign w:val="bottom"/>
            <w:gridSpan w:val="3"/>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color w:val="auto"/>
              </w:rPr>
              <w:t>Complete</w:t>
            </w:r>
          </w:p>
        </w:tc>
        <w:tc>
          <w:tcPr>
            <w:tcW w:w="0" w:type="dxa"/>
            <w:vAlign w:val="bottom"/>
          </w:tcPr>
          <w:p>
            <w:pPr>
              <w:spacing w:after="0"/>
              <w:rPr>
                <w:sz w:val="1"/>
                <w:szCs w:val="1"/>
                <w:color w:val="auto"/>
              </w:rPr>
            </w:pPr>
          </w:p>
        </w:tc>
      </w:tr>
      <w:tr>
        <w:trPr>
          <w:trHeight w:val="219"/>
        </w:trPr>
        <w:tc>
          <w:tcPr>
            <w:tcW w:w="5840" w:type="dxa"/>
            <w:vAlign w:val="bottom"/>
          </w:tcPr>
          <w:p>
            <w:pPr>
              <w:ind w:left="240"/>
              <w:spacing w:after="0" w:line="220" w:lineRule="exact"/>
              <w:rPr>
                <w:sz w:val="20"/>
                <w:szCs w:val="20"/>
                <w:color w:val="auto"/>
              </w:rPr>
            </w:pPr>
            <w:r>
              <w:rPr>
                <w:rFonts w:ascii="Times New Roman" w:cs="Times New Roman" w:eastAsia="Times New Roman" w:hAnsi="Times New Roman"/>
                <w:sz w:val="15"/>
                <w:szCs w:val="15"/>
                <w:color w:val="auto"/>
              </w:rPr>
              <w:t>Phase 2 data assessing durability of effect of CYB003 at 12 weeks</w:t>
            </w:r>
            <w:r>
              <w:rPr>
                <w:rFonts w:ascii="Times New Roman" w:cs="Times New Roman" w:eastAsia="Times New Roman" w:hAnsi="Times New Roman"/>
                <w:sz w:val="25"/>
                <w:szCs w:val="25"/>
                <w:color w:val="auto"/>
                <w:vertAlign w:val="superscript"/>
              </w:rPr>
              <w:t>(5)</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8,940,000</w:t>
            </w:r>
          </w:p>
        </w:tc>
        <w:tc>
          <w:tcPr>
            <w:tcW w:w="180" w:type="dxa"/>
            <w:vAlign w:val="bottom"/>
            <w:shd w:val="clear" w:color="auto" w:fill="E6EFFF"/>
          </w:tcPr>
          <w:p>
            <w:pPr>
              <w:spacing w:after="0"/>
              <w:rPr>
                <w:sz w:val="16"/>
                <w:szCs w:val="16"/>
                <w:color w:val="auto"/>
              </w:rPr>
            </w:pPr>
          </w:p>
        </w:tc>
        <w:tc>
          <w:tcPr>
            <w:tcW w:w="1400" w:type="dxa"/>
            <w:vAlign w:val="bottom"/>
            <w:shd w:val="clear" w:color="auto" w:fill="E6EFFF"/>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Deuterated Dimethyltryptamine Program</w:t>
            </w: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215,000</w:t>
            </w:r>
          </w:p>
        </w:tc>
        <w:tc>
          <w:tcPr>
            <w:tcW w:w="180" w:type="dxa"/>
            <w:vAlign w:val="bottom"/>
            <w:shd w:val="clear" w:color="auto" w:fill="E6EFFF"/>
          </w:tcPr>
          <w:p>
            <w:pPr>
              <w:spacing w:after="0"/>
              <w:rPr>
                <w:sz w:val="19"/>
                <w:szCs w:val="19"/>
                <w:color w:val="auto"/>
              </w:rPr>
            </w:pPr>
          </w:p>
        </w:tc>
        <w:tc>
          <w:tcPr>
            <w:tcW w:w="1400" w:type="dxa"/>
            <w:vAlign w:val="bottom"/>
            <w:shd w:val="clear" w:color="auto" w:fill="E6EFFF"/>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shd w:val="clear" w:color="auto" w:fill="E6EFFF"/>
          </w:tcPr>
          <w:p>
            <w:pPr>
              <w:jc w:val="right"/>
              <w:ind w:right="40"/>
              <w:spacing w:after="0" w:line="220" w:lineRule="exact"/>
              <w:rPr>
                <w:sz w:val="20"/>
                <w:szCs w:val="20"/>
                <w:color w:val="auto"/>
              </w:rPr>
            </w:pPr>
            <w:r>
              <w:rPr>
                <w:rFonts w:ascii="Times New Roman" w:cs="Times New Roman" w:eastAsia="Times New Roman" w:hAnsi="Times New Roman"/>
                <w:sz w:val="15"/>
                <w:szCs w:val="15"/>
                <w:color w:val="auto"/>
                <w:w w:val="88"/>
              </w:rPr>
              <w:t>2024</w:t>
            </w:r>
            <w:r>
              <w:rPr>
                <w:rFonts w:ascii="Times New Roman" w:cs="Times New Roman" w:eastAsia="Times New Roman" w:hAnsi="Times New Roman"/>
                <w:sz w:val="25"/>
                <w:szCs w:val="25"/>
                <w:color w:val="auto"/>
                <w:w w:val="88"/>
                <w:vertAlign w:val="superscript"/>
              </w:rPr>
              <w:t>(6)</w:t>
            </w:r>
          </w:p>
        </w:tc>
        <w:tc>
          <w:tcPr>
            <w:tcW w:w="0" w:type="dxa"/>
            <w:vAlign w:val="bottom"/>
          </w:tcPr>
          <w:p>
            <w:pPr>
              <w:spacing w:after="0"/>
              <w:rPr>
                <w:sz w:val="1"/>
                <w:szCs w:val="1"/>
                <w:color w:val="auto"/>
              </w:rPr>
            </w:pPr>
          </w:p>
        </w:tc>
      </w:tr>
      <w:tr>
        <w:trPr>
          <w:trHeight w:val="185"/>
        </w:trPr>
        <w:tc>
          <w:tcPr>
            <w:tcW w:w="5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181,000</w:t>
            </w:r>
          </w:p>
        </w:tc>
        <w:tc>
          <w:tcPr>
            <w:tcW w:w="18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5"/>
                <w:szCs w:val="15"/>
                <w:color w:val="auto"/>
              </w:rPr>
              <w:t>Initiate a Phase 2 proof-of-concept study</w:t>
            </w:r>
          </w:p>
        </w:tc>
        <w:tc>
          <w:tcPr>
            <w:tcW w:w="1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1,239,000</w:t>
            </w:r>
          </w:p>
        </w:tc>
        <w:tc>
          <w:tcPr>
            <w:tcW w:w="180" w:type="dxa"/>
            <w:vAlign w:val="bottom"/>
            <w:shd w:val="clear" w:color="auto" w:fill="E6EFFF"/>
          </w:tcPr>
          <w:p>
            <w:pPr>
              <w:spacing w:after="0"/>
              <w:rPr>
                <w:sz w:val="16"/>
                <w:szCs w:val="16"/>
                <w:color w:val="auto"/>
              </w:rPr>
            </w:pPr>
          </w:p>
        </w:tc>
        <w:tc>
          <w:tcPr>
            <w:tcW w:w="1400" w:type="dxa"/>
            <w:vAlign w:val="bottom"/>
            <w:shd w:val="clear" w:color="auto" w:fill="E6EFFF"/>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85"/>
        </w:trPr>
        <w:tc>
          <w:tcPr>
            <w:tcW w:w="5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685,000</w:t>
            </w:r>
          </w:p>
        </w:tc>
        <w:tc>
          <w:tcPr>
            <w:tcW w:w="180" w:type="dxa"/>
            <w:vAlign w:val="bottom"/>
          </w:tcPr>
          <w:p>
            <w:pPr>
              <w:spacing w:after="0"/>
              <w:rPr>
                <w:sz w:val="16"/>
                <w:szCs w:val="16"/>
                <w:color w:val="auto"/>
              </w:rPr>
            </w:pP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9"/>
              </w:rPr>
              <w:t>2024</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spacing w:after="0"/>
              <w:rPr>
                <w:sz w:val="20"/>
                <w:szCs w:val="20"/>
                <w:color w:val="auto"/>
              </w:rPr>
            </w:pPr>
            <w:r>
              <w:rPr>
                <w:rFonts w:ascii="Times New Roman" w:cs="Times New Roman" w:eastAsia="Times New Roman" w:hAnsi="Times New Roman"/>
                <w:sz w:val="15"/>
                <w:szCs w:val="15"/>
                <w:color w:val="auto"/>
              </w:rPr>
              <w:t>Phenethylamine Derivatives Program</w:t>
            </w:r>
          </w:p>
        </w:tc>
        <w:tc>
          <w:tcPr>
            <w:tcW w:w="172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1400" w:type="dxa"/>
            <w:vAlign w:val="bottom"/>
            <w:shd w:val="clear" w:color="auto" w:fill="E6EFFF"/>
          </w:tcPr>
          <w:p>
            <w:pPr>
              <w:spacing w:after="0"/>
              <w:rPr>
                <w:sz w:val="16"/>
                <w:szCs w:val="16"/>
                <w:color w:val="auto"/>
              </w:rPr>
            </w:pPr>
          </w:p>
        </w:tc>
        <w:tc>
          <w:tcPr>
            <w:tcW w:w="5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5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Complete preclinical development of phenethylamine drug candidate</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55,000</w:t>
            </w:r>
          </w:p>
        </w:tc>
        <w:tc>
          <w:tcPr>
            <w:tcW w:w="1400" w:type="dxa"/>
            <w:vAlign w:val="bottom"/>
          </w:tcPr>
          <w:p>
            <w:pPr>
              <w:ind w:left="1180"/>
              <w:spacing w:after="0"/>
              <w:rPr>
                <w:sz w:val="20"/>
                <w:szCs w:val="20"/>
                <w:color w:val="auto"/>
              </w:rPr>
            </w:pPr>
            <w:r>
              <w:rPr>
                <w:rFonts w:ascii="Times New Roman" w:cs="Times New Roman" w:eastAsia="Times New Roman" w:hAnsi="Times New Roman"/>
                <w:sz w:val="15"/>
                <w:szCs w:val="15"/>
                <w:color w:val="auto"/>
              </w:rPr>
              <w:t>Q1</w:t>
            </w:r>
          </w:p>
        </w:tc>
        <w:tc>
          <w:tcPr>
            <w:tcW w:w="50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15"/>
                <w:szCs w:val="15"/>
                <w:color w:val="auto"/>
                <w:w w:val="88"/>
              </w:rPr>
              <w:t>2024</w:t>
            </w:r>
            <w:r>
              <w:rPr>
                <w:rFonts w:ascii="Times New Roman" w:cs="Times New Roman" w:eastAsia="Times New Roman" w:hAnsi="Times New Roman"/>
                <w:sz w:val="25"/>
                <w:szCs w:val="25"/>
                <w:color w:val="auto"/>
                <w:w w:val="88"/>
                <w:vertAlign w:val="superscript"/>
              </w:rPr>
              <w:t>(7)</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spacing w:after="0"/>
              <w:rPr>
                <w:sz w:val="20"/>
                <w:szCs w:val="20"/>
                <w:color w:val="auto"/>
              </w:rPr>
            </w:pPr>
            <w:r>
              <w:rPr>
                <w:rFonts w:ascii="Times New Roman" w:cs="Times New Roman" w:eastAsia="Times New Roman" w:hAnsi="Times New Roman"/>
                <w:sz w:val="15"/>
                <w:szCs w:val="15"/>
                <w:color w:val="auto"/>
              </w:rPr>
              <w:t>Technology Programs</w:t>
            </w:r>
          </w:p>
        </w:tc>
        <w:tc>
          <w:tcPr>
            <w:tcW w:w="1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E6EFFF"/>
          </w:tcPr>
          <w:p>
            <w:pPr>
              <w:spacing w:after="0"/>
              <w:rPr>
                <w:sz w:val="16"/>
                <w:szCs w:val="16"/>
                <w:color w:val="auto"/>
              </w:rPr>
            </w:pPr>
          </w:p>
        </w:tc>
        <w:tc>
          <w:tcPr>
            <w:tcW w:w="1400" w:type="dxa"/>
            <w:vAlign w:val="bottom"/>
            <w:shd w:val="clear" w:color="auto" w:fill="E6EFFF"/>
          </w:tcPr>
          <w:p>
            <w:pPr>
              <w:spacing w:after="0"/>
              <w:rPr>
                <w:sz w:val="16"/>
                <w:szCs w:val="16"/>
                <w:color w:val="auto"/>
              </w:rPr>
            </w:pPr>
          </w:p>
        </w:tc>
        <w:tc>
          <w:tcPr>
            <w:tcW w:w="5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5840" w:type="dxa"/>
            <w:vAlign w:val="bottom"/>
          </w:tcPr>
          <w:p>
            <w:pPr>
              <w:spacing w:after="0" w:line="220" w:lineRule="exact"/>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25"/>
                <w:szCs w:val="25"/>
                <w:color w:val="auto"/>
                <w:vertAlign w:val="superscript"/>
              </w:rPr>
              <w:t>(8)</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27,082,000</w:t>
            </w:r>
          </w:p>
        </w:tc>
        <w:tc>
          <w:tcPr>
            <w:tcW w:w="14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5"/>
        </w:trPr>
        <w:tc>
          <w:tcPr>
            <w:tcW w:w="5840" w:type="dxa"/>
            <w:vAlign w:val="bottom"/>
            <w:shd w:val="clear" w:color="auto" w:fill="E6EF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39,290,000</w:t>
            </w:r>
          </w:p>
        </w:tc>
        <w:tc>
          <w:tcPr>
            <w:tcW w:w="140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25" w:lineRule="exact"/>
        <w:rPr>
          <w:sz w:val="20"/>
          <w:szCs w:val="20"/>
          <w:color w:val="auto"/>
        </w:rPr>
      </w:pPr>
    </w:p>
    <w:p>
      <w:pPr>
        <w:ind w:left="480" w:hanging="286"/>
        <w:spacing w:after="0"/>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18"/>
          <w:szCs w:val="18"/>
          <w:color w:val="auto"/>
        </w:rPr>
      </w:pPr>
    </w:p>
    <w:p>
      <w:pPr>
        <w:ind w:left="500" w:hanging="306"/>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converted from USD to CAD at an exchange rate of 1.37:1.</w:t>
      </w:r>
    </w:p>
    <w:p>
      <w:pPr>
        <w:ind w:left="480" w:right="20" w:hanging="286"/>
        <w:spacing w:after="0"/>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proceeds from private placements and offerings previously disclosed, as well proceeds from the 2023 ATM Program and August 2023 Prospectus Supplement.</w:t>
      </w:r>
    </w:p>
    <w:p>
      <w:pPr>
        <w:spacing w:after="0" w:line="1" w:lineRule="exact"/>
        <w:rPr>
          <w:rFonts w:ascii="Times New Roman" w:cs="Times New Roman" w:eastAsia="Times New Roman" w:hAnsi="Times New Roman"/>
          <w:sz w:val="18"/>
          <w:szCs w:val="18"/>
          <w:color w:val="auto"/>
        </w:rPr>
      </w:pPr>
    </w:p>
    <w:p>
      <w:pPr>
        <w:ind w:left="480" w:right="20" w:hanging="286"/>
        <w:spacing w:after="0"/>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18"/>
          <w:szCs w:val="18"/>
          <w:color w:val="auto"/>
        </w:rPr>
      </w:pPr>
    </w:p>
    <w:p>
      <w:pPr>
        <w:ind w:left="480" w:hanging="286"/>
        <w:spacing w:after="0"/>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milestone, being the receipt of Phase 2 data assessing durability of the effect of CYB003 at 12 weeks, is derived from the results of the Corporation’s Phase 1/2a study and, therefore, the Corporation has not allocated additional funds for this milestone.</w:t>
      </w:r>
    </w:p>
    <w:p>
      <w:pPr>
        <w:spacing w:after="0" w:line="1" w:lineRule="exact"/>
        <w:rPr>
          <w:rFonts w:ascii="Times New Roman" w:cs="Times New Roman" w:eastAsia="Times New Roman" w:hAnsi="Times New Roman"/>
          <w:sz w:val="18"/>
          <w:szCs w:val="18"/>
          <w:color w:val="auto"/>
        </w:rPr>
      </w:pPr>
    </w:p>
    <w:p>
      <w:pPr>
        <w:jc w:val="both"/>
        <w:ind w:left="480" w:hanging="286"/>
        <w:spacing w:after="0" w:line="241" w:lineRule="auto"/>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updated the anticipated timeline for completion of this milestone. The Corporation had previously expected it would complete this milestone in Q3/Q4 2023. The Corporation now expects to receive the topline data readout in Q1 2024, due to certain timing issues.</w:t>
      </w:r>
    </w:p>
    <w:p>
      <w:pPr>
        <w:spacing w:after="0" w:line="207" w:lineRule="exact"/>
        <w:rPr>
          <w:rFonts w:ascii="Times New Roman" w:cs="Times New Roman" w:eastAsia="Times New Roman" w:hAnsi="Times New Roman"/>
          <w:sz w:val="18"/>
          <w:szCs w:val="18"/>
          <w:color w:val="auto"/>
        </w:rPr>
      </w:pPr>
    </w:p>
    <w:p>
      <w:pPr>
        <w:jc w:val="both"/>
        <w:ind w:left="480" w:hanging="286"/>
        <w:spacing w:after="0" w:line="241" w:lineRule="auto"/>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updated the anticipated timeline for completion of this milestone. The Corporation had previously expected it would complete this milestone in Q4 2023. Due to the Corporation prioritizing the progression of its Deuterated Psilocybin Analog Program and Deuterated Dimethyltryptamine Program, it now expects to complete preclinical development of a phenethylamine drug candidate in Q1 2024.</w:t>
      </w:r>
    </w:p>
    <w:p>
      <w:pPr>
        <w:spacing w:after="0" w:line="207" w:lineRule="exact"/>
        <w:rPr>
          <w:rFonts w:ascii="Times New Roman" w:cs="Times New Roman" w:eastAsia="Times New Roman" w:hAnsi="Times New Roman"/>
          <w:sz w:val="18"/>
          <w:szCs w:val="18"/>
          <w:color w:val="auto"/>
        </w:rPr>
      </w:pPr>
    </w:p>
    <w:p>
      <w:pPr>
        <w:jc w:val="both"/>
        <w:ind w:left="480" w:hanging="286"/>
        <w:spacing w:after="0" w:line="246" w:lineRule="auto"/>
        <w:tabs>
          <w:tab w:leader="none" w:pos="5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3" w:lineRule="exact"/>
        <w:rPr>
          <w:sz w:val="20"/>
          <w:szCs w:val="20"/>
          <w:color w:val="auto"/>
        </w:rPr>
      </w:pPr>
    </w:p>
    <w:p>
      <w:pPr>
        <w:jc w:val="both"/>
        <w:ind w:left="280"/>
        <w:spacing w:after="0" w:line="255" w:lineRule="auto"/>
        <w:rPr>
          <w:sz w:val="20"/>
          <w:szCs w:val="20"/>
          <w:color w:val="auto"/>
        </w:rPr>
      </w:pPr>
      <w:r>
        <w:rPr>
          <w:rFonts w:ascii="Times New Roman" w:cs="Times New Roman" w:eastAsia="Times New Roman" w:hAnsi="Times New Roman"/>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0" w:lineRule="exact"/>
        <w:rPr>
          <w:sz w:val="20"/>
          <w:szCs w:val="20"/>
          <w:color w:val="auto"/>
        </w:rPr>
      </w:pPr>
    </w:p>
    <w:p>
      <w:pPr>
        <w:jc w:val="both"/>
        <w:ind w:left="280"/>
        <w:spacing w:after="0" w:line="260" w:lineRule="auto"/>
        <w:rPr>
          <w:sz w:val="20"/>
          <w:szCs w:val="20"/>
          <w:color w:val="auto"/>
        </w:rPr>
      </w:pPr>
      <w:r>
        <w:rPr>
          <w:rFonts w:ascii="Times New Roman" w:cs="Times New Roman" w:eastAsia="Times New Roman" w:hAnsi="Times New Roman"/>
          <w:sz w:val="18"/>
          <w:szCs w:val="18"/>
          <w:color w:val="auto"/>
        </w:rPr>
        <w:t>As at December 21,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December 21, 2023 in the amount of approximately $39,290,000.</w:t>
      </w:r>
    </w:p>
    <w:p>
      <w:pPr>
        <w:spacing w:after="0" w:line="13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129540</wp:posOffset>
            </wp:positionV>
            <wp:extent cx="717232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000"/>
          </w:cols>
          <w:pgMar w:left="580" w:top="329" w:right="319" w:bottom="1440" w:gutter="0" w:footer="0" w:header="0"/>
        </w:sectPr>
      </w:pPr>
    </w:p>
    <w:bookmarkStart w:id="7" w:name="page8"/>
    <w:bookmarkEnd w:id="7"/>
    <w:p>
      <w:pPr>
        <w:jc w:val="both"/>
        <w:ind w:left="540"/>
        <w:spacing w:after="0" w:line="283" w:lineRule="auto"/>
        <w:rPr>
          <w:sz w:val="20"/>
          <w:szCs w:val="20"/>
          <w:color w:val="auto"/>
        </w:rPr>
      </w:pPr>
      <w:r>
        <w:rPr>
          <w:rFonts w:ascii="Times New Roman" w:cs="Times New Roman" w:eastAsia="Times New Roman" w:hAnsi="Times New Roman"/>
          <w:sz w:val="18"/>
          <w:szCs w:val="18"/>
          <w:color w:val="auto"/>
        </w:rPr>
        <w:t>The Corporation’s expectation is based on certain assumptions and risks as set forth in the section “</w:t>
      </w:r>
      <w:r>
        <w:rPr>
          <w:rFonts w:ascii="Times New Roman" w:cs="Times New Roman" w:eastAsia="Times New Roman" w:hAnsi="Times New Roman"/>
          <w:sz w:val="18"/>
          <w:szCs w:val="18"/>
          <w:i w:val="1"/>
          <w:iCs w:val="1"/>
          <w:color w:val="auto"/>
        </w:rPr>
        <w:t>Cautionary Note Regarding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Looking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115" w:lineRule="exact"/>
        <w:rPr>
          <w:sz w:val="20"/>
          <w:szCs w:val="20"/>
          <w:color w:val="auto"/>
        </w:rPr>
      </w:pPr>
    </w:p>
    <w:p>
      <w:pPr>
        <w:jc w:val="both"/>
        <w:ind w:left="540"/>
        <w:spacing w:after="0" w:line="245" w:lineRule="auto"/>
        <w:rPr>
          <w:sz w:val="20"/>
          <w:szCs w:val="20"/>
          <w:color w:val="auto"/>
        </w:rPr>
      </w:pPr>
      <w:r>
        <w:rPr>
          <w:rFonts w:ascii="Times New Roman" w:cs="Times New Roman" w:eastAsia="Times New Roman" w:hAnsi="Times New Roman"/>
          <w:sz w:val="18"/>
          <w:szCs w:val="18"/>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8"/>
          <w:szCs w:val="18"/>
          <w:i w:val="1"/>
          <w:iCs w:val="1"/>
          <w:color w:val="auto"/>
        </w:rPr>
        <w:t>Cautionary Note Regarding Forward-Looking Information”</w:t>
      </w:r>
      <w:r>
        <w:rPr>
          <w:rFonts w:ascii="Times New Roman" w:cs="Times New Roman" w:eastAsia="Times New Roman" w:hAnsi="Times New Roman"/>
          <w:sz w:val="18"/>
          <w:szCs w:val="18"/>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in, or incorporated by reference in, this Prospectus.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Negative Cash Flow From Operations</w:t>
      </w:r>
    </w:p>
    <w:p>
      <w:pPr>
        <w:spacing w:after="0" w:line="189"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18"/>
          <w:szCs w:val="18"/>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8"/>
          <w:szCs w:val="18"/>
          <w:i w:val="1"/>
          <w:iCs w:val="1"/>
          <w:color w:val="auto"/>
        </w:rPr>
        <w:t>“Risk Factors – Risks Related to an Offering - Negative Operating Cash Flow and Going Concern”.</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is further amended by adding the following as the second paragraph under the section titled “Auditors, Transfer Agent and Registrar”:</w:t>
      </w:r>
    </w:p>
    <w:p>
      <w:pPr>
        <w:spacing w:after="0" w:line="185" w:lineRule="exact"/>
        <w:rPr>
          <w:sz w:val="20"/>
          <w:szCs w:val="20"/>
          <w:color w:val="auto"/>
        </w:rPr>
      </w:pP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Small Pharma at the time they prepared the relevant financial statements incorporated by reference in this Prospectus or at any time thereafter.”</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August 17,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Enforcement of Civil Liabilities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i w:val="1"/>
          <w:iCs w:val="1"/>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3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8"/>
          <w:szCs w:val="18"/>
          <w:i w:val="1"/>
          <w:iCs w:val="1"/>
          <w:color w:val="auto"/>
        </w:rPr>
        <w:t>Copies of the documents incorporated herein by reference may be obtained on request without charge from the Secretary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 Cybin Inc. at 100 King Street West, Suite 5600, Toronto, Ontario M5X 1C9, telephone 1-866-292-4601, and are also available electronically at www.sedarplus.ca.</w:t>
      </w:r>
    </w:p>
    <w:p>
      <w:pPr>
        <w:spacing w:after="0" w:line="147"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5"/>
          <w:szCs w:val="15"/>
          <w:u w:val="single" w:color="auto"/>
          <w:color w:val="auto"/>
        </w:rPr>
        <w:t>New Issue</w:t>
      </w:r>
      <w:r>
        <w:rPr>
          <w:sz w:val="20"/>
          <w:szCs w:val="20"/>
          <w:color w:val="auto"/>
        </w:rPr>
        <w:tab/>
      </w:r>
      <w:r>
        <w:rPr>
          <w:rFonts w:ascii="Times New Roman" w:cs="Times New Roman" w:eastAsia="Times New Roman" w:hAnsi="Times New Roman"/>
          <w:sz w:val="15"/>
          <w:szCs w:val="15"/>
          <w:color w:val="auto"/>
        </w:rPr>
        <w:t>August 17, 2023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134620</wp:posOffset>
            </wp:positionV>
            <wp:extent cx="1202055" cy="718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2055" cy="71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$160,000,000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Receipts</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short form base shelf prospectus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(each, an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Cybin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during the 25-month period that this Prospectus, including any of amendments thereto, remains valid, of up to $160,000,000 in the aggregate of: (i) common shares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Corporation; (ii)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other Securities (as defined below) of the Corporation; (iii)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comprising of one or more of the other Securities, (iv) senior and subordinated unsecured debt securities (collectively,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including debt securities convertible or exchangeable into other securities of the Corporation, and (v) subscription receipts ("</w:t>
      </w:r>
      <w:r>
        <w:rPr>
          <w:rFonts w:ascii="Times New Roman" w:cs="Times New Roman" w:eastAsia="Times New Roman" w:hAnsi="Times New Roman"/>
          <w:sz w:val="18"/>
          <w:szCs w:val="18"/>
          <w:b w:val="1"/>
          <w:bCs w:val="1"/>
          <w:color w:val="auto"/>
        </w:rPr>
        <w:t>Subscription Receipts</w:t>
      </w:r>
      <w:r>
        <w:rPr>
          <w:rFonts w:ascii="Times New Roman" w:cs="Times New Roman" w:eastAsia="Times New Roman" w:hAnsi="Times New Roman"/>
          <w:sz w:val="18"/>
          <w:szCs w:val="18"/>
          <w:color w:val="auto"/>
        </w:rPr>
        <w:t>" and together with the Common Shares, Warrants, Units and Debt Securities,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7232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3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Securities may be sold through underwriters or dealers, directly by the Corporation pursuant to applicable statutory exemptions, or through designated agents from time to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18"/>
          <w:szCs w:val="18"/>
          <w:i w:val="1"/>
          <w:iCs w:val="1"/>
          <w:color w:val="auto"/>
        </w:rPr>
        <w:t>Shelf Distributions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18"/>
          <w:szCs w:val="18"/>
          <w:b w:val="1"/>
          <w:bCs w:val="1"/>
          <w:color w:val="auto"/>
        </w:rPr>
        <w:t>NEO</w:t>
      </w:r>
      <w:r>
        <w:rPr>
          <w:rFonts w:ascii="Times New Roman" w:cs="Times New Roman" w:eastAsia="Times New Roman" w:hAnsi="Times New Roman"/>
          <w:sz w:val="18"/>
          <w:szCs w:val="18"/>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Common Shares are listed on the NEO under the trading symbol “CYBN”, and in the United States on the NYSE American LLC stock exchange (the “</w:t>
      </w:r>
      <w:r>
        <w:rPr>
          <w:rFonts w:ascii="Times New Roman" w:cs="Times New Roman" w:eastAsia="Times New Roman" w:hAnsi="Times New Roman"/>
          <w:sz w:val="18"/>
          <w:szCs w:val="18"/>
          <w:b w:val="1"/>
          <w:bCs w:val="1"/>
          <w:color w:val="auto"/>
        </w:rPr>
        <w:t>NYSE American</w:t>
      </w:r>
      <w:r>
        <w:rPr>
          <w:rFonts w:ascii="Times New Roman" w:cs="Times New Roman" w:eastAsia="Times New Roman" w:hAnsi="Times New Roman"/>
          <w:sz w:val="18"/>
          <w:szCs w:val="18"/>
          <w:color w:val="auto"/>
        </w:rPr>
        <w:t>”) under the symbol “CYBN”. On August 16, 2023, the last trading day prior to the filing of this Prospectus, the closing prices of the Common Shares listed on the NEO and the NYSE American were $0.44 and US$0.323, respectively.</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4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8"/>
          <w:szCs w:val="18"/>
          <w:b w:val="1"/>
          <w:bCs w:val="1"/>
          <w:i w:val="1"/>
          <w:iCs w:val="1"/>
          <w:color w:val="auto"/>
        </w:rPr>
        <w:t>Risk Factors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Enforcement of Civil Liabilities</w:t>
      </w:r>
      <w:r>
        <w:rPr>
          <w:rFonts w:ascii="Times New Roman" w:cs="Times New Roman" w:eastAsia="Times New Roman" w:hAnsi="Times New Roman"/>
          <w:sz w:val="18"/>
          <w:szCs w:val="18"/>
          <w:b w:val="1"/>
          <w:bCs w:val="1"/>
          <w:color w:val="auto"/>
        </w:rPr>
        <w:t>".</w:t>
      </w:r>
    </w:p>
    <w:p>
      <w:pPr>
        <w:spacing w:after="0" w:line="1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and in the Corporation’s Annual Information Form and Interim MD&amp;A (each as defined herein) incorporated by reference herein.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2" w:name="page13"/>
    <w:bookmarkEnd w:id="12"/>
    <w:p>
      <w:pPr>
        <w:jc w:val="both"/>
        <w:ind w:right="20"/>
        <w:spacing w:after="0" w:line="283" w:lineRule="auto"/>
        <w:rPr>
          <w:sz w:val="20"/>
          <w:szCs w:val="20"/>
          <w:color w:val="auto"/>
        </w:rPr>
      </w:pPr>
      <w:r>
        <w:rPr>
          <w:rFonts w:ascii="Times New Roman" w:cs="Times New Roman" w:eastAsia="Times New Roman" w:hAnsi="Times New Roman"/>
          <w:sz w:val="18"/>
          <w:szCs w:val="18"/>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hereof.</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18"/>
          <w:szCs w:val="18"/>
          <w:i w:val="1"/>
          <w:iCs w:val="1"/>
          <w:color w:val="auto"/>
        </w:rPr>
        <w:t>"Risk Factors - Risks Related 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 - Enforcement of Civil Liabilities"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In this Prospectus, references to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52005" cy="2271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2271395"/>
                    </a:xfrm>
                    <a:prstGeom prst="rect">
                      <a:avLst/>
                    </a:prstGeom>
                    <a:noFill/>
                  </pic:spPr>
                </pic:pic>
              </a:graphicData>
            </a:graphic>
          </wp:anchor>
        </w:drawing>
      </w:r>
    </w:p>
    <w:p>
      <w:pPr>
        <w:spacing w:after="0" w:line="179" w:lineRule="exact"/>
        <w:rPr>
          <w:sz w:val="20"/>
          <w:szCs w:val="20"/>
          <w:color w:val="auto"/>
        </w:rPr>
      </w:pPr>
    </w:p>
    <w:p>
      <w:pPr>
        <w:jc w:val="both"/>
        <w:ind w:left="80" w:right="10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5"/>
          <w:szCs w:val="15"/>
          <w:b w:val="1"/>
          <w:bCs w:val="1"/>
          <w:i w:val="1"/>
          <w:iCs w:val="1"/>
          <w:color w:val="auto"/>
        </w:rPr>
        <w:t>"Use of Proceeds"</w:t>
      </w:r>
      <w:r>
        <w:rPr>
          <w:rFonts w:ascii="Times New Roman" w:cs="Times New Roman" w:eastAsia="Times New Roman" w:hAnsi="Times New Roman"/>
          <w:sz w:val="15"/>
          <w:szCs w:val="15"/>
          <w:b w:val="1"/>
          <w:bCs w:val="1"/>
          <w:color w:val="auto"/>
        </w:rPr>
        <w:t>.</w:t>
      </w:r>
    </w:p>
    <w:p>
      <w:pPr>
        <w:spacing w:after="0" w:line="110" w:lineRule="exact"/>
        <w:rPr>
          <w:sz w:val="20"/>
          <w:szCs w:val="20"/>
          <w:color w:val="auto"/>
        </w:rPr>
      </w:pPr>
    </w:p>
    <w:p>
      <w:pPr>
        <w:jc w:val="both"/>
        <w:ind w:left="80" w:right="100"/>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The Canadian and United States federal governments regulate drugs through the </w:t>
      </w:r>
      <w:r>
        <w:rPr>
          <w:rFonts w:ascii="Times New Roman" w:cs="Times New Roman" w:eastAsia="Times New Roman" w:hAnsi="Times New Roman"/>
          <w:sz w:val="15"/>
          <w:szCs w:val="15"/>
          <w:b w:val="1"/>
          <w:bCs w:val="1"/>
          <w:i w:val="1"/>
          <w:iCs w:val="1"/>
          <w:color w:val="auto"/>
        </w:rPr>
        <w:t>Controlled Drugs and Substances Act</w:t>
      </w:r>
      <w:r>
        <w:rPr>
          <w:rFonts w:ascii="Times New Roman" w:cs="Times New Roman" w:eastAsia="Times New Roman" w:hAnsi="Times New Roman"/>
          <w:sz w:val="15"/>
          <w:szCs w:val="15"/>
          <w:b w:val="1"/>
          <w:bCs w:val="1"/>
          <w:color w:val="auto"/>
        </w:rPr>
        <w:t xml:space="preserve"> (Canada) (the "CDSA") and the </w:t>
      </w:r>
      <w:r>
        <w:rPr>
          <w:rFonts w:ascii="Times New Roman" w:cs="Times New Roman" w:eastAsia="Times New Roman" w:hAnsi="Times New Roman"/>
          <w:sz w:val="15"/>
          <w:szCs w:val="15"/>
          <w:b w:val="1"/>
          <w:bCs w:val="1"/>
          <w:i w:val="1"/>
          <w:iCs w:val="1"/>
          <w:color w:val="auto"/>
        </w:rPr>
        <w:t>Controlled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Substances Act </w:t>
      </w:r>
      <w:r>
        <w:rPr>
          <w:rFonts w:ascii="Times New Roman" w:cs="Times New Roman" w:eastAsia="Times New Roman" w:hAnsi="Times New Roman"/>
          <w:sz w:val="15"/>
          <w:szCs w:val="15"/>
          <w:b w:val="1"/>
          <w:bCs w:val="1"/>
          <w:color w:val="auto"/>
        </w:rPr>
        <w:t>(21 U.S.C. § 811) (the "CSA"), respectively, which place controlled substances in a schedule. Under the CDSA, psilocybin is currently a Schedule III drug.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Under the CSA, psilocybin is currently a Schedule I drug.</w:t>
      </w:r>
    </w:p>
    <w:p>
      <w:pPr>
        <w:spacing w:after="0" w:line="116" w:lineRule="exact"/>
        <w:rPr>
          <w:sz w:val="20"/>
          <w:szCs w:val="20"/>
          <w:color w:val="auto"/>
        </w:rPr>
      </w:pPr>
    </w:p>
    <w:p>
      <w:pPr>
        <w:jc w:val="both"/>
        <w:ind w:left="80" w:right="10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5"/>
          <w:szCs w:val="15"/>
          <w:b w:val="1"/>
          <w:bCs w:val="1"/>
          <w:i w:val="1"/>
          <w:iCs w:val="1"/>
          <w:color w:val="auto"/>
        </w:rPr>
        <w:t>"Regulatory Overview - Research and Development"</w:t>
      </w:r>
      <w:r>
        <w:rPr>
          <w:rFonts w:ascii="Times New Roman" w:cs="Times New Roman" w:eastAsia="Times New Roman" w:hAnsi="Times New Roman"/>
          <w:sz w:val="15"/>
          <w:szCs w:val="15"/>
          <w:b w:val="1"/>
          <w:bCs w:val="1"/>
          <w:color w:val="auto"/>
        </w:rPr>
        <w:t>.</w:t>
      </w:r>
    </w:p>
    <w:p>
      <w:pPr>
        <w:spacing w:after="0" w:line="110" w:lineRule="exact"/>
        <w:rPr>
          <w:sz w:val="20"/>
          <w:szCs w:val="20"/>
          <w:color w:val="auto"/>
        </w:rPr>
      </w:pPr>
    </w:p>
    <w:p>
      <w:pPr>
        <w:jc w:val="both"/>
        <w:ind w:left="80" w:right="100"/>
        <w:spacing w:after="0" w:line="267" w:lineRule="auto"/>
        <w:rPr>
          <w:sz w:val="20"/>
          <w:szCs w:val="20"/>
          <w:color w:val="auto"/>
        </w:rPr>
      </w:pPr>
      <w:r>
        <w:rPr>
          <w:rFonts w:ascii="Times New Roman" w:cs="Times New Roman" w:eastAsia="Times New Roman" w:hAnsi="Times New Roman"/>
          <w:sz w:val="15"/>
          <w:szCs w:val="15"/>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3" w:name="page14"/>
    <w:bookmarkEnd w:id="13"/>
    <w:p>
      <w:pPr>
        <w:jc w:val="both"/>
        <w:spacing w:after="0" w:line="299"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005" cy="3876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38766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5"/>
          <w:szCs w:val="15"/>
          <w:b w:val="1"/>
          <w:bCs w:val="1"/>
          <w:i w:val="1"/>
          <w:iCs w:val="1"/>
          <w:color w:val="auto"/>
        </w:rPr>
        <w:t>"Compliance Program"</w:t>
      </w:r>
      <w:r>
        <w:rPr>
          <w:rFonts w:ascii="Times New Roman" w:cs="Times New Roman" w:eastAsia="Times New Roman" w:hAnsi="Times New Roman"/>
          <w:sz w:val="15"/>
          <w:szCs w:val="15"/>
          <w:b w:val="1"/>
          <w:bCs w:val="1"/>
          <w:color w:val="auto"/>
        </w:rPr>
        <w:t>. Additionally, the Corporation has received legal opinions or advice in each jurisdiction where it currently operates regarding (a) compliance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color w:val="auto"/>
        </w:rPr>
        <w:t>with applicable regulatory frameworks and (b) potential exposure and implications arising from applicable laws in jurisdictions where the Corporation has operations or intends to operate.</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herein and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the Annual Information Form.</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xml:space="preserve"> in this Prospectus, prior to investing in the Securities. See </w:t>
      </w:r>
      <w:r>
        <w:rPr>
          <w:rFonts w:ascii="Times New Roman" w:cs="Times New Roman" w:eastAsia="Times New Roman" w:hAnsi="Times New Roman"/>
          <w:sz w:val="15"/>
          <w:szCs w:val="15"/>
          <w:b w:val="1"/>
          <w:bCs w:val="1"/>
          <w:i w:val="1"/>
          <w:iCs w:val="1"/>
          <w:color w:val="auto"/>
        </w:rPr>
        <w:t>"Cautionary Note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i w:val="1"/>
          <w:iCs w:val="1"/>
          <w:color w:val="auto"/>
        </w:rPr>
        <w:t xml:space="preserve">Regarding Forward-Looking Information" </w:t>
      </w:r>
      <w:r>
        <w:rPr>
          <w:rFonts w:ascii="Times New Roman" w:cs="Times New Roman" w:eastAsia="Times New Roman" w:hAnsi="Times New Roman"/>
          <w:sz w:val="15"/>
          <w:szCs w:val="15"/>
          <w:b w:val="1"/>
          <w:bCs w:val="1"/>
          <w:color w:val="auto"/>
        </w:rPr>
        <w:t>and</w:t>
      </w:r>
      <w:r>
        <w:rPr>
          <w:rFonts w:ascii="Times New Roman" w:cs="Times New Roman" w:eastAsia="Times New Roman" w:hAnsi="Times New Roman"/>
          <w:sz w:val="15"/>
          <w:szCs w:val="15"/>
          <w:b w:val="1"/>
          <w:bCs w:val="1"/>
          <w:i w:val="1"/>
          <w:iCs w:val="1"/>
          <w:color w:val="auto"/>
        </w:rPr>
        <w:t xml:space="preserve"> "Risk Factors"</w:t>
      </w:r>
      <w:r>
        <w:rPr>
          <w:rFonts w:ascii="Times New Roman" w:cs="Times New Roman" w:eastAsia="Times New Roman" w:hAnsi="Times New Roman"/>
          <w:sz w:val="15"/>
          <w:szCs w:val="15"/>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129540</wp:posOffset>
            </wp:positionV>
            <wp:extent cx="717232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080"/>
          </w:cols>
          <w:pgMar w:left="400" w:top="202" w:right="4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320" w:type="dxa"/>
            <w:vAlign w:val="bottom"/>
            <w:gridSpan w:val="4"/>
          </w:tcPr>
          <w:p>
            <w:pPr>
              <w:ind w:left="29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GENERAL MATTERS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CAUTIONARY NOTE REGARDING FORWARD-LOOKING INFORMATION</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TRADEMARKS AND SERVICE MARKS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MARKETING MATERIALS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MARKET AND INDUSTRY DATA</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DOCUMENTS INCORPORATED BY REFERENCE</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DOCUMENTS FILED AS PART OF THE REGISTRATION STATEMENT</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THE CORPORATION</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REGULATORY OVERVIEW</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COMPLIANCE PROGRAM</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CONSOLIDATED CAPITALIZATION</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USE OF PROCEEDS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DIVIDEND POLICY</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DESCRIPTION OF SECURITIES BEING DISTRIBUTED</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PLAN OF DISTRIBUTION</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RISK FACTORS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CERTAIN FEDERAL INCOME TAX CONSIDERATIONS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LEGAL MATTERS</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64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2940" w:type="dxa"/>
            <w:vAlign w:val="bottom"/>
            <w:tcBorders>
              <w:top w:val="single" w:sz="8" w:color="EEEEEE"/>
            </w:tcBorders>
          </w:tcPr>
          <w:p>
            <w:pPr>
              <w:spacing w:after="0"/>
              <w:rPr>
                <w:sz w:val="16"/>
                <w:szCs w:val="16"/>
                <w:color w:val="auto"/>
              </w:rPr>
            </w:pPr>
          </w:p>
        </w:tc>
        <w:tc>
          <w:tcPr>
            <w:tcW w:w="31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60" w:type="dxa"/>
            <w:vAlign w:val="bottom"/>
            <w:gridSpan w:val="18"/>
            <w:shd w:val="clear" w:color="auto" w:fill="EEEEEE"/>
          </w:tcPr>
          <w:p>
            <w:pPr>
              <w:spacing w:after="0" w:line="150" w:lineRule="exact"/>
              <w:rPr>
                <w:sz w:val="20"/>
                <w:szCs w:val="20"/>
                <w:color w:val="auto"/>
              </w:rPr>
            </w:pPr>
            <w:r>
              <w:rPr>
                <w:rFonts w:ascii="Times New Roman" w:cs="Times New Roman" w:eastAsia="Times New Roman" w:hAnsi="Times New Roman"/>
                <w:sz w:val="15"/>
                <w:szCs w:val="15"/>
                <w:color w:val="0000EE"/>
              </w:rPr>
              <w:t>AUDITORS, TRANSFER AGENT AND REGISTRAR</w:t>
            </w:r>
          </w:p>
        </w:tc>
        <w:tc>
          <w:tcPr>
            <w:tcW w:w="3300" w:type="dxa"/>
            <w:vAlign w:val="bottom"/>
            <w:gridSpan w:val="3"/>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100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2940" w:type="dxa"/>
            <w:vAlign w:val="bottom"/>
            <w:tcBorders>
              <w:top w:val="single" w:sz="8" w:color="EEEEEE"/>
            </w:tcBorders>
          </w:tcPr>
          <w:p>
            <w:pPr>
              <w:spacing w:after="0"/>
              <w:rPr>
                <w:sz w:val="24"/>
                <w:szCs w:val="24"/>
                <w:color w:val="auto"/>
              </w:rPr>
            </w:pPr>
          </w:p>
        </w:tc>
        <w:tc>
          <w:tcPr>
            <w:tcW w:w="3140" w:type="dxa"/>
            <w:vAlign w:val="bottom"/>
            <w:tcBorders>
              <w:top w:val="single" w:sz="8" w:color="EEEE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3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4"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18"/>
          <w:szCs w:val="18"/>
          <w:b w:val="1"/>
          <w:bCs w:val="1"/>
          <w:color w:val="auto"/>
        </w:rPr>
        <w:t>Information contained on the Corporation's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18"/>
          <w:szCs w:val="18"/>
          <w:color w:val="auto"/>
        </w:rPr>
        <w:t>The Corporation is not making an offer of these Securities in any jurisdiction where the offer is not permitted. Investors should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36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 xml:space="preserve">The information contained on </w:t>
      </w:r>
      <w:r>
        <w:rPr>
          <w:rFonts w:ascii="Times New Roman" w:cs="Times New Roman" w:eastAsia="Times New Roman" w:hAnsi="Times New Roman"/>
          <w:sz w:val="18"/>
          <w:szCs w:val="18"/>
          <w:u w:val="single" w:color="auto"/>
          <w:color w:val="0000FF"/>
        </w:rPr>
        <w:t>www.cybin.com</w:t>
      </w:r>
      <w:r>
        <w:rPr>
          <w:rFonts w:ascii="Times New Roman" w:cs="Times New Roman" w:eastAsia="Times New Roman" w:hAnsi="Times New Roman"/>
          <w:sz w:val="18"/>
          <w:szCs w:val="18"/>
          <w:color w:val="auto"/>
        </w:rPr>
        <w:t xml:space="preserve"> is not intended to be included in or incorporated by reference herein, and prospective purchasers should not rely on such information when deciding whether or not to invest in any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Prospectus, unless stated otherwise or the context requires otherwise, all dollar amounts are expressed in Canadian dollars.</w:t>
      </w:r>
    </w:p>
    <w:p>
      <w:pPr>
        <w:spacing w:after="0" w:line="18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6" w:name="page17"/>
    <w:bookmarkEnd w:id="16"/>
    <w:p>
      <w:pPr>
        <w:jc w:val="both"/>
        <w:spacing w:after="0" w:line="242"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3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5" w:lineRule="exact"/>
        <w:rPr>
          <w:sz w:val="20"/>
          <w:szCs w:val="20"/>
          <w:color w:val="auto"/>
        </w:rPr>
      </w:pPr>
    </w:p>
    <w:p>
      <w:pPr>
        <w:ind w:left="540" w:hanging="271"/>
        <w:spacing w:after="0" w:line="252" w:lineRule="auto"/>
        <w:tabs>
          <w:tab w:leader="none" w:pos="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the Corporation will continue to incur significant losses in the future;</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Corporation's ability to raise additional funding to support operations;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access additional funding;</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foreign exchange rates;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development of the Corporation's product candidates which are at early stages of development;</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industry publications as the Corporation's primary sources for third-party industry data and forecasts;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plan, conduct and monitor the Corporation's preclinical studies and clinical trials;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ind w:left="540" w:right="20" w:hanging="271"/>
        <w:spacing w:after="0"/>
        <w:tabs>
          <w:tab w:leader="none" w:pos="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18"/>
          <w:szCs w:val="18"/>
          <w:color w:val="auto"/>
        </w:rPr>
      </w:pP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ind w:left="540" w:right="20" w:hanging="271"/>
        <w:spacing w:after="0"/>
        <w:tabs>
          <w:tab w:leader="none" w:pos="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18"/>
          <w:szCs w:val="18"/>
          <w:color w:val="auto"/>
        </w:rPr>
      </w:pP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fully realize the benefits of acquisitions;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ability to adequately protect the Corporation's intellectual property and trade secrets;</w:t>
      </w:r>
    </w:p>
    <w:p>
      <w:pPr>
        <w:ind w:left="560" w:hanging="291"/>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7" w:name="page18"/>
    <w:bookmarkEnd w:id="17"/>
    <w:p>
      <w:pPr>
        <w:ind w:left="540" w:hanging="271"/>
        <w:spacing w:after="0" w:line="280" w:lineRule="auto"/>
        <w:tabs>
          <w:tab w:leader="none" w:pos="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unforeseen changes to the laws or regulations in the United States, Canada, the United Kingdom, the Netherlands, Ireland and other jurisdictions in which the Corporation operates.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addition to the factors set out above and those identified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Many of these factors are beyond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18"/>
          <w:szCs w:val="18"/>
          <w:color w:val="auto"/>
        </w:rPr>
        <w:t>Investors should read this entire Prospectus, including the Annual Information Form,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MARKETING MATERIALS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Any template version of marketing materials (as such terms are defined in National Instrument 41-101 - </w:t>
      </w:r>
      <w:r>
        <w:rPr>
          <w:rFonts w:ascii="Times New Roman" w:cs="Times New Roman" w:eastAsia="Times New Roman" w:hAnsi="Times New Roman"/>
          <w:sz w:val="18"/>
          <w:szCs w:val="18"/>
          <w:i w:val="1"/>
          <w:iCs w:val="1"/>
          <w:color w:val="auto"/>
        </w:rPr>
        <w:t>General Prospectus Requirements</w:t>
      </w:r>
      <w:r>
        <w:rPr>
          <w:rFonts w:ascii="Times New Roman" w:cs="Times New Roman" w:eastAsia="Times New Roman" w:hAnsi="Times New Roman"/>
          <w:sz w:val="18"/>
          <w:szCs w:val="18"/>
          <w:color w:val="auto"/>
        </w:rPr>
        <w:t xml:space="preserve">) that are utilized in connection with the distribution of Securities will be filed under the Corporation's profile on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in this Prospectus.</w:t>
      </w:r>
    </w:p>
    <w:p>
      <w:pPr>
        <w:spacing w:after="0" w:line="1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18"/>
          <w:szCs w:val="18"/>
          <w:color w:val="auto"/>
        </w:rPr>
        <w:t>Copies of the documents incorporated herein by reference may be obtained on request without charge from the Secretary of the Corporation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King Street West, Suite 5600, Toronto, Ontario M5X 1C9, telephone (908) 764-8385, and are also available electronically on SEDAR+.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of the Corporation filed with the securities commissions or similar authorities in Canada are incorporated by reference in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161" w:lineRule="exact"/>
        <w:rPr>
          <w:sz w:val="20"/>
          <w:szCs w:val="20"/>
          <w:color w:val="auto"/>
        </w:rPr>
      </w:pPr>
    </w:p>
    <w:p>
      <w:pPr>
        <w:ind w:left="560" w:hanging="34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form of the Corporation dated June 27, 2023 for the year ended March 31, 2023 (the “</w:t>
      </w:r>
      <w:r>
        <w:rPr>
          <w:rFonts w:ascii="Times New Roman" w:cs="Times New Roman" w:eastAsia="Times New Roman" w:hAnsi="Times New Roman"/>
          <w:sz w:val="18"/>
          <w:szCs w:val="18"/>
          <w:b w:val="1"/>
          <w:bCs w:val="1"/>
          <w:color w:val="auto"/>
        </w:rPr>
        <w:t>Annual Information Form</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540" w:right="20" w:hanging="329"/>
        <w:spacing w:after="0" w:line="279" w:lineRule="auto"/>
        <w:tabs>
          <w:tab w:leader="none" w:pos="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the Corporation and the notes thereto as at and for the fiscal year ended March 31, 2023, together with the auditor’s report thereon;</w:t>
      </w:r>
    </w:p>
    <w:p>
      <w:pPr>
        <w:spacing w:after="0" w:line="118" w:lineRule="exact"/>
        <w:rPr>
          <w:rFonts w:ascii="Times New Roman" w:cs="Times New Roman" w:eastAsia="Times New Roman" w:hAnsi="Times New Roman"/>
          <w:sz w:val="18"/>
          <w:szCs w:val="18"/>
          <w:color w:val="auto"/>
        </w:rPr>
      </w:pPr>
    </w:p>
    <w:p>
      <w:pPr>
        <w:ind w:left="560" w:hanging="34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the Corporation for the year ended March 31, 2023;</w:t>
      </w:r>
    </w:p>
    <w:p>
      <w:pPr>
        <w:spacing w:after="0" w:line="185" w:lineRule="exact"/>
        <w:rPr>
          <w:rFonts w:ascii="Times New Roman" w:cs="Times New Roman" w:eastAsia="Times New Roman" w:hAnsi="Times New Roman"/>
          <w:sz w:val="18"/>
          <w:szCs w:val="18"/>
          <w:color w:val="auto"/>
        </w:rPr>
      </w:pPr>
    </w:p>
    <w:p>
      <w:pPr>
        <w:ind w:left="540" w:hanging="329"/>
        <w:spacing w:after="0" w:line="279" w:lineRule="auto"/>
        <w:tabs>
          <w:tab w:leader="none" w:pos="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condensed consolidated financial statements of the Corporation and the notes thereto for the three months ended June 30, 2023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560" w:hanging="349"/>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the Corporation for the three months ended June 30, 2023 (the “</w:t>
      </w:r>
      <w:r>
        <w:rPr>
          <w:rFonts w:ascii="Times New Roman" w:cs="Times New Roman" w:eastAsia="Times New Roman" w:hAnsi="Times New Roman"/>
          <w:sz w:val="18"/>
          <w:szCs w:val="18"/>
          <w:b w:val="1"/>
          <w:bCs w:val="1"/>
          <w:color w:val="auto"/>
        </w:rPr>
        <w:t>Interim MD&amp;A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540" w:right="20" w:hanging="329"/>
        <w:spacing w:after="0" w:line="279" w:lineRule="auto"/>
        <w:tabs>
          <w:tab w:leader="none" w:pos="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circular of the Corporation dated July 13, 2022 relating to an annual meeting of shareholders of the Corporation held on August 15, 2022;</w:t>
      </w:r>
    </w:p>
    <w:p>
      <w:pPr>
        <w:spacing w:after="0" w:line="118" w:lineRule="exact"/>
        <w:rPr>
          <w:rFonts w:ascii="Times New Roman" w:cs="Times New Roman" w:eastAsia="Times New Roman" w:hAnsi="Times New Roman"/>
          <w:sz w:val="18"/>
          <w:szCs w:val="18"/>
          <w:color w:val="auto"/>
        </w:rPr>
      </w:pPr>
    </w:p>
    <w:p>
      <w:pPr>
        <w:jc w:val="both"/>
        <w:ind w:left="540" w:hanging="329"/>
        <w:spacing w:after="0" w:line="253" w:lineRule="auto"/>
        <w:tabs>
          <w:tab w:leader="none" w:pos="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May 31, 2023 relating to the sale of up to US$30,000,000 of Common Shares to Lincoln Park Capital Fund, LLC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upon the terms and subject to the conditions contained in the purchase agreement dated May 30, 2023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made pursuant to and qualified by a prospectus supplement dated May 30, 2023 (the “</w:t>
      </w:r>
      <w:r>
        <w:rPr>
          <w:rFonts w:ascii="Times New Roman" w:cs="Times New Roman" w:eastAsia="Times New Roman" w:hAnsi="Times New Roman"/>
          <w:sz w:val="18"/>
          <w:szCs w:val="18"/>
          <w:b w:val="1"/>
          <w:bCs w:val="1"/>
          <w:color w:val="auto"/>
        </w:rPr>
        <w:t>May 2023 Prospectus Supplement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Corporation’s short form base shelf prospectus dated July 5, 2021 (the “</w:t>
      </w:r>
      <w:r>
        <w:rPr>
          <w:rFonts w:ascii="Times New Roman" w:cs="Times New Roman" w:eastAsia="Times New Roman" w:hAnsi="Times New Roman"/>
          <w:sz w:val="18"/>
          <w:szCs w:val="18"/>
          <w:b w:val="1"/>
          <w:bCs w:val="1"/>
          <w:color w:val="auto"/>
        </w:rPr>
        <w:t>2021 Base Shelf Prospectus</w:t>
      </w:r>
      <w:r>
        <w:rPr>
          <w:rFonts w:ascii="Times New Roman" w:cs="Times New Roman" w:eastAsia="Times New Roman" w:hAnsi="Times New Roman"/>
          <w:sz w:val="18"/>
          <w:szCs w:val="18"/>
          <w:color w:val="auto"/>
        </w:rPr>
        <w:t>”); and</w:t>
      </w:r>
    </w:p>
    <w:p>
      <w:pPr>
        <w:spacing w:after="0" w:line="138" w:lineRule="exact"/>
        <w:rPr>
          <w:rFonts w:ascii="Times New Roman" w:cs="Times New Roman" w:eastAsia="Times New Roman" w:hAnsi="Times New Roman"/>
          <w:sz w:val="18"/>
          <w:szCs w:val="18"/>
          <w:color w:val="auto"/>
        </w:rPr>
      </w:pPr>
    </w:p>
    <w:p>
      <w:pPr>
        <w:jc w:val="both"/>
        <w:ind w:left="540" w:hanging="329"/>
        <w:spacing w:after="0" w:line="262" w:lineRule="auto"/>
        <w:tabs>
          <w:tab w:leader="none" w:pos="5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dated August 8, 2023 relating to the public offering of 24,264,706 units of the Corporation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at a price of US$0.34 per Unit for gross proceeds of US$8,250,000 pursuant to a prospectus supplement dated August 1, 2023 to the 2021 Base Shelf Prospectus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Any document of the type referred to in Item 11.1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18"/>
          <w:szCs w:val="18"/>
          <w:u w:val="single" w:color="auto"/>
          <w:color w:val="0000FF"/>
        </w:rPr>
        <w:t>www.sedarplus.ca</w:t>
      </w:r>
      <w:r>
        <w:rPr>
          <w:rFonts w:ascii="Times New Roman" w:cs="Times New Roman" w:eastAsia="Times New Roman" w:hAnsi="Times New Roman"/>
          <w:sz w:val="18"/>
          <w:szCs w:val="18"/>
          <w:color w:val="auto"/>
        </w:rPr>
        <w:t xml:space="preserve">, and from the Corporation's EDGAR profile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The Corporation's filings through SEDAR+ and EDGAR are not incorporated by reference in the Prospectus except as specifically set out herein.</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3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Business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platforms, innovative drug delivery systems, and novel formulation approaches and treatment regimens.</w:t>
      </w:r>
      <w:r>
        <w:rPr>
          <w:rFonts w:ascii="Times New Roman" w:cs="Times New Roman" w:eastAsia="Times New Roman" w:hAnsi="Times New Roman"/>
          <w:sz w:val="30"/>
          <w:szCs w:val="30"/>
          <w:color w:val="auto"/>
          <w:vertAlign w:val="superscript"/>
        </w:rPr>
        <w:t>1</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0" w:name="page21"/>
    <w:bookmarkEnd w:id="20"/>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18"/>
          <w:szCs w:val="18"/>
          <w:b w:val="1"/>
          <w:bCs w:val="1"/>
          <w:color w:val="auto"/>
        </w:rPr>
        <w:t>DMT</w:t>
      </w:r>
      <w:r>
        <w:rPr>
          <w:rFonts w:ascii="Times New Roman" w:cs="Times New Roman" w:eastAsia="Times New Roman" w:hAnsi="Times New Roman"/>
          <w:sz w:val="18"/>
          <w:szCs w:val="18"/>
          <w:color w:val="auto"/>
        </w:rPr>
        <w:t>"), CYB005, phenethylamine derivatives, and an expansive list of preclinical molecules to facilitate future drug development opportunities.</w:t>
      </w:r>
    </w:p>
    <w:p>
      <w:pPr>
        <w:spacing w:after="0" w:line="146" w:lineRule="exact"/>
        <w:rPr>
          <w:sz w:val="20"/>
          <w:szCs w:val="20"/>
          <w:color w:val="auto"/>
        </w:rPr>
      </w:pPr>
    </w:p>
    <w:p>
      <w:pPr>
        <w:jc w:val="both"/>
        <w:ind w:left="8" w:firstLine="58"/>
        <w:spacing w:after="0" w:line="279" w:lineRule="auto"/>
        <w:rPr>
          <w:sz w:val="20"/>
          <w:szCs w:val="20"/>
          <w:color w:val="auto"/>
        </w:rPr>
      </w:pPr>
      <w:r>
        <w:rPr>
          <w:rFonts w:ascii="Times New Roman" w:cs="Times New Roman" w:eastAsia="Times New Roman" w:hAnsi="Times New Roman"/>
          <w:sz w:val="18"/>
          <w:szCs w:val="18"/>
          <w:color w:val="auto"/>
        </w:rPr>
        <w:t>The Corporation currently has more than 50 pending patent applications across six patent families and spanning seven research programs through a combination of internal filings and external licensing agreements.</w:t>
      </w:r>
    </w:p>
    <w:p>
      <w:pPr>
        <w:spacing w:after="0" w:line="1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Advancement of Mental Healthcare</w:t>
      </w:r>
    </w:p>
    <w:p>
      <w:pPr>
        <w:spacing w:after="0" w:line="191"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8"/>
          <w:szCs w:val="18"/>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35" w:lineRule="exact"/>
        <w:rPr>
          <w:sz w:val="20"/>
          <w:szCs w:val="20"/>
          <w:color w:val="auto"/>
        </w:rPr>
      </w:pPr>
    </w:p>
    <w:p>
      <w:pPr>
        <w:jc w:val="both"/>
        <w:ind w:left="8" w:right="20"/>
        <w:spacing w:after="0" w:line="254" w:lineRule="auto"/>
        <w:rPr>
          <w:sz w:val="20"/>
          <w:szCs w:val="20"/>
          <w:color w:val="auto"/>
        </w:rPr>
      </w:pPr>
      <w:r>
        <w:rPr>
          <w:rFonts w:ascii="Times New Roman" w:cs="Times New Roman" w:eastAsia="Times New Roman" w:hAnsi="Times New Roman"/>
          <w:sz w:val="18"/>
          <w:szCs w:val="18"/>
          <w:color w:val="auto"/>
        </w:rPr>
        <w:t>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intramuscular, or subcutaneous ("</w:t>
      </w:r>
      <w:r>
        <w:rPr>
          <w:rFonts w:ascii="Times New Roman" w:cs="Times New Roman" w:eastAsia="Times New Roman" w:hAnsi="Times New Roman"/>
          <w:sz w:val="18"/>
          <w:szCs w:val="18"/>
          <w:b w:val="1"/>
          <w:bCs w:val="1"/>
          <w:color w:val="auto"/>
        </w:rPr>
        <w:t>SC</w:t>
      </w:r>
      <w:r>
        <w:rPr>
          <w:rFonts w:ascii="Times New Roman" w:cs="Times New Roman" w:eastAsia="Times New Roman" w:hAnsi="Times New Roman"/>
          <w:sz w:val="18"/>
          <w:szCs w:val="18"/>
          <w:color w:val="auto"/>
        </w:rPr>
        <w:t>") administration.</w:t>
      </w:r>
      <w:r>
        <w:rPr>
          <w:rFonts w:ascii="Times New Roman" w:cs="Times New Roman" w:eastAsia="Times New Roman" w:hAnsi="Times New Roman"/>
          <w:sz w:val="30"/>
          <w:szCs w:val="30"/>
          <w:color w:val="auto"/>
          <w:vertAlign w:val="superscript"/>
        </w:rPr>
        <w:t>2</w:t>
      </w:r>
    </w:p>
    <w:p>
      <w:pPr>
        <w:spacing w:after="0" w:line="69" w:lineRule="exact"/>
        <w:rPr>
          <w:sz w:val="20"/>
          <w:szCs w:val="20"/>
          <w:color w:val="auto"/>
        </w:rPr>
      </w:pPr>
    </w:p>
    <w:p>
      <w:pPr>
        <w:jc w:val="both"/>
        <w:ind w:left="8"/>
        <w:spacing w:after="0" w:line="234" w:lineRule="auto"/>
        <w:rPr>
          <w:sz w:val="20"/>
          <w:szCs w:val="20"/>
          <w:color w:val="auto"/>
        </w:rPr>
      </w:pPr>
      <w:r>
        <w:rPr>
          <w:rFonts w:ascii="Times New Roman" w:cs="Times New Roman" w:eastAsia="Times New Roman" w:hAnsi="Times New Roman"/>
          <w:sz w:val="18"/>
          <w:szCs w:val="18"/>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The Corporation is also developing compounds that may have the potential to address neuroinflammation</w:t>
      </w:r>
      <w:r>
        <w:rPr>
          <w:rFonts w:ascii="Times New Roman" w:cs="Times New Roman" w:eastAsia="Times New Roman" w:hAnsi="Times New Roman"/>
          <w:sz w:val="30"/>
          <w:szCs w:val="30"/>
          <w:color w:val="auto"/>
          <w:vertAlign w:val="superscript"/>
        </w:rPr>
        <w:t>4</w:t>
      </w:r>
      <w:r>
        <w:rPr>
          <w:rFonts w:ascii="Times New Roman" w:cs="Times New Roman" w:eastAsia="Times New Roman" w:hAnsi="Times New Roman"/>
          <w:sz w:val="18"/>
          <w:szCs w:val="18"/>
          <w:color w:val="auto"/>
        </w:rPr>
        <w:t>, central nervous system disorders, and psychiatric disorders</w:t>
      </w: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8"/>
          <w:szCs w:val="18"/>
          <w:color w:val="auto"/>
        </w:rPr>
        <w:t>For additional information in respect of the Corporation and its operation, please see the Corporation’s Annual Information Form and Interim MD&amp;A incorporated by reference into this Prospectus.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104" w:lineRule="exact"/>
        <w:rPr>
          <w:sz w:val="20"/>
          <w:szCs w:val="20"/>
          <w:color w:val="auto"/>
        </w:rPr>
      </w:pPr>
    </w:p>
    <w:p>
      <w:pPr>
        <w:jc w:val="both"/>
        <w:ind w:left="8" w:hanging="8"/>
        <w:spacing w:after="0" w:line="215" w:lineRule="auto"/>
        <w:tabs>
          <w:tab w:leader="none" w:pos="143" w:val="left"/>
        </w:tabs>
        <w:numPr>
          <w:ilvl w:val="0"/>
          <w:numId w:val="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ind w:left="8"/>
        <w:spacing w:after="0" w:line="184"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5"/>
          <w:szCs w:val="15"/>
          <w:color w:val="auto"/>
        </w:rPr>
        <w:t xml:space="preserve"> See footnote 1.</w:t>
      </w:r>
    </w:p>
    <w:p>
      <w:pPr>
        <w:ind w:left="128" w:hanging="128"/>
        <w:spacing w:after="0" w:line="182" w:lineRule="auto"/>
        <w:tabs>
          <w:tab w:leader="none" w:pos="128"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footnote 1.</w:t>
      </w:r>
    </w:p>
    <w:p>
      <w:pPr>
        <w:spacing w:after="0" w:line="34" w:lineRule="exact"/>
        <w:rPr>
          <w:rFonts w:ascii="Times New Roman" w:cs="Times New Roman" w:eastAsia="Times New Roman" w:hAnsi="Times New Roman"/>
          <w:sz w:val="30"/>
          <w:szCs w:val="30"/>
          <w:color w:val="auto"/>
          <w:vertAlign w:val="superscript"/>
        </w:rPr>
      </w:pPr>
    </w:p>
    <w:p>
      <w:pPr>
        <w:ind w:left="8"/>
        <w:spacing w:after="0" w:line="1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See footnote 1</w:t>
      </w:r>
      <w:r>
        <w:rPr>
          <w:rFonts w:ascii="Times New Roman" w:cs="Times New Roman" w:eastAsia="Times New Roman" w:hAnsi="Times New Roman"/>
          <w:sz w:val="18"/>
          <w:szCs w:val="18"/>
          <w:b w:val="1"/>
          <w:bCs w:val="1"/>
          <w:color w:val="auto"/>
        </w:rPr>
        <w:t>.</w:t>
      </w:r>
    </w:p>
    <w:p>
      <w:pPr>
        <w:spacing w:after="0" w:line="1" w:lineRule="exact"/>
        <w:rPr>
          <w:rFonts w:ascii="Times New Roman" w:cs="Times New Roman" w:eastAsia="Times New Roman" w:hAnsi="Times New Roman"/>
          <w:sz w:val="30"/>
          <w:szCs w:val="30"/>
          <w:color w:val="auto"/>
          <w:vertAlign w:val="superscript"/>
        </w:rPr>
      </w:pPr>
    </w:p>
    <w:p>
      <w:pPr>
        <w:ind w:left="8"/>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0"/>
          <w:szCs w:val="30"/>
          <w:color w:val="auto"/>
          <w:vertAlign w:val="superscript"/>
        </w:rPr>
        <w:t>5</w:t>
      </w:r>
      <w:r>
        <w:rPr>
          <w:rFonts w:ascii="Times New Roman" w:cs="Times New Roman" w:eastAsia="Times New Roman" w:hAnsi="Times New Roman"/>
          <w:sz w:val="18"/>
          <w:szCs w:val="18"/>
          <w:color w:val="auto"/>
        </w:rPr>
        <w:t xml:space="preserve"> See footnote 1</w:t>
      </w:r>
      <w:r>
        <w:rPr>
          <w:rFonts w:ascii="Times New Roman" w:cs="Times New Roman" w:eastAsia="Times New Roman" w:hAnsi="Times New Roman"/>
          <w:sz w:val="18"/>
          <w:szCs w:val="18"/>
          <w:b w:val="1"/>
          <w:bCs w:val="1"/>
          <w:color w:val="auto"/>
        </w:rPr>
        <w:t>.</w:t>
      </w:r>
    </w:p>
    <w:p>
      <w:pPr>
        <w:spacing w:after="0" w:line="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Inter-Corporate Relationships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the date of this Prospectus, the Corporation's corporate structure includes the following material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185" w:lineRule="exact"/>
        <w:rPr>
          <w:sz w:val="20"/>
          <w:szCs w:val="20"/>
          <w:color w:val="auto"/>
        </w:rPr>
      </w:pPr>
    </w:p>
    <w:p>
      <w:pPr>
        <w:jc w:val="both"/>
        <w:ind w:left="1200" w:right="920" w:hanging="238"/>
        <w:spacing w:after="0" w:line="257" w:lineRule="auto"/>
        <w:tabs>
          <w:tab w:leader="none" w:pos="12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Adelia Therapeutics Inc. ("</w:t>
      </w:r>
      <w:r>
        <w:rPr>
          <w:rFonts w:ascii="Times New Roman" w:cs="Times New Roman" w:eastAsia="Times New Roman" w:hAnsi="Times New Roman"/>
          <w:sz w:val="18"/>
          <w:szCs w:val="18"/>
          <w:b w:val="1"/>
          <w:bCs w:val="1"/>
          <w:color w:val="auto"/>
        </w:rPr>
        <w:t>Adelia</w:t>
      </w:r>
      <w:r>
        <w:rPr>
          <w:rFonts w:ascii="Times New Roman" w:cs="Times New Roman" w:eastAsia="Times New Roman" w:hAnsi="Times New Roman"/>
          <w:sz w:val="18"/>
          <w:szCs w:val="18"/>
          <w:color w:val="auto"/>
        </w:rPr>
        <w:t>") hold certain non-voting securities of Cybin U.S. issued in connection with the acquisition of Adelia on December 14, 2020 (the "</w:t>
      </w:r>
      <w:r>
        <w:rPr>
          <w:rFonts w:ascii="Times New Roman" w:cs="Times New Roman" w:eastAsia="Times New Roman" w:hAnsi="Times New Roman"/>
          <w:sz w:val="18"/>
          <w:szCs w:val="18"/>
          <w:b w:val="1"/>
          <w:bCs w:val="1"/>
          <w:color w:val="auto"/>
        </w:rPr>
        <w:t>Adelia Transaction</w:t>
      </w:r>
      <w:r>
        <w:rPr>
          <w:rFonts w:ascii="Times New Roman" w:cs="Times New Roman" w:eastAsia="Times New Roman" w:hAnsi="Times New Roman"/>
          <w:sz w:val="18"/>
          <w:szCs w:val="18"/>
          <w:color w:val="auto"/>
        </w:rPr>
        <w:t>"). For additional information in respect of the Adelia Transaction, please see the Annual Information Form incorporated by reference in this Prospectus Supplement.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Recent Developments</w:t>
      </w:r>
    </w:p>
    <w:p>
      <w:pPr>
        <w:spacing w:after="0" w:line="18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both"/>
        <w:spacing w:after="0" w:line="244" w:lineRule="auto"/>
        <w:rPr>
          <w:sz w:val="20"/>
          <w:szCs w:val="20"/>
          <w:color w:val="auto"/>
        </w:rPr>
      </w:pPr>
      <w:r>
        <w:rPr>
          <w:rFonts w:ascii="Times New Roman" w:cs="Times New Roman" w:eastAsia="Times New Roman" w:hAnsi="Times New Roman"/>
          <w:sz w:val="18"/>
          <w:szCs w:val="18"/>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29, 2023, the Corporation announced the appointment of Aaron Bartlone as Chief Operating Officer, effective July 1, 2023. Mr. Bartlone has served as Chief Operating Officer of Cybin’s U.S. subsidiary, Cybin US Holdings, Inc., since March 2021. Mr. Bartlone is a United States resident and currently holds 701,070 Common Shares and options exercisable into 1,315,000 Common Shares.</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5, 2023, the Corporation’s at-the-market equity program to issue and sell up to US$35,000,000 of Common Shares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and treatment-resistant depression.</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August 17, 2023, the Corporation announced that it has initiated preparations for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production of a capsule formulation of CYB003, its proprietary deuterated psilocybin analog in development for the potential treatment of MDD.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3" w:name="page24"/>
    <w:bookmarkEnd w:id="23"/>
    <w:p>
      <w:pPr>
        <w:ind w:left="4440"/>
        <w:spacing w:after="0"/>
        <w:rPr>
          <w:sz w:val="20"/>
          <w:szCs w:val="20"/>
          <w:color w:val="auto"/>
        </w:rPr>
      </w:pPr>
      <w:r>
        <w:rPr>
          <w:rFonts w:ascii="Times New Roman" w:cs="Times New Roman" w:eastAsia="Times New Roman" w:hAnsi="Times New Roman"/>
          <w:sz w:val="18"/>
          <w:szCs w:val="18"/>
          <w:b w:val="1"/>
          <w:bCs w:val="1"/>
          <w:color w:val="auto"/>
        </w:rPr>
        <w:t>REGULATORY OVERVIEW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applicable regulatory framework for the Corporation's various business segments and proposed business activity are set forth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 This exemption allows the holder to possess and use the controlled substance without being subject to the restrictions set out in the CDSA.</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in the Annual Information Form for additional information concerning the regulation applicable to the process required before prescription drug product candidates may be marketed in Canada.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88" w:lineRule="exact"/>
        <w:rPr>
          <w:sz w:val="20"/>
          <w:szCs w:val="20"/>
          <w:color w:val="auto"/>
        </w:rPr>
      </w:pPr>
    </w:p>
    <w:p>
      <w:pPr>
        <w:jc w:val="both"/>
        <w:ind w:left="8"/>
        <w:spacing w:after="0" w:line="244"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related to its Deuterated Psilocybin Analog Program upon completion of its pre-clinical studies and</w:t>
      </w:r>
    </w:p>
    <w:p>
      <w:pPr>
        <w:spacing w:after="0" w:line="5" w:lineRule="exact"/>
        <w:rPr>
          <w:sz w:val="20"/>
          <w:szCs w:val="20"/>
          <w:color w:val="auto"/>
        </w:rPr>
      </w:pPr>
    </w:p>
    <w:p>
      <w:pPr>
        <w:jc w:val="both"/>
        <w:ind w:left="8"/>
        <w:spacing w:after="0" w:line="204" w:lineRule="auto"/>
        <w:rPr>
          <w:sz w:val="20"/>
          <w:szCs w:val="20"/>
          <w:color w:val="auto"/>
        </w:rPr>
      </w:pPr>
      <w:r>
        <w:rPr>
          <w:rFonts w:ascii="Times New Roman" w:cs="Times New Roman" w:eastAsia="Times New Roman" w:hAnsi="Times New Roman"/>
          <w:sz w:val="18"/>
          <w:szCs w:val="18"/>
          <w:color w:val="auto"/>
        </w:rPr>
        <w:t>CMC development.</w:t>
      </w: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Anticipated timelines related to regulatory filings are based on reasonable assumptions informed by current knowledge and information available to the Corporation.</w:t>
      </w:r>
    </w:p>
    <w:p>
      <w:pPr>
        <w:spacing w:after="0" w:line="153"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18"/>
          <w:szCs w:val="18"/>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360" w:lineRule="exact"/>
        <w:rPr>
          <w:sz w:val="20"/>
          <w:szCs w:val="20"/>
          <w:color w:val="auto"/>
        </w:rPr>
      </w:pPr>
    </w:p>
    <w:p>
      <w:pPr>
        <w:jc w:val="both"/>
        <w:ind w:left="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"Description of the Business - Research and Development"</w:t>
      </w:r>
      <w:r>
        <w:rPr>
          <w:rFonts w:ascii="Times New Roman" w:cs="Times New Roman" w:eastAsia="Times New Roman" w:hAnsi="Times New Roman"/>
          <w:sz w:val="18"/>
          <w:szCs w:val="18"/>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Europe (Netherlands)</w:t>
      </w:r>
    </w:p>
    <w:p>
      <w:pPr>
        <w:spacing w:after="0" w:line="185"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361"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3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73" w:lineRule="exact"/>
        <w:rPr>
          <w:sz w:val="20"/>
          <w:szCs w:val="20"/>
          <w:color w:val="auto"/>
        </w:rPr>
      </w:pPr>
    </w:p>
    <w:p>
      <w:pPr>
        <w:jc w:val="both"/>
        <w:ind w:left="8" w:hanging="8"/>
        <w:spacing w:after="0" w:line="220" w:lineRule="auto"/>
        <w:tabs>
          <w:tab w:leader="none" w:pos="146" w:val="left"/>
        </w:tabs>
        <w:numPr>
          <w:ilvl w:val="0"/>
          <w:numId w:val="12"/>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25" w:name="page26"/>
    <w:bookmarkEnd w:id="25"/>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-222885</wp:posOffset>
            </wp:positionV>
            <wp:extent cx="62230" cy="62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right="2720"/>
        <w:spacing w:after="0"/>
        <w:rPr>
          <w:sz w:val="20"/>
          <w:szCs w:val="20"/>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-221615</wp:posOffset>
            </wp:positionV>
            <wp:extent cx="62230" cy="62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-90170</wp:posOffset>
            </wp:positionV>
            <wp:extent cx="62230" cy="62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-90170</wp:posOffset>
            </wp:positionV>
            <wp:extent cx="62230" cy="62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rPr>
          <w:sz w:val="20"/>
          <w:szCs w:val="20"/>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-221615</wp:posOffset>
            </wp:positionV>
            <wp:extent cx="62230" cy="62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ind w:left="540"/>
        <w:spacing w:after="0" w:line="248" w:lineRule="auto"/>
        <w:rPr>
          <w:sz w:val="20"/>
          <w:szCs w:val="20"/>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-366395</wp:posOffset>
            </wp:positionV>
            <wp:extent cx="62230" cy="62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3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Ireland, psilocin is a controlled substance under the Misuse of Drugs Act, 1977, 1984 and 2015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the Misuse of Drugs Regulations 2017 (the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6" w:name="page27"/>
    <w:bookmarkEnd w:id="26"/>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8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31"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8"/>
          <w:szCs w:val="18"/>
          <w:color w:val="auto"/>
        </w:rPr>
        <w:t>The main controlled drugs legislation in the United Kingdom is the Misuse of Drugs Act 1971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3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3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35"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The Corporation previously disclosed that it intended to file a clinical trial application with the United Kingdom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185"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8"/>
          <w:szCs w:val="18"/>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the Corporation also</w:t>
      </w: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acquired API. The CYB004-E API was manufactured in the Netherlands by a pharmaceutical ingredient provider that is United States FDA-inspected.</w:t>
      </w:r>
      <w:r>
        <w:rPr>
          <w:rFonts w:ascii="Times New Roman" w:cs="Times New Roman" w:eastAsia="Times New Roman" w:hAnsi="Times New Roman"/>
          <w:sz w:val="30"/>
          <w:szCs w:val="30"/>
          <w:color w:val="auto"/>
          <w:vertAlign w:val="superscript"/>
        </w:rPr>
        <w:t>7</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104" w:lineRule="exact"/>
        <w:rPr>
          <w:sz w:val="20"/>
          <w:szCs w:val="20"/>
          <w:color w:val="auto"/>
        </w:rPr>
      </w:pPr>
    </w:p>
    <w:p>
      <w:pPr>
        <w:jc w:val="both"/>
        <w:ind w:left="8" w:hanging="8"/>
        <w:spacing w:after="0" w:line="194" w:lineRule="auto"/>
        <w:tabs>
          <w:tab w:leader="none" w:pos="136" w:val="left"/>
        </w:tabs>
        <w:numPr>
          <w:ilvl w:val="0"/>
          <w:numId w:val="13"/>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5"/>
          <w:szCs w:val="15"/>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7" w:name="page28"/>
    <w:bookmarkEnd w:id="27"/>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w:t>
      </w:r>
      <w:r>
        <w:rPr>
          <w:rFonts w:ascii="Times New Roman" w:cs="Times New Roman" w:eastAsia="Times New Roman" w:hAnsi="Times New Roman"/>
          <w:sz w:val="18"/>
          <w:szCs w:val="18"/>
          <w:i w:val="1"/>
          <w:iCs w:val="1"/>
          <w:color w:val="auto"/>
        </w:rPr>
        <w:t>Pharmaceutical Products</w:t>
      </w:r>
      <w:r>
        <w:rPr>
          <w:rFonts w:ascii="Times New Roman" w:cs="Times New Roman" w:eastAsia="Times New Roman" w:hAnsi="Times New Roman"/>
          <w:sz w:val="18"/>
          <w:szCs w:val="18"/>
          <w:color w:val="auto"/>
        </w:rPr>
        <w:t>", depending on how the API is developed, certain authorizations and licences from the MHRA may be required to authorize some of the activities carried on at the UK-based facilities in relation to the API.</w:t>
      </w:r>
    </w:p>
    <w:p>
      <w:pPr>
        <w:spacing w:after="0" w:line="149" w:lineRule="exact"/>
        <w:rPr>
          <w:sz w:val="20"/>
          <w:szCs w:val="20"/>
          <w:color w:val="auto"/>
        </w:rPr>
      </w:pPr>
    </w:p>
    <w:p>
      <w:pPr>
        <w:jc w:val="both"/>
        <w:ind w:left="8" w:right="20"/>
        <w:spacing w:after="0" w:line="281" w:lineRule="auto"/>
        <w:rPr>
          <w:sz w:val="20"/>
          <w:szCs w:val="20"/>
          <w:color w:val="auto"/>
        </w:rPr>
      </w:pPr>
      <w:r>
        <w:rPr>
          <w:rFonts w:ascii="Times New Roman" w:cs="Times New Roman" w:eastAsia="Times New Roman" w:hAnsi="Times New Roman"/>
          <w:sz w:val="18"/>
          <w:szCs w:val="18"/>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30"/>
          <w:szCs w:val="30"/>
          <w:color w:val="auto"/>
          <w:vertAlign w:val="superscript"/>
        </w:rPr>
        <w:t>8</w:t>
      </w:r>
    </w:p>
    <w:p>
      <w:pPr>
        <w:jc w:val="both"/>
        <w:ind w:left="8"/>
        <w:spacing w:after="0" w:line="247"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w:t>
      </w:r>
    </w:p>
    <w:p>
      <w:pPr>
        <w:spacing w:after="0" w:line="3" w:lineRule="exact"/>
        <w:rPr>
          <w:sz w:val="20"/>
          <w:szCs w:val="20"/>
          <w:color w:val="auto"/>
        </w:rPr>
      </w:pPr>
    </w:p>
    <w:p>
      <w:pPr>
        <w:ind w:left="8" w:right="2940"/>
        <w:spacing w:after="0" w:line="350" w:lineRule="auto"/>
        <w:rPr>
          <w:sz w:val="20"/>
          <w:szCs w:val="20"/>
          <w:color w:val="auto"/>
        </w:rPr>
      </w:pPr>
      <w:r>
        <w:rPr>
          <w:rFonts w:ascii="Times New Roman" w:cs="Times New Roman" w:eastAsia="Times New Roman" w:hAnsi="Times New Roman"/>
          <w:sz w:val="18"/>
          <w:szCs w:val="18"/>
          <w:color w:val="auto"/>
        </w:rPr>
        <w:t>operating procedure covering their responsibilities, record keeping, reconciliation and reporting of thefts/losses.</w:t>
      </w:r>
      <w:r>
        <w:rPr>
          <w:rFonts w:ascii="Times New Roman" w:cs="Times New Roman" w:eastAsia="Times New Roman" w:hAnsi="Times New Roman"/>
          <w:sz w:val="30"/>
          <w:szCs w:val="30"/>
          <w:color w:val="auto"/>
          <w:vertAlign w:val="superscript"/>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Pharmaceutical Products</w:t>
      </w:r>
    </w:p>
    <w:p>
      <w:pPr>
        <w:spacing w:after="0" w:line="2" w:lineRule="exact"/>
        <w:rPr>
          <w:sz w:val="20"/>
          <w:szCs w:val="20"/>
          <w:color w:val="auto"/>
        </w:rPr>
      </w:pPr>
    </w:p>
    <w:p>
      <w:pPr>
        <w:jc w:val="both"/>
        <w:ind w:left="8" w:right="20"/>
        <w:spacing w:after="0" w:line="253"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4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8"/>
          <w:szCs w:val="18"/>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19" w:lineRule="exact"/>
        <w:rPr>
          <w:sz w:val="20"/>
          <w:szCs w:val="20"/>
          <w:color w:val="auto"/>
        </w:rPr>
      </w:pPr>
    </w:p>
    <w:p>
      <w:pPr>
        <w:jc w:val="both"/>
        <w:ind w:left="8" w:right="20"/>
        <w:spacing w:after="0" w:line="250"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181" w:lineRule="exact"/>
        <w:rPr>
          <w:sz w:val="20"/>
          <w:szCs w:val="20"/>
          <w:color w:val="auto"/>
        </w:rPr>
      </w:pPr>
    </w:p>
    <w:p>
      <w:pPr>
        <w:jc w:val="both"/>
        <w:ind w:left="548"/>
        <w:spacing w:after="0" w:line="262" w:lineRule="auto"/>
        <w:rPr>
          <w:sz w:val="20"/>
          <w:szCs w:val="20"/>
          <w:color w:val="auto"/>
        </w:rPr>
      </w:pPr>
      <w:r>
        <w:rPr>
          <w:rFonts w:ascii="Times New Roman" w:cs="Times New Roman" w:eastAsia="Times New Roman" w:hAnsi="Times New Roman"/>
          <w:sz w:val="18"/>
          <w:szCs w:val="18"/>
          <w:color w:val="auto"/>
        </w:rPr>
        <w:t>if the API is just one 'ingredient' of the investigational medicinal product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-374015</wp:posOffset>
            </wp:positionV>
            <wp:extent cx="62230" cy="62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14" w:lineRule="exact"/>
        <w:rPr>
          <w:sz w:val="20"/>
          <w:szCs w:val="20"/>
          <w:color w:val="auto"/>
        </w:rPr>
      </w:pPr>
    </w:p>
    <w:p>
      <w:pPr>
        <w:jc w:val="both"/>
        <w:ind w:left="548"/>
        <w:spacing w:after="0" w:line="260" w:lineRule="auto"/>
        <w:rPr>
          <w:sz w:val="20"/>
          <w:szCs w:val="20"/>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 Authorisations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-373380</wp:posOffset>
            </wp:positionV>
            <wp:extent cx="62230" cy="62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73" w:lineRule="exact"/>
        <w:rPr>
          <w:sz w:val="20"/>
          <w:szCs w:val="20"/>
          <w:color w:val="auto"/>
        </w:rPr>
      </w:pPr>
    </w:p>
    <w:p>
      <w:pPr>
        <w:jc w:val="both"/>
        <w:ind w:left="8" w:hanging="8"/>
        <w:spacing w:after="0" w:line="201" w:lineRule="auto"/>
        <w:tabs>
          <w:tab w:leader="none" w:pos="172" w:val="left"/>
        </w:tabs>
        <w:numPr>
          <w:ilvl w:val="0"/>
          <w:numId w:val="1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Home Office guidance; Security guidance for all existing or prospective Home Office Controlled Drug Licensees and/or Precursor Chemical Licensees or Registrants; 2022; https://assets.publishing.service.gov.uk/government/uploads/system/uploads/attachment_data/file/1125889/ Security_Guidance_for_all_Businesses_and_Other_Organisations_v1.5_Nov_2022.pdf.</w:t>
      </w:r>
    </w:p>
    <w:p>
      <w:pPr>
        <w:spacing w:after="0" w:line="2" w:lineRule="exact"/>
        <w:rPr>
          <w:sz w:val="20"/>
          <w:szCs w:val="20"/>
          <w:color w:val="auto"/>
        </w:rPr>
      </w:pPr>
    </w:p>
    <w:p>
      <w:pPr>
        <w:ind w:left="8" w:right="20"/>
        <w:spacing w:after="0" w:line="204" w:lineRule="auto"/>
        <w:rPr>
          <w:sz w:val="20"/>
          <w:szCs w:val="20"/>
          <w:color w:val="auto"/>
        </w:rPr>
      </w:pPr>
      <w:r>
        <w:rPr>
          <w:rFonts w:ascii="Times New Roman" w:cs="Times New Roman" w:eastAsia="Times New Roman" w:hAnsi="Times New Roman"/>
          <w:sz w:val="30"/>
          <w:szCs w:val="30"/>
          <w:color w:val="auto"/>
          <w:vertAlign w:val="superscript"/>
        </w:rPr>
        <w:t>9</w:t>
      </w:r>
      <w:r>
        <w:rPr>
          <w:rFonts w:ascii="Times New Roman" w:cs="Times New Roman" w:eastAsia="Times New Roman" w:hAnsi="Times New Roman"/>
          <w:sz w:val="18"/>
          <w:szCs w:val="18"/>
          <w:color w:val="auto"/>
        </w:rPr>
        <w:t xml:space="preserve"> Home Office guidance; Guidelines for Standard Operating Procedures (SOPs); https://assets.publishing.service.gov.uk/government/uploads/ system/uploads/attachment_data/file/480572/StandardOpProcedure.pdf.</w:t>
      </w:r>
    </w:p>
    <w:p>
      <w:pPr>
        <w:spacing w:after="0" w:line="1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3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 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IV, and by way of inhalation.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181" w:lineRule="exact"/>
        <w:rPr>
          <w:sz w:val="20"/>
          <w:szCs w:val="20"/>
          <w:color w:val="auto"/>
        </w:rPr>
      </w:pPr>
    </w:p>
    <w:p>
      <w:pPr>
        <w:ind w:lef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-254635</wp:posOffset>
            </wp:positionV>
            <wp:extent cx="62230" cy="62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9" w:name="page30"/>
    <w:bookmarkEnd w:id="29"/>
    <w:p>
      <w:pPr>
        <w:jc w:val="both"/>
        <w:ind w:left="54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-254000</wp:posOffset>
            </wp:positionV>
            <wp:extent cx="62230" cy="62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1" w:lineRule="exact"/>
        <w:rPr>
          <w:sz w:val="20"/>
          <w:szCs w:val="20"/>
          <w:color w:val="auto"/>
        </w:rPr>
      </w:pPr>
    </w:p>
    <w:p>
      <w:pPr>
        <w:jc w:val="both"/>
        <w:ind w:left="54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 - </w:t>
      </w:r>
      <w:r>
        <w:rPr>
          <w:rFonts w:ascii="Times New Roman" w:cs="Times New Roman" w:eastAsia="Times New Roman" w:hAnsi="Times New Roman"/>
          <w:sz w:val="18"/>
          <w:szCs w:val="18"/>
          <w:color w:val="auto"/>
        </w:rPr>
        <w:t>The first administration in humans is to test if people can tolerate the drug. If this testing is to take place in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-502285</wp:posOffset>
            </wp:positionV>
            <wp:extent cx="62230" cy="62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16" w:lineRule="exact"/>
        <w:rPr>
          <w:sz w:val="20"/>
          <w:szCs w:val="20"/>
          <w:color w:val="auto"/>
        </w:rPr>
      </w:pPr>
    </w:p>
    <w:p>
      <w:pPr>
        <w:jc w:val="both"/>
        <w:ind w:left="5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II - </w:t>
      </w:r>
      <w:r>
        <w:rPr>
          <w:rFonts w:ascii="Times New Roman" w:cs="Times New Roman" w:eastAsia="Times New Roman" w:hAnsi="Times New Roman"/>
          <w:sz w:val="18"/>
          <w:szCs w:val="18"/>
          <w:color w:val="auto"/>
        </w:rPr>
        <w:t>Phase II trials are carried out on people with the target condition, who are usually otherwise healthy, with no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-374015</wp:posOffset>
            </wp:positionV>
            <wp:extent cx="62230" cy="62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10" w:lineRule="exact"/>
        <w:rPr>
          <w:sz w:val="20"/>
          <w:szCs w:val="20"/>
          <w:color w:val="auto"/>
        </w:rPr>
      </w:pPr>
    </w:p>
    <w:p>
      <w:pPr>
        <w:jc w:val="both"/>
        <w:ind w:left="5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Clinical Trials - Phase III - </w:t>
      </w:r>
      <w:r>
        <w:rPr>
          <w:rFonts w:ascii="Times New Roman" w:cs="Times New Roman" w:eastAsia="Times New Roman" w:hAnsi="Times New Roman"/>
          <w:sz w:val="18"/>
          <w:szCs w:val="18"/>
          <w:color w:val="auto"/>
        </w:rPr>
        <w:t>If the results from phase II show promise, the manufacturer provides an updated clinical trial application to the TPD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-502285</wp:posOffset>
            </wp:positionV>
            <wp:extent cx="62230" cy="62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16"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-631190</wp:posOffset>
            </wp:positionV>
            <wp:extent cx="62230" cy="62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18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8"/>
          <w:szCs w:val="18"/>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-74930</wp:posOffset>
            </wp:positionV>
            <wp:extent cx="62230" cy="62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 independent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3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1" w:name="page32"/>
    <w:bookmarkEnd w:id="31"/>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pharmaceutical manufacturers are subject to complex laws and regulations pertaining to healthcare "fraud and abuse," including, but not limited to, the Anti-Kickback Statute, the federal False Claims Act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3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2" w:name="page33"/>
    <w:bookmarkEnd w:id="32"/>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Netherlands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jc w:val="both"/>
        <w:spacing w:after="0" w:line="250" w:lineRule="auto"/>
        <w:rPr>
          <w:sz w:val="20"/>
          <w:szCs w:val="20"/>
          <w:color w:val="auto"/>
        </w:rPr>
      </w:pPr>
      <w:r>
        <w:rPr>
          <w:rFonts w:ascii="Times New Roman" w:cs="Times New Roman" w:eastAsia="Times New Roman" w:hAnsi="Times New Roman"/>
          <w:sz w:val="18"/>
          <w:szCs w:val="18"/>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 w:name="page35"/>
    <w:bookmarkEnd w:id="34"/>
    <w:p>
      <w:pPr>
        <w:jc w:val="both"/>
        <w:spacing w:after="0" w:line="245"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5" w:name="page36"/>
    <w:bookmarkEnd w:id="35"/>
    <w:p>
      <w:pPr>
        <w:jc w:val="both"/>
        <w:ind w:left="8"/>
        <w:spacing w:after="0" w:line="244"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Patent Cooperation Treaty</w:t>
      </w:r>
    </w:p>
    <w:p>
      <w:pPr>
        <w:spacing w:after="0" w:line="185"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8"/>
          <w:szCs w:val="18"/>
          <w:color w:val="auto"/>
        </w:rPr>
        <w:t>The Patent Cooperation Treaty (the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facilitates filing for patent recognition in multiple jurisdictions simultaneously using a single uniform patent application. 157 countries, including Canada and the United States have ratified the PCT.</w:t>
      </w:r>
    </w:p>
    <w:p>
      <w:pPr>
        <w:spacing w:after="0" w:line="11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9"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5" w:lineRule="exact"/>
        <w:rPr>
          <w:sz w:val="20"/>
          <w:szCs w:val="20"/>
          <w:color w:val="auto"/>
        </w:rPr>
      </w:pPr>
    </w:p>
    <w:p>
      <w:pPr>
        <w:jc w:val="both"/>
        <w:ind w:left="8" w:right="20"/>
        <w:spacing w:after="0" w:line="248" w:lineRule="auto"/>
        <w:rPr>
          <w:sz w:val="20"/>
          <w:szCs w:val="20"/>
          <w:color w:val="auto"/>
        </w:rPr>
      </w:pPr>
      <w:r>
        <w:rPr>
          <w:rFonts w:ascii="Times New Roman" w:cs="Times New Roman" w:eastAsia="Times New Roman" w:hAnsi="Times New Roman"/>
          <w:sz w:val="18"/>
          <w:szCs w:val="18"/>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COMPLIANCE PROGRAM</w:t>
      </w:r>
    </w:p>
    <w:p>
      <w:pPr>
        <w:spacing w:after="0" w:line="189"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w:t>
      </w:r>
    </w:p>
    <w:p>
      <w:pPr>
        <w:spacing w:after="0" w:line="2" w:lineRule="exact"/>
        <w:rPr>
          <w:sz w:val="20"/>
          <w:szCs w:val="20"/>
          <w:color w:val="auto"/>
        </w:rPr>
      </w:pPr>
    </w:p>
    <w:p>
      <w:pPr>
        <w:ind w:left="268" w:hanging="268"/>
        <w:spacing w:after="0"/>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and implications arising from, applicable laws in jurisdictions in which the Corporation has operations or intends to operate.</w:t>
      </w:r>
    </w:p>
    <w:p>
      <w:pPr>
        <w:spacing w:after="0" w:line="165" w:lineRule="exact"/>
        <w:rPr>
          <w:rFonts w:ascii="Times New Roman" w:cs="Times New Roman" w:eastAsia="Times New Roman" w:hAnsi="Times New Roman"/>
          <w:sz w:val="18"/>
          <w:szCs w:val="18"/>
          <w:color w:val="auto"/>
        </w:rPr>
      </w:pPr>
    </w:p>
    <w:p>
      <w:pPr>
        <w:ind w:left="55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8"/>
          <w:szCs w:val="18"/>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3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share and loan capitalization of the Corporation since the date of the Interim Financial Statements.</w:t>
      </w:r>
    </w:p>
    <w:p>
      <w:pPr>
        <w:spacing w:after="0" w:line="18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8"/>
          <w:szCs w:val="18"/>
          <w:i w:val="1"/>
          <w:iCs w:val="1"/>
          <w:color w:val="auto"/>
        </w:rPr>
        <w:t>"Risk Factors - Risks Related to an Offering - Discretion over the Use of Proceeds"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Capital</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37" w:name="page38"/>
    <w:bookmarkEnd w:id="37"/>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53" w:lineRule="exact"/>
        <w:rPr>
          <w:sz w:val="20"/>
          <w:szCs w:val="20"/>
          <w:color w:val="auto"/>
        </w:rPr>
      </w:pPr>
    </w:p>
    <w:tbl>
      <w:tblPr>
        <w:tblLayout w:type="fixed"/>
        <w:tblInd w:w="568"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Anticipated</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12 Month Use</w:t>
            </w: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Anticipated</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4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4"/>
                <w:szCs w:val="14"/>
                <w:b w:val="1"/>
                <w:bCs w:val="1"/>
                <w:color w:val="auto"/>
              </w:rPr>
              <w:t>of Funds</w:t>
            </w:r>
            <w:r>
              <w:rPr>
                <w:rFonts w:ascii="Times New Roman" w:cs="Times New Roman" w:eastAsia="Times New Roman" w:hAnsi="Times New Roman"/>
                <w:sz w:val="22"/>
                <w:szCs w:val="22"/>
                <w:b w:val="1"/>
                <w:bCs w:val="1"/>
                <w:color w:val="auto"/>
                <w:vertAlign w:val="superscript"/>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Timeline for</w:t>
            </w:r>
          </w:p>
        </w:tc>
        <w:tc>
          <w:tcPr>
            <w:tcW w:w="0" w:type="dxa"/>
            <w:vAlign w:val="bottom"/>
          </w:tcPr>
          <w:p>
            <w:pPr>
              <w:spacing w:after="0"/>
              <w:rPr>
                <w:sz w:val="1"/>
                <w:szCs w:val="1"/>
                <w:color w:val="auto"/>
              </w:rPr>
            </w:pPr>
          </w:p>
        </w:tc>
      </w:tr>
      <w:tr>
        <w:trPr>
          <w:trHeight w:val="138"/>
        </w:trPr>
        <w:tc>
          <w:tcPr>
            <w:tcW w:w="5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Program</w:t>
            </w:r>
          </w:p>
        </w:tc>
        <w:tc>
          <w:tcPr>
            <w:tcW w:w="160" w:type="dxa"/>
            <w:vAlign w:val="bottom"/>
            <w:tcBorders>
              <w:bottom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92"/>
              </w:rPr>
              <w:t>(1)</w:t>
            </w:r>
          </w:p>
        </w:tc>
        <w:tc>
          <w:tcPr>
            <w:tcW w:w="5620" w:type="dxa"/>
            <w:vAlign w:val="bottom"/>
            <w:vMerge w:val="restart"/>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2"/>
                <w:szCs w:val="12"/>
                <w:color w:val="auto"/>
              </w:rPr>
            </w:pPr>
          </w:p>
        </w:tc>
        <w:tc>
          <w:tcPr>
            <w:tcW w:w="154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rPr>
              <w:t>Completio</w:t>
            </w:r>
            <w:r>
              <w:rPr>
                <w:rFonts w:ascii="Times New Roman" w:cs="Times New Roman" w:eastAsia="Times New Roman" w:hAnsi="Times New Roman"/>
                <w:sz w:val="22"/>
                <w:szCs w:val="22"/>
                <w:b w:val="1"/>
                <w:bCs w:val="1"/>
                <w:color w:val="auto"/>
                <w:vertAlign w:val="superscript"/>
              </w:rPr>
              <w:t>(4)</w:t>
            </w:r>
          </w:p>
        </w:tc>
        <w:tc>
          <w:tcPr>
            <w:tcW w:w="0" w:type="dxa"/>
            <w:vAlign w:val="bottom"/>
          </w:tcPr>
          <w:p>
            <w:pPr>
              <w:spacing w:after="0"/>
              <w:rPr>
                <w:sz w:val="1"/>
                <w:szCs w:val="1"/>
                <w:color w:val="auto"/>
              </w:rPr>
            </w:pPr>
          </w:p>
        </w:tc>
      </w:tr>
      <w:tr>
        <w:trPr>
          <w:trHeight w:val="43"/>
        </w:trPr>
        <w:tc>
          <w:tcPr>
            <w:tcW w:w="580" w:type="dxa"/>
            <w:vAlign w:val="bottom"/>
            <w:tcBorders>
              <w:bottom w:val="single" w:sz="8" w:color="auto"/>
            </w:tcBorders>
            <w:vMerge w:val="continue"/>
          </w:tcPr>
          <w:p>
            <w:pPr>
              <w:spacing w:after="0"/>
              <w:rPr>
                <w:sz w:val="3"/>
                <w:szCs w:val="3"/>
                <w:color w:val="auto"/>
              </w:rPr>
            </w:pPr>
          </w:p>
        </w:tc>
        <w:tc>
          <w:tcPr>
            <w:tcW w:w="160" w:type="dxa"/>
            <w:vAlign w:val="bottom"/>
          </w:tcPr>
          <w:p>
            <w:pPr>
              <w:spacing w:after="0"/>
              <w:rPr>
                <w:sz w:val="3"/>
                <w:szCs w:val="3"/>
                <w:color w:val="auto"/>
              </w:rPr>
            </w:pPr>
          </w:p>
        </w:tc>
        <w:tc>
          <w:tcPr>
            <w:tcW w:w="5620" w:type="dxa"/>
            <w:vAlign w:val="bottom"/>
            <w:vMerge w:val="continue"/>
          </w:tcPr>
          <w:p>
            <w:pPr>
              <w:spacing w:after="0"/>
              <w:rPr>
                <w:sz w:val="3"/>
                <w:szCs w:val="3"/>
                <w:color w:val="auto"/>
              </w:rPr>
            </w:pPr>
          </w:p>
        </w:tc>
        <w:tc>
          <w:tcPr>
            <w:tcW w:w="20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E6EFFF"/>
            </w:tcBorders>
          </w:tcPr>
          <w:p>
            <w:pPr>
              <w:spacing w:after="0" w:line="20" w:lineRule="exact"/>
              <w:rPr>
                <w:sz w:val="1"/>
                <w:szCs w:val="1"/>
                <w:color w:val="auto"/>
              </w:rPr>
            </w:pPr>
          </w:p>
        </w:tc>
        <w:tc>
          <w:tcPr>
            <w:tcW w:w="160" w:type="dxa"/>
            <w:vAlign w:val="bottom"/>
            <w:tcBorders>
              <w:bottom w:val="single" w:sz="8" w:color="E6EFFF"/>
            </w:tcBorders>
          </w:tcPr>
          <w:p>
            <w:pPr>
              <w:spacing w:after="0" w:line="20" w:lineRule="exact"/>
              <w:rPr>
                <w:sz w:val="1"/>
                <w:szCs w:val="1"/>
                <w:color w:val="auto"/>
              </w:rPr>
            </w:pPr>
          </w:p>
        </w:tc>
        <w:tc>
          <w:tcPr>
            <w:tcW w:w="5620" w:type="dxa"/>
            <w:vAlign w:val="bottom"/>
            <w:tcBorders>
              <w:bottom w:val="single" w:sz="8" w:color="E6EF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60" w:type="dxa"/>
            <w:vAlign w:val="bottom"/>
            <w:gridSpan w:val="3"/>
            <w:shd w:val="clear" w:color="auto" w:fill="E6EFFF"/>
          </w:tcPr>
          <w:p>
            <w:pPr>
              <w:spacing w:after="0" w:line="171" w:lineRule="exact"/>
              <w:rPr>
                <w:sz w:val="20"/>
                <w:szCs w:val="20"/>
                <w:color w:val="auto"/>
              </w:rPr>
            </w:pPr>
            <w:r>
              <w:rPr>
                <w:rFonts w:ascii="Times New Roman" w:cs="Times New Roman" w:eastAsia="Times New Roman" w:hAnsi="Times New Roman"/>
                <w:sz w:val="15"/>
                <w:szCs w:val="15"/>
                <w:color w:val="auto"/>
              </w:rPr>
              <w:t>Deuterated Psilocybin Analog Program</w:t>
            </w:r>
          </w:p>
        </w:tc>
        <w:tc>
          <w:tcPr>
            <w:tcW w:w="202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54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Provide topline data readout from the Phase 1/2a study</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3,880,627</w:t>
            </w: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Q3/Q4 2023</w:t>
            </w:r>
          </w:p>
        </w:tc>
        <w:tc>
          <w:tcPr>
            <w:tcW w:w="0" w:type="dxa"/>
            <w:vAlign w:val="bottom"/>
          </w:tcPr>
          <w:p>
            <w:pPr>
              <w:spacing w:after="0"/>
              <w:rPr>
                <w:sz w:val="1"/>
                <w:szCs w:val="1"/>
                <w:color w:val="auto"/>
              </w:rPr>
            </w:pPr>
          </w:p>
        </w:tc>
      </w:tr>
      <w:tr>
        <w:trPr>
          <w:trHeight w:val="185"/>
        </w:trPr>
        <w:tc>
          <w:tcPr>
            <w:tcW w:w="636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2,500,200</w:t>
            </w:r>
          </w:p>
        </w:tc>
        <w:tc>
          <w:tcPr>
            <w:tcW w:w="220" w:type="dxa"/>
            <w:vAlign w:val="bottom"/>
            <w:shd w:val="clear" w:color="auto" w:fill="E6EFFF"/>
          </w:tcPr>
          <w:p>
            <w:pPr>
              <w:spacing w:after="0"/>
              <w:rPr>
                <w:sz w:val="16"/>
                <w:szCs w:val="16"/>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w w:val="99"/>
              </w:rPr>
              <w:t>Q4 2023</w:t>
            </w:r>
          </w:p>
        </w:tc>
        <w:tc>
          <w:tcPr>
            <w:tcW w:w="0" w:type="dxa"/>
            <w:vAlign w:val="bottom"/>
          </w:tcPr>
          <w:p>
            <w:pPr>
              <w:spacing w:after="0"/>
              <w:rPr>
                <w:sz w:val="1"/>
                <w:szCs w:val="1"/>
                <w:color w:val="auto"/>
              </w:rPr>
            </w:pPr>
          </w:p>
        </w:tc>
      </w:tr>
      <w:tr>
        <w:trPr>
          <w:trHeight w:val="185"/>
        </w:trPr>
        <w:tc>
          <w:tcPr>
            <w:tcW w:w="6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Deuterated Dimethyltryptamine Program</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636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1,269,000</w:t>
            </w:r>
          </w:p>
        </w:tc>
        <w:tc>
          <w:tcPr>
            <w:tcW w:w="220" w:type="dxa"/>
            <w:vAlign w:val="bottom"/>
            <w:shd w:val="clear" w:color="auto" w:fill="E6EFFF"/>
          </w:tcPr>
          <w:p>
            <w:pPr>
              <w:spacing w:after="0"/>
              <w:rPr>
                <w:sz w:val="16"/>
                <w:szCs w:val="16"/>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Q3/Q4 2023</w:t>
            </w:r>
          </w:p>
        </w:tc>
        <w:tc>
          <w:tcPr>
            <w:tcW w:w="0" w:type="dxa"/>
            <w:vAlign w:val="bottom"/>
          </w:tcPr>
          <w:p>
            <w:pPr>
              <w:spacing w:after="0"/>
              <w:rPr>
                <w:sz w:val="1"/>
                <w:szCs w:val="1"/>
                <w:color w:val="auto"/>
              </w:rPr>
            </w:pPr>
          </w:p>
        </w:tc>
      </w:tr>
      <w:tr>
        <w:trPr>
          <w:trHeight w:val="185"/>
        </w:trPr>
        <w:tc>
          <w:tcPr>
            <w:tcW w:w="6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1,372,950</w:t>
            </w: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Q1 2024</w:t>
            </w:r>
          </w:p>
        </w:tc>
        <w:tc>
          <w:tcPr>
            <w:tcW w:w="0" w:type="dxa"/>
            <w:vAlign w:val="bottom"/>
          </w:tcPr>
          <w:p>
            <w:pPr>
              <w:spacing w:after="0"/>
              <w:rPr>
                <w:sz w:val="1"/>
                <w:szCs w:val="1"/>
                <w:color w:val="auto"/>
              </w:rPr>
            </w:pPr>
          </w:p>
        </w:tc>
      </w:tr>
      <w:tr>
        <w:trPr>
          <w:trHeight w:val="185"/>
        </w:trPr>
        <w:tc>
          <w:tcPr>
            <w:tcW w:w="636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5"/>
                <w:szCs w:val="15"/>
                <w:color w:val="auto"/>
              </w:rPr>
              <w:t>Phenethylamine Derivatives Program</w:t>
            </w: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E6EFFF"/>
          </w:tcPr>
          <w:p>
            <w:pPr>
              <w:spacing w:after="0"/>
              <w:rPr>
                <w:sz w:val="16"/>
                <w:szCs w:val="16"/>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6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Technology Programs</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9"/>
        </w:trPr>
        <w:tc>
          <w:tcPr>
            <w:tcW w:w="6360" w:type="dxa"/>
            <w:vAlign w:val="bottom"/>
            <w:gridSpan w:val="3"/>
            <w:shd w:val="clear" w:color="auto" w:fill="E6EFFF"/>
          </w:tcPr>
          <w:p>
            <w:pPr>
              <w:spacing w:after="0" w:line="220" w:lineRule="exact"/>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25"/>
                <w:szCs w:val="25"/>
                <w:color w:val="auto"/>
                <w:vertAlign w:val="superscript"/>
              </w:rPr>
              <w:t>(5)</w:t>
            </w:r>
          </w:p>
        </w:tc>
        <w:tc>
          <w:tcPr>
            <w:tcW w:w="20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12,059,223</w:t>
            </w:r>
          </w:p>
        </w:tc>
        <w:tc>
          <w:tcPr>
            <w:tcW w:w="220" w:type="dxa"/>
            <w:vAlign w:val="bottom"/>
            <w:shd w:val="clear" w:color="auto" w:fill="E6EFFF"/>
          </w:tcPr>
          <w:p>
            <w:pPr>
              <w:spacing w:after="0"/>
              <w:rPr>
                <w:sz w:val="19"/>
                <w:szCs w:val="19"/>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20" w:type="dxa"/>
            <w:vAlign w:val="bottom"/>
          </w:tcPr>
          <w:p>
            <w:pPr>
              <w:ind w:left="2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21,082,000</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8"/>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p>
    <w:p>
      <w:pPr>
        <w:spacing w:after="0" w:line="189" w:lineRule="exact"/>
        <w:rPr>
          <w:sz w:val="20"/>
          <w:szCs w:val="20"/>
          <w:color w:val="auto"/>
        </w:rPr>
      </w:pPr>
    </w:p>
    <w:p>
      <w:pPr>
        <w:ind w:left="648" w:hanging="224"/>
        <w:spacing w:after="0" w:line="252"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688" w:hanging="264"/>
        <w:spacing w:after="0"/>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have been converted from USD to CAD at an exchange rate of 1.35:1.</w:t>
      </w:r>
    </w:p>
    <w:p>
      <w:pPr>
        <w:ind w:left="648" w:hanging="224"/>
        <w:spacing w:after="0"/>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proceeds from private placements and offerings previously disclosed, as well proceeds from the ATM Program and May 2023 Prospectus.</w:t>
      </w:r>
    </w:p>
    <w:p>
      <w:pPr>
        <w:spacing w:after="0" w:line="1" w:lineRule="exact"/>
        <w:rPr>
          <w:rFonts w:ascii="Times New Roman" w:cs="Times New Roman" w:eastAsia="Times New Roman" w:hAnsi="Times New Roman"/>
          <w:sz w:val="18"/>
          <w:szCs w:val="18"/>
          <w:color w:val="auto"/>
        </w:rPr>
      </w:pPr>
    </w:p>
    <w:p>
      <w:pPr>
        <w:ind w:left="648" w:hanging="224"/>
        <w:spacing w:after="0"/>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18"/>
          <w:szCs w:val="18"/>
          <w:color w:val="auto"/>
        </w:rPr>
      </w:pPr>
    </w:p>
    <w:p>
      <w:pPr>
        <w:jc w:val="both"/>
        <w:ind w:left="648" w:hanging="224"/>
        <w:spacing w:after="0" w:line="24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3"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35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8"/>
          <w:szCs w:val="18"/>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35"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8"/>
          <w:szCs w:val="18"/>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w:t>
      </w:r>
    </w:p>
    <w:p>
      <w:pPr>
        <w:spacing w:after="0" w:line="3" w:lineRule="exact"/>
        <w:rPr>
          <w:sz w:val="20"/>
          <w:szCs w:val="20"/>
          <w:color w:val="auto"/>
        </w:rPr>
      </w:pPr>
    </w:p>
    <w:p>
      <w:pPr>
        <w:jc w:val="both"/>
        <w:ind w:left="8" w:right="20"/>
        <w:spacing w:after="0" w:line="214" w:lineRule="auto"/>
        <w:rPr>
          <w:sz w:val="20"/>
          <w:szCs w:val="20"/>
          <w:color w:val="auto"/>
        </w:rPr>
      </w:pPr>
      <w:r>
        <w:rPr>
          <w:rFonts w:ascii="Times New Roman" w:cs="Times New Roman" w:eastAsia="Times New Roman" w:hAnsi="Times New Roman"/>
          <w:sz w:val="18"/>
          <w:szCs w:val="18"/>
          <w:color w:val="auto"/>
        </w:rPr>
        <w:t>financial year ended March 31, 2023, resulting in an approximate remaining spend as of June 30, 2023 of $76,000 by September 30, 2023.</w:t>
      </w:r>
      <w:r>
        <w:rPr>
          <w:rFonts w:ascii="Times New Roman" w:cs="Times New Roman" w:eastAsia="Times New Roman" w:hAnsi="Times New Roman"/>
          <w:sz w:val="30"/>
          <w:szCs w:val="30"/>
          <w:color w:val="auto"/>
          <w:vertAlign w:val="superscript"/>
        </w:rPr>
        <w:t>10</w:t>
      </w:r>
      <w:r>
        <w:rPr>
          <w:rFonts w:ascii="Times New Roman" w:cs="Times New Roman" w:eastAsia="Times New Roman" w:hAnsi="Times New Roman"/>
          <w:sz w:val="18"/>
          <w:szCs w:val="18"/>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_____________________________________________</w:t>
      </w:r>
    </w:p>
    <w:p>
      <w:pPr>
        <w:spacing w:after="0" w:line="73" w:lineRule="exact"/>
        <w:rPr>
          <w:sz w:val="20"/>
          <w:szCs w:val="20"/>
          <w:color w:val="auto"/>
        </w:rPr>
      </w:pPr>
    </w:p>
    <w:p>
      <w:pPr>
        <w:jc w:val="both"/>
        <w:ind w:left="8" w:hanging="8"/>
        <w:spacing w:after="0" w:line="223" w:lineRule="auto"/>
        <w:tabs>
          <w:tab w:leader="none" w:pos="215" w:val="left"/>
        </w:tabs>
        <w:numPr>
          <w:ilvl w:val="0"/>
          <w:numId w:val="17"/>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38" w:name="page39"/>
    <w:bookmarkEnd w:id="38"/>
    <w:p>
      <w:pPr>
        <w:jc w:val="both"/>
        <w:spacing w:after="0" w:line="283" w:lineRule="auto"/>
        <w:rPr>
          <w:sz w:val="20"/>
          <w:szCs w:val="20"/>
          <w:color w:val="auto"/>
        </w:rPr>
      </w:pPr>
      <w:r>
        <w:rPr>
          <w:rFonts w:ascii="Times New Roman" w:cs="Times New Roman" w:eastAsia="Times New Roman" w:hAnsi="Times New Roman"/>
          <w:sz w:val="18"/>
          <w:szCs w:val="18"/>
          <w:color w:val="auto"/>
        </w:rPr>
        <w:t>The Corporation's expectation is based on certain assumptions and risks as set forth in the section "</w:t>
      </w:r>
      <w:r>
        <w:rPr>
          <w:rFonts w:ascii="Times New Roman" w:cs="Times New Roman" w:eastAsia="Times New Roman" w:hAnsi="Times New Roman"/>
          <w:sz w:val="18"/>
          <w:szCs w:val="18"/>
          <w:i w:val="1"/>
          <w:iCs w:val="1"/>
          <w:color w:val="auto"/>
        </w:rPr>
        <w:t>Cautionary Note Regarding Forward 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Regarding Forward-Looking Information" </w:t>
      </w:r>
      <w:r>
        <w:rPr>
          <w:rFonts w:ascii="Times New Roman" w:cs="Times New Roman" w:eastAsia="Times New Roman" w:hAnsi="Times New Roman"/>
          <w:sz w:val="18"/>
          <w:szCs w:val="18"/>
          <w:color w:val="auto"/>
        </w:rPr>
        <w:t>section above. The actual amount that the Corporation spends in connection with each of the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uses and programs will depend on a number of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or incorporated by reference in, this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Cash Flow From Operations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8"/>
          <w:szCs w:val="18"/>
          <w:i w:val="1"/>
          <w:iCs w:val="1"/>
          <w:color w:val="auto"/>
        </w:rPr>
        <w:t>"Risk Factors - Risks Related to an Offering - Negative Operating Cash Flow and Going Concern".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18"/>
          <w:szCs w:val="18"/>
          <w:i w:val="1"/>
          <w:iCs w:val="1"/>
          <w:color w:val="auto"/>
        </w:rPr>
        <w:t>Risk Factors - Risks Related to an Offering - Speculative Nature of Investment Risk</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BEING DISTRIBUTED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1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35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4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119"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8"/>
          <w:szCs w:val="18"/>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8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The Debt Securities may be issued in one or more series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between the Corporation and one or more trustees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8"/>
          <w:szCs w:val="18"/>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1" w:name="page42"/>
    <w:bookmarkEnd w:id="41"/>
    <w:p>
      <w:pPr>
        <w:ind w:left="540" w:right="20"/>
        <w:spacing w:after="0" w:line="280" w:lineRule="auto"/>
        <w:rPr>
          <w:sz w:val="20"/>
          <w:szCs w:val="20"/>
          <w:color w:val="auto"/>
        </w:rPr>
      </w:pPr>
      <w:r>
        <w:rPr>
          <w:rFonts w:ascii="Times New Roman" w:cs="Times New Roman" w:eastAsia="Times New Roman" w:hAnsi="Times New Roman"/>
          <w:sz w:val="18"/>
          <w:szCs w:val="18"/>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1" w:lineRule="exact"/>
        <w:rPr>
          <w:sz w:val="20"/>
          <w:szCs w:val="20"/>
          <w:color w:val="auto"/>
        </w:rPr>
      </w:pPr>
    </w:p>
    <w:p>
      <w:pPr>
        <w:ind w:left="540"/>
        <w:spacing w:after="0" w:line="284" w:lineRule="auto"/>
        <w:rPr>
          <w:sz w:val="20"/>
          <w:szCs w:val="20"/>
          <w:color w:val="auto"/>
        </w:rPr>
      </w:pPr>
      <w:r>
        <w:rPr>
          <w:rFonts w:ascii="Times New Roman" w:cs="Times New Roman" w:eastAsia="Times New Roman" w:hAnsi="Times New Roman"/>
          <w:sz w:val="18"/>
          <w:szCs w:val="18"/>
          <w:color w:val="auto"/>
        </w:rPr>
        <w:t>whether the Debt Securities will be issuable in the form of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-254635</wp:posOffset>
            </wp:positionV>
            <wp:extent cx="62230" cy="622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right="440"/>
        <w:spacing w:after="0" w:line="454" w:lineRule="auto"/>
        <w:rPr>
          <w:sz w:val="20"/>
          <w:szCs w:val="20"/>
          <w:color w:val="auto"/>
        </w:rPr>
      </w:pPr>
      <w:r>
        <w:rPr>
          <w:rFonts w:ascii="Times New Roman" w:cs="Times New Roman" w:eastAsia="Times New Roman" w:hAnsi="Times New Roman"/>
          <w:sz w:val="18"/>
          <w:szCs w:val="18"/>
          <w:color w:val="auto"/>
        </w:rPr>
        <w:t>material Canadian federal income tax consequences and United States federal income tax consequences of owning the Debt Securities; and 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-443230</wp:posOffset>
            </wp:positionV>
            <wp:extent cx="62230" cy="62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230" cy="6223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-194310</wp:posOffset>
            </wp:positionV>
            <wp:extent cx="62230" cy="622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jc w:val="both"/>
        <w:spacing w:after="0" w:line="250" w:lineRule="auto"/>
        <w:rPr>
          <w:sz w:val="20"/>
          <w:szCs w:val="20"/>
          <w:color w:val="auto"/>
        </w:rPr>
      </w:pPr>
      <w:r>
        <w:rPr>
          <w:rFonts w:ascii="Times New Roman" w:cs="Times New Roman" w:eastAsia="Times New Roman" w:hAnsi="Times New Roman"/>
          <w:sz w:val="18"/>
          <w:szCs w:val="18"/>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series of Debt Securities may be issued at various times with different maturity dates, may bear interest at different rates and may otherwise vary.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4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3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Corporation may, from time to time, issue Debt Securities and incur additional indebtedness other than through the issue of Debt Securities pursuant to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Receipts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Subscription Receipts may be offered separately or together with other Securities, as the case may be. The Subscription Receipts may be issued under a subscription receipt agreement.</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2" w:name="page43"/>
    <w:bookmarkEnd w:id="42"/>
    <w:p>
      <w:pPr>
        <w:ind w:left="540"/>
        <w:spacing w:after="0"/>
        <w:rPr>
          <w:sz w:val="20"/>
          <w:szCs w:val="20"/>
          <w:color w:val="auto"/>
        </w:rPr>
      </w:pPr>
      <w:r>
        <w:rPr>
          <w:rFonts w:ascii="Times New Roman" w:cs="Times New Roman" w:eastAsia="Times New Roman" w:hAnsi="Times New Roman"/>
          <w:sz w:val="18"/>
          <w:szCs w:val="18"/>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-76835</wp:posOffset>
            </wp:positionV>
            <wp:extent cx="62230" cy="622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right="20"/>
        <w:spacing w:after="0" w:line="279" w:lineRule="auto"/>
        <w:rPr>
          <w:sz w:val="20"/>
          <w:szCs w:val="20"/>
          <w:color w:val="auto"/>
        </w:rPr>
      </w:pPr>
      <w:r>
        <w:rPr>
          <w:rFonts w:ascii="Times New Roman" w:cs="Times New Roman" w:eastAsia="Times New Roman" w:hAnsi="Times New Roman"/>
          <w:sz w:val="18"/>
          <w:szCs w:val="18"/>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-252095</wp:posOffset>
            </wp:positionV>
            <wp:extent cx="62230" cy="62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-77470</wp:posOffset>
            </wp:positionV>
            <wp:extent cx="62230" cy="622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230" cy="62230"/>
                    </a:xfrm>
                    <a:prstGeom prst="rect">
                      <a:avLst/>
                    </a:prstGeom>
                    <a:noFill/>
                  </pic:spPr>
                </pic:pic>
              </a:graphicData>
            </a:graphic>
          </wp:anchor>
        </w:drawing>
      </w:r>
    </w:p>
    <w:p>
      <w:pPr>
        <w:spacing w:after="0" w:line="1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4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3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3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 and under the heading </w:t>
      </w: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18"/>
          <w:szCs w:val="18"/>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Risks Related to the Business of the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Impact of the Novel Coronavirus "COVID-19"</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outbreak of COVID-19 and its eventual declaration as a pandemic by the World Health Organization ("</w:t>
      </w:r>
      <w:r>
        <w:rPr>
          <w:rFonts w:ascii="Times New Roman" w:cs="Times New Roman" w:eastAsia="Times New Roman" w:hAnsi="Times New Roman"/>
          <w:sz w:val="18"/>
          <w:szCs w:val="18"/>
          <w:b w:val="1"/>
          <w:bCs w:val="1"/>
          <w:color w:val="auto"/>
        </w:rPr>
        <w:t>WHO</w:t>
      </w:r>
      <w:r>
        <w:rPr>
          <w:rFonts w:ascii="Times New Roman" w:cs="Times New Roman" w:eastAsia="Times New Roman" w:hAnsi="Times New Roman"/>
          <w:sz w:val="18"/>
          <w:szCs w:val="18"/>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Risks and Uncertainties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Corporation's operations.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18"/>
          <w:szCs w:val="18"/>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Private Issuer" Status Under the U.S. Securities Laws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Speculative Nature of Investment Risk</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Negative Operating Cash Flow and Going Concern</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18"/>
          <w:szCs w:val="18"/>
          <w:i w:val="1"/>
          <w:iCs w:val="1"/>
          <w:color w:val="auto"/>
        </w:rPr>
        <w:t>"Risk Factors - Risks Related to the Offering - Potential Need for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 over the Use of Proceeds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Need for Additional Financing</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18"/>
          <w:szCs w:val="18"/>
          <w:i w:val="1"/>
          <w:iCs w:val="1"/>
          <w:color w:val="auto"/>
        </w:rPr>
        <w:t>"Risk Factors - Risks Related to an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Operating Cash Flow and Going Concern" and "- Potential Dilution".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Volatile Market Price of Corporation's Common Shares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7" w:name="page48"/>
    <w:bookmarkEnd w:id="47"/>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addition, the market price for securities on stock markets, including the Neo is subject to significant price and trading fluctuations.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Dilution</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18"/>
          <w:szCs w:val="18"/>
          <w:i w:val="1"/>
          <w:iCs w:val="1"/>
          <w:color w:val="auto"/>
        </w:rPr>
        <w:t>"Risk Factors - Risks Related to an Offering - Potential Need for Additional Financing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for Securities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Enforcement of Civil Liabilities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6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FEDERAL INCOME TAX CONSIDERATIONS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registrar and transfer agent of the Common Shares is Odyssey Trust Company at its principal office in Calgary, Alberta.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9" w:name="page50"/>
    <w:bookmarkEnd w:id="49"/>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INFORMATION NOT REQUIRED TO BE DELIVERED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OFFEREES OR PURCHASERS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3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by-laws of the Registrant provide that,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5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7232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3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5"/>
          <w:szCs w:val="15"/>
          <w:b w:val="1"/>
          <w:bCs w:val="1"/>
          <w:color w:val="auto"/>
        </w:rPr>
        <w:t>Number</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12" w:lineRule="exact"/>
        <w:rPr>
          <w:sz w:val="20"/>
          <w:szCs w:val="20"/>
          <w:color w:val="auto"/>
        </w:rPr>
      </w:pPr>
    </w:p>
    <w:p>
      <w:pPr>
        <w:ind w:left="760" w:right="20" w:hanging="411"/>
        <w:spacing w:after="0" w:line="289" w:lineRule="auto"/>
        <w:tabs>
          <w:tab w:leader="none" w:pos="740" w:val="left"/>
        </w:tabs>
        <w:rPr>
          <w:rFonts w:ascii="Times New Roman" w:cs="Times New Roman" w:eastAsia="Times New Roman" w:hAnsi="Times New Roman"/>
          <w:sz w:val="15"/>
          <w:szCs w:val="15"/>
          <w:u w:val="single" w:color="auto"/>
          <w:color w:val="0000EE"/>
        </w:rPr>
      </w:pPr>
      <w:hyperlink r:id="rId121">
        <w:r>
          <w:rPr>
            <w:rFonts w:ascii="Times New Roman" w:cs="Times New Roman" w:eastAsia="Times New Roman" w:hAnsi="Times New Roman"/>
            <w:sz w:val="15"/>
            <w:szCs w:val="15"/>
            <w:u w:val="single" w:color="auto"/>
            <w:color w:val="0000EE"/>
          </w:rPr>
          <w:t>4.1</w:t>
        </w:r>
      </w:hyperlink>
      <w:r>
        <w:rPr>
          <w:rFonts w:ascii="Times New Roman" w:cs="Times New Roman" w:eastAsia="Times New Roman" w:hAnsi="Times New Roman"/>
          <w:sz w:val="15"/>
          <w:szCs w:val="15"/>
          <w:u w:val="single" w:color="auto"/>
          <w:color w:val="0000EE"/>
        </w:rPr>
        <w:tab/>
      </w:r>
      <w:hyperlink r:id="rId121">
        <w:r>
          <w:rPr>
            <w:rFonts w:ascii="Times New Roman" w:cs="Times New Roman" w:eastAsia="Times New Roman" w:hAnsi="Times New Roman"/>
            <w:sz w:val="15"/>
            <w:szCs w:val="15"/>
            <w:u w:val="single" w:color="auto"/>
            <w:color w:val="0000EE"/>
          </w:rPr>
          <w:t>The annual information form of the Registrant dated June 27, 2023 for the year ended March 31, 2023 (incorporated by reference from Exhibit 99.1 of the Registrant's</w:t>
        </w:r>
      </w:hyperlink>
      <w:r>
        <w:rPr>
          <w:rFonts w:ascii="Times New Roman" w:cs="Times New Roman" w:eastAsia="Times New Roman" w:hAnsi="Times New Roman"/>
          <w:sz w:val="15"/>
          <w:szCs w:val="15"/>
          <w:u w:val="single" w:color="auto"/>
          <w:color w:val="0000EE"/>
        </w:rPr>
        <w:t xml:space="preserve"> </w:t>
      </w:r>
      <w:hyperlink r:id="rId121">
        <w:r>
          <w:rPr>
            <w:rFonts w:ascii="Times New Roman" w:cs="Times New Roman" w:eastAsia="Times New Roman" w:hAnsi="Times New Roman"/>
            <w:sz w:val="15"/>
            <w:szCs w:val="15"/>
            <w:u w:val="single" w:color="auto"/>
            <w:color w:val="0000EE"/>
          </w:rPr>
          <w:t>Annual Report on Form 40-F, filed with the Commission on June 27,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52005" cy="2419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2005" cy="241935"/>
                    </a:xfrm>
                    <a:prstGeom prst="rect">
                      <a:avLst/>
                    </a:prstGeom>
                    <a:noFill/>
                  </pic:spPr>
                </pic:pic>
              </a:graphicData>
            </a:graphic>
          </wp:anchor>
        </w:drawing>
      </w:r>
    </w:p>
    <w:p>
      <w:pPr>
        <w:spacing w:after="0" w:line="116" w:lineRule="exact"/>
        <w:rPr>
          <w:rFonts w:ascii="Times New Roman" w:cs="Times New Roman" w:eastAsia="Times New Roman" w:hAnsi="Times New Roman"/>
          <w:sz w:val="15"/>
          <w:szCs w:val="15"/>
          <w:u w:val="single" w:color="auto"/>
          <w:color w:val="0000EE"/>
        </w:rPr>
      </w:pPr>
    </w:p>
    <w:p>
      <w:pPr>
        <w:ind w:left="76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23">
        <w:r>
          <w:rPr>
            <w:rFonts w:ascii="Times New Roman" w:cs="Times New Roman" w:eastAsia="Times New Roman" w:hAnsi="Times New Roman"/>
            <w:sz w:val="15"/>
            <w:szCs w:val="15"/>
            <w:u w:val="single" w:color="auto"/>
            <w:color w:val="0000EE"/>
          </w:rPr>
          <w:t>4.2</w:t>
        </w:r>
      </w:hyperlink>
      <w:r>
        <w:rPr>
          <w:rFonts w:ascii="Times New Roman" w:cs="Times New Roman" w:eastAsia="Times New Roman" w:hAnsi="Times New Roman"/>
          <w:sz w:val="15"/>
          <w:szCs w:val="15"/>
          <w:u w:val="single" w:color="auto"/>
          <w:color w:val="0000EE"/>
        </w:rPr>
        <w:tab/>
      </w:r>
      <w:hyperlink r:id="rId123">
        <w:r>
          <w:rPr>
            <w:rFonts w:ascii="Times New Roman" w:cs="Times New Roman" w:eastAsia="Times New Roman" w:hAnsi="Times New Roman"/>
            <w:sz w:val="15"/>
            <w:szCs w:val="15"/>
            <w:u w:val="single" w:color="auto"/>
            <w:color w:val="0000EE"/>
          </w:rPr>
          <w:t>The audited consolidated financial statements of the Registrant and the notes thereto as at and for the fiscal year ended March 31, 2023, together with the auditor's report</w:t>
        </w:r>
      </w:hyperlink>
      <w:r>
        <w:rPr>
          <w:rFonts w:ascii="Times New Roman" w:cs="Times New Roman" w:eastAsia="Times New Roman" w:hAnsi="Times New Roman"/>
          <w:sz w:val="15"/>
          <w:szCs w:val="15"/>
          <w:u w:val="single" w:color="auto"/>
          <w:color w:val="0000EE"/>
        </w:rPr>
        <w:t xml:space="preserve"> </w:t>
      </w:r>
      <w:hyperlink r:id="rId123">
        <w:r>
          <w:rPr>
            <w:rFonts w:ascii="Times New Roman" w:cs="Times New Roman" w:eastAsia="Times New Roman" w:hAnsi="Times New Roman"/>
            <w:sz w:val="15"/>
            <w:szCs w:val="15"/>
            <w:u w:val="single" w:color="auto"/>
            <w:color w:val="0000EE"/>
          </w:rPr>
          <w:t>thereon (incorporated by reference from Exhibit 99.2 of the Registrant's Annual Report on Form 40-F, filed with the Commission on June 27,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25">
        <w:r>
          <w:rPr>
            <w:rFonts w:ascii="Times New Roman" w:cs="Times New Roman" w:eastAsia="Times New Roman" w:hAnsi="Times New Roman"/>
            <w:sz w:val="15"/>
            <w:szCs w:val="15"/>
            <w:u w:val="single" w:color="auto"/>
            <w:color w:val="0000EE"/>
          </w:rPr>
          <w:t>4.3</w:t>
        </w:r>
      </w:hyperlink>
      <w:r>
        <w:rPr>
          <w:rFonts w:ascii="Times New Roman" w:cs="Times New Roman" w:eastAsia="Times New Roman" w:hAnsi="Times New Roman"/>
          <w:sz w:val="15"/>
          <w:szCs w:val="15"/>
          <w:u w:val="single" w:color="auto"/>
          <w:color w:val="0000EE"/>
        </w:rPr>
        <w:tab/>
      </w:r>
      <w:hyperlink r:id="rId125">
        <w:r>
          <w:rPr>
            <w:rFonts w:ascii="Times New Roman" w:cs="Times New Roman" w:eastAsia="Times New Roman" w:hAnsi="Times New Roman"/>
            <w:sz w:val="15"/>
            <w:szCs w:val="15"/>
            <w:u w:val="single" w:color="auto"/>
            <w:color w:val="0000EE"/>
          </w:rPr>
          <w:t>Management's discussion and analysis of the Registrant for the year ended March 31, 2023 (incorporated by reference from Exhibit 99.3 of the Registrant's Annual</w:t>
        </w:r>
      </w:hyperlink>
      <w:r>
        <w:rPr>
          <w:rFonts w:ascii="Times New Roman" w:cs="Times New Roman" w:eastAsia="Times New Roman" w:hAnsi="Times New Roman"/>
          <w:sz w:val="15"/>
          <w:szCs w:val="15"/>
          <w:u w:val="single" w:color="auto"/>
          <w:color w:val="0000EE"/>
        </w:rPr>
        <w:t xml:space="preserve"> </w:t>
      </w:r>
      <w:hyperlink r:id="rId125">
        <w:r>
          <w:rPr>
            <w:rFonts w:ascii="Times New Roman" w:cs="Times New Roman" w:eastAsia="Times New Roman" w:hAnsi="Times New Roman"/>
            <w:sz w:val="15"/>
            <w:szCs w:val="15"/>
            <w:u w:val="single" w:color="auto"/>
            <w:color w:val="0000EE"/>
          </w:rPr>
          <w:t>Report on Form 40-F, filed with the Commission on June 27,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27">
        <w:r>
          <w:rPr>
            <w:rFonts w:ascii="Times New Roman" w:cs="Times New Roman" w:eastAsia="Times New Roman" w:hAnsi="Times New Roman"/>
            <w:sz w:val="15"/>
            <w:szCs w:val="15"/>
            <w:u w:val="single" w:color="auto"/>
            <w:color w:val="0000EE"/>
          </w:rPr>
          <w:t>4.4</w:t>
        </w:r>
      </w:hyperlink>
      <w:r>
        <w:rPr>
          <w:rFonts w:ascii="Times New Roman" w:cs="Times New Roman" w:eastAsia="Times New Roman" w:hAnsi="Times New Roman"/>
          <w:sz w:val="15"/>
          <w:szCs w:val="15"/>
          <w:u w:val="single" w:color="auto"/>
          <w:color w:val="0000EE"/>
        </w:rPr>
        <w:tab/>
      </w:r>
      <w:hyperlink r:id="rId127">
        <w:r>
          <w:rPr>
            <w:rFonts w:ascii="Times New Roman" w:cs="Times New Roman" w:eastAsia="Times New Roman" w:hAnsi="Times New Roman"/>
            <w:sz w:val="15"/>
            <w:szCs w:val="15"/>
            <w:u w:val="single" w:color="auto"/>
            <w:color w:val="0000EE"/>
          </w:rPr>
          <w:t>The unaudited interim condensed consolidated financial statements of the Registrant and the notes thereto for the three and six months ended September 30, 2023</w:t>
        </w:r>
      </w:hyperlink>
      <w:r>
        <w:rPr>
          <w:rFonts w:ascii="Times New Roman" w:cs="Times New Roman" w:eastAsia="Times New Roman" w:hAnsi="Times New Roman"/>
          <w:sz w:val="15"/>
          <w:szCs w:val="15"/>
          <w:u w:val="single" w:color="auto"/>
          <w:color w:val="0000EE"/>
        </w:rPr>
        <w:t xml:space="preserve"> </w:t>
      </w:r>
      <w:hyperlink r:id="rId127">
        <w:r>
          <w:rPr>
            <w:rFonts w:ascii="Times New Roman" w:cs="Times New Roman" w:eastAsia="Times New Roman" w:hAnsi="Times New Roman"/>
            <w:sz w:val="15"/>
            <w:szCs w:val="15"/>
            <w:u w:val="single" w:color="auto"/>
            <w:color w:val="0000EE"/>
          </w:rPr>
          <w:t>(incorporated by reference from Exhibit 99.1 of the Registrant's Form 6-K, furnished to the Commission on November 15,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29">
        <w:r>
          <w:rPr>
            <w:rFonts w:ascii="Times New Roman" w:cs="Times New Roman" w:eastAsia="Times New Roman" w:hAnsi="Times New Roman"/>
            <w:sz w:val="15"/>
            <w:szCs w:val="15"/>
            <w:u w:val="single" w:color="auto"/>
            <w:color w:val="0000EE"/>
          </w:rPr>
          <w:t>4.5</w:t>
        </w:r>
      </w:hyperlink>
      <w:r>
        <w:rPr>
          <w:rFonts w:ascii="Times New Roman" w:cs="Times New Roman" w:eastAsia="Times New Roman" w:hAnsi="Times New Roman"/>
          <w:sz w:val="15"/>
          <w:szCs w:val="15"/>
          <w:u w:val="single" w:color="auto"/>
          <w:color w:val="0000EE"/>
        </w:rPr>
        <w:tab/>
      </w:r>
      <w:hyperlink r:id="rId129">
        <w:r>
          <w:rPr>
            <w:rFonts w:ascii="Times New Roman" w:cs="Times New Roman" w:eastAsia="Times New Roman" w:hAnsi="Times New Roman"/>
            <w:sz w:val="15"/>
            <w:szCs w:val="15"/>
            <w:u w:val="single" w:color="auto"/>
            <w:color w:val="0000EE"/>
          </w:rPr>
          <w:t>Management's discussion and analysis of the Registrant for the three and six months ended September 30, 2023 (incorporated by reference from Exhibit 99.2 of the</w:t>
        </w:r>
      </w:hyperlink>
      <w:r>
        <w:rPr>
          <w:rFonts w:ascii="Times New Roman" w:cs="Times New Roman" w:eastAsia="Times New Roman" w:hAnsi="Times New Roman"/>
          <w:sz w:val="15"/>
          <w:szCs w:val="15"/>
          <w:u w:val="single" w:color="auto"/>
          <w:color w:val="0000EE"/>
        </w:rPr>
        <w:t xml:space="preserve"> </w:t>
      </w:r>
      <w:hyperlink r:id="rId129">
        <w:r>
          <w:rPr>
            <w:rFonts w:ascii="Times New Roman" w:cs="Times New Roman" w:eastAsia="Times New Roman" w:hAnsi="Times New Roman"/>
            <w:sz w:val="15"/>
            <w:szCs w:val="15"/>
            <w:u w:val="single" w:color="auto"/>
            <w:color w:val="0000EE"/>
          </w:rPr>
          <w:t>Registrant's Form 6-K, furnished to the Commission on November 15,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31">
        <w:r>
          <w:rPr>
            <w:rFonts w:ascii="Times New Roman" w:cs="Times New Roman" w:eastAsia="Times New Roman" w:hAnsi="Times New Roman"/>
            <w:sz w:val="15"/>
            <w:szCs w:val="15"/>
            <w:u w:val="single" w:color="auto"/>
            <w:color w:val="0000EE"/>
          </w:rPr>
          <w:t>4.6</w:t>
        </w:r>
      </w:hyperlink>
      <w:r>
        <w:rPr>
          <w:rFonts w:ascii="Times New Roman" w:cs="Times New Roman" w:eastAsia="Times New Roman" w:hAnsi="Times New Roman"/>
          <w:sz w:val="15"/>
          <w:szCs w:val="15"/>
          <w:u w:val="single" w:color="auto"/>
          <w:color w:val="0000EE"/>
        </w:rPr>
        <w:tab/>
      </w:r>
      <w:hyperlink r:id="rId131">
        <w:r>
          <w:rPr>
            <w:rFonts w:ascii="Times New Roman" w:cs="Times New Roman" w:eastAsia="Times New Roman" w:hAnsi="Times New Roman"/>
            <w:sz w:val="15"/>
            <w:szCs w:val="15"/>
            <w:u w:val="single" w:color="auto"/>
            <w:color w:val="0000EE"/>
          </w:rPr>
          <w:t>The management information circular of the Registrant dated September 13, 2023 relating to an annual and special meeting of shareholders of the Registrant held on</w:t>
        </w:r>
      </w:hyperlink>
      <w:r>
        <w:rPr>
          <w:rFonts w:ascii="Times New Roman" w:cs="Times New Roman" w:eastAsia="Times New Roman" w:hAnsi="Times New Roman"/>
          <w:sz w:val="15"/>
          <w:szCs w:val="15"/>
          <w:u w:val="single" w:color="auto"/>
          <w:color w:val="0000EE"/>
        </w:rPr>
        <w:t xml:space="preserve"> </w:t>
      </w:r>
      <w:hyperlink r:id="rId131">
        <w:r>
          <w:rPr>
            <w:rFonts w:ascii="Times New Roman" w:cs="Times New Roman" w:eastAsia="Times New Roman" w:hAnsi="Times New Roman"/>
            <w:sz w:val="15"/>
            <w:szCs w:val="15"/>
            <w:u w:val="single" w:color="auto"/>
            <w:color w:val="0000EE"/>
          </w:rPr>
          <w:t>October 12, 2023 (incorporated by reference from Exhibit 99.1 of the Registrant's Form 6-K, furnished to the Commission on September 14,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33">
        <w:r>
          <w:rPr>
            <w:rFonts w:ascii="Times New Roman" w:cs="Times New Roman" w:eastAsia="Times New Roman" w:hAnsi="Times New Roman"/>
            <w:sz w:val="15"/>
            <w:szCs w:val="15"/>
            <w:u w:val="single" w:color="auto"/>
            <w:color w:val="0000EE"/>
          </w:rPr>
          <w:t>4.7</w:t>
        </w:r>
      </w:hyperlink>
      <w:r>
        <w:rPr>
          <w:rFonts w:ascii="Times New Roman" w:cs="Times New Roman" w:eastAsia="Times New Roman" w:hAnsi="Times New Roman"/>
          <w:sz w:val="15"/>
          <w:szCs w:val="15"/>
          <w:u w:val="single" w:color="auto"/>
          <w:color w:val="0000EE"/>
        </w:rPr>
        <w:tab/>
      </w:r>
      <w:hyperlink r:id="rId133">
        <w:r>
          <w:rPr>
            <w:rFonts w:ascii="Times New Roman" w:cs="Times New Roman" w:eastAsia="Times New Roman" w:hAnsi="Times New Roman"/>
            <w:sz w:val="15"/>
            <w:szCs w:val="15"/>
            <w:u w:val="single" w:color="auto"/>
            <w:color w:val="0000EE"/>
          </w:rPr>
          <w:t>The material change report of the Registrant dated November 20, 2023 (incorporated by reference from Exhibit 99.1 of the Registrant's Form 6-K, furnished to the</w:t>
        </w:r>
      </w:hyperlink>
      <w:r>
        <w:rPr>
          <w:rFonts w:ascii="Times New Roman" w:cs="Times New Roman" w:eastAsia="Times New Roman" w:hAnsi="Times New Roman"/>
          <w:sz w:val="15"/>
          <w:szCs w:val="15"/>
          <w:u w:val="single" w:color="auto"/>
          <w:color w:val="0000EE"/>
        </w:rPr>
        <w:t xml:space="preserve"> </w:t>
      </w:r>
      <w:hyperlink r:id="rId133">
        <w:r>
          <w:rPr>
            <w:rFonts w:ascii="Times New Roman" w:cs="Times New Roman" w:eastAsia="Times New Roman" w:hAnsi="Times New Roman"/>
            <w:sz w:val="15"/>
            <w:szCs w:val="15"/>
            <w:u w:val="single" w:color="auto"/>
            <w:color w:val="0000EE"/>
          </w:rPr>
          <w:t>Commission on November 21,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35">
        <w:r>
          <w:rPr>
            <w:rFonts w:ascii="Times New Roman" w:cs="Times New Roman" w:eastAsia="Times New Roman" w:hAnsi="Times New Roman"/>
            <w:sz w:val="15"/>
            <w:szCs w:val="15"/>
            <w:u w:val="single" w:color="auto"/>
            <w:color w:val="0000EE"/>
          </w:rPr>
          <w:t>4.8</w:t>
        </w:r>
      </w:hyperlink>
      <w:r>
        <w:rPr>
          <w:rFonts w:ascii="Times New Roman" w:cs="Times New Roman" w:eastAsia="Times New Roman" w:hAnsi="Times New Roman"/>
          <w:sz w:val="15"/>
          <w:szCs w:val="15"/>
          <w:u w:val="single" w:color="auto"/>
          <w:color w:val="0000EE"/>
        </w:rPr>
        <w:tab/>
      </w:r>
      <w:hyperlink r:id="rId135">
        <w:r>
          <w:rPr>
            <w:rFonts w:ascii="Times New Roman" w:cs="Times New Roman" w:eastAsia="Times New Roman" w:hAnsi="Times New Roman"/>
            <w:sz w:val="15"/>
            <w:szCs w:val="15"/>
            <w:u w:val="single" w:color="auto"/>
            <w:color w:val="0000EE"/>
          </w:rPr>
          <w:t>The material change report of the Registrant dated October 25, 2023 (incorporated by reference from Exhibit 99.1 of the Registrant's Form 6-K, furnished to the</w:t>
        </w:r>
      </w:hyperlink>
      <w:r>
        <w:rPr>
          <w:rFonts w:ascii="Times New Roman" w:cs="Times New Roman" w:eastAsia="Times New Roman" w:hAnsi="Times New Roman"/>
          <w:sz w:val="15"/>
          <w:szCs w:val="15"/>
          <w:u w:val="single" w:color="auto"/>
          <w:color w:val="0000EE"/>
        </w:rPr>
        <w:t xml:space="preserve"> </w:t>
      </w:r>
      <w:hyperlink r:id="rId135">
        <w:r>
          <w:rPr>
            <w:rFonts w:ascii="Times New Roman" w:cs="Times New Roman" w:eastAsia="Times New Roman" w:hAnsi="Times New Roman"/>
            <w:sz w:val="15"/>
            <w:szCs w:val="15"/>
            <w:u w:val="single" w:color="auto"/>
            <w:color w:val="0000EE"/>
          </w:rPr>
          <w:t>Commission on October 25,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11"/>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37">
        <w:r>
          <w:rPr>
            <w:rFonts w:ascii="Times New Roman" w:cs="Times New Roman" w:eastAsia="Times New Roman" w:hAnsi="Times New Roman"/>
            <w:sz w:val="15"/>
            <w:szCs w:val="15"/>
            <w:u w:val="single" w:color="auto"/>
            <w:color w:val="0000EE"/>
          </w:rPr>
          <w:t>4.9</w:t>
        </w:r>
      </w:hyperlink>
      <w:r>
        <w:rPr>
          <w:rFonts w:ascii="Times New Roman" w:cs="Times New Roman" w:eastAsia="Times New Roman" w:hAnsi="Times New Roman"/>
          <w:sz w:val="15"/>
          <w:szCs w:val="15"/>
          <w:u w:val="single" w:color="auto"/>
          <w:color w:val="0000EE"/>
        </w:rPr>
        <w:tab/>
      </w:r>
      <w:hyperlink r:id="rId137">
        <w:r>
          <w:rPr>
            <w:rFonts w:ascii="Times New Roman" w:cs="Times New Roman" w:eastAsia="Times New Roman" w:hAnsi="Times New Roman"/>
            <w:sz w:val="15"/>
            <w:szCs w:val="15"/>
            <w:u w:val="single" w:color="auto"/>
            <w:color w:val="0000EE"/>
          </w:rPr>
          <w:t>The material change report of the Registrant dated September 7, 2023 (incorporated by reference from Exhibit 99.1 of the Registrant's Form 6-K, furnished to the</w:t>
        </w:r>
      </w:hyperlink>
      <w:r>
        <w:rPr>
          <w:rFonts w:ascii="Times New Roman" w:cs="Times New Roman" w:eastAsia="Times New Roman" w:hAnsi="Times New Roman"/>
          <w:sz w:val="15"/>
          <w:szCs w:val="15"/>
          <w:u w:val="single" w:color="auto"/>
          <w:color w:val="0000EE"/>
        </w:rPr>
        <w:t xml:space="preserve"> </w:t>
      </w:r>
      <w:hyperlink r:id="rId137">
        <w:r>
          <w:rPr>
            <w:rFonts w:ascii="Times New Roman" w:cs="Times New Roman" w:eastAsia="Times New Roman" w:hAnsi="Times New Roman"/>
            <w:sz w:val="15"/>
            <w:szCs w:val="15"/>
            <w:u w:val="single" w:color="auto"/>
            <w:color w:val="0000EE"/>
          </w:rPr>
          <w:t>Commission on September 12,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hanging="487"/>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39">
        <w:r>
          <w:rPr>
            <w:rFonts w:ascii="Times New Roman" w:cs="Times New Roman" w:eastAsia="Times New Roman" w:hAnsi="Times New Roman"/>
            <w:sz w:val="15"/>
            <w:szCs w:val="15"/>
            <w:u w:val="single" w:color="auto"/>
            <w:color w:val="0000EE"/>
          </w:rPr>
          <w:t>4.10</w:t>
        </w:r>
      </w:hyperlink>
      <w:r>
        <w:rPr>
          <w:rFonts w:ascii="Times New Roman" w:cs="Times New Roman" w:eastAsia="Times New Roman" w:hAnsi="Times New Roman"/>
          <w:sz w:val="15"/>
          <w:szCs w:val="15"/>
          <w:u w:val="single" w:color="auto"/>
          <w:color w:val="0000EE"/>
        </w:rPr>
        <w:tab/>
      </w:r>
      <w:hyperlink r:id="rId139">
        <w:r>
          <w:rPr>
            <w:rFonts w:ascii="Times New Roman" w:cs="Times New Roman" w:eastAsia="Times New Roman" w:hAnsi="Times New Roman"/>
            <w:sz w:val="15"/>
            <w:szCs w:val="15"/>
            <w:u w:val="single" w:color="auto"/>
            <w:color w:val="0000EE"/>
          </w:rPr>
          <w:t>The material change report of the Registrant dated August 23, 2023 (incorporated by reference from Exhibit 99.5 of the Registrant's Form 6-K, furnished to the</w:t>
        </w:r>
      </w:hyperlink>
      <w:r>
        <w:rPr>
          <w:rFonts w:ascii="Times New Roman" w:cs="Times New Roman" w:eastAsia="Times New Roman" w:hAnsi="Times New Roman"/>
          <w:sz w:val="15"/>
          <w:szCs w:val="15"/>
          <w:u w:val="single" w:color="auto"/>
          <w:color w:val="0000EE"/>
        </w:rPr>
        <w:t xml:space="preserve"> </w:t>
      </w:r>
      <w:hyperlink r:id="rId139">
        <w:r>
          <w:rPr>
            <w:rFonts w:ascii="Times New Roman" w:cs="Times New Roman" w:eastAsia="Times New Roman" w:hAnsi="Times New Roman"/>
            <w:sz w:val="15"/>
            <w:szCs w:val="15"/>
            <w:u w:val="single" w:color="auto"/>
            <w:color w:val="0000EE"/>
          </w:rPr>
          <w:t>Commission on August 24,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hanging="482"/>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41">
        <w:r>
          <w:rPr>
            <w:rFonts w:ascii="Times New Roman" w:cs="Times New Roman" w:eastAsia="Times New Roman" w:hAnsi="Times New Roman"/>
            <w:sz w:val="15"/>
            <w:szCs w:val="15"/>
            <w:u w:val="single" w:color="auto"/>
            <w:color w:val="0000EE"/>
          </w:rPr>
          <w:t>4.11</w:t>
        </w:r>
      </w:hyperlink>
      <w:r>
        <w:rPr>
          <w:rFonts w:ascii="Times New Roman" w:cs="Times New Roman" w:eastAsia="Times New Roman" w:hAnsi="Times New Roman"/>
          <w:sz w:val="15"/>
          <w:szCs w:val="15"/>
          <w:u w:val="single" w:color="auto"/>
          <w:color w:val="0000EE"/>
        </w:rPr>
        <w:tab/>
      </w:r>
      <w:hyperlink r:id="rId141">
        <w:r>
          <w:rPr>
            <w:rFonts w:ascii="Times New Roman" w:cs="Times New Roman" w:eastAsia="Times New Roman" w:hAnsi="Times New Roman"/>
            <w:sz w:val="15"/>
            <w:szCs w:val="15"/>
            <w:u w:val="single" w:color="auto"/>
            <w:color w:val="0000EE"/>
          </w:rPr>
          <w:t>The material change report of the Registrant dated August 8, 2023 (incorporated by reference from Exhibit 99.1 of the Registrant's Form 6-K, furnished to the</w:t>
        </w:r>
      </w:hyperlink>
      <w:r>
        <w:rPr>
          <w:rFonts w:ascii="Times New Roman" w:cs="Times New Roman" w:eastAsia="Times New Roman" w:hAnsi="Times New Roman"/>
          <w:sz w:val="15"/>
          <w:szCs w:val="15"/>
          <w:u w:val="single" w:color="auto"/>
          <w:color w:val="0000EE"/>
        </w:rPr>
        <w:t xml:space="preserve"> </w:t>
      </w:r>
      <w:hyperlink r:id="rId141">
        <w:r>
          <w:rPr>
            <w:rFonts w:ascii="Times New Roman" w:cs="Times New Roman" w:eastAsia="Times New Roman" w:hAnsi="Times New Roman"/>
            <w:sz w:val="15"/>
            <w:szCs w:val="15"/>
            <w:u w:val="single" w:color="auto"/>
            <w:color w:val="0000EE"/>
          </w:rPr>
          <w:t>Commission on August 9,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760" w:right="20" w:hanging="487"/>
        <w:spacing w:after="0" w:line="293" w:lineRule="auto"/>
        <w:tabs>
          <w:tab w:leader="none" w:pos="740" w:val="left"/>
        </w:tabs>
        <w:rPr>
          <w:rFonts w:ascii="Times New Roman" w:cs="Times New Roman" w:eastAsia="Times New Roman" w:hAnsi="Times New Roman"/>
          <w:sz w:val="15"/>
          <w:szCs w:val="15"/>
          <w:u w:val="single" w:color="auto"/>
          <w:color w:val="0000EE"/>
        </w:rPr>
      </w:pPr>
      <w:hyperlink r:id="rId143">
        <w:r>
          <w:rPr>
            <w:rFonts w:ascii="Times New Roman" w:cs="Times New Roman" w:eastAsia="Times New Roman" w:hAnsi="Times New Roman"/>
            <w:sz w:val="15"/>
            <w:szCs w:val="15"/>
            <w:u w:val="single" w:color="auto"/>
            <w:color w:val="0000EE"/>
          </w:rPr>
          <w:t>4.12</w:t>
        </w:r>
      </w:hyperlink>
      <w:r>
        <w:rPr>
          <w:rFonts w:ascii="Times New Roman" w:cs="Times New Roman" w:eastAsia="Times New Roman" w:hAnsi="Times New Roman"/>
          <w:sz w:val="15"/>
          <w:szCs w:val="15"/>
          <w:u w:val="single" w:color="auto"/>
          <w:color w:val="0000EE"/>
        </w:rPr>
        <w:tab/>
      </w:r>
      <w:hyperlink r:id="rId143">
        <w:r>
          <w:rPr>
            <w:rFonts w:ascii="Times New Roman" w:cs="Times New Roman" w:eastAsia="Times New Roman" w:hAnsi="Times New Roman"/>
            <w:sz w:val="15"/>
            <w:szCs w:val="15"/>
            <w:u w:val="single" w:color="auto"/>
            <w:color w:val="0000EE"/>
          </w:rPr>
          <w:t>The material change report of the Registrant dated May 31, 2023 (incorporated by reference from Exhibit 99.1 of the Registrant's Form 6-K, furnished to the Commission</w:t>
        </w:r>
      </w:hyperlink>
      <w:r>
        <w:rPr>
          <w:rFonts w:ascii="Times New Roman" w:cs="Times New Roman" w:eastAsia="Times New Roman" w:hAnsi="Times New Roman"/>
          <w:sz w:val="15"/>
          <w:szCs w:val="15"/>
          <w:u w:val="single" w:color="auto"/>
          <w:color w:val="0000EE"/>
        </w:rPr>
        <w:t xml:space="preserve"> </w:t>
      </w:r>
      <w:hyperlink r:id="rId143">
        <w:r>
          <w:rPr>
            <w:rFonts w:ascii="Times New Roman" w:cs="Times New Roman" w:eastAsia="Times New Roman" w:hAnsi="Times New Roman"/>
            <w:sz w:val="15"/>
            <w:szCs w:val="15"/>
            <w:u w:val="single" w:color="auto"/>
            <w:color w:val="0000EE"/>
          </w:rPr>
          <w:t>on June 1, 2023)</w:t>
        </w:r>
      </w:hyperlink>
    </w:p>
    <w:p>
      <w:pPr>
        <w:spacing w:after="0" w:line="20" w:lineRule="exact"/>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7152005" cy="2343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52005" cy="234315"/>
                    </a:xfrm>
                    <a:prstGeom prst="rect">
                      <a:avLst/>
                    </a:prstGeom>
                    <a:noFill/>
                  </pic:spPr>
                </pic:pic>
              </a:graphicData>
            </a:graphic>
          </wp:anchor>
        </w:drawing>
      </w:r>
    </w:p>
    <w:p>
      <w:pPr>
        <w:spacing w:after="0" w:line="113" w:lineRule="exact"/>
        <w:rPr>
          <w:rFonts w:ascii="Times New Roman" w:cs="Times New Roman" w:eastAsia="Times New Roman" w:hAnsi="Times New Roman"/>
          <w:sz w:val="15"/>
          <w:szCs w:val="15"/>
          <w:u w:val="single" w:color="auto"/>
          <w:color w:val="0000EE"/>
        </w:rPr>
      </w:pPr>
    </w:p>
    <w:p>
      <w:pPr>
        <w:ind w:left="280"/>
        <w:spacing w:after="0"/>
        <w:tabs>
          <w:tab w:leader="none" w:pos="740" w:val="left"/>
        </w:tabs>
        <w:rPr>
          <w:rFonts w:ascii="Times New Roman" w:cs="Times New Roman" w:eastAsia="Times New Roman" w:hAnsi="Times New Roman"/>
          <w:sz w:val="15"/>
          <w:szCs w:val="15"/>
          <w:u w:val="single" w:color="auto"/>
          <w:color w:val="0000EE"/>
        </w:rPr>
      </w:pPr>
      <w:hyperlink r:id="rId145">
        <w:r>
          <w:rPr>
            <w:rFonts w:ascii="Times New Roman" w:cs="Times New Roman" w:eastAsia="Times New Roman" w:hAnsi="Times New Roman"/>
            <w:sz w:val="15"/>
            <w:szCs w:val="15"/>
            <w:u w:val="single" w:color="auto"/>
            <w:color w:val="0000EE"/>
          </w:rPr>
          <w:t>4.13</w:t>
        </w:r>
      </w:hyperlink>
      <w:r>
        <w:rPr>
          <w:rFonts w:ascii="Times New Roman" w:cs="Times New Roman" w:eastAsia="Times New Roman" w:hAnsi="Times New Roman"/>
          <w:sz w:val="15"/>
          <w:szCs w:val="15"/>
          <w:u w:val="single" w:color="auto"/>
          <w:color w:val="0000EE"/>
        </w:rPr>
        <w:tab/>
      </w:r>
      <w:hyperlink r:id="rId145">
        <w:r>
          <w:rPr>
            <w:rFonts w:ascii="Times New Roman" w:cs="Times New Roman" w:eastAsia="Times New Roman" w:hAnsi="Times New Roman"/>
            <w:sz w:val="15"/>
            <w:szCs w:val="15"/>
            <w:u w:val="single" w:color="auto"/>
            <w:color w:val="0000EE"/>
          </w:rPr>
          <w:t>The business acquisition report (incorporated by reference from Exhibit 99.1 of the Registrant's Form 6-K, furnished to the Commission on October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5.1*</w:t>
        <w:tab/>
        <w:t>Consent of Zeifmans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5.2*</w:t>
        <w:tab/>
        <w:t>Consent of MNP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6.1*</w:t>
        <w:tab/>
        <w:t>Powers of Attorney (contained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28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7.1*</w:t>
        <w:tab/>
        <w:t>Form of Debt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77" w:lineRule="exact"/>
        <w:rPr>
          <w:sz w:val="20"/>
          <w:szCs w:val="20"/>
          <w:color w:val="auto"/>
        </w:rPr>
      </w:pPr>
    </w:p>
    <w:p>
      <w:pPr>
        <w:ind w:left="240"/>
        <w:spacing w:after="0"/>
        <w:tabs>
          <w:tab w:leader="none" w:pos="740" w:val="left"/>
        </w:tabs>
        <w:rPr>
          <w:sz w:val="20"/>
          <w:szCs w:val="20"/>
          <w:color w:val="auto"/>
        </w:rPr>
      </w:pPr>
      <w:r>
        <w:rPr>
          <w:rFonts w:ascii="Times New Roman" w:cs="Times New Roman" w:eastAsia="Times New Roman" w:hAnsi="Times New Roman"/>
          <w:sz w:val="15"/>
          <w:szCs w:val="15"/>
          <w:u w:val="single" w:color="auto"/>
          <w:color w:val="0000EE"/>
        </w:rPr>
        <w:t>107*</w:t>
        <w:tab/>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005" cy="1174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52005" cy="11747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Undertaking</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Consent to Service of Process</w:t>
      </w:r>
    </w:p>
    <w:p>
      <w:pPr>
        <w:spacing w:after="0" w:line="18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 written Appointment of Agent for Service of Process and Undertaking on Form F-X for the Registrant and its agent for service of process is being filed concurrently herewith.</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Any change to the name or address of the agent for service of process of the Registrant shall be communicated promptly to the Commission by amendment to Form F-X referencing the file number of this Registration Statement on Form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7232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December 29,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gridSpan w:val="2"/>
          </w:tcPr>
          <w:p>
            <w:pPr>
              <w:ind w:left="5640"/>
              <w:spacing w:after="0"/>
              <w:rPr>
                <w:sz w:val="20"/>
                <w:szCs w:val="20"/>
                <w:color w:val="auto"/>
              </w:rPr>
            </w:pPr>
            <w:r>
              <w:rPr>
                <w:rFonts w:ascii="Times New Roman" w:cs="Times New Roman" w:eastAsia="Times New Roman" w:hAnsi="Times New Roman"/>
                <w:sz w:val="15"/>
                <w:szCs w:val="15"/>
                <w:b w:val="1"/>
                <w:bCs w:val="1"/>
                <w:color w:val="auto"/>
              </w:rPr>
              <w:t>CYBIN INC.</w:t>
            </w:r>
          </w:p>
        </w:tc>
        <w:tc>
          <w:tcPr>
            <w:tcW w:w="4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9"/>
        </w:trPr>
        <w:tc>
          <w:tcPr>
            <w:tcW w:w="6200" w:type="dxa"/>
            <w:vAlign w:val="bottom"/>
          </w:tcPr>
          <w:p>
            <w:pPr>
              <w:ind w:left="564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Greg Cavers</w:t>
            </w:r>
          </w:p>
        </w:tc>
        <w:tc>
          <w:tcPr>
            <w:tcW w:w="20" w:type="dxa"/>
            <w:vAlign w:val="bottom"/>
          </w:tcPr>
          <w:p>
            <w:pPr>
              <w:spacing w:after="0"/>
              <w:rPr>
                <w:sz w:val="24"/>
                <w:szCs w:val="24"/>
                <w:color w:val="auto"/>
              </w:rPr>
            </w:pPr>
          </w:p>
        </w:tc>
      </w:tr>
      <w:tr>
        <w:trPr>
          <w:trHeight w:val="162"/>
        </w:trPr>
        <w:tc>
          <w:tcPr>
            <w:tcW w:w="6200" w:type="dxa"/>
            <w:vAlign w:val="bottom"/>
          </w:tcPr>
          <w:p>
            <w:pPr>
              <w:spacing w:after="0"/>
              <w:rPr>
                <w:sz w:val="14"/>
                <w:szCs w:val="14"/>
                <w:color w:val="auto"/>
              </w:rPr>
            </w:pPr>
          </w:p>
        </w:tc>
        <w:tc>
          <w:tcPr>
            <w:tcW w:w="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454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Greg Cavers</w:t>
            </w:r>
          </w:p>
        </w:tc>
        <w:tc>
          <w:tcPr>
            <w:tcW w:w="20" w:type="dxa"/>
            <w:vAlign w:val="bottom"/>
          </w:tcPr>
          <w:p>
            <w:pPr>
              <w:spacing w:after="0"/>
              <w:rPr>
                <w:sz w:val="14"/>
                <w:szCs w:val="14"/>
                <w:color w:val="auto"/>
              </w:rPr>
            </w:pPr>
          </w:p>
        </w:tc>
      </w:tr>
      <w:tr>
        <w:trPr>
          <w:trHeight w:val="199"/>
        </w:trPr>
        <w:tc>
          <w:tcPr>
            <w:tcW w:w="6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c>
          <w:tcPr>
            <w:tcW w:w="20" w:type="dxa"/>
            <w:vAlign w:val="bottom"/>
          </w:tcPr>
          <w:p>
            <w:pPr>
              <w:spacing w:after="0"/>
              <w:rPr>
                <w:sz w:val="17"/>
                <w:szCs w:val="17"/>
                <w:color w:val="auto"/>
              </w:rPr>
            </w:pPr>
          </w:p>
        </w:tc>
      </w:tr>
      <w:tr>
        <w:trPr>
          <w:trHeight w:val="296"/>
        </w:trPr>
        <w:tc>
          <w:tcPr>
            <w:tcW w:w="6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
        </w:trPr>
        <w:tc>
          <w:tcPr>
            <w:tcW w:w="620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4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114" w:right="2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Douglas Drysdale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registration statements filed pursuant to Rule 429 under the Securities Acts of 1933, as amended,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4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This Power of Attorney may be executed in multiple counterparts, each of which shall be deemed an original, but which taken together shall constitute one instrument.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 and on the dates indicated.</w:t>
      </w:r>
    </w:p>
    <w:p>
      <w:pPr>
        <w:sectPr>
          <w:pgSz w:w="11900" w:h="16838" w:orient="portrait"/>
          <w:cols w:equalWidth="0" w:num="1">
            <w:col w:w="11260"/>
          </w:cols>
          <w:pgMar w:left="320" w:top="114" w:right="319" w:bottom="1440" w:gutter="0" w:footer="0" w:header="0"/>
        </w:sectPr>
      </w:pPr>
    </w:p>
    <w:p>
      <w:pPr>
        <w:spacing w:after="0" w:line="12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Douglas Drysdale</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5"/>
          <w:szCs w:val="15"/>
          <w:i w:val="1"/>
          <w:iCs w:val="1"/>
          <w:color w:val="auto"/>
        </w:rPr>
        <w:t>/s/ Greg Cavers</w:t>
      </w:r>
    </w:p>
    <w:p>
      <w:pPr>
        <w:spacing w:after="0" w:line="3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Eric So</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Eric Hoskins</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Eric Hoskins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Grant Froese</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Grant Froese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Mark Lawson</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Mark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Theresa Firestone</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Theresa Firestone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Paul Glavine</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Paul Glavine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17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i w:val="1"/>
          <w:iCs w:val="1"/>
          <w:color w:val="auto"/>
        </w:rPr>
        <w:t>/s/ George Tziras</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5"/>
          <w:szCs w:val="15"/>
          <w:color w:val="auto"/>
        </w:rPr>
        <w:t>George Tziras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52793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25279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ind w:left="1760"/>
              <w:spacing w:after="0"/>
              <w:rPr>
                <w:sz w:val="20"/>
                <w:szCs w:val="20"/>
                <w:color w:val="auto"/>
              </w:rPr>
            </w:pPr>
            <w:r>
              <w:rPr>
                <w:rFonts w:ascii="Times New Roman" w:cs="Times New Roman" w:eastAsia="Times New Roman" w:hAnsi="Times New Roman"/>
                <w:sz w:val="15"/>
                <w:szCs w:val="15"/>
                <w:b w:val="1"/>
                <w:bCs w:val="1"/>
                <w:color w:val="auto"/>
              </w:rPr>
              <w:t>Capacity</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554"/>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 and Executive Chairman and President</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r>
        <w:trPr>
          <w:trHeight w:val="565"/>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c>
          <w:tcPr>
            <w:tcW w:w="2280" w:type="dxa"/>
            <w:vAlign w:val="bottom"/>
          </w:tcPr>
          <w:p>
            <w:pPr>
              <w:jc w:val="center"/>
              <w:ind w:left="1003"/>
              <w:spacing w:after="0"/>
              <w:rPr>
                <w:sz w:val="20"/>
                <w:szCs w:val="20"/>
                <w:color w:val="auto"/>
              </w:rPr>
            </w:pPr>
            <w:r>
              <w:rPr>
                <w:rFonts w:ascii="Times New Roman" w:cs="Times New Roman" w:eastAsia="Times New Roman" w:hAnsi="Times New Roman"/>
                <w:sz w:val="15"/>
                <w:szCs w:val="15"/>
                <w:color w:val="auto"/>
              </w:rPr>
              <w:t>December 29,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195580</wp:posOffset>
            </wp:positionV>
            <wp:extent cx="717232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2">
            <w:col w:w="3540" w:space="720"/>
            <w:col w:w="7000"/>
          </w:cols>
          <w:pgMar w:left="320" w:top="114" w:right="31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8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as amended, the undersigned has signed this Registration Statement, in the capacity of the duly authorized representative of the Registrant in the United States, on December 29, 2023.</w:t>
      </w:r>
    </w:p>
    <w:p>
      <w:pPr>
        <w:spacing w:after="0" w:line="1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5"/>
          <w:szCs w:val="15"/>
          <w:i w:val="1"/>
          <w:iCs w:val="1"/>
          <w:color w:val="auto"/>
        </w:rPr>
        <w:t>/s/ Douglas Drysdale</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Name: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-108585</wp:posOffset>
            </wp:positionV>
            <wp:extent cx="36004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3600450" cy="7620"/>
                    </a:xfrm>
                    <a:prstGeom prst="rect">
                      <a:avLst/>
                    </a:prstGeom>
                    <a:noFill/>
                  </pic:spPr>
                </pic:pic>
              </a:graphicData>
            </a:graphic>
          </wp:anchor>
        </w:drawing>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7232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jc w:val="both"/>
        <w:ind w:left="20" w:right="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2325" cy="24765"/>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227965</wp:posOffset>
            </wp:positionV>
            <wp:extent cx="1172210" cy="3441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172210" cy="344170"/>
                    </a:xfrm>
                    <a:prstGeom prst="rect">
                      <a:avLst/>
                    </a:prstGeom>
                    <a:noFill/>
                  </pic:spPr>
                </pic:pic>
              </a:graphicData>
            </a:graphic>
          </wp:anchor>
        </w:drawing>
        <w:t>We consent to the incorporation by reference into the Registration Statement on Form F-10 (the "Form F-10") of Cybin Inc. (the "Company") being filed with the United States Securities and Exchange Commission, and any amendments thereto, of our report, dated June 27, 2023, with respect to the consolidated statements of financial position of the Company as of March 31, 2023 and 2022, and the consolidated statements of loss and comprehensive loss, changes in shareholders' equity and cash flows for the years then ended, and notes to the consolidated financial statements, including a summary of significant accounting policies.</w:t>
      </w:r>
    </w:p>
    <w:p>
      <w:pPr>
        <w:spacing w:after="0" w:line="145"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We also consent to the reference to us under the caption "Auditor, Transfer Agent and Registrar" in the short-form base shelf prospectus contained in the Form F-10 and the caption "Interest of Experts in the management information circular of the Company dated September 13, 2023 that is incorporated by reference into the Form F-10.</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Toronto, Canada</w:t>
            </w:r>
          </w:p>
        </w:tc>
        <w:tc>
          <w:tcPr>
            <w:tcW w:w="5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i w:val="1"/>
                <w:iCs w:val="1"/>
                <w:color w:val="auto"/>
              </w:rPr>
              <w:t>/s/ Zeifmans LLP</w:t>
            </w:r>
          </w:p>
        </w:tc>
        <w:tc>
          <w:tcPr>
            <w:tcW w:w="0" w:type="dxa"/>
            <w:vAlign w:val="bottom"/>
          </w:tcPr>
          <w:p>
            <w:pPr>
              <w:spacing w:after="0"/>
              <w:rPr>
                <w:sz w:val="1"/>
                <w:szCs w:val="1"/>
                <w:color w:val="auto"/>
              </w:rPr>
            </w:pPr>
          </w:p>
        </w:tc>
      </w:tr>
      <w:tr>
        <w:trPr>
          <w:trHeight w:val="162"/>
        </w:trPr>
        <w:tc>
          <w:tcPr>
            <w:tcW w:w="5620" w:type="dxa"/>
            <w:vAlign w:val="bottom"/>
            <w:vMerge w:val="continue"/>
          </w:tcPr>
          <w:p>
            <w:pPr>
              <w:spacing w:after="0"/>
              <w:rPr>
                <w:sz w:val="14"/>
                <w:szCs w:val="14"/>
                <w:color w:val="auto"/>
              </w:rPr>
            </w:pPr>
          </w:p>
        </w:tc>
        <w:tc>
          <w:tcPr>
            <w:tcW w:w="56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Chartered Professional Accountants</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December 29, 2023</w:t>
            </w: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Licensed Public Accountants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498475</wp:posOffset>
            </wp:positionV>
            <wp:extent cx="571500" cy="248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57150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Borders>
              <w:right w:val="single" w:sz="8" w:color="BEBEBE"/>
            </w:tcBorders>
          </w:tcPr>
          <w:p>
            <w:pPr>
              <w:ind w:left="20"/>
              <w:spacing w:after="0"/>
              <w:rPr>
                <w:sz w:val="20"/>
                <w:szCs w:val="20"/>
                <w:color w:val="auto"/>
              </w:rPr>
            </w:pPr>
            <w:r>
              <w:rPr>
                <w:rFonts w:ascii="Times New Roman" w:cs="Times New Roman" w:eastAsia="Times New Roman" w:hAnsi="Times New Roman"/>
                <w:sz w:val="15"/>
                <w:szCs w:val="15"/>
                <w:color w:val="A6A6A6"/>
              </w:rPr>
              <w:t>201 Bridgeland Avenue | Toronto</w:t>
            </w:r>
          </w:p>
        </w:tc>
        <w:tc>
          <w:tcPr>
            <w:tcW w:w="260" w:type="dxa"/>
            <w:vAlign w:val="bottom"/>
          </w:tcPr>
          <w:p>
            <w:pPr>
              <w:spacing w:after="0"/>
              <w:rPr>
                <w:sz w:val="15"/>
                <w:szCs w:val="15"/>
                <w:color w:val="auto"/>
              </w:rPr>
            </w:pPr>
          </w:p>
        </w:tc>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zeifmans.ca</w:t>
            </w:r>
          </w:p>
        </w:tc>
        <w:tc>
          <w:tcPr>
            <w:tcW w:w="1340" w:type="dxa"/>
            <w:vAlign w:val="bottom"/>
            <w:tcBorders>
              <w:right w:val="single" w:sz="8" w:color="BEBEBE"/>
            </w:tcBorders>
          </w:tcPr>
          <w:p>
            <w:pPr>
              <w:spacing w:after="0"/>
              <w:rPr>
                <w:sz w:val="15"/>
                <w:szCs w:val="15"/>
                <w:color w:val="auto"/>
              </w:rPr>
            </w:pPr>
          </w:p>
        </w:tc>
        <w:tc>
          <w:tcPr>
            <w:tcW w:w="5080" w:type="dxa"/>
            <w:vAlign w:val="bottom"/>
          </w:tcPr>
          <w:p>
            <w:pPr>
              <w:spacing w:after="0"/>
              <w:rPr>
                <w:sz w:val="15"/>
                <w:szCs w:val="15"/>
                <w:color w:val="auto"/>
              </w:rPr>
            </w:pPr>
          </w:p>
        </w:tc>
      </w:tr>
      <w:tr>
        <w:trPr>
          <w:trHeight w:val="211"/>
        </w:trPr>
        <w:tc>
          <w:tcPr>
            <w:tcW w:w="3880" w:type="dxa"/>
            <w:vAlign w:val="bottom"/>
            <w:tcBorders>
              <w:right w:val="single" w:sz="8" w:color="BEBEBE"/>
            </w:tcBorders>
          </w:tcPr>
          <w:p>
            <w:pPr>
              <w:ind w:left="20"/>
              <w:spacing w:after="0"/>
              <w:rPr>
                <w:sz w:val="20"/>
                <w:szCs w:val="20"/>
                <w:color w:val="auto"/>
              </w:rPr>
            </w:pPr>
            <w:r>
              <w:rPr>
                <w:rFonts w:ascii="Times New Roman" w:cs="Times New Roman" w:eastAsia="Times New Roman" w:hAnsi="Times New Roman"/>
                <w:sz w:val="15"/>
                <w:szCs w:val="15"/>
                <w:color w:val="A6A6A6"/>
              </w:rPr>
              <w:t>Ontario | M6A 1Y7 | Canada</w:t>
            </w:r>
          </w:p>
        </w:tc>
        <w:tc>
          <w:tcPr>
            <w:tcW w:w="260" w:type="dxa"/>
            <w:vAlign w:val="bottom"/>
          </w:tcPr>
          <w:p>
            <w:pPr>
              <w:spacing w:after="0"/>
              <w:rPr>
                <w:sz w:val="18"/>
                <w:szCs w:val="18"/>
                <w:color w:val="auto"/>
              </w:rPr>
            </w:pPr>
          </w:p>
        </w:tc>
        <w:tc>
          <w:tcPr>
            <w:tcW w:w="2080" w:type="dxa"/>
            <w:vAlign w:val="bottom"/>
            <w:tcBorders>
              <w:right w:val="single" w:sz="8" w:color="BEBEBE"/>
            </w:tcBorders>
            <w:gridSpan w:val="2"/>
          </w:tcPr>
          <w:p>
            <w:pPr>
              <w:spacing w:after="0"/>
              <w:rPr>
                <w:sz w:val="20"/>
                <w:szCs w:val="20"/>
                <w:color w:val="auto"/>
              </w:rPr>
            </w:pPr>
            <w:r>
              <w:rPr>
                <w:rFonts w:ascii="Times New Roman" w:cs="Times New Roman" w:eastAsia="Times New Roman" w:hAnsi="Times New Roman"/>
                <w:sz w:val="15"/>
                <w:szCs w:val="15"/>
                <w:color w:val="A6A6A6"/>
              </w:rPr>
              <w:t>T: 416.256.4000</w:t>
            </w:r>
          </w:p>
        </w:tc>
        <w:tc>
          <w:tcPr>
            <w:tcW w:w="5080" w:type="dxa"/>
            <w:vAlign w:val="bottom"/>
          </w:tcPr>
          <w:p>
            <w:pPr>
              <w:spacing w:after="0"/>
              <w:rPr>
                <w:sz w:val="18"/>
                <w:szCs w:val="18"/>
                <w:color w:val="auto"/>
              </w:rPr>
            </w:pPr>
          </w:p>
        </w:tc>
      </w:tr>
      <w:tr>
        <w:trPr>
          <w:trHeight w:val="296"/>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66"/>
        </w:trPr>
        <w:tc>
          <w:tcPr>
            <w:tcW w:w="388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340" w:type="dxa"/>
            <w:vAlign w:val="bottom"/>
            <w:tcBorders>
              <w:right w:val="single" w:sz="8" w:color="auto"/>
            </w:tcBorders>
            <w:shd w:val="clear" w:color="auto" w:fill="000000"/>
          </w:tcPr>
          <w:p>
            <w:pPr>
              <w:spacing w:after="0"/>
              <w:rPr>
                <w:sz w:val="5"/>
                <w:szCs w:val="5"/>
                <w:color w:val="auto"/>
              </w:rPr>
            </w:pPr>
          </w:p>
        </w:tc>
        <w:tc>
          <w:tcPr>
            <w:tcW w:w="508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1271" w:right="29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2325" cy="24765"/>
                    </a:xfrm>
                    <a:prstGeom prst="rect">
                      <a:avLst/>
                    </a:prstGeom>
                    <a:noFill/>
                  </pic:spPr>
                </pic:pic>
              </a:graphicData>
            </a:graphic>
          </wp:anchor>
        </w:drawing>
        <w:drawing>
          <wp:anchor simplePos="0" relativeHeight="251657728" behindDoc="1" locked="0" layoutInCell="0" allowOverlap="1">
            <wp:simplePos x="0" y="0"/>
            <wp:positionH relativeFrom="page">
              <wp:posOffset>6346825</wp:posOffset>
            </wp:positionH>
            <wp:positionV relativeFrom="page">
              <wp:posOffset>227965</wp:posOffset>
            </wp:positionV>
            <wp:extent cx="1003935" cy="3295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003935" cy="329565"/>
                    </a:xfrm>
                    <a:prstGeom prst="rect">
                      <a:avLst/>
                    </a:prstGeom>
                    <a:noFill/>
                  </pic:spPr>
                </pic:pic>
              </a:graphicData>
            </a:graphic>
          </wp:anchor>
        </w:drawing>
        <w:t>Consent of Independent Registered Public Accounting Firm</w:t>
      </w:r>
    </w:p>
    <w:p>
      <w:pPr>
        <w:spacing w:after="0" w:line="18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into the Registration Statement on Form F-10 (the "Form F-10") of Cybin Inc. (the "Company") being filed with the United States Securities and Exchange Commission, and any amendments thereto, of our report, dated June 28, 2023 to the shareholders of Small Pharma Inc. on the consolidated financial statements of Small Pharma Inc., which comprises of the consolidated statements of financial position as at February 28, 2023 and 2022, and the consolidated statements of operations and comprehensive loss, changes in equity (deficit), cash flows, and notes to the consolidated financial statements, including a summary of significant accounting policies, for the years then ended.</w:t>
      </w:r>
    </w:p>
    <w:p>
      <w:pPr>
        <w:spacing w:after="0" w:line="1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consent to the reference to us under the caption “Auditor, Transfer Agent and Registrar” in the short-form base shelf prospectus contained in the Form F-10 and “Interest of Experts in the management information circular of the Company dated September 13, 2023 that is incorporated by reference into the Form F-10.</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MNP LLP</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232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040" w:right="319" w:bottom="1440" w:gutter="0" w:footer="0" w:header="0"/>
        </w:sectPr>
      </w:pPr>
    </w:p>
    <w:bookmarkStart w:id="57" w:name="page58"/>
    <w:bookmarkEnd w:id="57"/>
    <w:p>
      <w:pPr>
        <w:ind w:left="1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2325" cy="24765"/>
                    </a:xfrm>
                    <a:prstGeom prst="rect">
                      <a:avLst/>
                    </a:prstGeom>
                    <a:noFill/>
                  </pic:spPr>
                </pic:pic>
              </a:graphicData>
            </a:graphic>
          </wp:anchor>
        </w:drawing>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Issuer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8" w:lineRule="exact"/>
        <w:rPr>
          <w:sz w:val="20"/>
          <w:szCs w:val="20"/>
          <w:color w:val="auto"/>
        </w:rPr>
      </w:pPr>
    </w:p>
    <w:p>
      <w:pPr>
        <w:ind w:left="4640" w:hanging="382"/>
        <w:spacing w:after="0"/>
        <w:tabs>
          <w:tab w:leader="none" w:pos="4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U.S. Trustee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8" w:lineRule="exact"/>
        <w:rPr>
          <w:sz w:val="20"/>
          <w:szCs w:val="20"/>
          <w:color w:val="auto"/>
        </w:rPr>
      </w:pPr>
    </w:p>
    <w:p>
      <w:pPr>
        <w:ind w:left="4640" w:hanging="382"/>
        <w:spacing w:after="0"/>
        <w:tabs>
          <w:tab w:leader="none" w:pos="4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Canadian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ectPr>
          <w:pgSz w:w="11900" w:h="16838" w:orient="portrait"/>
          <w:cols w:equalWidth="0" w:num="1">
            <w:col w:w="9019"/>
          </w:cols>
          <w:pgMar w:left="1440" w:top="332" w:right="1440" w:bottom="1440" w:gutter="0" w:footer="0" w:header="0"/>
        </w:sectPr>
      </w:pPr>
    </w:p>
    <w:p>
      <w:pPr>
        <w:spacing w:after="0" w:line="20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Dated as of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ectPr>
          <w:pgSz w:w="11900" w:h="16838" w:orient="portrait"/>
          <w:cols w:equalWidth="0" w:num="2">
            <w:col w:w="4780" w:space="380"/>
            <w:col w:w="3859"/>
          </w:cols>
          <w:pgMar w:left="1440" w:top="332"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879475</wp:posOffset>
            </wp:positionV>
            <wp:extent cx="717232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Borders>
              <w:right w:val="single" w:sz="8" w:color="EEEEEE"/>
            </w:tcBorders>
            <w:gridSpan w:val="21"/>
            <w:shd w:val="clear" w:color="auto" w:fill="EEEEEE"/>
          </w:tcPr>
          <w:p>
            <w:pPr>
              <w:spacing w:after="0"/>
              <w:rPr>
                <w:sz w:val="20"/>
                <w:szCs w:val="20"/>
                <w:color w:val="auto"/>
              </w:rPr>
            </w:pPr>
            <w:r>
              <w:rPr>
                <w:rFonts w:ascii="Times New Roman" w:cs="Times New Roman" w:eastAsia="Times New Roman" w:hAnsi="Times New Roman"/>
                <w:sz w:val="15"/>
                <w:szCs w:val="15"/>
                <w:b w:val="1"/>
                <w:bCs w:val="1"/>
                <w:color w:val="0000EE"/>
              </w:rPr>
              <w:t>ARTICLE ONE DEFINITIONS AND OTHER PROVISIONS OF GENERAL APPLICATION</w:t>
            </w:r>
          </w:p>
        </w:tc>
        <w:tc>
          <w:tcPr>
            <w:tcW w:w="3440" w:type="dxa"/>
            <w:vAlign w:val="bottom"/>
            <w:gridSpan w:val="3"/>
            <w:shd w:val="clear" w:color="auto" w:fill="EEEEEE"/>
          </w:tcPr>
          <w:p>
            <w:pPr>
              <w:spacing w:after="0"/>
              <w:rPr>
                <w:sz w:val="15"/>
                <w:szCs w:val="15"/>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1</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20" w:type="dxa"/>
            <w:vAlign w:val="bottom"/>
            <w:tcBorders>
              <w:right w:val="single" w:sz="8" w:color="0000EE"/>
            </w:tcBorders>
            <w:shd w:val="clear" w:color="auto" w:fill="0000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1.01</w:t>
            </w:r>
          </w:p>
        </w:tc>
        <w:tc>
          <w:tcPr>
            <w:tcW w:w="360" w:type="dxa"/>
            <w:vAlign w:val="bottom"/>
          </w:tcPr>
          <w:p>
            <w:pPr>
              <w:spacing w:after="0"/>
              <w:rPr>
                <w:sz w:val="13"/>
                <w:szCs w:val="13"/>
                <w:color w:val="auto"/>
              </w:rPr>
            </w:pPr>
          </w:p>
        </w:tc>
        <w:tc>
          <w:tcPr>
            <w:tcW w:w="4280" w:type="dxa"/>
            <w:vAlign w:val="bottom"/>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Definitions</w:t>
            </w:r>
          </w:p>
        </w:tc>
        <w:tc>
          <w:tcPr>
            <w:tcW w:w="3440" w:type="dxa"/>
            <w:vAlign w:val="bottom"/>
            <w:gridSpan w:val="3"/>
          </w:tcPr>
          <w:p>
            <w:pPr>
              <w:spacing w:after="0"/>
              <w:rPr>
                <w:sz w:val="13"/>
                <w:szCs w:val="13"/>
                <w:color w:val="auto"/>
              </w:rPr>
            </w:pP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w:t>
            </w:r>
          </w:p>
        </w:tc>
      </w:tr>
      <w:tr>
        <w:trPr>
          <w:trHeight w:val="20"/>
        </w:trPr>
        <w:tc>
          <w:tcPr>
            <w:tcW w:w="2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65"/>
        </w:trPr>
        <w:tc>
          <w:tcPr>
            <w:tcW w:w="260" w:type="dxa"/>
            <w:vAlign w:val="bottom"/>
            <w:shd w:val="clear" w:color="auto" w:fill="EEEEEE"/>
          </w:tcPr>
          <w:p>
            <w:pPr>
              <w:spacing w:after="0"/>
              <w:rPr>
                <w:sz w:val="14"/>
                <w:szCs w:val="14"/>
                <w:color w:val="auto"/>
              </w:rPr>
            </w:pPr>
          </w:p>
        </w:tc>
        <w:tc>
          <w:tcPr>
            <w:tcW w:w="1340" w:type="dxa"/>
            <w:vAlign w:val="bottom"/>
            <w:gridSpan w:val="2"/>
            <w:shd w:val="clear" w:color="auto" w:fill="EEEEEE"/>
          </w:tcPr>
          <w:p>
            <w:pPr>
              <w:spacing w:after="0" w:line="165" w:lineRule="exact"/>
              <w:rPr>
                <w:sz w:val="20"/>
                <w:szCs w:val="20"/>
                <w:color w:val="auto"/>
              </w:rPr>
            </w:pPr>
            <w:r>
              <w:rPr>
                <w:rFonts w:ascii="Times New Roman" w:cs="Times New Roman" w:eastAsia="Times New Roman" w:hAnsi="Times New Roman"/>
                <w:sz w:val="15"/>
                <w:szCs w:val="15"/>
                <w:color w:val="0000EE"/>
              </w:rPr>
              <w:t>SECTION 1.02</w:t>
            </w:r>
          </w:p>
        </w:tc>
        <w:tc>
          <w:tcPr>
            <w:tcW w:w="360" w:type="dxa"/>
            <w:vAlign w:val="bottom"/>
            <w:shd w:val="clear" w:color="auto" w:fill="EEEEEE"/>
          </w:tcPr>
          <w:p>
            <w:pPr>
              <w:spacing w:after="0"/>
              <w:rPr>
                <w:sz w:val="14"/>
                <w:szCs w:val="14"/>
                <w:color w:val="auto"/>
              </w:rPr>
            </w:pPr>
          </w:p>
        </w:tc>
        <w:tc>
          <w:tcPr>
            <w:tcW w:w="7720" w:type="dxa"/>
            <w:vAlign w:val="bottom"/>
            <w:gridSpan w:val="20"/>
            <w:shd w:val="clear" w:color="auto" w:fill="EEEEEE"/>
          </w:tcPr>
          <w:p>
            <w:pPr>
              <w:spacing w:after="0" w:line="165" w:lineRule="exact"/>
              <w:rPr>
                <w:sz w:val="20"/>
                <w:szCs w:val="20"/>
                <w:color w:val="auto"/>
              </w:rPr>
            </w:pPr>
            <w:r>
              <w:rPr>
                <w:rFonts w:ascii="Times New Roman" w:cs="Times New Roman" w:eastAsia="Times New Roman" w:hAnsi="Times New Roman"/>
                <w:sz w:val="15"/>
                <w:szCs w:val="15"/>
                <w:color w:val="0000EE"/>
              </w:rPr>
              <w:t>Rules of Construction</w:t>
            </w:r>
          </w:p>
        </w:tc>
        <w:tc>
          <w:tcPr>
            <w:tcW w:w="1580" w:type="dxa"/>
            <w:vAlign w:val="bottom"/>
            <w:gridSpan w:val="3"/>
            <w:shd w:val="clear" w:color="auto" w:fill="EEEEEE"/>
          </w:tcPr>
          <w:p>
            <w:pPr>
              <w:jc w:val="right"/>
              <w:spacing w:after="0" w:line="165" w:lineRule="exact"/>
              <w:rPr>
                <w:sz w:val="20"/>
                <w:szCs w:val="20"/>
                <w:color w:val="auto"/>
              </w:rPr>
            </w:pPr>
            <w:r>
              <w:rPr>
                <w:rFonts w:ascii="Times New Roman" w:cs="Times New Roman" w:eastAsia="Times New Roman" w:hAnsi="Times New Roman"/>
                <w:sz w:val="15"/>
                <w:szCs w:val="15"/>
                <w:color w:val="0000EE"/>
              </w:rPr>
              <w:t>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1.03</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Compliance Certificates and Opinions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1.04</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Form of Documents Delivered to Trustees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1.05</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Acts of Holders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1.06</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Notices, Etc. to Trustees and Company</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1.07</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Notice to Holders; Waiver</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1.08</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Effect of Headings and Table of Contents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1.09</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Successors and Assigns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Severability Clause</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EEEEEE"/>
            </w:tcBorders>
            <w:shd w:val="clear" w:color="auto" w:fill="0000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1.11</w:t>
            </w:r>
          </w:p>
        </w:tc>
        <w:tc>
          <w:tcPr>
            <w:tcW w:w="8080" w:type="dxa"/>
            <w:vAlign w:val="bottom"/>
            <w:gridSpan w:val="21"/>
          </w:tcPr>
          <w:p>
            <w:pPr>
              <w:ind w:left="360"/>
              <w:spacing w:after="0" w:line="150" w:lineRule="exact"/>
              <w:rPr>
                <w:sz w:val="20"/>
                <w:szCs w:val="20"/>
                <w:color w:val="auto"/>
              </w:rPr>
            </w:pPr>
            <w:r>
              <w:rPr>
                <w:rFonts w:ascii="Times New Roman" w:cs="Times New Roman" w:eastAsia="Times New Roman" w:hAnsi="Times New Roman"/>
                <w:sz w:val="15"/>
                <w:szCs w:val="15"/>
                <w:color w:val="0000EE"/>
              </w:rPr>
              <w:t>Benefits of Indenture</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13</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1.12</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Governing Law</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1.13</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Legal Holidays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1.14</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Agent for Service; Submission to Jurisdiction; Waiver of Immunities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14</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20" w:type="dxa"/>
            <w:vAlign w:val="bottom"/>
            <w:tcBorders>
              <w:right w:val="single" w:sz="8" w:color="EEEEEE"/>
            </w:tcBorders>
            <w:shd w:val="clear" w:color="auto" w:fill="0000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1.15</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Conversion of Judgment Currency</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1.16</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Currency Equivalent</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1.17</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Conflict with Trust Indenture Legislation</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1.18</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Incorporators, Shareholders, Officers and Directors of the Company Exempt from Individual Liability</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20" w:type="dxa"/>
            <w:vAlign w:val="bottom"/>
            <w:tcBorders>
              <w:right w:val="single" w:sz="8" w:color="0000EE"/>
            </w:tcBorders>
            <w:shd w:val="clear" w:color="auto" w:fill="0000EE"/>
          </w:tcPr>
          <w:p>
            <w:pPr>
              <w:spacing w:after="0"/>
              <w:rPr>
                <w:sz w:val="3"/>
                <w:szCs w:val="3"/>
                <w:color w:val="auto"/>
              </w:rPr>
            </w:pPr>
          </w:p>
        </w:tc>
        <w:tc>
          <w:tcPr>
            <w:tcW w:w="156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1.19</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Waiver of Jury Trial</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1.20</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Counterparts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1.21</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Force Majeure</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16</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gridSpan w:val="2"/>
            <w:shd w:val="clear" w:color="auto" w:fill="EEEEEE"/>
          </w:tcPr>
          <w:p>
            <w:pPr>
              <w:spacing w:after="0"/>
              <w:rPr>
                <w:sz w:val="16"/>
                <w:szCs w:val="16"/>
                <w:color w:val="auto"/>
              </w:rPr>
            </w:pPr>
          </w:p>
        </w:tc>
        <w:tc>
          <w:tcPr>
            <w:tcW w:w="70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top w:val="single" w:sz="8" w:color="0000EE"/>
              <w:right w:val="single" w:sz="8" w:color="EEEEEE"/>
            </w:tcBorders>
            <w:shd w:val="clear" w:color="auto" w:fill="EEEEEE"/>
          </w:tcPr>
          <w:p>
            <w:pPr>
              <w:spacing w:after="0"/>
              <w:rPr>
                <w:sz w:val="16"/>
                <w:szCs w:val="16"/>
                <w:color w:val="auto"/>
              </w:rPr>
            </w:pPr>
          </w:p>
        </w:tc>
        <w:tc>
          <w:tcPr>
            <w:tcW w:w="140" w:type="dxa"/>
            <w:vAlign w:val="bottom"/>
            <w:tcBorders>
              <w:left w:val="single" w:sz="8" w:color="EEEEEE"/>
              <w:right w:val="single" w:sz="8" w:color="EEEEEE"/>
            </w:tcBorders>
            <w:shd w:val="clear" w:color="auto" w:fill="EEEEEE"/>
          </w:tcPr>
          <w:p>
            <w:pPr>
              <w:spacing w:after="0"/>
              <w:rPr>
                <w:sz w:val="16"/>
                <w:szCs w:val="16"/>
                <w:color w:val="auto"/>
              </w:rPr>
            </w:pPr>
          </w:p>
        </w:tc>
        <w:tc>
          <w:tcPr>
            <w:tcW w:w="160" w:type="dxa"/>
            <w:vAlign w:val="bottom"/>
            <w:tcBorders>
              <w:right w:val="single" w:sz="8" w:color="EEEEEE"/>
            </w:tcBorders>
            <w:shd w:val="clear" w:color="auto" w:fill="EEEEEE"/>
          </w:tcPr>
          <w:p>
            <w:pPr>
              <w:spacing w:after="0"/>
              <w:rPr>
                <w:sz w:val="16"/>
                <w:szCs w:val="16"/>
                <w:color w:val="auto"/>
              </w:rPr>
            </w:pPr>
          </w:p>
        </w:tc>
        <w:tc>
          <w:tcPr>
            <w:tcW w:w="120" w:type="dxa"/>
            <w:vAlign w:val="bottom"/>
            <w:tcBorders>
              <w:left w:val="single" w:sz="8" w:color="EEEEEE"/>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560" w:type="dxa"/>
            <w:vAlign w:val="bottom"/>
            <w:tcBorders>
              <w:left w:val="single" w:sz="8" w:color="EEEEEE"/>
            </w:tcBorders>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tcBorders>
              <w:left w:val="single" w:sz="8" w:color="EEEEEE"/>
            </w:tcBorders>
            <w:shd w:val="clear" w:color="auto" w:fill="EEEEEE"/>
          </w:tcPr>
          <w:p>
            <w:pPr>
              <w:spacing w:after="0"/>
              <w:rPr>
                <w:sz w:val="16"/>
                <w:szCs w:val="16"/>
                <w:color w:val="auto"/>
              </w:rPr>
            </w:pPr>
          </w:p>
        </w:tc>
        <w:tc>
          <w:tcPr>
            <w:tcW w:w="360" w:type="dxa"/>
            <w:vAlign w:val="bottom"/>
            <w:tcBorders>
              <w:lef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620" w:type="dxa"/>
            <w:vAlign w:val="bottom"/>
            <w:tcBorders>
              <w:right w:val="single" w:sz="8" w:color="EEEEEE"/>
            </w:tcBorders>
            <w:shd w:val="clear" w:color="auto" w:fill="EEEEEE"/>
          </w:tcPr>
          <w:p>
            <w:pPr>
              <w:spacing w:after="0"/>
              <w:rPr>
                <w:sz w:val="16"/>
                <w:szCs w:val="16"/>
                <w:color w:val="auto"/>
              </w:rPr>
            </w:pPr>
          </w:p>
        </w:tc>
        <w:tc>
          <w:tcPr>
            <w:tcW w:w="156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1440" w:type="dxa"/>
            <w:vAlign w:val="bottom"/>
            <w:shd w:val="clear" w:color="auto" w:fill="EEEEEE"/>
          </w:tcPr>
          <w:p>
            <w:pPr>
              <w:spacing w:after="0"/>
              <w:rPr>
                <w:sz w:val="16"/>
                <w:szCs w:val="16"/>
                <w:color w:val="auto"/>
              </w:rPr>
            </w:pPr>
          </w:p>
        </w:tc>
        <w:tc>
          <w:tcPr>
            <w:tcW w:w="1420" w:type="dxa"/>
            <w:vAlign w:val="bottom"/>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r>
      <w:tr>
        <w:trPr>
          <w:trHeight w:val="150"/>
        </w:trPr>
        <w:tc>
          <w:tcPr>
            <w:tcW w:w="968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TWO SECURITIES FORMS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17</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2.01</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Forms Generally</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EEEEEE"/>
            </w:tcBorders>
            <w:shd w:val="clear" w:color="auto" w:fill="0000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2.02</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Form of Trustee's Certificate of Authentication</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17</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2.03</w:t>
            </w:r>
          </w:p>
        </w:tc>
        <w:tc>
          <w:tcPr>
            <w:tcW w:w="360" w:type="dxa"/>
            <w:vAlign w:val="bottom"/>
            <w:shd w:val="clear" w:color="auto" w:fill="EEEEEE"/>
          </w:tcPr>
          <w:p>
            <w:pPr>
              <w:spacing w:after="0"/>
              <w:rPr>
                <w:sz w:val="14"/>
                <w:szCs w:val="14"/>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Securities Issuable in Global Form</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18</w:t>
            </w:r>
          </w:p>
        </w:tc>
      </w:tr>
      <w:tr>
        <w:trPr>
          <w:trHeight w:val="185"/>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gridSpan w:val="2"/>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36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440" w:type="dxa"/>
            <w:vAlign w:val="bottom"/>
            <w:tcBorders>
              <w:top w:val="single" w:sz="8" w:color="EEEEEE"/>
            </w:tcBorders>
          </w:tcPr>
          <w:p>
            <w:pPr>
              <w:spacing w:after="0"/>
              <w:rPr>
                <w:sz w:val="16"/>
                <w:szCs w:val="16"/>
                <w:color w:val="auto"/>
              </w:rPr>
            </w:pPr>
          </w:p>
        </w:tc>
        <w:tc>
          <w:tcPr>
            <w:tcW w:w="620" w:type="dxa"/>
            <w:vAlign w:val="bottom"/>
            <w:tcBorders>
              <w:top w:val="single" w:sz="8" w:color="EEEEEE"/>
            </w:tcBorders>
          </w:tcPr>
          <w:p>
            <w:pPr>
              <w:spacing w:after="0"/>
              <w:rPr>
                <w:sz w:val="16"/>
                <w:szCs w:val="16"/>
                <w:color w:val="auto"/>
              </w:rPr>
            </w:pPr>
          </w:p>
        </w:tc>
        <w:tc>
          <w:tcPr>
            <w:tcW w:w="1560" w:type="dxa"/>
            <w:vAlign w:val="bottom"/>
            <w:tcBorders>
              <w:top w:val="single" w:sz="8" w:color="EEEEEE"/>
            </w:tcBorders>
          </w:tcPr>
          <w:p>
            <w:pPr>
              <w:spacing w:after="0"/>
              <w:rPr>
                <w:sz w:val="16"/>
                <w:szCs w:val="16"/>
                <w:color w:val="auto"/>
              </w:rPr>
            </w:pPr>
          </w:p>
        </w:tc>
        <w:tc>
          <w:tcPr>
            <w:tcW w:w="440" w:type="dxa"/>
            <w:vAlign w:val="bottom"/>
            <w:tcBorders>
              <w:top w:val="single" w:sz="8" w:color="EEEEEE"/>
            </w:tcBorders>
          </w:tcPr>
          <w:p>
            <w:pPr>
              <w:spacing w:after="0"/>
              <w:rPr>
                <w:sz w:val="16"/>
                <w:szCs w:val="16"/>
                <w:color w:val="auto"/>
              </w:rPr>
            </w:pPr>
          </w:p>
        </w:tc>
        <w:tc>
          <w:tcPr>
            <w:tcW w:w="1440" w:type="dxa"/>
            <w:vAlign w:val="bottom"/>
            <w:tcBorders>
              <w:top w:val="single" w:sz="8" w:color="EEEEEE"/>
            </w:tcBorders>
          </w:tcPr>
          <w:p>
            <w:pPr>
              <w:spacing w:after="0"/>
              <w:rPr>
                <w:sz w:val="16"/>
                <w:szCs w:val="16"/>
                <w:color w:val="auto"/>
              </w:rPr>
            </w:pPr>
          </w:p>
        </w:tc>
        <w:tc>
          <w:tcPr>
            <w:tcW w:w="142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r>
      <w:tr>
        <w:trPr>
          <w:trHeight w:val="165"/>
        </w:trPr>
        <w:tc>
          <w:tcPr>
            <w:tcW w:w="2660" w:type="dxa"/>
            <w:vAlign w:val="bottom"/>
            <w:tcBorders>
              <w:bottom w:val="single" w:sz="8" w:color="0000EE"/>
              <w:right w:val="single" w:sz="8" w:color="EEEEEE"/>
            </w:tcBorders>
            <w:gridSpan w:val="5"/>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THREE THE SECURITIES</w:t>
            </w:r>
          </w:p>
        </w:tc>
        <w:tc>
          <w:tcPr>
            <w:tcW w:w="7020" w:type="dxa"/>
            <w:vAlign w:val="bottom"/>
            <w:tcBorders>
              <w:bottom w:val="single" w:sz="8" w:color="EEEEEE"/>
            </w:tcBorders>
            <w:gridSpan w:val="19"/>
            <w:shd w:val="clear" w:color="auto" w:fill="EEEEEE"/>
          </w:tcPr>
          <w:p>
            <w:pPr>
              <w:spacing w:after="0"/>
              <w:rPr>
                <w:sz w:val="14"/>
                <w:szCs w:val="14"/>
                <w:color w:val="auto"/>
              </w:rPr>
            </w:pPr>
          </w:p>
        </w:tc>
        <w:tc>
          <w:tcPr>
            <w:tcW w:w="142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gridSpan w:val="2"/>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18</w:t>
            </w: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3.01</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Issuable in Series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18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3.02</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Denominations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22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3.03</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Execution, Authentication, Delivery and Dating</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22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3.04</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Temporary Securities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23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EEEE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3.05</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Registration, Registration of Transfer and Exchange</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25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3.06</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Mutilated, Destroyed, Lost and Stolen Securities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27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3.07</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Payment of Principal, Premium and Interest; Interest Rights Preserved; Optional Interest Reset</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28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20" w:type="dxa"/>
            <w:vAlign w:val="bottom"/>
            <w:tcBorders>
              <w:right w:val="single" w:sz="8" w:color="0000EE"/>
            </w:tcBorders>
            <w:shd w:val="clear" w:color="auto" w:fill="0000EE"/>
          </w:tcPr>
          <w:p>
            <w:pPr>
              <w:spacing w:after="0"/>
              <w:rPr>
                <w:sz w:val="2"/>
                <w:szCs w:val="2"/>
                <w:color w:val="auto"/>
              </w:rPr>
            </w:pPr>
          </w:p>
        </w:tc>
        <w:tc>
          <w:tcPr>
            <w:tcW w:w="156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3.08</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Optional Extension of Stated Maturity</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3.09</w:t>
            </w:r>
          </w:p>
        </w:tc>
        <w:tc>
          <w:tcPr>
            <w:tcW w:w="360" w:type="dxa"/>
            <w:vAlign w:val="bottom"/>
          </w:tcPr>
          <w:p>
            <w:pPr>
              <w:spacing w:after="0"/>
              <w:rPr>
                <w:sz w:val="13"/>
                <w:szCs w:val="13"/>
                <w:color w:val="auto"/>
              </w:rPr>
            </w:pPr>
          </w:p>
        </w:tc>
        <w:tc>
          <w:tcPr>
            <w:tcW w:w="7720" w:type="dxa"/>
            <w:vAlign w:val="bottom"/>
            <w:gridSpan w:val="20"/>
          </w:tcPr>
          <w:p>
            <w:pPr>
              <w:spacing w:after="0" w:line="150" w:lineRule="exact"/>
              <w:rPr>
                <w:sz w:val="20"/>
                <w:szCs w:val="20"/>
                <w:color w:val="auto"/>
              </w:rPr>
            </w:pPr>
            <w:r>
              <w:rPr>
                <w:rFonts w:ascii="Times New Roman" w:cs="Times New Roman" w:eastAsia="Times New Roman" w:hAnsi="Times New Roman"/>
                <w:sz w:val="15"/>
                <w:szCs w:val="15"/>
                <w:color w:val="0000EE"/>
              </w:rPr>
              <w:t>Persons Deemed Owners</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31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3.10</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Cancellation</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0000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right w:val="single" w:sz="8" w:color="EEEEEE"/>
            </w:tcBorders>
            <w:shd w:val="clear" w:color="auto" w:fill="EEEEEE"/>
          </w:tcPr>
          <w:p>
            <w:pPr>
              <w:spacing w:after="0"/>
              <w:rPr>
                <w:sz w:val="3"/>
                <w:szCs w:val="3"/>
                <w:color w:val="auto"/>
              </w:rPr>
            </w:pPr>
          </w:p>
        </w:tc>
        <w:tc>
          <w:tcPr>
            <w:tcW w:w="160" w:type="dxa"/>
            <w:vAlign w:val="bottom"/>
            <w:tcBorders>
              <w:right w:val="single" w:sz="8" w:color="EEEEEE"/>
            </w:tcBorders>
            <w:shd w:val="clear" w:color="auto" w:fill="EEEEEE"/>
          </w:tcPr>
          <w:p>
            <w:pPr>
              <w:spacing w:after="0"/>
              <w:rPr>
                <w:sz w:val="3"/>
                <w:szCs w:val="3"/>
                <w:color w:val="auto"/>
              </w:rPr>
            </w:pPr>
          </w:p>
        </w:tc>
        <w:tc>
          <w:tcPr>
            <w:tcW w:w="12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360" w:type="dxa"/>
            <w:vAlign w:val="bottom"/>
            <w:tcBorders>
              <w:lef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3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3.11</w:t>
            </w:r>
          </w:p>
        </w:tc>
        <w:tc>
          <w:tcPr>
            <w:tcW w:w="8080" w:type="dxa"/>
            <w:vAlign w:val="bottom"/>
            <w:gridSpan w:val="21"/>
          </w:tcPr>
          <w:p>
            <w:pPr>
              <w:ind w:left="360"/>
              <w:spacing w:after="0" w:line="150" w:lineRule="exact"/>
              <w:rPr>
                <w:sz w:val="20"/>
                <w:szCs w:val="20"/>
                <w:color w:val="auto"/>
              </w:rPr>
            </w:pPr>
            <w:r>
              <w:rPr>
                <w:rFonts w:ascii="Times New Roman" w:cs="Times New Roman" w:eastAsia="Times New Roman" w:hAnsi="Times New Roman"/>
                <w:sz w:val="15"/>
                <w:szCs w:val="15"/>
                <w:color w:val="0000EE"/>
              </w:rPr>
              <w:t>Computation of Interest</w:t>
            </w:r>
          </w:p>
        </w:tc>
        <w:tc>
          <w:tcPr>
            <w:tcW w:w="15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5"/>
                <w:szCs w:val="15"/>
                <w:color w:val="0000EE"/>
              </w:rPr>
              <w:t>32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3.12</w:t>
            </w:r>
          </w:p>
        </w:tc>
        <w:tc>
          <w:tcPr>
            <w:tcW w:w="360" w:type="dxa"/>
            <w:vAlign w:val="bottom"/>
            <w:shd w:val="clear" w:color="auto" w:fill="EEEEEE"/>
          </w:tcPr>
          <w:p>
            <w:pPr>
              <w:spacing w:after="0"/>
              <w:rPr>
                <w:sz w:val="13"/>
                <w:szCs w:val="13"/>
                <w:color w:val="auto"/>
              </w:rPr>
            </w:pPr>
          </w:p>
        </w:tc>
        <w:tc>
          <w:tcPr>
            <w:tcW w:w="7720" w:type="dxa"/>
            <w:vAlign w:val="bottom"/>
            <w:gridSpan w:val="2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Currency and Manner of Payments in Respect of Securities</w:t>
            </w:r>
          </w:p>
        </w:tc>
        <w:tc>
          <w:tcPr>
            <w:tcW w:w="1580" w:type="dxa"/>
            <w:vAlign w:val="bottom"/>
            <w:gridSpan w:val="3"/>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620" w:type="dxa"/>
            <w:vAlign w:val="bottom"/>
            <w:tcBorders>
              <w:right w:val="single" w:sz="8" w:color="EEEEEE"/>
            </w:tcBorders>
            <w:shd w:val="clear" w:color="auto" w:fill="EEEEEE"/>
          </w:tcPr>
          <w:p>
            <w:pPr>
              <w:spacing w:after="0"/>
              <w:rPr>
                <w:sz w:val="3"/>
                <w:szCs w:val="3"/>
                <w:color w:val="auto"/>
              </w:rPr>
            </w:pPr>
          </w:p>
        </w:tc>
        <w:tc>
          <w:tcPr>
            <w:tcW w:w="15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1440" w:type="dxa"/>
            <w:vAlign w:val="bottom"/>
            <w:shd w:val="clear" w:color="auto" w:fill="EEEEEE"/>
          </w:tcPr>
          <w:p>
            <w:pPr>
              <w:spacing w:after="0"/>
              <w:rPr>
                <w:sz w:val="3"/>
                <w:szCs w:val="3"/>
                <w:color w:val="auto"/>
              </w:rPr>
            </w:pPr>
          </w:p>
        </w:tc>
        <w:tc>
          <w:tcPr>
            <w:tcW w:w="142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232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7"/>
        </w:trPr>
        <w:tc>
          <w:tcPr>
            <w:tcW w:w="1960" w:type="dxa"/>
            <w:vAlign w:val="bottom"/>
            <w:gridSpan w:val="3"/>
            <w:shd w:val="clear" w:color="auto" w:fill="EEEEEE"/>
          </w:tcPr>
          <w:p>
            <w:pPr>
              <w:ind w:left="260"/>
              <w:spacing w:after="0"/>
              <w:rPr>
                <w:sz w:val="20"/>
                <w:szCs w:val="20"/>
                <w:color w:val="auto"/>
              </w:rPr>
            </w:pPr>
            <w:r>
              <w:rPr>
                <w:rFonts w:ascii="Times New Roman" w:cs="Times New Roman" w:eastAsia="Times New Roman" w:hAnsi="Times New Roman"/>
                <w:sz w:val="15"/>
                <w:szCs w:val="15"/>
                <w:color w:val="0000EE"/>
              </w:rPr>
              <w:t>SECTION 3.13</w:t>
            </w:r>
          </w:p>
        </w:tc>
        <w:tc>
          <w:tcPr>
            <w:tcW w:w="6900" w:type="dxa"/>
            <w:vAlign w:val="bottom"/>
            <w:gridSpan w:val="24"/>
            <w:shd w:val="clear" w:color="auto" w:fill="EEEEEE"/>
          </w:tcPr>
          <w:p>
            <w:pPr>
              <w:spacing w:after="0"/>
              <w:rPr>
                <w:sz w:val="20"/>
                <w:szCs w:val="20"/>
                <w:color w:val="auto"/>
              </w:rPr>
            </w:pPr>
            <w:r>
              <w:rPr>
                <w:rFonts w:ascii="Times New Roman" w:cs="Times New Roman" w:eastAsia="Times New Roman" w:hAnsi="Times New Roman"/>
                <w:sz w:val="15"/>
                <w:szCs w:val="15"/>
                <w:color w:val="0000EE"/>
              </w:rPr>
              <w:t>Appointment and Resignation of Successor Exchange Rate Agent</w:t>
            </w:r>
          </w:p>
        </w:tc>
        <w:tc>
          <w:tcPr>
            <w:tcW w:w="2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35</w:t>
            </w:r>
          </w:p>
        </w:tc>
      </w:tr>
      <w:tr>
        <w:trPr>
          <w:trHeight w:val="185"/>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2260" w:type="dxa"/>
            <w:vAlign w:val="bottom"/>
            <w:tcBorders>
              <w:top w:val="single" w:sz="8" w:color="EEEEEE"/>
            </w:tcBorders>
          </w:tcPr>
          <w:p>
            <w:pPr>
              <w:spacing w:after="0"/>
              <w:rPr>
                <w:sz w:val="16"/>
                <w:szCs w:val="16"/>
                <w:color w:val="auto"/>
              </w:rPr>
            </w:pPr>
          </w:p>
        </w:tc>
        <w:tc>
          <w:tcPr>
            <w:tcW w:w="22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65"/>
        </w:trPr>
        <w:tc>
          <w:tcPr>
            <w:tcW w:w="3680" w:type="dxa"/>
            <w:vAlign w:val="bottom"/>
            <w:tcBorders>
              <w:bottom w:val="single" w:sz="8" w:color="0000EE"/>
            </w:tcBorders>
            <w:gridSpan w:val="13"/>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FOUR SATISFACTION AND DISCHARGE</w:t>
            </w:r>
          </w:p>
        </w:tc>
        <w:tc>
          <w:tcPr>
            <w:tcW w:w="5180" w:type="dxa"/>
            <w:vAlign w:val="bottom"/>
            <w:tcBorders>
              <w:bottom w:val="single" w:sz="8" w:color="EEEEEE"/>
            </w:tcBorders>
            <w:gridSpan w:val="14"/>
            <w:shd w:val="clear" w:color="auto" w:fill="EEEEEE"/>
          </w:tcPr>
          <w:p>
            <w:pPr>
              <w:spacing w:after="0"/>
              <w:rPr>
                <w:sz w:val="14"/>
                <w:szCs w:val="14"/>
                <w:color w:val="auto"/>
              </w:rPr>
            </w:pPr>
          </w:p>
        </w:tc>
        <w:tc>
          <w:tcPr>
            <w:tcW w:w="22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35</w:t>
            </w: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4.01</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Satisfaction and Discharge of Indenture</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35</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4.02</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Application of Trust Money</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36</w:t>
            </w:r>
          </w:p>
        </w:tc>
      </w:tr>
      <w:tr>
        <w:trPr>
          <w:trHeight w:val="185"/>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4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2260" w:type="dxa"/>
            <w:vAlign w:val="bottom"/>
            <w:tcBorders>
              <w:top w:val="single" w:sz="8" w:color="EEEEEE"/>
            </w:tcBorders>
          </w:tcPr>
          <w:p>
            <w:pPr>
              <w:spacing w:after="0"/>
              <w:rPr>
                <w:sz w:val="16"/>
                <w:szCs w:val="16"/>
                <w:color w:val="auto"/>
              </w:rPr>
            </w:pPr>
          </w:p>
        </w:tc>
        <w:tc>
          <w:tcPr>
            <w:tcW w:w="22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65"/>
        </w:trPr>
        <w:tc>
          <w:tcPr>
            <w:tcW w:w="1960" w:type="dxa"/>
            <w:vAlign w:val="bottom"/>
            <w:tcBorders>
              <w:bottom w:val="single" w:sz="8" w:color="0000EE"/>
            </w:tcBorders>
            <w:gridSpan w:val="3"/>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FIVE REMEDIES</w:t>
            </w:r>
          </w:p>
        </w:tc>
        <w:tc>
          <w:tcPr>
            <w:tcW w:w="220" w:type="dxa"/>
            <w:vAlign w:val="bottom"/>
            <w:tcBorders>
              <w:bottom w:val="single" w:sz="8" w:color="EEEEEE"/>
            </w:tcBorders>
            <w:shd w:val="clear" w:color="auto" w:fill="EEEEEE"/>
          </w:tcPr>
          <w:p>
            <w:pPr>
              <w:spacing w:after="0"/>
              <w:rPr>
                <w:sz w:val="14"/>
                <w:szCs w:val="14"/>
                <w:color w:val="auto"/>
              </w:rPr>
            </w:pPr>
          </w:p>
        </w:tc>
        <w:tc>
          <w:tcPr>
            <w:tcW w:w="640" w:type="dxa"/>
            <w:vAlign w:val="bottom"/>
            <w:tcBorders>
              <w:bottom w:val="single" w:sz="8" w:color="EEEEEE"/>
            </w:tcBorders>
            <w:shd w:val="clear" w:color="auto" w:fill="EEEEEE"/>
          </w:tcPr>
          <w:p>
            <w:pPr>
              <w:spacing w:after="0"/>
              <w:rPr>
                <w:sz w:val="14"/>
                <w:szCs w:val="14"/>
                <w:color w:val="auto"/>
              </w:rPr>
            </w:pPr>
          </w:p>
        </w:tc>
        <w:tc>
          <w:tcPr>
            <w:tcW w:w="220" w:type="dxa"/>
            <w:vAlign w:val="bottom"/>
            <w:tcBorders>
              <w:bottom w:val="single" w:sz="8" w:color="EEEEEE"/>
            </w:tcBorders>
            <w:shd w:val="clear" w:color="auto" w:fill="EEEEEE"/>
          </w:tcPr>
          <w:p>
            <w:pPr>
              <w:spacing w:after="0"/>
              <w:rPr>
                <w:sz w:val="14"/>
                <w:szCs w:val="14"/>
                <w:color w:val="auto"/>
              </w:rPr>
            </w:pPr>
          </w:p>
        </w:tc>
        <w:tc>
          <w:tcPr>
            <w:tcW w:w="120" w:type="dxa"/>
            <w:vAlign w:val="bottom"/>
            <w:tcBorders>
              <w:left w:val="single" w:sz="8" w:color="EEEEEE"/>
              <w:bottom w:val="single" w:sz="8" w:color="EEEEEE"/>
            </w:tcBorders>
            <w:shd w:val="clear" w:color="auto" w:fill="EEEEEE"/>
          </w:tcPr>
          <w:p>
            <w:pPr>
              <w:spacing w:after="0"/>
              <w:rPr>
                <w:sz w:val="14"/>
                <w:szCs w:val="14"/>
                <w:color w:val="auto"/>
              </w:rPr>
            </w:pPr>
          </w:p>
        </w:tc>
        <w:tc>
          <w:tcPr>
            <w:tcW w:w="100" w:type="dxa"/>
            <w:vAlign w:val="bottom"/>
            <w:tcBorders>
              <w:bottom w:val="single" w:sz="8" w:color="EEEEEE"/>
              <w:right w:val="single" w:sz="8" w:color="EEEEEE"/>
            </w:tcBorders>
            <w:shd w:val="clear" w:color="auto" w:fill="EEEEEE"/>
          </w:tcPr>
          <w:p>
            <w:pPr>
              <w:spacing w:after="0"/>
              <w:rPr>
                <w:sz w:val="14"/>
                <w:szCs w:val="14"/>
                <w:color w:val="auto"/>
              </w:rPr>
            </w:pPr>
          </w:p>
        </w:tc>
        <w:tc>
          <w:tcPr>
            <w:tcW w:w="80" w:type="dxa"/>
            <w:vAlign w:val="bottom"/>
            <w:tcBorders>
              <w:bottom w:val="single" w:sz="8" w:color="EEEEEE"/>
            </w:tcBorders>
            <w:shd w:val="clear" w:color="auto" w:fill="EEEEEE"/>
          </w:tcPr>
          <w:p>
            <w:pPr>
              <w:spacing w:after="0"/>
              <w:rPr>
                <w:sz w:val="14"/>
                <w:szCs w:val="14"/>
                <w:color w:val="auto"/>
              </w:rPr>
            </w:pPr>
          </w:p>
        </w:tc>
        <w:tc>
          <w:tcPr>
            <w:tcW w:w="80" w:type="dxa"/>
            <w:vAlign w:val="bottom"/>
            <w:tcBorders>
              <w:bottom w:val="single" w:sz="8" w:color="EEEEEE"/>
            </w:tcBorders>
            <w:shd w:val="clear" w:color="auto" w:fill="EEEEEE"/>
          </w:tcPr>
          <w:p>
            <w:pPr>
              <w:spacing w:after="0"/>
              <w:rPr>
                <w:sz w:val="14"/>
                <w:szCs w:val="14"/>
                <w:color w:val="auto"/>
              </w:rPr>
            </w:pPr>
          </w:p>
        </w:tc>
        <w:tc>
          <w:tcPr>
            <w:tcW w:w="60" w:type="dxa"/>
            <w:vAlign w:val="bottom"/>
            <w:tcBorders>
              <w:bottom w:val="single" w:sz="8" w:color="EEEEEE"/>
            </w:tcBorders>
            <w:shd w:val="clear" w:color="auto" w:fill="EEEEEE"/>
          </w:tcPr>
          <w:p>
            <w:pPr>
              <w:spacing w:after="0"/>
              <w:rPr>
                <w:sz w:val="14"/>
                <w:szCs w:val="14"/>
                <w:color w:val="auto"/>
              </w:rPr>
            </w:pPr>
          </w:p>
        </w:tc>
        <w:tc>
          <w:tcPr>
            <w:tcW w:w="100" w:type="dxa"/>
            <w:vAlign w:val="bottom"/>
            <w:tcBorders>
              <w:bottom w:val="single" w:sz="8" w:color="EEEEEE"/>
            </w:tcBorders>
            <w:shd w:val="clear" w:color="auto" w:fill="EEEEEE"/>
          </w:tcPr>
          <w:p>
            <w:pPr>
              <w:spacing w:after="0"/>
              <w:rPr>
                <w:sz w:val="14"/>
                <w:szCs w:val="14"/>
                <w:color w:val="auto"/>
              </w:rPr>
            </w:pPr>
          </w:p>
        </w:tc>
        <w:tc>
          <w:tcPr>
            <w:tcW w:w="100" w:type="dxa"/>
            <w:vAlign w:val="bottom"/>
            <w:tcBorders>
              <w:bottom w:val="single" w:sz="8" w:color="EEEEEE"/>
            </w:tcBorders>
            <w:shd w:val="clear" w:color="auto" w:fill="EEEEEE"/>
          </w:tcPr>
          <w:p>
            <w:pPr>
              <w:spacing w:after="0"/>
              <w:rPr>
                <w:sz w:val="14"/>
                <w:szCs w:val="14"/>
                <w:color w:val="auto"/>
              </w:rPr>
            </w:pPr>
          </w:p>
        </w:tc>
        <w:tc>
          <w:tcPr>
            <w:tcW w:w="180" w:type="dxa"/>
            <w:vAlign w:val="bottom"/>
            <w:tcBorders>
              <w:bottom w:val="single" w:sz="8" w:color="EEEEEE"/>
            </w:tcBorders>
            <w:shd w:val="clear" w:color="auto" w:fill="EEEEEE"/>
          </w:tcPr>
          <w:p>
            <w:pPr>
              <w:spacing w:after="0"/>
              <w:rPr>
                <w:sz w:val="14"/>
                <w:szCs w:val="14"/>
                <w:color w:val="auto"/>
              </w:rPr>
            </w:pPr>
          </w:p>
        </w:tc>
        <w:tc>
          <w:tcPr>
            <w:tcW w:w="320" w:type="dxa"/>
            <w:vAlign w:val="bottom"/>
            <w:tcBorders>
              <w:bottom w:val="single" w:sz="8" w:color="EEEEEE"/>
              <w:right w:val="single" w:sz="8" w:color="EEEEEE"/>
            </w:tcBorders>
            <w:shd w:val="clear" w:color="auto" w:fill="EEEEEE"/>
          </w:tcPr>
          <w:p>
            <w:pPr>
              <w:spacing w:after="0"/>
              <w:rPr>
                <w:sz w:val="14"/>
                <w:szCs w:val="14"/>
                <w:color w:val="auto"/>
              </w:rPr>
            </w:pPr>
          </w:p>
        </w:tc>
        <w:tc>
          <w:tcPr>
            <w:tcW w:w="120" w:type="dxa"/>
            <w:vAlign w:val="bottom"/>
            <w:tcBorders>
              <w:bottom w:val="single" w:sz="8" w:color="EEEEEE"/>
            </w:tcBorders>
            <w:shd w:val="clear" w:color="auto" w:fill="EEEEEE"/>
          </w:tcPr>
          <w:p>
            <w:pPr>
              <w:spacing w:after="0"/>
              <w:rPr>
                <w:sz w:val="14"/>
                <w:szCs w:val="14"/>
                <w:color w:val="auto"/>
              </w:rPr>
            </w:pPr>
          </w:p>
        </w:tc>
        <w:tc>
          <w:tcPr>
            <w:tcW w:w="100" w:type="dxa"/>
            <w:vAlign w:val="bottom"/>
            <w:tcBorders>
              <w:bottom w:val="single" w:sz="8" w:color="EEEEEE"/>
            </w:tcBorders>
            <w:shd w:val="clear" w:color="auto" w:fill="EEEEEE"/>
          </w:tcPr>
          <w:p>
            <w:pPr>
              <w:spacing w:after="0"/>
              <w:rPr>
                <w:sz w:val="14"/>
                <w:szCs w:val="14"/>
                <w:color w:val="auto"/>
              </w:rPr>
            </w:pPr>
          </w:p>
        </w:tc>
        <w:tc>
          <w:tcPr>
            <w:tcW w:w="140" w:type="dxa"/>
            <w:vAlign w:val="bottom"/>
            <w:tcBorders>
              <w:left w:val="single" w:sz="8" w:color="EEEEEE"/>
              <w:bottom w:val="single" w:sz="8" w:color="EEEEEE"/>
            </w:tcBorders>
            <w:shd w:val="clear" w:color="auto" w:fill="EEEEEE"/>
          </w:tcPr>
          <w:p>
            <w:pPr>
              <w:spacing w:after="0"/>
              <w:rPr>
                <w:sz w:val="14"/>
                <w:szCs w:val="14"/>
                <w:color w:val="auto"/>
              </w:rPr>
            </w:pPr>
          </w:p>
        </w:tc>
        <w:tc>
          <w:tcPr>
            <w:tcW w:w="320" w:type="dxa"/>
            <w:vAlign w:val="bottom"/>
            <w:tcBorders>
              <w:bottom w:val="single" w:sz="8" w:color="EEEEEE"/>
            </w:tcBorders>
            <w:shd w:val="clear" w:color="auto" w:fill="EEEEEE"/>
          </w:tcPr>
          <w:p>
            <w:pPr>
              <w:spacing w:after="0"/>
              <w:rPr>
                <w:sz w:val="14"/>
                <w:szCs w:val="14"/>
                <w:color w:val="auto"/>
              </w:rPr>
            </w:pPr>
          </w:p>
        </w:tc>
        <w:tc>
          <w:tcPr>
            <w:tcW w:w="40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180" w:type="dxa"/>
            <w:vAlign w:val="bottom"/>
            <w:tcBorders>
              <w:bottom w:val="single" w:sz="8" w:color="EEEEEE"/>
            </w:tcBorders>
            <w:shd w:val="clear" w:color="auto" w:fill="EEEEEE"/>
          </w:tcPr>
          <w:p>
            <w:pPr>
              <w:spacing w:after="0"/>
              <w:rPr>
                <w:sz w:val="14"/>
                <w:szCs w:val="14"/>
                <w:color w:val="auto"/>
              </w:rPr>
            </w:pPr>
          </w:p>
        </w:tc>
        <w:tc>
          <w:tcPr>
            <w:tcW w:w="80" w:type="dxa"/>
            <w:vAlign w:val="bottom"/>
            <w:tcBorders>
              <w:bottom w:val="single" w:sz="8" w:color="EEEEEE"/>
            </w:tcBorders>
            <w:shd w:val="clear" w:color="auto" w:fill="EEEEEE"/>
          </w:tcPr>
          <w:p>
            <w:pPr>
              <w:spacing w:after="0"/>
              <w:rPr>
                <w:sz w:val="14"/>
                <w:szCs w:val="14"/>
                <w:color w:val="auto"/>
              </w:rPr>
            </w:pPr>
          </w:p>
        </w:tc>
        <w:tc>
          <w:tcPr>
            <w:tcW w:w="240" w:type="dxa"/>
            <w:vAlign w:val="bottom"/>
            <w:tcBorders>
              <w:bottom w:val="single" w:sz="8" w:color="EEEEEE"/>
            </w:tcBorders>
            <w:shd w:val="clear" w:color="auto" w:fill="EEEEEE"/>
          </w:tcPr>
          <w:p>
            <w:pPr>
              <w:spacing w:after="0"/>
              <w:rPr>
                <w:sz w:val="14"/>
                <w:szCs w:val="14"/>
                <w:color w:val="auto"/>
              </w:rPr>
            </w:pPr>
          </w:p>
        </w:tc>
        <w:tc>
          <w:tcPr>
            <w:tcW w:w="8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left w:val="single" w:sz="8" w:color="EEEEEE"/>
              <w:bottom w:val="single" w:sz="8" w:color="EEEEEE"/>
            </w:tcBorders>
            <w:shd w:val="clear" w:color="auto" w:fill="EEEEEE"/>
          </w:tcPr>
          <w:p>
            <w:pPr>
              <w:spacing w:after="0"/>
              <w:rPr>
                <w:sz w:val="14"/>
                <w:szCs w:val="14"/>
                <w:color w:val="auto"/>
              </w:rPr>
            </w:pPr>
          </w:p>
        </w:tc>
        <w:tc>
          <w:tcPr>
            <w:tcW w:w="600" w:type="dxa"/>
            <w:vAlign w:val="bottom"/>
            <w:tcBorders>
              <w:bottom w:val="single" w:sz="8" w:color="EEEEEE"/>
            </w:tcBorders>
            <w:shd w:val="clear" w:color="auto" w:fill="EEEEEE"/>
          </w:tcPr>
          <w:p>
            <w:pPr>
              <w:spacing w:after="0"/>
              <w:rPr>
                <w:sz w:val="14"/>
                <w:szCs w:val="14"/>
                <w:color w:val="auto"/>
              </w:rPr>
            </w:pPr>
          </w:p>
        </w:tc>
        <w:tc>
          <w:tcPr>
            <w:tcW w:w="2260" w:type="dxa"/>
            <w:vAlign w:val="bottom"/>
            <w:tcBorders>
              <w:bottom w:val="single" w:sz="8" w:color="EEEEEE"/>
            </w:tcBorders>
            <w:shd w:val="clear" w:color="auto" w:fill="EEEEEE"/>
          </w:tcPr>
          <w:p>
            <w:pPr>
              <w:spacing w:after="0"/>
              <w:rPr>
                <w:sz w:val="14"/>
                <w:szCs w:val="14"/>
                <w:color w:val="auto"/>
              </w:rPr>
            </w:pPr>
          </w:p>
        </w:tc>
        <w:tc>
          <w:tcPr>
            <w:tcW w:w="22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37</w:t>
            </w: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5.01</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Events of Default</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37</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5.02</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Acceleration of Maturity; Rescission and Annulment</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38</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EEEEEE"/>
            </w:tcBorders>
            <w:shd w:val="clear" w:color="auto" w:fill="0000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5.03</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Collection of Debt and Suits for Enforcement by Trustees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39</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5.04</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Trustees May File Proofs of Claim</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39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5.05</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Trustees May Enforce Claims Without Possession of Securities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5.06</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Application of Money Collected</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EEEE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5.07</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Limitation on Suits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5.08</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Unconditional Right of Holders to Receive Principal, Premium and Interest</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41</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5.09</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Restoration of Rights and Remedies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5.10</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Rights and Remedies Cumulative</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5.11</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Delay or Omission Not Waiver</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5.12</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Control by Holders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5.13</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Waiver of Past Defaults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42</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5.14</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Waiver of Stay or Extension Laws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5.15</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Undertaking for Costs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43</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40" w:type="dxa"/>
            <w:vAlign w:val="bottom"/>
            <w:tcBorders>
              <w:top w:val="single" w:sz="8" w:color="0000EE"/>
            </w:tcBorders>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left w:val="single" w:sz="8" w:color="EEEE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tcBorders>
              <w:left w:val="single" w:sz="8" w:color="EEEEEE"/>
            </w:tcBorders>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00" w:type="dxa"/>
            <w:vAlign w:val="bottom"/>
            <w:tcBorders>
              <w:left w:val="single" w:sz="8" w:color="EEEEEE"/>
              <w:right w:val="single" w:sz="8" w:color="EEEE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60" w:type="dxa"/>
            <w:vAlign w:val="bottom"/>
            <w:tcBorders>
              <w:left w:val="single" w:sz="8" w:color="EEEEEE"/>
            </w:tcBorders>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260" w:type="dxa"/>
            <w:vAlign w:val="bottom"/>
            <w:shd w:val="clear" w:color="auto" w:fill="EEEEEE"/>
          </w:tcPr>
          <w:p>
            <w:pPr>
              <w:spacing w:after="0"/>
              <w:rPr>
                <w:sz w:val="16"/>
                <w:szCs w:val="16"/>
                <w:color w:val="auto"/>
              </w:rPr>
            </w:pPr>
          </w:p>
        </w:tc>
        <w:tc>
          <w:tcPr>
            <w:tcW w:w="22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0"/>
        </w:trPr>
        <w:tc>
          <w:tcPr>
            <w:tcW w:w="8860" w:type="dxa"/>
            <w:vAlign w:val="bottom"/>
            <w:gridSpan w:val="27"/>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SIX THE TRUSTEES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43</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6.01</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Notice of Defaults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6.02</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Certain Duties and Responsibilities of Trustees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6.03</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Certain Rights of Trustees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6.04</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Trustees Not Responsible for Recitals or Issuance of Securities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6.05</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May Hold Securities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EEEEEE"/>
            </w:tcBorders>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6.06</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Money Held in Trust</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46</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6.07</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Compensation and Reimbursement</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6.08</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Corporate Trustees Required; Eligibility</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47</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6.09</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Resignation and Removal; Appointment of Successor</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48</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6.10</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Acceptance of Appointment by Successor</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49</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6.11</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Merger, Conversion, Consolidation or Succession to Business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6.12</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Appointment of Authenticating Agent</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51</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6.13</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Joint Trustees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20" w:type="dxa"/>
            <w:vAlign w:val="bottom"/>
            <w:tcBorders>
              <w:left w:val="single" w:sz="8" w:color="EEEEEE"/>
            </w:tcBorders>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400" w:type="dxa"/>
            <w:vAlign w:val="bottom"/>
            <w:tcBorders>
              <w:left w:val="single" w:sz="8" w:color="EEEE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6.14</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Other Rights of Trustees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53</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40" w:type="dxa"/>
            <w:vAlign w:val="bottom"/>
            <w:tcBorders>
              <w:top w:val="single" w:sz="8" w:color="0000EE"/>
            </w:tcBorders>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left w:val="single" w:sz="8" w:color="EEEE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tcBorders>
              <w:left w:val="single" w:sz="8" w:color="EEEEEE"/>
            </w:tcBorders>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00" w:type="dxa"/>
            <w:vAlign w:val="bottom"/>
            <w:tcBorders>
              <w:left w:val="single" w:sz="8" w:color="EEEEEE"/>
              <w:right w:val="single" w:sz="8" w:color="EEEE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60" w:type="dxa"/>
            <w:vAlign w:val="bottom"/>
            <w:tcBorders>
              <w:left w:val="single" w:sz="8" w:color="EEEEEE"/>
            </w:tcBorders>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260" w:type="dxa"/>
            <w:vAlign w:val="bottom"/>
            <w:shd w:val="clear" w:color="auto" w:fill="EEEEEE"/>
          </w:tcPr>
          <w:p>
            <w:pPr>
              <w:spacing w:after="0"/>
              <w:rPr>
                <w:sz w:val="16"/>
                <w:szCs w:val="16"/>
                <w:color w:val="auto"/>
              </w:rPr>
            </w:pPr>
          </w:p>
        </w:tc>
        <w:tc>
          <w:tcPr>
            <w:tcW w:w="22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8860" w:type="dxa"/>
            <w:vAlign w:val="bottom"/>
            <w:gridSpan w:val="27"/>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SEVEN HOLDERS' LISTS AND REPORTS BY TRUSTEE AND COMPANY</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54</w:t>
            </w:r>
          </w:p>
        </w:tc>
      </w:tr>
      <w:tr>
        <w:trPr>
          <w:trHeight w:val="157"/>
        </w:trPr>
        <w:tc>
          <w:tcPr>
            <w:tcW w:w="260" w:type="dxa"/>
            <w:vAlign w:val="bottom"/>
            <w:tcBorders>
              <w:top w:val="single" w:sz="8" w:color="0000EE"/>
            </w:tcBorders>
            <w:shd w:val="clear" w:color="auto" w:fill="EEEEEE"/>
          </w:tcPr>
          <w:p>
            <w:pPr>
              <w:spacing w:after="0"/>
              <w:rPr>
                <w:sz w:val="13"/>
                <w:szCs w:val="13"/>
                <w:color w:val="auto"/>
              </w:rPr>
            </w:pPr>
          </w:p>
        </w:tc>
        <w:tc>
          <w:tcPr>
            <w:tcW w:w="1700" w:type="dxa"/>
            <w:vAlign w:val="bottom"/>
            <w:tcBorders>
              <w:top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7.01</w:t>
            </w:r>
          </w:p>
        </w:tc>
        <w:tc>
          <w:tcPr>
            <w:tcW w:w="3880" w:type="dxa"/>
            <w:vAlign w:val="bottom"/>
            <w:tcBorders>
              <w:top w:val="single" w:sz="8" w:color="0000EE"/>
            </w:tcBorders>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Company to Furnish Trustees Names and Addresses of Holders</w:t>
            </w:r>
          </w:p>
        </w:tc>
        <w:tc>
          <w:tcPr>
            <w:tcW w:w="3020" w:type="dxa"/>
            <w:vAlign w:val="bottom"/>
            <w:tcBorders>
              <w:left w:val="single" w:sz="8" w:color="EEEEEE"/>
            </w:tcBorders>
            <w:gridSpan w:val="3"/>
            <w:shd w:val="clear" w:color="auto" w:fill="EEEEEE"/>
          </w:tcPr>
          <w:p>
            <w:pPr>
              <w:spacing w:after="0"/>
              <w:rPr>
                <w:sz w:val="13"/>
                <w:szCs w:val="13"/>
                <w:color w:val="auto"/>
              </w:rPr>
            </w:pPr>
          </w:p>
        </w:tc>
        <w:tc>
          <w:tcPr>
            <w:tcW w:w="2240" w:type="dxa"/>
            <w:vAlign w:val="bottom"/>
            <w:shd w:val="clear" w:color="auto" w:fill="EEEEEE"/>
          </w:tcPr>
          <w:p>
            <w:pPr>
              <w:spacing w:after="0"/>
              <w:rPr>
                <w:sz w:val="13"/>
                <w:szCs w:val="13"/>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54</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7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7.02</w:t>
            </w:r>
          </w:p>
        </w:tc>
        <w:tc>
          <w:tcPr>
            <w:tcW w:w="6900" w:type="dxa"/>
            <w:vAlign w:val="bottom"/>
            <w:gridSpan w:val="24"/>
          </w:tcPr>
          <w:p>
            <w:pPr>
              <w:spacing w:after="0" w:line="150" w:lineRule="exact"/>
              <w:rPr>
                <w:sz w:val="20"/>
                <w:szCs w:val="20"/>
                <w:color w:val="auto"/>
              </w:rPr>
            </w:pPr>
            <w:r>
              <w:rPr>
                <w:rFonts w:ascii="Times New Roman" w:cs="Times New Roman" w:eastAsia="Times New Roman" w:hAnsi="Times New Roman"/>
                <w:sz w:val="15"/>
                <w:szCs w:val="15"/>
                <w:color w:val="0000EE"/>
              </w:rPr>
              <w:t>Preservation of List of Names and Addresses of Holders</w:t>
            </w:r>
          </w:p>
        </w:tc>
        <w:tc>
          <w:tcPr>
            <w:tcW w:w="24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54</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0" w:type="dxa"/>
            <w:vAlign w:val="bottom"/>
            <w:tcBorders>
              <w:left w:val="single" w:sz="8" w:color="0000EE"/>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70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7.03</w:t>
            </w:r>
          </w:p>
        </w:tc>
        <w:tc>
          <w:tcPr>
            <w:tcW w:w="6900" w:type="dxa"/>
            <w:vAlign w:val="bottom"/>
            <w:gridSpan w:val="2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Disclosure of Names and Addresses of Holders</w:t>
            </w:r>
          </w:p>
        </w:tc>
        <w:tc>
          <w:tcPr>
            <w:tcW w:w="24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00" w:type="dxa"/>
            <w:vAlign w:val="bottom"/>
            <w:tcBorders>
              <w:left w:val="single" w:sz="8" w:color="0000EE"/>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60" w:type="dxa"/>
            <w:vAlign w:val="bottom"/>
            <w:tcBorders>
              <w:left w:val="single" w:sz="8" w:color="EEEEEE"/>
            </w:tcBorders>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226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2"/>
        </w:trPr>
        <w:tc>
          <w:tcPr>
            <w:tcW w:w="260" w:type="dxa"/>
            <w:vAlign w:val="bottom"/>
            <w:shd w:val="clear" w:color="auto" w:fill="EEEEEE"/>
          </w:tcPr>
          <w:p>
            <w:pPr>
              <w:spacing w:after="0"/>
              <w:rPr>
                <w:sz w:val="15"/>
                <w:szCs w:val="15"/>
                <w:color w:val="auto"/>
              </w:rPr>
            </w:pPr>
          </w:p>
        </w:tc>
        <w:tc>
          <w:tcPr>
            <w:tcW w:w="10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5"/>
                <w:szCs w:val="15"/>
                <w:color w:val="0000EE"/>
              </w:rPr>
              <w:t>SECTION 7.04</w:t>
            </w:r>
          </w:p>
        </w:tc>
        <w:tc>
          <w:tcPr>
            <w:tcW w:w="660" w:type="dxa"/>
            <w:vAlign w:val="bottom"/>
            <w:tcBorders>
              <w:right w:val="single" w:sz="8" w:color="EEEEEE"/>
            </w:tcBorders>
            <w:shd w:val="clear" w:color="auto" w:fill="EEEEEE"/>
          </w:tcPr>
          <w:p>
            <w:pPr>
              <w:spacing w:after="0"/>
              <w:rPr>
                <w:sz w:val="15"/>
                <w:szCs w:val="15"/>
                <w:color w:val="auto"/>
              </w:rPr>
            </w:pPr>
          </w:p>
        </w:tc>
        <w:tc>
          <w:tcPr>
            <w:tcW w:w="6700" w:type="dxa"/>
            <w:vAlign w:val="bottom"/>
            <w:gridSpan w:val="21"/>
            <w:shd w:val="clear" w:color="auto" w:fill="EEEEEE"/>
          </w:tcPr>
          <w:p>
            <w:pPr>
              <w:spacing w:after="0"/>
              <w:rPr>
                <w:sz w:val="20"/>
                <w:szCs w:val="20"/>
                <w:color w:val="auto"/>
              </w:rPr>
            </w:pPr>
            <w:r>
              <w:rPr>
                <w:rFonts w:ascii="Times New Roman" w:cs="Times New Roman" w:eastAsia="Times New Roman" w:hAnsi="Times New Roman"/>
                <w:sz w:val="15"/>
                <w:szCs w:val="15"/>
                <w:color w:val="0000EE"/>
              </w:rPr>
              <w:t>Reports by Trustees</w:t>
            </w:r>
          </w:p>
        </w:tc>
        <w:tc>
          <w:tcPr>
            <w:tcW w:w="2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55</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EEEEEE"/>
            </w:tcBorders>
            <w:shd w:val="clear" w:color="auto" w:fill="EEEEEE"/>
          </w:tcPr>
          <w:p>
            <w:pPr>
              <w:spacing w:after="0"/>
              <w:rPr>
                <w:sz w:val="3"/>
                <w:szCs w:val="3"/>
                <w:color w:val="auto"/>
              </w:rPr>
            </w:pPr>
          </w:p>
        </w:tc>
        <w:tc>
          <w:tcPr>
            <w:tcW w:w="240" w:type="dxa"/>
            <w:vAlign w:val="bottom"/>
            <w:tcBorders>
              <w:left w:val="single" w:sz="8" w:color="EEEEEE"/>
            </w:tcBorders>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7.05</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Reports by the Company</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55</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5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left w:val="single" w:sz="8" w:color="EEEEEE"/>
            </w:tcBorders>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20" w:type="dxa"/>
            <w:vAlign w:val="bottom"/>
            <w:shd w:val="clear" w:color="auto" w:fill="EEEEEE"/>
          </w:tcPr>
          <w:p>
            <w:pPr>
              <w:spacing w:after="0"/>
              <w:rPr>
                <w:sz w:val="16"/>
                <w:szCs w:val="16"/>
                <w:color w:val="auto"/>
              </w:rPr>
            </w:pPr>
          </w:p>
        </w:tc>
        <w:tc>
          <w:tcPr>
            <w:tcW w:w="24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6240" w:type="dxa"/>
            <w:vAlign w:val="bottom"/>
            <w:tcBorders>
              <w:bottom w:val="single" w:sz="8" w:color="0000EE"/>
            </w:tcBorders>
            <w:gridSpan w:val="2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EIGHT CONSOLIDATION, MERGER, CONVEYANCE, TRANSFER OR LEASE</w:t>
            </w:r>
          </w:p>
        </w:tc>
        <w:tc>
          <w:tcPr>
            <w:tcW w:w="24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56</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8.01</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Company May Consolidate, etc., only on Certain Terms</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56</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8.02</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Successor Person Substituted</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57</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5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left w:val="single" w:sz="8" w:color="EEEE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20" w:type="dxa"/>
            <w:vAlign w:val="bottom"/>
            <w:shd w:val="clear" w:color="auto" w:fill="EEEEEE"/>
          </w:tcPr>
          <w:p>
            <w:pPr>
              <w:spacing w:after="0"/>
              <w:rPr>
                <w:sz w:val="16"/>
                <w:szCs w:val="16"/>
                <w:color w:val="auto"/>
              </w:rPr>
            </w:pPr>
          </w:p>
        </w:tc>
        <w:tc>
          <w:tcPr>
            <w:tcW w:w="24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0"/>
        </w:trPr>
        <w:tc>
          <w:tcPr>
            <w:tcW w:w="8660" w:type="dxa"/>
            <w:vAlign w:val="bottom"/>
            <w:gridSpan w:val="25"/>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NINE SUPPLEMENTAL INDENTURES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57</w:t>
            </w:r>
          </w:p>
        </w:tc>
      </w:tr>
      <w:tr>
        <w:trPr>
          <w:trHeight w:val="27"/>
        </w:trPr>
        <w:tc>
          <w:tcPr>
            <w:tcW w:w="26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9.01</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Supplemental Indentures Without Consent of Holders</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57</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80" w:type="dxa"/>
            <w:vAlign w:val="bottom"/>
            <w:tcBorders>
              <w:right w:val="single" w:sz="8" w:color="EEEEEE"/>
            </w:tcBorders>
            <w:shd w:val="clear" w:color="auto" w:fill="0000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9.02</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Supplemental Indentures with Consent of Holders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58</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9.03</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Execution of Supplemental Indentures</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59</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tcBorders>
              <w:right w:val="single" w:sz="8" w:color="EEEEEE"/>
            </w:tcBorders>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9.04</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Effect of Supplemental Indentures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59</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9.05</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Conformity with Trust Indenture Legislation</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6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0"/>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9.06</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Reference in Securities to Supplemental Indentures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60</w:t>
            </w:r>
          </w:p>
        </w:tc>
      </w:tr>
      <w:tr>
        <w:trPr>
          <w:trHeight w:val="27"/>
        </w:trPr>
        <w:tc>
          <w:tcPr>
            <w:tcW w:w="260" w:type="dxa"/>
            <w:vAlign w:val="bottom"/>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560" w:type="dxa"/>
            <w:vAlign w:val="bottom"/>
            <w:tcBorders>
              <w:righ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9.07</w:t>
            </w:r>
          </w:p>
        </w:tc>
        <w:tc>
          <w:tcPr>
            <w:tcW w:w="660" w:type="dxa"/>
            <w:vAlign w:val="bottom"/>
            <w:tcBorders>
              <w:right w:val="single" w:sz="8" w:color="EEEEEE"/>
            </w:tcBorders>
            <w:shd w:val="clear" w:color="auto" w:fill="EEEEEE"/>
          </w:tcPr>
          <w:p>
            <w:pPr>
              <w:spacing w:after="0"/>
              <w:rPr>
                <w:sz w:val="14"/>
                <w:szCs w:val="14"/>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Notice of Supplemental Indentures</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60</w:t>
            </w:r>
          </w:p>
        </w:tc>
      </w:tr>
      <w:tr>
        <w:trPr>
          <w:trHeight w:val="185"/>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66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78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420" w:type="dxa"/>
            <w:vAlign w:val="bottom"/>
            <w:tcBorders>
              <w:top w:val="single" w:sz="8" w:color="EEEEEE"/>
            </w:tcBorders>
          </w:tcPr>
          <w:p>
            <w:pPr>
              <w:spacing w:after="0"/>
              <w:rPr>
                <w:sz w:val="16"/>
                <w:szCs w:val="16"/>
                <w:color w:val="auto"/>
              </w:rPr>
            </w:pPr>
          </w:p>
        </w:tc>
        <w:tc>
          <w:tcPr>
            <w:tcW w:w="24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50"/>
        </w:trPr>
        <w:tc>
          <w:tcPr>
            <w:tcW w:w="8660" w:type="dxa"/>
            <w:vAlign w:val="bottom"/>
            <w:gridSpan w:val="25"/>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TEN COVENANTS</w:t>
            </w:r>
          </w:p>
        </w:tc>
        <w:tc>
          <w:tcPr>
            <w:tcW w:w="2600" w:type="dxa"/>
            <w:vAlign w:val="bottom"/>
            <w:gridSpan w:val="2"/>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60</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240" w:type="dxa"/>
            <w:vAlign w:val="bottom"/>
            <w:tcBorders>
              <w:right w:val="single" w:sz="8" w:color="EEEEEE"/>
            </w:tcBorders>
            <w:shd w:val="clear" w:color="auto" w:fill="EEEEEE"/>
          </w:tcPr>
          <w:p>
            <w:pPr>
              <w:spacing w:after="0"/>
              <w:rPr>
                <w:sz w:val="3"/>
                <w:szCs w:val="3"/>
                <w:color w:val="auto"/>
              </w:rPr>
            </w:pPr>
          </w:p>
        </w:tc>
        <w:tc>
          <w:tcPr>
            <w:tcW w:w="240" w:type="dxa"/>
            <w:vAlign w:val="bottom"/>
            <w:tcBorders>
              <w:left w:val="single" w:sz="8" w:color="EEEEEE"/>
            </w:tcBorders>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10.01</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Payment of Principal, Premium and Interest</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60</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tcBorders>
              <w:top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10.02</w:t>
            </w:r>
          </w:p>
        </w:tc>
        <w:tc>
          <w:tcPr>
            <w:tcW w:w="660" w:type="dxa"/>
            <w:vAlign w:val="bottom"/>
            <w:tcBorders>
              <w:right w:val="single" w:sz="8" w:color="EEEEEE"/>
            </w:tcBorders>
            <w:shd w:val="clear" w:color="auto" w:fill="EEEEEE"/>
          </w:tcPr>
          <w:p>
            <w:pPr>
              <w:spacing w:after="0"/>
              <w:rPr>
                <w:sz w:val="13"/>
                <w:szCs w:val="13"/>
                <w:color w:val="auto"/>
              </w:rPr>
            </w:pPr>
          </w:p>
        </w:tc>
        <w:tc>
          <w:tcPr>
            <w:tcW w:w="2680" w:type="dxa"/>
            <w:vAlign w:val="bottom"/>
            <w:tcBorders>
              <w:top w:val="single" w:sz="8" w:color="0000EE"/>
            </w:tcBorders>
            <w:gridSpan w:val="13"/>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Maintenance of Office or Agency</w:t>
            </w:r>
          </w:p>
        </w:tc>
        <w:tc>
          <w:tcPr>
            <w:tcW w:w="4020" w:type="dxa"/>
            <w:vAlign w:val="bottom"/>
            <w:gridSpan w:val="8"/>
            <w:shd w:val="clear" w:color="auto" w:fill="EEEEEE"/>
          </w:tcPr>
          <w:p>
            <w:pPr>
              <w:spacing w:after="0"/>
              <w:rPr>
                <w:sz w:val="13"/>
                <w:szCs w:val="13"/>
                <w:color w:val="auto"/>
              </w:rPr>
            </w:pPr>
          </w:p>
        </w:tc>
        <w:tc>
          <w:tcPr>
            <w:tcW w:w="2440" w:type="dxa"/>
            <w:vAlign w:val="bottom"/>
            <w:shd w:val="clear" w:color="auto" w:fill="EEEEEE"/>
          </w:tcPr>
          <w:p>
            <w:pPr>
              <w:spacing w:after="0"/>
              <w:rPr>
                <w:sz w:val="13"/>
                <w:szCs w:val="13"/>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60</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20" w:type="dxa"/>
            <w:vAlign w:val="bottom"/>
            <w:tcBorders>
              <w:right w:val="single" w:sz="8" w:color="EEEEEE"/>
            </w:tcBorders>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10.03</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Money for Securities Payments to Be Held in Trust</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61</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top w:val="single" w:sz="8" w:color="0000EE"/>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10.04</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1720" w:type="dxa"/>
            <w:vAlign w:val="bottom"/>
            <w:tcBorders>
              <w:top w:val="single" w:sz="8" w:color="0000EE"/>
              <w:bottom w:val="single" w:sz="8" w:color="0000EE"/>
            </w:tcBorders>
            <w:gridSpan w:val="5"/>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Statement as to Compliance</w:t>
            </w:r>
          </w:p>
        </w:tc>
        <w:tc>
          <w:tcPr>
            <w:tcW w:w="1440" w:type="dxa"/>
            <w:vAlign w:val="bottom"/>
            <w:tcBorders>
              <w:top w:val="single" w:sz="8" w:color="0000EE"/>
              <w:bottom w:val="single" w:sz="8" w:color="EEEEEE"/>
              <w:right w:val="single" w:sz="8" w:color="EEEEEE"/>
            </w:tcBorders>
            <w:gridSpan w:val="11"/>
            <w:shd w:val="clear" w:color="auto" w:fill="EEEEEE"/>
          </w:tcPr>
          <w:p>
            <w:pPr>
              <w:spacing w:after="0"/>
              <w:rPr>
                <w:sz w:val="14"/>
                <w:szCs w:val="14"/>
                <w:color w:val="auto"/>
              </w:rPr>
            </w:pPr>
          </w:p>
        </w:tc>
        <w:tc>
          <w:tcPr>
            <w:tcW w:w="3540" w:type="dxa"/>
            <w:vAlign w:val="bottom"/>
            <w:tcBorders>
              <w:bottom w:val="single" w:sz="8" w:color="EEEEEE"/>
            </w:tcBorders>
            <w:gridSpan w:val="5"/>
            <w:shd w:val="clear" w:color="auto" w:fill="EEEEEE"/>
          </w:tcPr>
          <w:p>
            <w:pPr>
              <w:spacing w:after="0"/>
              <w:rPr>
                <w:sz w:val="14"/>
                <w:szCs w:val="14"/>
                <w:color w:val="auto"/>
              </w:rPr>
            </w:pPr>
          </w:p>
        </w:tc>
        <w:tc>
          <w:tcPr>
            <w:tcW w:w="24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top w:val="single" w:sz="8" w:color="0000EE"/>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62</w:t>
            </w: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10.05</w:t>
            </w:r>
          </w:p>
        </w:tc>
        <w:tc>
          <w:tcPr>
            <w:tcW w:w="660" w:type="dxa"/>
            <w:vAlign w:val="bottom"/>
          </w:tcPr>
          <w:p>
            <w:pPr>
              <w:spacing w:after="0"/>
              <w:rPr>
                <w:sz w:val="13"/>
                <w:szCs w:val="13"/>
                <w:color w:val="auto"/>
              </w:rPr>
            </w:pPr>
          </w:p>
        </w:tc>
        <w:tc>
          <w:tcPr>
            <w:tcW w:w="222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5"/>
                <w:szCs w:val="15"/>
                <w:color w:val="0000EE"/>
              </w:rPr>
              <w:t>Payment of Taxes and Other Claims</w:t>
            </w:r>
          </w:p>
        </w:tc>
        <w:tc>
          <w:tcPr>
            <w:tcW w:w="4480" w:type="dxa"/>
            <w:vAlign w:val="bottom"/>
            <w:gridSpan w:val="12"/>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62</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10.06</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Corporate Existence</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62</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EEEEEE"/>
            </w:tcBorders>
            <w:shd w:val="clear" w:color="auto" w:fill="EEEEEE"/>
          </w:tcPr>
          <w:p>
            <w:pPr>
              <w:spacing w:after="0"/>
              <w:rPr>
                <w:sz w:val="3"/>
                <w:szCs w:val="3"/>
                <w:color w:val="auto"/>
              </w:rPr>
            </w:pPr>
          </w:p>
        </w:tc>
        <w:tc>
          <w:tcPr>
            <w:tcW w:w="240" w:type="dxa"/>
            <w:vAlign w:val="bottom"/>
            <w:tcBorders>
              <w:left w:val="single" w:sz="8" w:color="EEEEEE"/>
            </w:tcBorders>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10.07</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Waiver of Certain Covenants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63</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5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left w:val="single" w:sz="8" w:color="EEEE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20" w:type="dxa"/>
            <w:vAlign w:val="bottom"/>
            <w:shd w:val="clear" w:color="auto" w:fill="EEEEEE"/>
          </w:tcPr>
          <w:p>
            <w:pPr>
              <w:spacing w:after="0"/>
              <w:rPr>
                <w:sz w:val="16"/>
                <w:szCs w:val="16"/>
                <w:color w:val="auto"/>
              </w:rPr>
            </w:pPr>
          </w:p>
        </w:tc>
        <w:tc>
          <w:tcPr>
            <w:tcW w:w="24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368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ELEVEN REDEMPTION OF SECURITIES</w:t>
            </w:r>
          </w:p>
        </w:tc>
        <w:tc>
          <w:tcPr>
            <w:tcW w:w="4980" w:type="dxa"/>
            <w:vAlign w:val="bottom"/>
            <w:gridSpan w:val="16"/>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63</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11.01</w:t>
            </w:r>
          </w:p>
        </w:tc>
        <w:tc>
          <w:tcPr>
            <w:tcW w:w="660" w:type="dxa"/>
            <w:vAlign w:val="bottom"/>
            <w:tcBorders>
              <w:right w:val="single" w:sz="8" w:color="EEEEEE"/>
            </w:tcBorders>
            <w:shd w:val="clear" w:color="auto" w:fill="EEEEEE"/>
          </w:tcPr>
          <w:p>
            <w:pPr>
              <w:spacing w:after="0"/>
              <w:rPr>
                <w:sz w:val="13"/>
                <w:szCs w:val="13"/>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Applicability of Article</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63</w:t>
            </w:r>
          </w:p>
        </w:tc>
      </w:tr>
      <w:tr>
        <w:trPr>
          <w:trHeight w:val="35"/>
        </w:trPr>
        <w:tc>
          <w:tcPr>
            <w:tcW w:w="260" w:type="dxa"/>
            <w:vAlign w:val="bottom"/>
            <w:shd w:val="clear" w:color="auto" w:fill="EEEE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40" w:type="dxa"/>
            <w:vAlign w:val="bottom"/>
            <w:tcBorders>
              <w:left w:val="single" w:sz="8" w:color="EEEEEE"/>
            </w:tcBorders>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11.02</w:t>
            </w:r>
          </w:p>
        </w:tc>
        <w:tc>
          <w:tcPr>
            <w:tcW w:w="660" w:type="dxa"/>
            <w:vAlign w:val="bottom"/>
          </w:tcPr>
          <w:p>
            <w:pPr>
              <w:spacing w:after="0"/>
              <w:rPr>
                <w:sz w:val="13"/>
                <w:szCs w:val="13"/>
                <w:color w:val="auto"/>
              </w:rPr>
            </w:pPr>
          </w:p>
        </w:tc>
        <w:tc>
          <w:tcPr>
            <w:tcW w:w="2420" w:type="dxa"/>
            <w:vAlign w:val="bottom"/>
            <w:tcBorders>
              <w:bottom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5"/>
                <w:szCs w:val="15"/>
                <w:color w:val="0000EE"/>
              </w:rPr>
              <w:t>Election to Redeem; Notice to Trustees</w:t>
            </w:r>
          </w:p>
        </w:tc>
        <w:tc>
          <w:tcPr>
            <w:tcW w:w="4280" w:type="dxa"/>
            <w:vAlign w:val="bottom"/>
            <w:gridSpan w:val="11"/>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63</w:t>
            </w:r>
          </w:p>
        </w:tc>
      </w:tr>
      <w:tr>
        <w:trPr>
          <w:trHeight w:val="172"/>
        </w:trPr>
        <w:tc>
          <w:tcPr>
            <w:tcW w:w="26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11.03</w:t>
            </w:r>
          </w:p>
        </w:tc>
        <w:tc>
          <w:tcPr>
            <w:tcW w:w="660" w:type="dxa"/>
            <w:vAlign w:val="bottom"/>
            <w:tcBorders>
              <w:right w:val="single" w:sz="8" w:color="EEEEEE"/>
            </w:tcBorders>
            <w:shd w:val="clear" w:color="auto" w:fill="EEEEEE"/>
          </w:tcPr>
          <w:p>
            <w:pPr>
              <w:spacing w:after="0"/>
              <w:rPr>
                <w:sz w:val="14"/>
                <w:szCs w:val="14"/>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Selection by Trustees of Securities to Be Redeemed</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63</w:t>
            </w:r>
          </w:p>
        </w:tc>
      </w:tr>
      <w:tr>
        <w:trPr>
          <w:trHeight w:val="157"/>
        </w:trPr>
        <w:tc>
          <w:tcPr>
            <w:tcW w:w="260" w:type="dxa"/>
            <w:vAlign w:val="bottom"/>
            <w:tcBorders>
              <w:top w:val="single" w:sz="8" w:color="EEEEEE"/>
            </w:tcBorders>
          </w:tcPr>
          <w:p>
            <w:pPr>
              <w:spacing w:after="0"/>
              <w:rPr>
                <w:sz w:val="13"/>
                <w:szCs w:val="13"/>
                <w:color w:val="auto"/>
              </w:rPr>
            </w:pPr>
          </w:p>
        </w:tc>
        <w:tc>
          <w:tcPr>
            <w:tcW w:w="104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11.04</w:t>
            </w:r>
          </w:p>
        </w:tc>
        <w:tc>
          <w:tcPr>
            <w:tcW w:w="660" w:type="dxa"/>
            <w:vAlign w:val="bottom"/>
            <w:tcBorders>
              <w:top w:val="single" w:sz="8" w:color="EEEEEE"/>
            </w:tcBorders>
          </w:tcPr>
          <w:p>
            <w:pPr>
              <w:spacing w:after="0"/>
              <w:rPr>
                <w:sz w:val="13"/>
                <w:szCs w:val="13"/>
                <w:color w:val="auto"/>
              </w:rPr>
            </w:pPr>
          </w:p>
        </w:tc>
        <w:tc>
          <w:tcPr>
            <w:tcW w:w="148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5"/>
                <w:szCs w:val="15"/>
                <w:color w:val="0000EE"/>
              </w:rPr>
              <w:t>Notice of Redemption</w:t>
            </w:r>
          </w:p>
        </w:tc>
        <w:tc>
          <w:tcPr>
            <w:tcW w:w="1680" w:type="dxa"/>
            <w:vAlign w:val="bottom"/>
            <w:tcBorders>
              <w:top w:val="single" w:sz="8" w:color="0000EE"/>
            </w:tcBorders>
            <w:gridSpan w:val="12"/>
          </w:tcPr>
          <w:p>
            <w:pPr>
              <w:spacing w:after="0"/>
              <w:rPr>
                <w:sz w:val="13"/>
                <w:szCs w:val="13"/>
                <w:color w:val="auto"/>
              </w:rPr>
            </w:pPr>
          </w:p>
        </w:tc>
        <w:tc>
          <w:tcPr>
            <w:tcW w:w="3540" w:type="dxa"/>
            <w:vAlign w:val="bottom"/>
            <w:tcBorders>
              <w:top w:val="single" w:sz="8" w:color="EEEEEE"/>
            </w:tcBorders>
            <w:gridSpan w:val="5"/>
          </w:tcPr>
          <w:p>
            <w:pPr>
              <w:spacing w:after="0"/>
              <w:rPr>
                <w:sz w:val="13"/>
                <w:szCs w:val="13"/>
                <w:color w:val="auto"/>
              </w:rPr>
            </w:pPr>
          </w:p>
        </w:tc>
        <w:tc>
          <w:tcPr>
            <w:tcW w:w="2440" w:type="dxa"/>
            <w:vAlign w:val="bottom"/>
            <w:tcBorders>
              <w:top w:val="single" w:sz="8" w:color="EEEEEE"/>
            </w:tcBorders>
          </w:tcPr>
          <w:p>
            <w:pPr>
              <w:spacing w:after="0"/>
              <w:rPr>
                <w:sz w:val="13"/>
                <w:szCs w:val="13"/>
                <w:color w:val="auto"/>
              </w:rPr>
            </w:pPr>
          </w:p>
        </w:tc>
        <w:tc>
          <w:tcPr>
            <w:tcW w:w="160" w:type="dxa"/>
            <w:vAlign w:val="bottom"/>
            <w:tcBorders>
              <w:top w:val="single" w:sz="8" w:color="0000EE"/>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64</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11.05</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1780" w:type="dxa"/>
            <w:vAlign w:val="bottom"/>
            <w:tcBorders>
              <w:bottom w:val="single" w:sz="8" w:color="0000EE"/>
            </w:tcBorders>
            <w:gridSpan w:val="6"/>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Deposit of Redemption Price</w:t>
            </w:r>
          </w:p>
        </w:tc>
        <w:tc>
          <w:tcPr>
            <w:tcW w:w="4920" w:type="dxa"/>
            <w:vAlign w:val="bottom"/>
            <w:tcBorders>
              <w:bottom w:val="single" w:sz="8" w:color="EEEEEE"/>
            </w:tcBorders>
            <w:gridSpan w:val="15"/>
            <w:shd w:val="clear" w:color="auto" w:fill="EEEEEE"/>
          </w:tcPr>
          <w:p>
            <w:pPr>
              <w:spacing w:after="0"/>
              <w:rPr>
                <w:sz w:val="14"/>
                <w:szCs w:val="14"/>
                <w:color w:val="auto"/>
              </w:rPr>
            </w:pPr>
          </w:p>
        </w:tc>
        <w:tc>
          <w:tcPr>
            <w:tcW w:w="24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65</w:t>
            </w: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11.06</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Securities Payable on Redemption Date</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65</w:t>
            </w:r>
          </w:p>
        </w:tc>
      </w:tr>
      <w:tr>
        <w:trPr>
          <w:trHeight w:val="172"/>
        </w:trPr>
        <w:tc>
          <w:tcPr>
            <w:tcW w:w="260" w:type="dxa"/>
            <w:vAlign w:val="bottom"/>
            <w:shd w:val="clear" w:color="auto" w:fill="EEEEEE"/>
          </w:tcPr>
          <w:p>
            <w:pPr>
              <w:spacing w:after="0"/>
              <w:rPr>
                <w:sz w:val="14"/>
                <w:szCs w:val="14"/>
                <w:color w:val="auto"/>
              </w:rPr>
            </w:pPr>
          </w:p>
        </w:tc>
        <w:tc>
          <w:tcPr>
            <w:tcW w:w="1040" w:type="dxa"/>
            <w:vAlign w:val="bottom"/>
            <w:tcBorders>
              <w:top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11.07</w:t>
            </w:r>
          </w:p>
        </w:tc>
        <w:tc>
          <w:tcPr>
            <w:tcW w:w="660" w:type="dxa"/>
            <w:vAlign w:val="bottom"/>
            <w:tcBorders>
              <w:right w:val="single" w:sz="8" w:color="EEEEEE"/>
            </w:tcBorders>
            <w:shd w:val="clear" w:color="auto" w:fill="EEEEEE"/>
          </w:tcPr>
          <w:p>
            <w:pPr>
              <w:spacing w:after="0"/>
              <w:rPr>
                <w:sz w:val="14"/>
                <w:szCs w:val="14"/>
                <w:color w:val="auto"/>
              </w:rPr>
            </w:pPr>
          </w:p>
        </w:tc>
        <w:tc>
          <w:tcPr>
            <w:tcW w:w="2420" w:type="dxa"/>
            <w:vAlign w:val="bottom"/>
            <w:tcBorders>
              <w:top w:val="single" w:sz="8" w:color="0000EE"/>
              <w:right w:val="single" w:sz="8" w:color="EEEEEE"/>
            </w:tcBorders>
            <w:gridSpan w:val="10"/>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Securities Redeemed in Part</w:t>
            </w:r>
          </w:p>
        </w:tc>
        <w:tc>
          <w:tcPr>
            <w:tcW w:w="4280" w:type="dxa"/>
            <w:vAlign w:val="bottom"/>
            <w:gridSpan w:val="11"/>
            <w:shd w:val="clear" w:color="auto" w:fill="EEEEEE"/>
          </w:tcPr>
          <w:p>
            <w:pPr>
              <w:spacing w:after="0"/>
              <w:rPr>
                <w:sz w:val="14"/>
                <w:szCs w:val="14"/>
                <w:color w:val="auto"/>
              </w:rPr>
            </w:pPr>
          </w:p>
        </w:tc>
        <w:tc>
          <w:tcPr>
            <w:tcW w:w="2440" w:type="dxa"/>
            <w:vAlign w:val="bottom"/>
            <w:shd w:val="clear" w:color="auto" w:fill="EEEEEE"/>
          </w:tcPr>
          <w:p>
            <w:pPr>
              <w:spacing w:after="0"/>
              <w:rPr>
                <w:sz w:val="14"/>
                <w:szCs w:val="14"/>
                <w:color w:val="auto"/>
              </w:rPr>
            </w:pPr>
          </w:p>
        </w:tc>
        <w:tc>
          <w:tcPr>
            <w:tcW w:w="160" w:type="dxa"/>
            <w:vAlign w:val="bottom"/>
            <w:tcBorders>
              <w:top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65</w:t>
            </w:r>
          </w:p>
        </w:tc>
      </w:tr>
      <w:tr>
        <w:trPr>
          <w:trHeight w:val="185"/>
        </w:trPr>
        <w:tc>
          <w:tcPr>
            <w:tcW w:w="260" w:type="dxa"/>
            <w:vAlign w:val="bottom"/>
            <w:tcBorders>
              <w:top w:val="single" w:sz="8" w:color="EEEE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6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78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2420" w:type="dxa"/>
            <w:vAlign w:val="bottom"/>
            <w:tcBorders>
              <w:top w:val="single" w:sz="8" w:color="EEEEEE"/>
            </w:tcBorders>
          </w:tcPr>
          <w:p>
            <w:pPr>
              <w:spacing w:after="0"/>
              <w:rPr>
                <w:sz w:val="16"/>
                <w:szCs w:val="16"/>
                <w:color w:val="auto"/>
              </w:rPr>
            </w:pPr>
          </w:p>
        </w:tc>
        <w:tc>
          <w:tcPr>
            <w:tcW w:w="24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r>
      <w:tr>
        <w:trPr>
          <w:trHeight w:val="150"/>
        </w:trPr>
        <w:tc>
          <w:tcPr>
            <w:tcW w:w="8660" w:type="dxa"/>
            <w:vAlign w:val="bottom"/>
            <w:gridSpan w:val="25"/>
            <w:shd w:val="clear" w:color="auto" w:fill="EEEEEE"/>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TWELVE SINKING FUNDS</w:t>
            </w:r>
          </w:p>
        </w:tc>
        <w:tc>
          <w:tcPr>
            <w:tcW w:w="2600" w:type="dxa"/>
            <w:vAlign w:val="bottom"/>
            <w:gridSpan w:val="2"/>
            <w:shd w:val="clear" w:color="auto" w:fill="EEEEEE"/>
          </w:tcPr>
          <w:p>
            <w:pPr>
              <w:jc w:val="right"/>
              <w:spacing w:after="0" w:line="150" w:lineRule="exact"/>
              <w:rPr>
                <w:sz w:val="20"/>
                <w:szCs w:val="20"/>
                <w:color w:val="auto"/>
              </w:rPr>
            </w:pPr>
            <w:r>
              <w:rPr>
                <w:rFonts w:ascii="Times New Roman" w:cs="Times New Roman" w:eastAsia="Times New Roman" w:hAnsi="Times New Roman"/>
                <w:sz w:val="15"/>
                <w:szCs w:val="15"/>
                <w:color w:val="0000EE"/>
              </w:rPr>
              <w:t>65</w:t>
            </w:r>
          </w:p>
        </w:tc>
      </w:tr>
      <w:tr>
        <w:trPr>
          <w:trHeight w:val="35"/>
        </w:trPr>
        <w:tc>
          <w:tcPr>
            <w:tcW w:w="26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560" w:type="dxa"/>
            <w:vAlign w:val="bottom"/>
            <w:tcBorders>
              <w:right w:val="single" w:sz="8" w:color="EEEEEE"/>
            </w:tcBorders>
            <w:shd w:val="clear" w:color="auto" w:fill="EEEEEE"/>
          </w:tcPr>
          <w:p>
            <w:pPr>
              <w:spacing w:after="0"/>
              <w:rPr>
                <w:sz w:val="3"/>
                <w:szCs w:val="3"/>
                <w:color w:val="auto"/>
              </w:rPr>
            </w:pPr>
          </w:p>
        </w:tc>
        <w:tc>
          <w:tcPr>
            <w:tcW w:w="240" w:type="dxa"/>
            <w:vAlign w:val="bottom"/>
            <w:tcBorders>
              <w:right w:val="single" w:sz="8" w:color="EEEEEE"/>
            </w:tcBorders>
            <w:shd w:val="clear" w:color="auto" w:fill="EEEEEE"/>
          </w:tcPr>
          <w:p>
            <w:pPr>
              <w:spacing w:after="0"/>
              <w:rPr>
                <w:sz w:val="3"/>
                <w:szCs w:val="3"/>
                <w:color w:val="auto"/>
              </w:rPr>
            </w:pPr>
          </w:p>
        </w:tc>
        <w:tc>
          <w:tcPr>
            <w:tcW w:w="240" w:type="dxa"/>
            <w:vAlign w:val="bottom"/>
            <w:tcBorders>
              <w:left w:val="single" w:sz="8" w:color="EEEEEE"/>
            </w:tcBorders>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80" w:type="dxa"/>
            <w:vAlign w:val="bottom"/>
            <w:tcBorders>
              <w:righ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420" w:type="dxa"/>
            <w:vAlign w:val="bottom"/>
            <w:shd w:val="clear" w:color="auto" w:fill="EEEEEE"/>
          </w:tcPr>
          <w:p>
            <w:pPr>
              <w:spacing w:after="0"/>
              <w:rPr>
                <w:sz w:val="3"/>
                <w:szCs w:val="3"/>
                <w:color w:val="auto"/>
              </w:rPr>
            </w:pPr>
          </w:p>
        </w:tc>
        <w:tc>
          <w:tcPr>
            <w:tcW w:w="24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12.01</w:t>
            </w:r>
          </w:p>
        </w:tc>
        <w:tc>
          <w:tcPr>
            <w:tcW w:w="660" w:type="dxa"/>
            <w:vAlign w:val="bottom"/>
          </w:tcPr>
          <w:p>
            <w:pPr>
              <w:spacing w:after="0"/>
              <w:rPr>
                <w:sz w:val="13"/>
                <w:szCs w:val="13"/>
                <w:color w:val="auto"/>
              </w:rPr>
            </w:pPr>
          </w:p>
        </w:tc>
        <w:tc>
          <w:tcPr>
            <w:tcW w:w="148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5"/>
                <w:szCs w:val="15"/>
                <w:color w:val="0000EE"/>
              </w:rPr>
              <w:t>Applicability of Article</w:t>
            </w:r>
          </w:p>
        </w:tc>
        <w:tc>
          <w:tcPr>
            <w:tcW w:w="5220" w:type="dxa"/>
            <w:vAlign w:val="bottom"/>
            <w:gridSpan w:val="17"/>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65</w:t>
            </w:r>
          </w:p>
        </w:tc>
      </w:tr>
      <w:tr>
        <w:trPr>
          <w:trHeight w:val="172"/>
        </w:trPr>
        <w:tc>
          <w:tcPr>
            <w:tcW w:w="26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12.02</w:t>
            </w:r>
          </w:p>
        </w:tc>
        <w:tc>
          <w:tcPr>
            <w:tcW w:w="660" w:type="dxa"/>
            <w:vAlign w:val="bottom"/>
            <w:tcBorders>
              <w:right w:val="single" w:sz="8" w:color="EEEEEE"/>
            </w:tcBorders>
            <w:shd w:val="clear" w:color="auto" w:fill="EEEEEE"/>
          </w:tcPr>
          <w:p>
            <w:pPr>
              <w:spacing w:after="0"/>
              <w:rPr>
                <w:sz w:val="14"/>
                <w:szCs w:val="14"/>
                <w:color w:val="auto"/>
              </w:rPr>
            </w:pPr>
          </w:p>
        </w:tc>
        <w:tc>
          <w:tcPr>
            <w:tcW w:w="6700" w:type="dxa"/>
            <w:vAlign w:val="bottom"/>
            <w:gridSpan w:val="21"/>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Satisfaction of Sinking Fund Payments with Securities</w:t>
            </w:r>
          </w:p>
        </w:tc>
        <w:tc>
          <w:tcPr>
            <w:tcW w:w="260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66</w:t>
            </w:r>
          </w:p>
        </w:tc>
      </w:tr>
      <w:tr>
        <w:trPr>
          <w:trHeight w:val="157"/>
        </w:trPr>
        <w:tc>
          <w:tcPr>
            <w:tcW w:w="260" w:type="dxa"/>
            <w:vAlign w:val="bottom"/>
            <w:tcBorders>
              <w:top w:val="single" w:sz="8" w:color="EEEEEE"/>
            </w:tcBorders>
          </w:tcPr>
          <w:p>
            <w:pPr>
              <w:spacing w:after="0"/>
              <w:rPr>
                <w:sz w:val="13"/>
                <w:szCs w:val="13"/>
                <w:color w:val="auto"/>
              </w:rPr>
            </w:pPr>
          </w:p>
        </w:tc>
        <w:tc>
          <w:tcPr>
            <w:tcW w:w="1040" w:type="dxa"/>
            <w:vAlign w:val="bottom"/>
            <w:tcBorders>
              <w:top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12.03</w:t>
            </w:r>
          </w:p>
        </w:tc>
        <w:tc>
          <w:tcPr>
            <w:tcW w:w="660" w:type="dxa"/>
            <w:vAlign w:val="bottom"/>
            <w:tcBorders>
              <w:top w:val="single" w:sz="8" w:color="EEEEEE"/>
            </w:tcBorders>
          </w:tcPr>
          <w:p>
            <w:pPr>
              <w:spacing w:after="0"/>
              <w:rPr>
                <w:sz w:val="13"/>
                <w:szCs w:val="13"/>
                <w:color w:val="auto"/>
              </w:rPr>
            </w:pPr>
          </w:p>
        </w:tc>
        <w:tc>
          <w:tcPr>
            <w:tcW w:w="3340" w:type="dxa"/>
            <w:vAlign w:val="bottom"/>
            <w:tcBorders>
              <w:top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Redemption of Securities for Sinking Fund</w:t>
            </w:r>
          </w:p>
        </w:tc>
        <w:tc>
          <w:tcPr>
            <w:tcW w:w="3360" w:type="dxa"/>
            <w:vAlign w:val="bottom"/>
            <w:tcBorders>
              <w:top w:val="single" w:sz="8" w:color="EEEEEE"/>
            </w:tcBorders>
            <w:gridSpan w:val="4"/>
          </w:tcPr>
          <w:p>
            <w:pPr>
              <w:spacing w:after="0"/>
              <w:rPr>
                <w:sz w:val="13"/>
                <w:szCs w:val="13"/>
                <w:color w:val="auto"/>
              </w:rPr>
            </w:pPr>
          </w:p>
        </w:tc>
        <w:tc>
          <w:tcPr>
            <w:tcW w:w="2440" w:type="dxa"/>
            <w:vAlign w:val="bottom"/>
            <w:tcBorders>
              <w:top w:val="single" w:sz="8" w:color="EEEEEE"/>
            </w:tcBorders>
          </w:tcPr>
          <w:p>
            <w:pPr>
              <w:spacing w:after="0"/>
              <w:rPr>
                <w:sz w:val="13"/>
                <w:szCs w:val="13"/>
                <w:color w:val="auto"/>
              </w:rPr>
            </w:pPr>
          </w:p>
        </w:tc>
        <w:tc>
          <w:tcPr>
            <w:tcW w:w="160" w:type="dxa"/>
            <w:vAlign w:val="bottom"/>
            <w:tcBorders>
              <w:top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66</w:t>
            </w:r>
          </w:p>
        </w:tc>
      </w:tr>
      <w:tr>
        <w:trPr>
          <w:trHeight w:val="192"/>
        </w:trPr>
        <w:tc>
          <w:tcPr>
            <w:tcW w:w="260" w:type="dxa"/>
            <w:vAlign w:val="bottom"/>
            <w:shd w:val="clear" w:color="auto" w:fill="EEEEEE"/>
          </w:tcPr>
          <w:p>
            <w:pPr>
              <w:spacing w:after="0"/>
              <w:rPr>
                <w:sz w:val="16"/>
                <w:szCs w:val="16"/>
                <w:color w:val="auto"/>
              </w:rPr>
            </w:pPr>
          </w:p>
        </w:tc>
        <w:tc>
          <w:tcPr>
            <w:tcW w:w="9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5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left w:val="single" w:sz="8" w:color="EEEE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32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left w:val="single" w:sz="8" w:color="EEEEEE"/>
            </w:tcBorders>
            <w:shd w:val="clear" w:color="auto" w:fill="EEEEEE"/>
          </w:tcPr>
          <w:p>
            <w:pPr>
              <w:spacing w:after="0"/>
              <w:rPr>
                <w:sz w:val="16"/>
                <w:szCs w:val="16"/>
                <w:color w:val="auto"/>
              </w:rPr>
            </w:pPr>
          </w:p>
        </w:tc>
        <w:tc>
          <w:tcPr>
            <w:tcW w:w="200" w:type="dxa"/>
            <w:vAlign w:val="bottom"/>
            <w:tcBorders>
              <w:top w:val="single" w:sz="8" w:color="0000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80" w:type="dxa"/>
            <w:vAlign w:val="bottom"/>
            <w:tcBorders>
              <w:right w:val="single" w:sz="8" w:color="EEEEEE"/>
            </w:tcBorders>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20" w:type="dxa"/>
            <w:vAlign w:val="bottom"/>
            <w:shd w:val="clear" w:color="auto" w:fill="EEEEEE"/>
          </w:tcPr>
          <w:p>
            <w:pPr>
              <w:spacing w:after="0"/>
              <w:rPr>
                <w:sz w:val="16"/>
                <w:szCs w:val="16"/>
                <w:color w:val="auto"/>
              </w:rPr>
            </w:pPr>
          </w:p>
        </w:tc>
        <w:tc>
          <w:tcPr>
            <w:tcW w:w="2440" w:type="dxa"/>
            <w:vAlign w:val="bottom"/>
            <w:shd w:val="clear" w:color="auto" w:fill="EEEEEE"/>
          </w:tcPr>
          <w:p>
            <w:pPr>
              <w:spacing w:after="0"/>
              <w:rPr>
                <w:sz w:val="16"/>
                <w:szCs w:val="16"/>
                <w:color w:val="auto"/>
              </w:rPr>
            </w:pPr>
          </w:p>
        </w:tc>
        <w:tc>
          <w:tcPr>
            <w:tcW w:w="160" w:type="dxa"/>
            <w:vAlign w:val="bottom"/>
            <w:tcBorders>
              <w:top w:val="single" w:sz="8" w:color="0000EE"/>
            </w:tcBorders>
            <w:shd w:val="clear" w:color="auto" w:fill="EEEEEE"/>
          </w:tcPr>
          <w:p>
            <w:pPr>
              <w:spacing w:after="0"/>
              <w:rPr>
                <w:sz w:val="16"/>
                <w:szCs w:val="16"/>
                <w:color w:val="auto"/>
              </w:rPr>
            </w:pPr>
          </w:p>
        </w:tc>
      </w:tr>
      <w:tr>
        <w:trPr>
          <w:trHeight w:val="157"/>
        </w:trPr>
        <w:tc>
          <w:tcPr>
            <w:tcW w:w="8660" w:type="dxa"/>
            <w:vAlign w:val="bottom"/>
            <w:gridSpan w:val="25"/>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ARTICLE THIRTEEN REPAYMENT AT OPTION OF HOLDERS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67</w:t>
            </w:r>
          </w:p>
        </w:tc>
      </w:tr>
      <w:tr>
        <w:trPr>
          <w:trHeight w:val="172"/>
        </w:trPr>
        <w:tc>
          <w:tcPr>
            <w:tcW w:w="260" w:type="dxa"/>
            <w:vAlign w:val="bottom"/>
            <w:tcBorders>
              <w:top w:val="single" w:sz="8" w:color="0000EE"/>
              <w:bottom w:val="single" w:sz="8" w:color="EEEEEE"/>
            </w:tcBorders>
            <w:shd w:val="clear" w:color="auto" w:fill="EEEEEE"/>
          </w:tcPr>
          <w:p>
            <w:pPr>
              <w:spacing w:after="0"/>
              <w:rPr>
                <w:sz w:val="14"/>
                <w:szCs w:val="14"/>
                <w:color w:val="auto"/>
              </w:rPr>
            </w:pPr>
          </w:p>
        </w:tc>
        <w:tc>
          <w:tcPr>
            <w:tcW w:w="1040" w:type="dxa"/>
            <w:vAlign w:val="bottom"/>
            <w:tcBorders>
              <w:top w:val="single" w:sz="8" w:color="0000EE"/>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13.01</w:t>
            </w:r>
          </w:p>
        </w:tc>
        <w:tc>
          <w:tcPr>
            <w:tcW w:w="660" w:type="dxa"/>
            <w:vAlign w:val="bottom"/>
            <w:tcBorders>
              <w:top w:val="single" w:sz="8" w:color="0000EE"/>
              <w:bottom w:val="single" w:sz="8" w:color="EEEEEE"/>
              <w:right w:val="single" w:sz="8" w:color="EEEEEE"/>
            </w:tcBorders>
            <w:shd w:val="clear" w:color="auto" w:fill="EEEEEE"/>
          </w:tcPr>
          <w:p>
            <w:pPr>
              <w:spacing w:after="0"/>
              <w:rPr>
                <w:sz w:val="14"/>
                <w:szCs w:val="14"/>
                <w:color w:val="auto"/>
              </w:rPr>
            </w:pPr>
          </w:p>
        </w:tc>
        <w:tc>
          <w:tcPr>
            <w:tcW w:w="1480" w:type="dxa"/>
            <w:vAlign w:val="bottom"/>
            <w:tcBorders>
              <w:top w:val="single" w:sz="8" w:color="0000EE"/>
              <w:bottom w:val="single" w:sz="8" w:color="0000EE"/>
              <w:right w:val="single" w:sz="8" w:color="EEEEEE"/>
            </w:tcBorders>
            <w:gridSpan w:val="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Applicability of Article</w:t>
            </w:r>
          </w:p>
        </w:tc>
        <w:tc>
          <w:tcPr>
            <w:tcW w:w="1020" w:type="dxa"/>
            <w:vAlign w:val="bottom"/>
            <w:tcBorders>
              <w:top w:val="single" w:sz="8" w:color="0000EE"/>
              <w:left w:val="single" w:sz="8" w:color="EEEEEE"/>
              <w:bottom w:val="single" w:sz="8" w:color="EEEEEE"/>
            </w:tcBorders>
            <w:gridSpan w:val="7"/>
            <w:shd w:val="clear" w:color="auto" w:fill="EEEEEE"/>
          </w:tcPr>
          <w:p>
            <w:pPr>
              <w:spacing w:after="0"/>
              <w:rPr>
                <w:sz w:val="14"/>
                <w:szCs w:val="14"/>
                <w:color w:val="auto"/>
              </w:rPr>
            </w:pPr>
          </w:p>
        </w:tc>
        <w:tc>
          <w:tcPr>
            <w:tcW w:w="4200" w:type="dxa"/>
            <w:vAlign w:val="bottom"/>
            <w:tcBorders>
              <w:bottom w:val="single" w:sz="8" w:color="EEEEEE"/>
            </w:tcBorders>
            <w:gridSpan w:val="10"/>
            <w:shd w:val="clear" w:color="auto" w:fill="EEEEEE"/>
          </w:tcPr>
          <w:p>
            <w:pPr>
              <w:spacing w:after="0"/>
              <w:rPr>
                <w:sz w:val="14"/>
                <w:szCs w:val="14"/>
                <w:color w:val="auto"/>
              </w:rPr>
            </w:pPr>
          </w:p>
        </w:tc>
        <w:tc>
          <w:tcPr>
            <w:tcW w:w="24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top w:val="single" w:sz="8" w:color="0000EE"/>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67</w:t>
            </w:r>
          </w:p>
        </w:tc>
      </w:tr>
      <w:tr>
        <w:trPr>
          <w:trHeight w:val="157"/>
        </w:trPr>
        <w:tc>
          <w:tcPr>
            <w:tcW w:w="26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13.02</w:t>
            </w:r>
          </w:p>
        </w:tc>
        <w:tc>
          <w:tcPr>
            <w:tcW w:w="660" w:type="dxa"/>
            <w:vAlign w:val="bottom"/>
          </w:tcPr>
          <w:p>
            <w:pPr>
              <w:spacing w:after="0"/>
              <w:rPr>
                <w:sz w:val="13"/>
                <w:szCs w:val="13"/>
                <w:color w:val="auto"/>
              </w:rPr>
            </w:pPr>
          </w:p>
        </w:tc>
        <w:tc>
          <w:tcPr>
            <w:tcW w:w="6700" w:type="dxa"/>
            <w:vAlign w:val="bottom"/>
            <w:gridSpan w:val="21"/>
          </w:tcPr>
          <w:p>
            <w:pPr>
              <w:spacing w:after="0" w:line="150" w:lineRule="exact"/>
              <w:rPr>
                <w:sz w:val="20"/>
                <w:szCs w:val="20"/>
                <w:color w:val="auto"/>
              </w:rPr>
            </w:pPr>
            <w:r>
              <w:rPr>
                <w:rFonts w:ascii="Times New Roman" w:cs="Times New Roman" w:eastAsia="Times New Roman" w:hAnsi="Times New Roman"/>
                <w:sz w:val="15"/>
                <w:szCs w:val="15"/>
                <w:color w:val="0000EE"/>
              </w:rPr>
              <w:t>Repayment of Securities</w:t>
            </w:r>
          </w:p>
        </w:tc>
        <w:tc>
          <w:tcPr>
            <w:tcW w:w="26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67</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top w:val="single" w:sz="8" w:color="0000EE"/>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13.03</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1240" w:type="dxa"/>
            <w:vAlign w:val="bottom"/>
            <w:tcBorders>
              <w:top w:val="single" w:sz="8" w:color="0000EE"/>
              <w:bottom w:val="single" w:sz="8" w:color="0000EE"/>
              <w:right w:val="single" w:sz="8" w:color="EEEEEE"/>
            </w:tcBorders>
            <w:gridSpan w:val="3"/>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Exercise of Option</w:t>
            </w:r>
          </w:p>
        </w:tc>
        <w:tc>
          <w:tcPr>
            <w:tcW w:w="240" w:type="dxa"/>
            <w:vAlign w:val="bottom"/>
            <w:tcBorders>
              <w:top w:val="single" w:sz="8" w:color="0000EE"/>
              <w:bottom w:val="single" w:sz="8" w:color="EEEEEE"/>
              <w:right w:val="single" w:sz="8" w:color="EEEEEE"/>
            </w:tcBorders>
            <w:shd w:val="clear" w:color="auto" w:fill="EEEEEE"/>
          </w:tcPr>
          <w:p>
            <w:pPr>
              <w:spacing w:after="0"/>
              <w:rPr>
                <w:sz w:val="14"/>
                <w:szCs w:val="14"/>
                <w:color w:val="auto"/>
              </w:rPr>
            </w:pPr>
          </w:p>
        </w:tc>
        <w:tc>
          <w:tcPr>
            <w:tcW w:w="5220" w:type="dxa"/>
            <w:vAlign w:val="bottom"/>
            <w:tcBorders>
              <w:left w:val="single" w:sz="8" w:color="EEEEEE"/>
              <w:bottom w:val="single" w:sz="8" w:color="EEEEEE"/>
            </w:tcBorders>
            <w:gridSpan w:val="17"/>
            <w:shd w:val="clear" w:color="auto" w:fill="EEEEEE"/>
          </w:tcPr>
          <w:p>
            <w:pPr>
              <w:spacing w:after="0"/>
              <w:rPr>
                <w:sz w:val="14"/>
                <w:szCs w:val="14"/>
                <w:color w:val="auto"/>
              </w:rPr>
            </w:pPr>
          </w:p>
        </w:tc>
        <w:tc>
          <w:tcPr>
            <w:tcW w:w="24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top w:val="single" w:sz="8" w:color="0000EE"/>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67</w:t>
            </w: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rPr>
              <w:t>SECTION 13.04</w:t>
            </w:r>
          </w:p>
        </w:tc>
        <w:tc>
          <w:tcPr>
            <w:tcW w:w="660" w:type="dxa"/>
            <w:vAlign w:val="bottom"/>
          </w:tcPr>
          <w:p>
            <w:pPr>
              <w:spacing w:after="0"/>
              <w:rPr>
                <w:sz w:val="13"/>
                <w:szCs w:val="13"/>
                <w:color w:val="auto"/>
              </w:rPr>
            </w:pPr>
          </w:p>
        </w:tc>
        <w:tc>
          <w:tcPr>
            <w:tcW w:w="422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5"/>
                <w:szCs w:val="15"/>
                <w:color w:val="0000EE"/>
              </w:rPr>
              <w:t>When Securities Presented for Repayment Become Due and Payable</w:t>
            </w:r>
          </w:p>
        </w:tc>
        <w:tc>
          <w:tcPr>
            <w:tcW w:w="2480" w:type="dxa"/>
            <w:vAlign w:val="bottom"/>
            <w:gridSpan w:val="2"/>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68</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gridSpan w:val="2"/>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13.05</w:t>
            </w:r>
          </w:p>
        </w:tc>
        <w:tc>
          <w:tcPr>
            <w:tcW w:w="660" w:type="dxa"/>
            <w:vAlign w:val="bottom"/>
            <w:tcBorders>
              <w:bottom w:val="single" w:sz="8" w:color="EEEEEE"/>
              <w:right w:val="single" w:sz="8" w:color="EEEEEE"/>
            </w:tcBorders>
            <w:shd w:val="clear" w:color="auto" w:fill="EEEEEE"/>
          </w:tcPr>
          <w:p>
            <w:pPr>
              <w:spacing w:after="0"/>
              <w:rPr>
                <w:sz w:val="14"/>
                <w:szCs w:val="14"/>
                <w:color w:val="auto"/>
              </w:rPr>
            </w:pPr>
          </w:p>
        </w:tc>
        <w:tc>
          <w:tcPr>
            <w:tcW w:w="1480" w:type="dxa"/>
            <w:vAlign w:val="bottom"/>
            <w:tcBorders>
              <w:bottom w:val="single" w:sz="8" w:color="0000EE"/>
              <w:right w:val="single" w:sz="8" w:color="EEEEEE"/>
            </w:tcBorders>
            <w:gridSpan w:val="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w w:val="96"/>
              </w:rPr>
              <w:t>Securities Repaid in Part</w:t>
            </w:r>
          </w:p>
        </w:tc>
        <w:tc>
          <w:tcPr>
            <w:tcW w:w="5220" w:type="dxa"/>
            <w:vAlign w:val="bottom"/>
            <w:tcBorders>
              <w:left w:val="single" w:sz="8" w:color="EEEEEE"/>
              <w:bottom w:val="single" w:sz="8" w:color="EEEEEE"/>
            </w:tcBorders>
            <w:gridSpan w:val="17"/>
            <w:shd w:val="clear" w:color="auto" w:fill="EEEEEE"/>
          </w:tcPr>
          <w:p>
            <w:pPr>
              <w:spacing w:after="0"/>
              <w:rPr>
                <w:sz w:val="14"/>
                <w:szCs w:val="14"/>
                <w:color w:val="auto"/>
              </w:rPr>
            </w:pPr>
          </w:p>
        </w:tc>
        <w:tc>
          <w:tcPr>
            <w:tcW w:w="244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68</w:t>
            </w:r>
          </w:p>
        </w:tc>
      </w:tr>
    </w:tbl>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2"/>
        </w:trPr>
        <w:tc>
          <w:tcPr>
            <w:tcW w:w="9620" w:type="dxa"/>
            <w:vAlign w:val="bottom"/>
            <w:gridSpan w:val="10"/>
            <w:shd w:val="clear" w:color="auto" w:fill="EEEEEE"/>
          </w:tcPr>
          <w:p>
            <w:pPr>
              <w:spacing w:after="0"/>
              <w:rPr>
                <w:sz w:val="20"/>
                <w:szCs w:val="20"/>
                <w:color w:val="auto"/>
              </w:rPr>
            </w:pPr>
            <w:r>
              <w:rPr>
                <w:rFonts w:ascii="Times New Roman" w:cs="Times New Roman" w:eastAsia="Times New Roman" w:hAnsi="Times New Roman"/>
                <w:sz w:val="15"/>
                <w:szCs w:val="15"/>
                <w:b w:val="1"/>
                <w:bCs w:val="1"/>
                <w:color w:val="0000EE"/>
              </w:rPr>
              <w:t>ARTICLE FOURTEEN DEFEASANCE AND COVENANT DEFEASANCE</w:t>
            </w:r>
          </w:p>
        </w:tc>
        <w:tc>
          <w:tcPr>
            <w:tcW w:w="16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5"/>
                <w:szCs w:val="15"/>
                <w:color w:val="0000EE"/>
              </w:rPr>
              <w:t>68</w:t>
            </w:r>
          </w:p>
        </w:tc>
      </w:tr>
      <w:tr>
        <w:trPr>
          <w:trHeight w:val="35"/>
        </w:trPr>
        <w:tc>
          <w:tcPr>
            <w:tcW w:w="260" w:type="dxa"/>
            <w:vAlign w:val="bottom"/>
            <w:shd w:val="clear" w:color="auto" w:fill="0000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500" w:type="dxa"/>
            <w:vAlign w:val="bottom"/>
            <w:tcBorders>
              <w:right w:val="single" w:sz="8" w:color="EEEEEE"/>
            </w:tcBorders>
            <w:shd w:val="clear" w:color="auto" w:fill="0000EE"/>
          </w:tcPr>
          <w:p>
            <w:pPr>
              <w:spacing w:after="0"/>
              <w:rPr>
                <w:sz w:val="3"/>
                <w:szCs w:val="3"/>
                <w:color w:val="auto"/>
              </w:rPr>
            </w:pPr>
          </w:p>
        </w:tc>
        <w:tc>
          <w:tcPr>
            <w:tcW w:w="880" w:type="dxa"/>
            <w:vAlign w:val="bottom"/>
            <w:shd w:val="clear" w:color="auto" w:fill="EEEEEE"/>
          </w:tcPr>
          <w:p>
            <w:pPr>
              <w:spacing w:after="0"/>
              <w:rPr>
                <w:sz w:val="3"/>
                <w:szCs w:val="3"/>
                <w:color w:val="auto"/>
              </w:rPr>
            </w:pPr>
          </w:p>
        </w:tc>
        <w:tc>
          <w:tcPr>
            <w:tcW w:w="2180" w:type="dxa"/>
            <w:vAlign w:val="bottom"/>
            <w:shd w:val="clear" w:color="auto" w:fill="EEEEEE"/>
          </w:tcPr>
          <w:p>
            <w:pPr>
              <w:spacing w:after="0"/>
              <w:rPr>
                <w:sz w:val="3"/>
                <w:szCs w:val="3"/>
                <w:color w:val="auto"/>
              </w:rPr>
            </w:pPr>
          </w:p>
        </w:tc>
        <w:tc>
          <w:tcPr>
            <w:tcW w:w="1480" w:type="dxa"/>
            <w:vAlign w:val="bottom"/>
            <w:shd w:val="clear" w:color="auto" w:fill="EEEEEE"/>
          </w:tcPr>
          <w:p>
            <w:pPr>
              <w:spacing w:after="0"/>
              <w:rPr>
                <w:sz w:val="3"/>
                <w:szCs w:val="3"/>
                <w:color w:val="auto"/>
              </w:rPr>
            </w:pPr>
          </w:p>
        </w:tc>
        <w:tc>
          <w:tcPr>
            <w:tcW w:w="14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5"/>
                <w:szCs w:val="15"/>
                <w:color w:val="0000EE"/>
              </w:rPr>
              <w:t>SECTION 14.01</w:t>
            </w:r>
          </w:p>
        </w:tc>
        <w:tc>
          <w:tcPr>
            <w:tcW w:w="640" w:type="dxa"/>
            <w:vAlign w:val="bottom"/>
          </w:tcPr>
          <w:p>
            <w:pPr>
              <w:spacing w:after="0"/>
              <w:rPr>
                <w:sz w:val="13"/>
                <w:szCs w:val="13"/>
                <w:color w:val="auto"/>
              </w:rPr>
            </w:pPr>
          </w:p>
        </w:tc>
        <w:tc>
          <w:tcPr>
            <w:tcW w:w="402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5"/>
                <w:szCs w:val="15"/>
                <w:color w:val="0000EE"/>
              </w:rPr>
              <w:t>Company's Option to Effect Defeasance or Covenant Defeasance</w:t>
            </w:r>
          </w:p>
        </w:tc>
        <w:tc>
          <w:tcPr>
            <w:tcW w:w="366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68</w:t>
            </w: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14.02</w:t>
            </w:r>
          </w:p>
        </w:tc>
        <w:tc>
          <w:tcPr>
            <w:tcW w:w="640" w:type="dxa"/>
            <w:vAlign w:val="bottom"/>
            <w:tcBorders>
              <w:bottom w:val="single" w:sz="8" w:color="EEEEEE"/>
            </w:tcBorders>
            <w:shd w:val="clear" w:color="auto" w:fill="EEEEEE"/>
          </w:tcPr>
          <w:p>
            <w:pPr>
              <w:spacing w:after="0"/>
              <w:rPr>
                <w:sz w:val="14"/>
                <w:szCs w:val="14"/>
                <w:color w:val="auto"/>
              </w:rPr>
            </w:pPr>
          </w:p>
        </w:tc>
        <w:tc>
          <w:tcPr>
            <w:tcW w:w="1640" w:type="dxa"/>
            <w:vAlign w:val="bottom"/>
            <w:tcBorders>
              <w:bottom w:val="single" w:sz="8" w:color="0000EE"/>
            </w:tcBorders>
            <w:gridSpan w:val="3"/>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Defeasance and Discharge</w:t>
            </w:r>
          </w:p>
        </w:tc>
        <w:tc>
          <w:tcPr>
            <w:tcW w:w="6040" w:type="dxa"/>
            <w:vAlign w:val="bottom"/>
            <w:tcBorders>
              <w:bottom w:val="single" w:sz="8" w:color="EEEEEE"/>
            </w:tcBorders>
            <w:gridSpan w:val="4"/>
            <w:shd w:val="clear" w:color="auto" w:fill="EEEEEE"/>
          </w:tcPr>
          <w:p>
            <w:pPr>
              <w:spacing w:after="0"/>
              <w:rPr>
                <w:sz w:val="14"/>
                <w:szCs w:val="14"/>
                <w:color w:val="auto"/>
              </w:rPr>
            </w:pPr>
          </w:p>
        </w:tc>
        <w:tc>
          <w:tcPr>
            <w:tcW w:w="148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69</w:t>
            </w:r>
          </w:p>
        </w:tc>
      </w:tr>
      <w:tr>
        <w:trPr>
          <w:trHeight w:val="150"/>
        </w:trPr>
        <w:tc>
          <w:tcPr>
            <w:tcW w:w="260" w:type="dxa"/>
            <w:vAlign w:val="bottom"/>
          </w:tcPr>
          <w:p>
            <w:pPr>
              <w:spacing w:after="0"/>
              <w:rPr>
                <w:sz w:val="13"/>
                <w:szCs w:val="13"/>
                <w:color w:val="auto"/>
              </w:rPr>
            </w:pPr>
          </w:p>
        </w:tc>
        <w:tc>
          <w:tcPr>
            <w:tcW w:w="1040" w:type="dxa"/>
            <w:vAlign w:val="bottom"/>
          </w:tcPr>
          <w:p>
            <w:pPr>
              <w:spacing w:after="0" w:line="150" w:lineRule="exact"/>
              <w:rPr>
                <w:sz w:val="20"/>
                <w:szCs w:val="20"/>
                <w:color w:val="auto"/>
              </w:rPr>
            </w:pPr>
            <w:r>
              <w:rPr>
                <w:rFonts w:ascii="Times New Roman" w:cs="Times New Roman" w:eastAsia="Times New Roman" w:hAnsi="Times New Roman"/>
                <w:sz w:val="15"/>
                <w:szCs w:val="15"/>
                <w:color w:val="0000EE"/>
              </w:rPr>
              <w:t>SECTION 14.03</w:t>
            </w:r>
          </w:p>
        </w:tc>
        <w:tc>
          <w:tcPr>
            <w:tcW w:w="640" w:type="dxa"/>
            <w:vAlign w:val="bottom"/>
          </w:tcPr>
          <w:p>
            <w:pPr>
              <w:spacing w:after="0"/>
              <w:rPr>
                <w:sz w:val="13"/>
                <w:szCs w:val="13"/>
                <w:color w:val="auto"/>
              </w:rPr>
            </w:pPr>
          </w:p>
        </w:tc>
        <w:tc>
          <w:tcPr>
            <w:tcW w:w="7680" w:type="dxa"/>
            <w:vAlign w:val="bottom"/>
            <w:gridSpan w:val="7"/>
          </w:tcPr>
          <w:p>
            <w:pPr>
              <w:spacing w:after="0" w:line="150" w:lineRule="exact"/>
              <w:rPr>
                <w:sz w:val="20"/>
                <w:szCs w:val="20"/>
                <w:color w:val="auto"/>
              </w:rPr>
            </w:pPr>
            <w:r>
              <w:rPr>
                <w:rFonts w:ascii="Times New Roman" w:cs="Times New Roman" w:eastAsia="Times New Roman" w:hAnsi="Times New Roman"/>
                <w:sz w:val="15"/>
                <w:szCs w:val="15"/>
                <w:color w:val="0000EE"/>
              </w:rPr>
              <w:t>Covenant Defeasance</w:t>
            </w:r>
          </w:p>
        </w:tc>
        <w:tc>
          <w:tcPr>
            <w:tcW w:w="16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5"/>
                <w:szCs w:val="15"/>
                <w:color w:val="0000EE"/>
              </w:rPr>
              <w:t>69</w:t>
            </w:r>
          </w:p>
        </w:tc>
      </w:tr>
      <w:tr>
        <w:trPr>
          <w:trHeight w:val="27"/>
        </w:trPr>
        <w:tc>
          <w:tcPr>
            <w:tcW w:w="26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r>
      <w:tr>
        <w:trPr>
          <w:trHeight w:val="172"/>
        </w:trPr>
        <w:tc>
          <w:tcPr>
            <w:tcW w:w="260" w:type="dxa"/>
            <w:vAlign w:val="bottom"/>
            <w:tcBorders>
              <w:bottom w:val="single" w:sz="8" w:color="EEEEEE"/>
            </w:tcBorders>
            <w:shd w:val="clear" w:color="auto" w:fill="EEEEEE"/>
          </w:tcPr>
          <w:p>
            <w:pPr>
              <w:spacing w:after="0"/>
              <w:rPr>
                <w:sz w:val="14"/>
                <w:szCs w:val="14"/>
                <w:color w:val="auto"/>
              </w:rPr>
            </w:pPr>
          </w:p>
        </w:tc>
        <w:tc>
          <w:tcPr>
            <w:tcW w:w="1040" w:type="dxa"/>
            <w:vAlign w:val="bottom"/>
            <w:tcBorders>
              <w:bottom w:val="single" w:sz="8" w:color="0000EE"/>
            </w:tcBorders>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14.04</w:t>
            </w:r>
          </w:p>
        </w:tc>
        <w:tc>
          <w:tcPr>
            <w:tcW w:w="640" w:type="dxa"/>
            <w:vAlign w:val="bottom"/>
            <w:tcBorders>
              <w:bottom w:val="single" w:sz="8" w:color="EEEEEE"/>
            </w:tcBorders>
            <w:shd w:val="clear" w:color="auto" w:fill="EEEEEE"/>
          </w:tcPr>
          <w:p>
            <w:pPr>
              <w:spacing w:after="0"/>
              <w:rPr>
                <w:sz w:val="14"/>
                <w:szCs w:val="14"/>
                <w:color w:val="auto"/>
              </w:rPr>
            </w:pPr>
          </w:p>
        </w:tc>
        <w:tc>
          <w:tcPr>
            <w:tcW w:w="3140" w:type="dxa"/>
            <w:vAlign w:val="bottom"/>
            <w:tcBorders>
              <w:bottom w:val="single" w:sz="8" w:color="0000EE"/>
              <w:right w:val="single" w:sz="8" w:color="EEEEEE"/>
            </w:tcBorders>
            <w:gridSpan w:val="4"/>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Conditions to Defeasance or Covenant Defeasance</w:t>
            </w:r>
          </w:p>
        </w:tc>
        <w:tc>
          <w:tcPr>
            <w:tcW w:w="4540" w:type="dxa"/>
            <w:vAlign w:val="bottom"/>
            <w:tcBorders>
              <w:bottom w:val="single" w:sz="8" w:color="EEEEEE"/>
            </w:tcBorders>
            <w:gridSpan w:val="3"/>
            <w:shd w:val="clear" w:color="auto" w:fill="EEEEEE"/>
          </w:tcPr>
          <w:p>
            <w:pPr>
              <w:spacing w:after="0"/>
              <w:rPr>
                <w:sz w:val="14"/>
                <w:szCs w:val="14"/>
                <w:color w:val="auto"/>
              </w:rPr>
            </w:pPr>
          </w:p>
        </w:tc>
        <w:tc>
          <w:tcPr>
            <w:tcW w:w="1480" w:type="dxa"/>
            <w:vAlign w:val="bottom"/>
            <w:tcBorders>
              <w:bottom w:val="single" w:sz="8" w:color="EEEEEE"/>
            </w:tcBorders>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w w:val="93"/>
              </w:rPr>
              <w:t>69</w:t>
            </w:r>
          </w:p>
        </w:tc>
      </w:tr>
      <w:tr>
        <w:trPr>
          <w:trHeight w:val="157"/>
        </w:trPr>
        <w:tc>
          <w:tcPr>
            <w:tcW w:w="260" w:type="dxa"/>
            <w:vAlign w:val="bottom"/>
          </w:tcPr>
          <w:p>
            <w:pPr>
              <w:spacing w:after="0"/>
              <w:rPr>
                <w:sz w:val="13"/>
                <w:szCs w:val="13"/>
                <w:color w:val="auto"/>
              </w:rPr>
            </w:pPr>
          </w:p>
        </w:tc>
        <w:tc>
          <w:tcPr>
            <w:tcW w:w="104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5"/>
                <w:szCs w:val="15"/>
                <w:color w:val="0000EE"/>
              </w:rPr>
              <w:t>SECTION 14.05</w:t>
            </w:r>
          </w:p>
        </w:tc>
        <w:tc>
          <w:tcPr>
            <w:tcW w:w="640" w:type="dxa"/>
            <w:vAlign w:val="bottom"/>
          </w:tcPr>
          <w:p>
            <w:pPr>
              <w:spacing w:after="0"/>
              <w:rPr>
                <w:sz w:val="13"/>
                <w:szCs w:val="13"/>
                <w:color w:val="auto"/>
              </w:rPr>
            </w:pPr>
          </w:p>
        </w:tc>
        <w:tc>
          <w:tcPr>
            <w:tcW w:w="620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5"/>
                <w:szCs w:val="15"/>
                <w:color w:val="0000EE"/>
              </w:rPr>
              <w:t>Deposited Money and Government Obligations to Be Held in Trust; Other Miscellaneous Provisions</w:t>
            </w:r>
          </w:p>
        </w:tc>
        <w:tc>
          <w:tcPr>
            <w:tcW w:w="1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5"/>
                <w:szCs w:val="15"/>
                <w:color w:val="0000EE"/>
                <w:w w:val="93"/>
              </w:rPr>
              <w:t>71</w:t>
            </w:r>
          </w:p>
        </w:tc>
      </w:tr>
      <w:tr>
        <w:trPr>
          <w:trHeight w:val="157"/>
        </w:trPr>
        <w:tc>
          <w:tcPr>
            <w:tcW w:w="260" w:type="dxa"/>
            <w:vAlign w:val="bottom"/>
            <w:shd w:val="clear" w:color="auto" w:fill="EEEEEE"/>
          </w:tcPr>
          <w:p>
            <w:pPr>
              <w:spacing w:after="0"/>
              <w:rPr>
                <w:sz w:val="13"/>
                <w:szCs w:val="13"/>
                <w:color w:val="auto"/>
              </w:rPr>
            </w:pPr>
          </w:p>
        </w:tc>
        <w:tc>
          <w:tcPr>
            <w:tcW w:w="1040" w:type="dxa"/>
            <w:vAlign w:val="bottom"/>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SECTION 14.06</w:t>
            </w:r>
          </w:p>
        </w:tc>
        <w:tc>
          <w:tcPr>
            <w:tcW w:w="640" w:type="dxa"/>
            <w:vAlign w:val="bottom"/>
            <w:shd w:val="clear" w:color="auto" w:fill="EEEEEE"/>
          </w:tcPr>
          <w:p>
            <w:pPr>
              <w:spacing w:after="0"/>
              <w:rPr>
                <w:sz w:val="13"/>
                <w:szCs w:val="13"/>
                <w:color w:val="auto"/>
              </w:rPr>
            </w:pPr>
          </w:p>
        </w:tc>
        <w:tc>
          <w:tcPr>
            <w:tcW w:w="7680" w:type="dxa"/>
            <w:vAlign w:val="bottom"/>
            <w:gridSpan w:val="7"/>
            <w:shd w:val="clear" w:color="auto" w:fill="EEEEEE"/>
          </w:tcPr>
          <w:p>
            <w:pPr>
              <w:spacing w:after="0" w:line="157" w:lineRule="exact"/>
              <w:rPr>
                <w:sz w:val="20"/>
                <w:szCs w:val="20"/>
                <w:color w:val="auto"/>
              </w:rPr>
            </w:pPr>
            <w:r>
              <w:rPr>
                <w:rFonts w:ascii="Times New Roman" w:cs="Times New Roman" w:eastAsia="Times New Roman" w:hAnsi="Times New Roman"/>
                <w:sz w:val="15"/>
                <w:szCs w:val="15"/>
                <w:color w:val="0000EE"/>
              </w:rPr>
              <w:t>Reinstatement</w:t>
            </w:r>
          </w:p>
        </w:tc>
        <w:tc>
          <w:tcPr>
            <w:tcW w:w="1640" w:type="dxa"/>
            <w:vAlign w:val="bottom"/>
            <w:gridSpan w:val="2"/>
            <w:shd w:val="clear" w:color="auto" w:fill="EEEEEE"/>
          </w:tcPr>
          <w:p>
            <w:pPr>
              <w:jc w:val="right"/>
              <w:spacing w:after="0" w:line="157" w:lineRule="exact"/>
              <w:rPr>
                <w:sz w:val="20"/>
                <w:szCs w:val="20"/>
                <w:color w:val="auto"/>
              </w:rPr>
            </w:pPr>
            <w:r>
              <w:rPr>
                <w:rFonts w:ascii="Times New Roman" w:cs="Times New Roman" w:eastAsia="Times New Roman" w:hAnsi="Times New Roman"/>
                <w:sz w:val="15"/>
                <w:szCs w:val="15"/>
                <w:color w:val="0000EE"/>
              </w:rPr>
              <w:t>72</w:t>
            </w:r>
          </w:p>
        </w:tc>
      </w:tr>
      <w:tr>
        <w:trPr>
          <w:trHeight w:val="35"/>
        </w:trPr>
        <w:tc>
          <w:tcPr>
            <w:tcW w:w="260" w:type="dxa"/>
            <w:vAlign w:val="bottom"/>
            <w:shd w:val="clear" w:color="auto" w:fill="EEEEEE"/>
          </w:tcPr>
          <w:p>
            <w:pPr>
              <w:spacing w:after="0"/>
              <w:rPr>
                <w:sz w:val="3"/>
                <w:szCs w:val="3"/>
                <w:color w:val="auto"/>
              </w:rPr>
            </w:pPr>
          </w:p>
        </w:tc>
        <w:tc>
          <w:tcPr>
            <w:tcW w:w="1040" w:type="dxa"/>
            <w:vAlign w:val="bottom"/>
            <w:shd w:val="clear" w:color="auto" w:fill="0000EE"/>
          </w:tcPr>
          <w:p>
            <w:pPr>
              <w:spacing w:after="0"/>
              <w:rPr>
                <w:sz w:val="3"/>
                <w:szCs w:val="3"/>
                <w:color w:val="auto"/>
              </w:rPr>
            </w:pPr>
          </w:p>
        </w:tc>
        <w:tc>
          <w:tcPr>
            <w:tcW w:w="640" w:type="dxa"/>
            <w:vAlign w:val="bottom"/>
            <w:shd w:val="clear" w:color="auto" w:fill="EEEE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500" w:type="dxa"/>
            <w:vAlign w:val="bottom"/>
            <w:tcBorders>
              <w:right w:val="single" w:sz="8" w:color="EEEEEE"/>
            </w:tcBorders>
            <w:shd w:val="clear" w:color="auto" w:fill="EEEEEE"/>
          </w:tcPr>
          <w:p>
            <w:pPr>
              <w:spacing w:after="0"/>
              <w:rPr>
                <w:sz w:val="3"/>
                <w:szCs w:val="3"/>
                <w:color w:val="auto"/>
              </w:rPr>
            </w:pPr>
          </w:p>
        </w:tc>
        <w:tc>
          <w:tcPr>
            <w:tcW w:w="880" w:type="dxa"/>
            <w:vAlign w:val="bottom"/>
            <w:shd w:val="clear" w:color="auto" w:fill="EEEEEE"/>
          </w:tcPr>
          <w:p>
            <w:pPr>
              <w:spacing w:after="0"/>
              <w:rPr>
                <w:sz w:val="3"/>
                <w:szCs w:val="3"/>
                <w:color w:val="auto"/>
              </w:rPr>
            </w:pPr>
          </w:p>
        </w:tc>
        <w:tc>
          <w:tcPr>
            <w:tcW w:w="2180" w:type="dxa"/>
            <w:vAlign w:val="bottom"/>
            <w:shd w:val="clear" w:color="auto" w:fill="EEEEEE"/>
          </w:tcPr>
          <w:p>
            <w:pPr>
              <w:spacing w:after="0"/>
              <w:rPr>
                <w:sz w:val="3"/>
                <w:szCs w:val="3"/>
                <w:color w:val="auto"/>
              </w:rPr>
            </w:pPr>
          </w:p>
        </w:tc>
        <w:tc>
          <w:tcPr>
            <w:tcW w:w="1480" w:type="dxa"/>
            <w:vAlign w:val="bottom"/>
            <w:shd w:val="clear" w:color="auto" w:fill="EEEEEE"/>
          </w:tcPr>
          <w:p>
            <w:pPr>
              <w:spacing w:after="0"/>
              <w:rPr>
                <w:sz w:val="3"/>
                <w:szCs w:val="3"/>
                <w:color w:val="auto"/>
              </w:rPr>
            </w:pPr>
          </w:p>
        </w:tc>
        <w:tc>
          <w:tcPr>
            <w:tcW w:w="148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325"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2"/>
        </w:trPr>
        <w:tc>
          <w:tcPr>
            <w:tcW w:w="2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CROSS-REFERENCE TABLE</w:t>
            </w:r>
          </w:p>
        </w:tc>
      </w:tr>
      <w:tr>
        <w:trPr>
          <w:trHeight w:val="345"/>
        </w:trPr>
        <w:tc>
          <w:tcPr>
            <w:tcW w:w="28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TIA</w:t>
            </w:r>
          </w:p>
        </w:tc>
        <w:tc>
          <w:tcPr>
            <w:tcW w:w="7040" w:type="dxa"/>
            <w:vAlign w:val="bottom"/>
            <w:gridSpan w:val="3"/>
          </w:tcPr>
          <w:p>
            <w:pPr>
              <w:ind w:left="4160"/>
              <w:spacing w:after="0"/>
              <w:rPr>
                <w:sz w:val="20"/>
                <w:szCs w:val="20"/>
                <w:color w:val="auto"/>
              </w:rPr>
            </w:pPr>
            <w:r>
              <w:rPr>
                <w:rFonts w:ascii="Times New Roman" w:cs="Times New Roman" w:eastAsia="Times New Roman" w:hAnsi="Times New Roman"/>
                <w:sz w:val="15"/>
                <w:szCs w:val="15"/>
                <w:color w:val="auto"/>
              </w:rPr>
              <w:t>Indenture</w:t>
            </w:r>
          </w:p>
        </w:tc>
      </w:tr>
      <w:tr>
        <w:trPr>
          <w:trHeight w:val="165"/>
        </w:trPr>
        <w:tc>
          <w:tcPr>
            <w:tcW w:w="2880" w:type="dxa"/>
            <w:vAlign w:val="bottom"/>
          </w:tcPr>
          <w:p>
            <w:pPr>
              <w:spacing w:after="0"/>
              <w:rPr>
                <w:sz w:val="14"/>
                <w:szCs w:val="14"/>
                <w:color w:val="auto"/>
              </w:rPr>
            </w:pPr>
          </w:p>
        </w:tc>
        <w:tc>
          <w:tcPr>
            <w:tcW w:w="13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Section</w:t>
            </w:r>
          </w:p>
        </w:tc>
        <w:tc>
          <w:tcPr>
            <w:tcW w:w="4240" w:type="dxa"/>
            <w:vAlign w:val="bottom"/>
          </w:tcPr>
          <w:p>
            <w:pPr>
              <w:spacing w:after="0"/>
              <w:rPr>
                <w:sz w:val="14"/>
                <w:szCs w:val="14"/>
                <w:color w:val="auto"/>
              </w:rPr>
            </w:pPr>
          </w:p>
        </w:tc>
        <w:tc>
          <w:tcPr>
            <w:tcW w:w="280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Section</w:t>
            </w:r>
          </w:p>
        </w:tc>
      </w:tr>
      <w:tr>
        <w:trPr>
          <w:trHeight w:val="27"/>
        </w:trPr>
        <w:tc>
          <w:tcPr>
            <w:tcW w:w="28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r>
      <w:tr>
        <w:trPr>
          <w:trHeight w:val="192"/>
        </w:trPr>
        <w:tc>
          <w:tcPr>
            <w:tcW w:w="28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6.08(1)</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6.09</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7040" w:type="dxa"/>
            <w:vAlign w:val="bottom"/>
            <w:gridSpan w:val="3"/>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6.05</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6.05</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7040" w:type="dxa"/>
            <w:vAlign w:val="bottom"/>
            <w:gridSpan w:val="3"/>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7.05</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7.03</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7.03</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7.04</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7.04</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7.04</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(d)</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7.05</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7.05</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(a)(4)</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10.04</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7040" w:type="dxa"/>
            <w:vAlign w:val="bottom"/>
            <w:gridSpan w:val="3"/>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(c)(1)</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1.01</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(c)(2)</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1.01</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(d)</w:t>
            </w:r>
          </w:p>
        </w:tc>
        <w:tc>
          <w:tcPr>
            <w:tcW w:w="7040" w:type="dxa"/>
            <w:vAlign w:val="bottom"/>
            <w:gridSpan w:val="3"/>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1.01</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(f)</w:t>
            </w:r>
          </w:p>
        </w:tc>
        <w:tc>
          <w:tcPr>
            <w:tcW w:w="7040" w:type="dxa"/>
            <w:vAlign w:val="bottom"/>
            <w:gridSpan w:val="3"/>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6.02</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6.01</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6.02</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(d)</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6.02</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5.15</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(a)(last sentence)</w:t>
            </w:r>
          </w:p>
        </w:tc>
        <w:tc>
          <w:tcPr>
            <w:tcW w:w="7040" w:type="dxa"/>
            <w:vAlign w:val="bottom"/>
            <w:gridSpan w:val="3"/>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1.02 ("Outstanding")</w:t>
            </w: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(a)(1)(A)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5.12</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(a)(1)(B)</w:t>
            </w:r>
          </w:p>
        </w:tc>
        <w:tc>
          <w:tcPr>
            <w:tcW w:w="4700" w:type="dxa"/>
            <w:vAlign w:val="bottom"/>
            <w:gridSpan w:val="2"/>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5.02, 5.13</w:t>
            </w: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(a)(2)</w:t>
            </w:r>
          </w:p>
        </w:tc>
        <w:tc>
          <w:tcPr>
            <w:tcW w:w="7040" w:type="dxa"/>
            <w:vAlign w:val="bottom"/>
            <w:gridSpan w:val="3"/>
          </w:tcPr>
          <w:p>
            <w:pPr>
              <w:ind w:left="374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5.08</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w:t>
            </w:r>
          </w:p>
        </w:tc>
        <w:tc>
          <w:tcPr>
            <w:tcW w:w="7040" w:type="dxa"/>
            <w:vAlign w:val="bottom"/>
            <w:gridSpan w:val="3"/>
          </w:tcPr>
          <w:p>
            <w:pPr>
              <w:ind w:left="3740"/>
              <w:spacing w:after="0"/>
              <w:rPr>
                <w:sz w:val="20"/>
                <w:szCs w:val="20"/>
                <w:color w:val="auto"/>
              </w:rPr>
            </w:pPr>
            <w:r>
              <w:rPr>
                <w:rFonts w:ascii="Times New Roman" w:cs="Times New Roman" w:eastAsia="Times New Roman" w:hAnsi="Times New Roman"/>
                <w:sz w:val="15"/>
                <w:szCs w:val="15"/>
                <w:color w:val="auto"/>
              </w:rPr>
              <w:t>1.04(e)</w:t>
            </w:r>
          </w:p>
        </w:tc>
      </w:tr>
      <w:tr>
        <w:trPr>
          <w:trHeight w:val="185"/>
        </w:trPr>
        <w:tc>
          <w:tcPr>
            <w:tcW w:w="2880" w:type="dxa"/>
            <w:vAlign w:val="bottom"/>
            <w:tcBorders>
              <w:right w:val="single" w:sz="8" w:color="E6EFFF"/>
            </w:tcBorders>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(a)(1)</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5.03</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(a)(2)</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5.04</w:t>
            </w:r>
          </w:p>
        </w:tc>
        <w:tc>
          <w:tcPr>
            <w:tcW w:w="4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185"/>
        </w:trPr>
        <w:tc>
          <w:tcPr>
            <w:tcW w:w="2880" w:type="dxa"/>
            <w:vAlign w:val="bottom"/>
            <w:tcBorders>
              <w:right w:val="single" w:sz="8" w:color="E6EFFF"/>
            </w:tcBorders>
            <w:shd w:val="clear" w:color="auto" w:fill="E6EFFF"/>
          </w:tcPr>
          <w:p>
            <w:pPr>
              <w:spacing w:after="0"/>
              <w:rPr>
                <w:sz w:val="16"/>
                <w:szCs w:val="16"/>
                <w:color w:val="auto"/>
              </w:rPr>
            </w:pPr>
          </w:p>
        </w:tc>
        <w:tc>
          <w:tcPr>
            <w:tcW w:w="13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(b)</w:t>
            </w:r>
          </w:p>
        </w:tc>
        <w:tc>
          <w:tcPr>
            <w:tcW w:w="4240" w:type="dxa"/>
            <w:vAlign w:val="bottom"/>
            <w:shd w:val="clear" w:color="auto" w:fill="E6EFFF"/>
          </w:tcPr>
          <w:p>
            <w:pPr>
              <w:ind w:left="3740"/>
              <w:spacing w:after="0"/>
              <w:rPr>
                <w:sz w:val="20"/>
                <w:szCs w:val="20"/>
                <w:color w:val="auto"/>
              </w:rPr>
            </w:pPr>
            <w:r>
              <w:rPr>
                <w:rFonts w:ascii="Times New Roman" w:cs="Times New Roman" w:eastAsia="Times New Roman" w:hAnsi="Times New Roman"/>
                <w:sz w:val="15"/>
                <w:szCs w:val="15"/>
                <w:color w:val="auto"/>
              </w:rPr>
              <w:t>10.03</w:t>
            </w:r>
          </w:p>
        </w:tc>
        <w:tc>
          <w:tcPr>
            <w:tcW w:w="46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99"/>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w:t>
            </w:r>
          </w:p>
        </w:tc>
        <w:tc>
          <w:tcPr>
            <w:tcW w:w="4240" w:type="dxa"/>
            <w:vAlign w:val="bottom"/>
          </w:tcPr>
          <w:p>
            <w:pPr>
              <w:ind w:left="3740"/>
              <w:spacing w:after="0"/>
              <w:rPr>
                <w:sz w:val="20"/>
                <w:szCs w:val="20"/>
                <w:color w:val="auto"/>
              </w:rPr>
            </w:pPr>
            <w:r>
              <w:rPr>
                <w:rFonts w:ascii="Times New Roman" w:cs="Times New Roman" w:eastAsia="Times New Roman" w:hAnsi="Times New Roman"/>
                <w:sz w:val="15"/>
                <w:szCs w:val="15"/>
                <w:color w:val="auto"/>
              </w:rPr>
              <w:t>1.16</w:t>
            </w:r>
          </w:p>
        </w:tc>
        <w:tc>
          <w:tcPr>
            <w:tcW w:w="46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3" w:name="page64"/>
    <w:bookmarkEnd w:id="63"/>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Cybin Inc., a corporation duly continued and existing under the laws of the Province of Ontario, Canada (herein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having its principal office at 100 King Street West, Suite 5600, Toronto, Ontario, Canada, M5X 1C9, and ______________________, a</w:t>
      </w:r>
    </w:p>
    <w:p>
      <w:pPr>
        <w:spacing w:after="0"/>
        <w:rPr>
          <w:sz w:val="20"/>
          <w:szCs w:val="20"/>
          <w:color w:val="auto"/>
        </w:rPr>
      </w:pPr>
      <w:r>
        <w:rPr>
          <w:rFonts w:ascii="Times New Roman" w:cs="Times New Roman" w:eastAsia="Times New Roman" w:hAnsi="Times New Roman"/>
          <w:sz w:val="18"/>
          <w:szCs w:val="18"/>
          <w:color w:val="auto"/>
        </w:rPr>
        <w:t>______________________, organized under the laws of ______________________, as U.S. trustee (herein called the "</w:t>
      </w:r>
      <w:r>
        <w:rPr>
          <w:rFonts w:ascii="Times New Roman" w:cs="Times New Roman" w:eastAsia="Times New Roman" w:hAnsi="Times New Roman"/>
          <w:sz w:val="18"/>
          <w:szCs w:val="18"/>
          <w:b w:val="1"/>
          <w:bCs w:val="1"/>
          <w:color w:val="auto"/>
        </w:rPr>
        <w:t>U.S. Trustee</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a ______________________, organized under the laws of ______________________, as Canadian trustee (the "</w:t>
      </w:r>
      <w:r>
        <w:rPr>
          <w:rFonts w:ascii="Times New Roman" w:cs="Times New Roman" w:eastAsia="Times New Roman" w:hAnsi="Times New Roman"/>
          <w:sz w:val="18"/>
          <w:szCs w:val="18"/>
          <w:b w:val="1"/>
          <w:bCs w:val="1"/>
          <w:color w:val="auto"/>
        </w:rPr>
        <w:t>Canadian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together with the U.S. Trustee, the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debentures, notes, bonds or other evidences of indebtedness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which may be convertible into or exchangeable for any securities of any Person (including the Company), to be issued in one or more series as in this Indenture provided.</w:t>
      </w:r>
    </w:p>
    <w:p>
      <w:pPr>
        <w:spacing w:after="0" w:line="135"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This Indenture is subject to the provisions of Trust Indenture Legislation that are required to be part of this Indenture and shall, to the extent applicable, be governed by such provisions.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85"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18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6"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means any Person authorized by the applicable Trustee pursuant to Section 6.12 to act on behalf of such Trustee to authenticate Securities.</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has the meaning specified in Section 1.14.</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232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4" w:name="page65"/>
    <w:bookmarkEnd w:id="64"/>
    <w:p>
      <w:pPr>
        <w:jc w:val="both"/>
        <w:ind w:firstLine="554"/>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111"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period</w:t>
      </w:r>
      <w:r>
        <w:rPr>
          <w:rFonts w:ascii="Times New Roman" w:cs="Times New Roman" w:eastAsia="Times New Roman" w:hAnsi="Times New Roman"/>
          <w:sz w:val="18"/>
          <w:szCs w:val="18"/>
          <w:color w:val="auto"/>
        </w:rPr>
        <w:t>" has the meaning specified in Section 3.11.</w:t>
      </w:r>
    </w:p>
    <w:p>
      <w:pPr>
        <w:spacing w:after="0" w:line="18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Trustee</w:t>
      </w:r>
      <w:r>
        <w:rPr>
          <w:rFonts w:ascii="Times New Roman" w:cs="Times New Roman" w:eastAsia="Times New Roman" w:hAnsi="Times New Roman"/>
          <w:sz w:val="18"/>
          <w:szCs w:val="18"/>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at any time there is more than one such Person, "Canadian Trustee" as used with respect to the Securities of any series shall mean only the Canadian Trustee with respect to Securities of that series.</w:t>
      </w:r>
    </w:p>
    <w:p>
      <w:pPr>
        <w:spacing w:after="0" w:line="136"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3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1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an Officer and delivered to the Trustees.</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 Currency</w:t>
      </w:r>
      <w:r>
        <w:rPr>
          <w:rFonts w:ascii="Times New Roman" w:cs="Times New Roman" w:eastAsia="Times New Roman" w:hAnsi="Times New Roman"/>
          <w:sz w:val="18"/>
          <w:szCs w:val="18"/>
          <w:color w:val="auto"/>
        </w:rPr>
        <w:t>" has the meaning specified in Section 3.12(h).</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has the meaning specified in Section 3.12(d).</w:t>
      </w:r>
    </w:p>
    <w:p>
      <w:pPr>
        <w:spacing w:after="0" w:line="185" w:lineRule="exact"/>
        <w:rPr>
          <w:sz w:val="20"/>
          <w:szCs w:val="20"/>
          <w:color w:val="auto"/>
        </w:rPr>
      </w:pPr>
    </w:p>
    <w:p>
      <w:pPr>
        <w:jc w:val="both"/>
        <w:ind w:firstLine="554"/>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Event</w:t>
      </w:r>
      <w:r>
        <w:rPr>
          <w:rFonts w:ascii="Times New Roman" w:cs="Times New Roman" w:eastAsia="Times New Roman" w:hAnsi="Times New Roman"/>
          <w:sz w:val="18"/>
          <w:szCs w:val="18"/>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351" w:lineRule="exact"/>
        <w:rPr>
          <w:sz w:val="20"/>
          <w:szCs w:val="20"/>
          <w:color w:val="auto"/>
        </w:rPr>
      </w:pPr>
    </w:p>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w:t>
      </w:r>
    </w:p>
    <w:p>
      <w:pPr>
        <w:spacing w:after="0" w:line="1"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18"/>
          <w:szCs w:val="18"/>
          <w:color w:val="auto"/>
        </w:rPr>
        <w:t>_________________________, Attention:</w:t>
        <w:tab/>
        <w:t>_______________________, and of the Canadian Trustee is located at ______________________,</w:t>
      </w:r>
    </w:p>
    <w:p>
      <w:pPr>
        <w:spacing w:after="0" w:line="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____________________________, except that with respect to presentation of Securities for payment or for registration of transfer or</w:t>
      </w:r>
    </w:p>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exchange, such term shall mean the office or agency of the U.S. Trustee or the Canadian Trustee, as applicable, designated in writing to the Company at which, at any particular time, its corporate agency business shall be conducted.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5" w:name="page66"/>
    <w:bookmarkEnd w:id="65"/>
    <w:p>
      <w:pPr>
        <w:jc w:val="both"/>
        <w:ind w:right="20" w:firstLine="554"/>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has the meaning specified in Section 14.02.</w:t>
      </w:r>
    </w:p>
    <w:p>
      <w:pPr>
        <w:spacing w:after="0" w:line="18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Securities of any series issuable or issued in global form,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36"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shall be legal tender for the payment of public and private debts.</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 of the Currency Unit</w:t>
      </w:r>
      <w:r>
        <w:rPr>
          <w:rFonts w:ascii="Times New Roman" w:cs="Times New Roman" w:eastAsia="Times New Roman" w:hAnsi="Times New Roman"/>
          <w:sz w:val="18"/>
          <w:szCs w:val="18"/>
          <w:color w:val="auto"/>
        </w:rPr>
        <w:t>" has the meaning specified in Section 3.12(g).</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 of the Foreign Currency</w:t>
      </w:r>
      <w:r>
        <w:rPr>
          <w:rFonts w:ascii="Times New Roman" w:cs="Times New Roman" w:eastAsia="Times New Roman" w:hAnsi="Times New Roman"/>
          <w:sz w:val="18"/>
          <w:szCs w:val="18"/>
          <w:color w:val="auto"/>
        </w:rPr>
        <w:t>" has the meaning specified in Section 3.12(f).</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has the meaning specified in Section 3.12(h).</w:t>
      </w:r>
    </w:p>
    <w:p>
      <w:pPr>
        <w:spacing w:after="0" w:line="18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has the meaning specified in Section 3.04.</w:t>
      </w:r>
    </w:p>
    <w:p>
      <w:pPr>
        <w:spacing w:after="0" w:line="185"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 Agent</w:t>
      </w:r>
      <w:r>
        <w:rPr>
          <w:rFonts w:ascii="Times New Roman" w:cs="Times New Roman" w:eastAsia="Times New Roman" w:hAnsi="Times New Roman"/>
          <w:sz w:val="18"/>
          <w:szCs w:val="18"/>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110"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 Officer's Certificate</w:t>
      </w:r>
      <w:r>
        <w:rPr>
          <w:rFonts w:ascii="Times New Roman" w:cs="Times New Roman" w:eastAsia="Times New Roman" w:hAnsi="Times New Roman"/>
          <w:sz w:val="18"/>
          <w:szCs w:val="18"/>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has the meaning specified in Section 3.08.</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has the meaning specified in Section 3.08.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6" w:name="page67"/>
    <w:bookmarkEnd w:id="66"/>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w:t>
      </w:r>
      <w:r>
        <w:rPr>
          <w:rFonts w:ascii="Times New Roman" w:cs="Times New Roman" w:eastAsia="Times New Roman" w:hAnsi="Times New Roman"/>
          <w:sz w:val="18"/>
          <w:szCs w:val="18"/>
          <w:color w:val="auto"/>
        </w:rPr>
        <w:t>" has the meaning specified in Section 3.08.</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has the meaning specified in Section 1.15.</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any Currency other than Currency of the United States.</w:t>
      </w:r>
    </w:p>
    <w:p>
      <w:pPr>
        <w:spacing w:after="0" w:line="185" w:lineRule="exact"/>
        <w:rPr>
          <w:sz w:val="20"/>
          <w:szCs w:val="20"/>
          <w:color w:val="auto"/>
        </w:rPr>
      </w:pPr>
    </w:p>
    <w:p>
      <w:pPr>
        <w:jc w:val="both"/>
        <w:ind w:right="20"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Canada in effect from time to time, unless the Person's most recent audited or quarterly financial statements are not prepared in accordance with generally accepted accounting principles in Canada, in which case "GAAP" shall mean generally accepted accounting principles in the United States in effect from time to time.</w:t>
      </w:r>
    </w:p>
    <w:p>
      <w:pPr>
        <w:spacing w:after="0" w:line="130"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Obligations</w:t>
      </w:r>
      <w:r>
        <w:rPr>
          <w:rFonts w:ascii="Times New Roman" w:cs="Times New Roman" w:eastAsia="Times New Roman" w:hAnsi="Times New Roman"/>
          <w:sz w:val="18"/>
          <w:szCs w:val="18"/>
          <w:color w:val="auto"/>
        </w:rPr>
        <w:t xml:space="preserve">"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a Security is registered in the Security Register.</w:t>
      </w:r>
    </w:p>
    <w:p>
      <w:pPr>
        <w:spacing w:after="0" w:line="185"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4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10"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7" w:name="page68"/>
    <w:bookmarkEnd w:id="67"/>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has the meaning specified in Section 1.14.</w:t>
      </w:r>
    </w:p>
    <w:p>
      <w:pPr>
        <w:spacing w:after="0" w:line="18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185"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Exchange Rate</w:t>
      </w:r>
      <w:r>
        <w:rPr>
          <w:rFonts w:ascii="Times New Roman" w:cs="Times New Roman" w:eastAsia="Times New Roman" w:hAnsi="Times New Roman"/>
          <w:sz w:val="18"/>
          <w:szCs w:val="18"/>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57" w:lineRule="exact"/>
        <w:rPr>
          <w:sz w:val="20"/>
          <w:szCs w:val="20"/>
          <w:color w:val="auto"/>
        </w:rPr>
      </w:pPr>
    </w:p>
    <w:p>
      <w:pPr>
        <w:jc w:val="both"/>
        <w:ind w:right="20"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has the meaning specified in Section 6.01.</w:t>
      </w:r>
    </w:p>
    <w:p>
      <w:pPr>
        <w:spacing w:after="0" w:line="185" w:lineRule="exact"/>
        <w:rPr>
          <w:sz w:val="20"/>
          <w:szCs w:val="20"/>
          <w:color w:val="auto"/>
        </w:rPr>
      </w:pPr>
    </w:p>
    <w:p>
      <w:pPr>
        <w:jc w:val="both"/>
        <w:ind w:right="20"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8" w:name="page69"/>
    <w:bookmarkEnd w:id="6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which shall comply with this Indenture, signed by an Officer and delivered to the Trustees.</w:t>
      </w:r>
    </w:p>
    <w:p>
      <w:pPr>
        <w:spacing w:after="0" w:line="184" w:lineRule="exact"/>
        <w:rPr>
          <w:sz w:val="20"/>
          <w:szCs w:val="20"/>
          <w:color w:val="auto"/>
        </w:rPr>
      </w:pPr>
    </w:p>
    <w:p>
      <w:pPr>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of counsel, who may be counsel for the Company, including an employee of the Company, who shall be acceptable to the Trustees, which opinion may contain customary exceptions and qualifications as to the matters set forth therein.</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Reset Date</w:t>
      </w:r>
      <w:r>
        <w:rPr>
          <w:rFonts w:ascii="Times New Roman" w:cs="Times New Roman" w:eastAsia="Times New Roman" w:hAnsi="Times New Roman"/>
          <w:sz w:val="18"/>
          <w:szCs w:val="18"/>
          <w:color w:val="auto"/>
        </w:rPr>
        <w:t>" has the meaning specified in Section 3.07.</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185" w:lineRule="exact"/>
        <w:rPr>
          <w:sz w:val="20"/>
          <w:szCs w:val="20"/>
          <w:color w:val="auto"/>
        </w:rPr>
      </w:pPr>
    </w:p>
    <w:p>
      <w:pPr>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Discount Security</w:t>
      </w:r>
      <w:r>
        <w:rPr>
          <w:rFonts w:ascii="Times New Roman" w:cs="Times New Roman" w:eastAsia="Times New Roman" w:hAnsi="Times New Roman"/>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Stated Maturity</w:t>
      </w:r>
      <w:r>
        <w:rPr>
          <w:rFonts w:ascii="Times New Roman" w:cs="Times New Roman" w:eastAsia="Times New Roman" w:hAnsi="Times New Roman"/>
          <w:sz w:val="18"/>
          <w:szCs w:val="18"/>
          <w:color w:val="auto"/>
        </w:rPr>
        <w:t>" has the meaning specified in Section 3.08.</w:t>
      </w:r>
    </w:p>
    <w:p>
      <w:pPr>
        <w:spacing w:after="0" w:line="185" w:lineRule="exact"/>
        <w:rPr>
          <w:sz w:val="20"/>
          <w:szCs w:val="20"/>
          <w:color w:val="auto"/>
        </w:rPr>
      </w:pPr>
    </w:p>
    <w:p>
      <w:pPr>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114" w:lineRule="exact"/>
        <w:rPr>
          <w:sz w:val="20"/>
          <w:szCs w:val="20"/>
          <w:color w:val="auto"/>
        </w:rPr>
      </w:pPr>
    </w:p>
    <w:p>
      <w:pPr>
        <w:ind w:left="1140" w:hanging="594"/>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either Trustee or delivered to either Trustee for cancellation;</w:t>
      </w:r>
    </w:p>
    <w:p>
      <w:pPr>
        <w:spacing w:after="0" w:line="185" w:lineRule="exact"/>
        <w:rPr>
          <w:rFonts w:ascii="Times New Roman" w:cs="Times New Roman" w:eastAsia="Times New Roman" w:hAnsi="Times New Roman"/>
          <w:sz w:val="18"/>
          <w:szCs w:val="18"/>
          <w:color w:val="auto"/>
        </w:rPr>
      </w:pPr>
    </w:p>
    <w:p>
      <w:pPr>
        <w:jc w:val="both"/>
        <w:ind w:left="1100" w:hanging="554"/>
        <w:spacing w:after="0" w:line="250" w:lineRule="auto"/>
        <w:tabs>
          <w:tab w:leader="none" w:pos="11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Trustees has been made;</w:t>
      </w:r>
    </w:p>
    <w:p>
      <w:pPr>
        <w:spacing w:after="0" w:line="145" w:lineRule="exact"/>
        <w:rPr>
          <w:rFonts w:ascii="Times New Roman" w:cs="Times New Roman" w:eastAsia="Times New Roman" w:hAnsi="Times New Roman"/>
          <w:sz w:val="18"/>
          <w:szCs w:val="18"/>
          <w:color w:val="auto"/>
        </w:rPr>
      </w:pPr>
    </w:p>
    <w:p>
      <w:pPr>
        <w:ind w:left="1100" w:hanging="554"/>
        <w:spacing w:after="0" w:line="279" w:lineRule="auto"/>
        <w:tabs>
          <w:tab w:leader="none" w:pos="11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 14.02 and Section 14.03, with respect to which the Company has effected defeasance and/or covenant defeasance as provided in Article Fourteen; and</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53" w:lineRule="auto"/>
        <w:tabs>
          <w:tab w:leader="none" w:pos="11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authorization, direction, notice, consent or waiver hereunder,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9" w:name="page70"/>
    <w:bookmarkEnd w:id="69"/>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129" w:lineRule="exact"/>
        <w:rPr>
          <w:sz w:val="20"/>
          <w:szCs w:val="20"/>
          <w:color w:val="auto"/>
        </w:rPr>
      </w:pPr>
    </w:p>
    <w:p>
      <w:pPr>
        <w:jc w:val="both"/>
        <w:ind w:right="20"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30"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 of Payment</w:t>
      </w:r>
      <w:r>
        <w:rPr>
          <w:rFonts w:ascii="Times New Roman" w:cs="Times New Roman" w:eastAsia="Times New Roman" w:hAnsi="Times New Roman"/>
          <w:sz w:val="18"/>
          <w:szCs w:val="18"/>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110"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has the meaning specified in Section 6.14.</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rate(s) of exchange</w:t>
      </w:r>
      <w:r>
        <w:rPr>
          <w:rFonts w:ascii="Times New Roman" w:cs="Times New Roman" w:eastAsia="Times New Roman" w:hAnsi="Times New Roman"/>
          <w:sz w:val="18"/>
          <w:szCs w:val="18"/>
          <w:color w:val="auto"/>
        </w:rPr>
        <w:t>" has the meaning specified in Section 1.14.</w:t>
      </w:r>
    </w:p>
    <w:p>
      <w:pPr>
        <w:spacing w:after="0" w:line="18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1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when used with respect to any Security to be redeemed, in whole or in part, means the price at which it is to be redeemed pursuant to this Indenture, plus accrued and unpaid interest thereon to the Redemption Date.</w:t>
      </w:r>
    </w:p>
    <w:p>
      <w:pPr>
        <w:spacing w:after="0" w:line="110"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for the interest payable on any Interest Payment Date on the Securities of or within any series means the date specified for that purpose as contemplated by Section 3.01.</w:t>
      </w:r>
    </w:p>
    <w:p>
      <w:pPr>
        <w:spacing w:after="0" w:line="110"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pursuant to this Indenture.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0" w:name="page71"/>
    <w:bookmarkEnd w:id="70"/>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Reset Notice</w:t>
      </w:r>
      <w:r>
        <w:rPr>
          <w:rFonts w:ascii="Times New Roman" w:cs="Times New Roman" w:eastAsia="Times New Roman" w:hAnsi="Times New Roman"/>
          <w:sz w:val="18"/>
          <w:szCs w:val="18"/>
          <w:color w:val="auto"/>
        </w:rPr>
        <w:t>" has the meaning specified in Section 3.07.</w:t>
      </w:r>
    </w:p>
    <w:p>
      <w:pPr>
        <w:spacing w:after="0" w:line="184"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354"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18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Record Date</w:t>
      </w:r>
      <w:r>
        <w:rPr>
          <w:rFonts w:ascii="Times New Roman" w:cs="Times New Roman" w:eastAsia="Times New Roman" w:hAnsi="Times New Roman"/>
          <w:sz w:val="18"/>
          <w:szCs w:val="18"/>
          <w:color w:val="auto"/>
        </w:rPr>
        <w:t>" for the payment of any Defaulted Interest on the Securities of or within any series means a date fixed by the Trustees pursuant to Section 3.07.</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has the meaning specified in Section 3.12(h).</w:t>
      </w:r>
    </w:p>
    <w:p>
      <w:pPr>
        <w:spacing w:after="0" w:line="185"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(if applicable).</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Subsequent Interest Period</w:t>
      </w:r>
      <w:r>
        <w:rPr>
          <w:rFonts w:ascii="Times New Roman" w:cs="Times New Roman" w:eastAsia="Times New Roman" w:hAnsi="Times New Roman"/>
          <w:sz w:val="18"/>
          <w:szCs w:val="18"/>
          <w:color w:val="auto"/>
        </w:rPr>
        <w:t>" has the meaning specified in Section 3.07.</w:t>
      </w:r>
    </w:p>
    <w:p>
      <w:pPr>
        <w:spacing w:after="0" w:line="185"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means the United States Trust Indenture Act of 1939, as amended, as in force at the date as of which this Indenture was executed, except as provided in Section 9.05.</w:t>
      </w:r>
    </w:p>
    <w:p>
      <w:pPr>
        <w:spacing w:after="0" w:line="110"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Legislation</w:t>
      </w:r>
      <w:r>
        <w:rPr>
          <w:rFonts w:ascii="Times New Roman" w:cs="Times New Roman" w:eastAsia="Times New Roman" w:hAnsi="Times New Roman"/>
          <w:sz w:val="18"/>
          <w:szCs w:val="18"/>
          <w:color w:val="auto"/>
        </w:rPr>
        <w:t>" means, at any time, the provisions of (i) any applicable statute of Canada or any province or territory thereof and the regulations thereunder as amended or re-enacted from time to time, but only to the extent applicable, or (iii) the Trust Indenture Act and regulations thereunder, but only to the extent applicable,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41"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Trustees</w:t>
      </w:r>
      <w:r>
        <w:rPr>
          <w:rFonts w:ascii="Times New Roman" w:cs="Times New Roman" w:eastAsia="Times New Roman" w:hAnsi="Times New Roman"/>
          <w:sz w:val="18"/>
          <w:szCs w:val="18"/>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1" w:name="page72"/>
    <w:bookmarkEnd w:id="71"/>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Federal Bankruptcy Code</w:t>
      </w:r>
      <w:r>
        <w:rPr>
          <w:rFonts w:ascii="Times New Roman" w:cs="Times New Roman" w:eastAsia="Times New Roman" w:hAnsi="Times New Roman"/>
          <w:sz w:val="18"/>
          <w:szCs w:val="18"/>
          <w:color w:val="auto"/>
        </w:rPr>
        <w:t>" means the Bankruptcy Act of Title 11 of the United States Code, as amended from time to time.</w:t>
      </w:r>
    </w:p>
    <w:p>
      <w:pPr>
        <w:spacing w:after="0" w:line="184"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Trustee</w:t>
      </w:r>
      <w:r>
        <w:rPr>
          <w:rFonts w:ascii="Times New Roman" w:cs="Times New Roman" w:eastAsia="Times New Roman" w:hAnsi="Times New Roman"/>
          <w:sz w:val="18"/>
          <w:szCs w:val="18"/>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there is more than one such Person, "U.S. Trustee" as used with respect to the Securities of any series shall mean only the U.S. Trustee with respect to Securities of that series.</w:t>
      </w:r>
    </w:p>
    <w:p>
      <w:pPr>
        <w:spacing w:after="0" w:line="136"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10" w:lineRule="exact"/>
        <w:rPr>
          <w:sz w:val="20"/>
          <w:szCs w:val="20"/>
          <w:color w:val="auto"/>
        </w:rPr>
      </w:pPr>
    </w:p>
    <w:p>
      <w:pPr>
        <w:jc w:val="both"/>
        <w:ind w:firstLine="55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Date</w:t>
      </w:r>
      <w:r>
        <w:rPr>
          <w:rFonts w:ascii="Times New Roman" w:cs="Times New Roman" w:eastAsia="Times New Roman" w:hAnsi="Times New Roman"/>
          <w:sz w:val="18"/>
          <w:szCs w:val="18"/>
          <w:color w:val="auto"/>
        </w:rPr>
        <w:t>" has the meaning specified in Section 3.12(c).</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has the meaning specified in Section 6.13.</w:t>
      </w:r>
    </w:p>
    <w:p>
      <w:pPr>
        <w:spacing w:after="0" w:line="185" w:lineRule="exact"/>
        <w:rPr>
          <w:sz w:val="20"/>
          <w:szCs w:val="20"/>
          <w:color w:val="auto"/>
        </w:rPr>
      </w:pPr>
    </w:p>
    <w:p>
      <w:pPr>
        <w:jc w:val="both"/>
        <w:ind w:right="20" w:firstLine="55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30"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all purposes of this Indenture, except as otherwise expressly provided or unless the context otherwise requires:</w:t>
      </w:r>
    </w:p>
    <w:p>
      <w:pPr>
        <w:spacing w:after="0" w:line="185" w:lineRule="exact"/>
        <w:rPr>
          <w:sz w:val="20"/>
          <w:szCs w:val="20"/>
          <w:color w:val="auto"/>
        </w:rPr>
      </w:pPr>
    </w:p>
    <w:p>
      <w:pPr>
        <w:ind w:left="1140" w:hanging="59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Indenture have the meanings assigned to them herein and include the plural as well as the singular;</w:t>
      </w:r>
    </w:p>
    <w:p>
      <w:pPr>
        <w:spacing w:after="0" w:line="185" w:lineRule="exact"/>
        <w:rPr>
          <w:rFonts w:ascii="Times New Roman" w:cs="Times New Roman" w:eastAsia="Times New Roman" w:hAnsi="Times New Roman"/>
          <w:sz w:val="18"/>
          <w:szCs w:val="18"/>
          <w:color w:val="auto"/>
        </w:rPr>
      </w:pPr>
    </w:p>
    <w:p>
      <w:pPr>
        <w:jc w:val="both"/>
        <w:ind w:left="1100" w:right="20" w:hanging="554"/>
        <w:spacing w:after="0" w:line="260" w:lineRule="auto"/>
        <w:tabs>
          <w:tab w:leader="none" w:pos="11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2" w:name="page73"/>
    <w:bookmarkEnd w:id="72"/>
    <w:p>
      <w:pPr>
        <w:ind w:left="1140" w:hanging="59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implying any gender shall apply to all genders;</w:t>
      </w:r>
    </w:p>
    <w:p>
      <w:pPr>
        <w:spacing w:after="0" w:line="186"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Subsection, Section and Article refer to the Subsections, Sections and Articles, respectively, of this Indenture unless otherwise noted; and</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"includes" or "including" means include, includes or including, in each case, without limitation.</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1.03</w:t>
      </w:r>
      <w:r>
        <w:rPr>
          <w:sz w:val="20"/>
          <w:szCs w:val="20"/>
          <w:color w:val="auto"/>
        </w:rPr>
        <w:tab/>
      </w:r>
      <w:r>
        <w:rPr>
          <w:rFonts w:ascii="Times New Roman" w:cs="Times New Roman" w:eastAsia="Times New Roman" w:hAnsi="Times New Roman"/>
          <w:sz w:val="18"/>
          <w:szCs w:val="18"/>
          <w:b w:val="1"/>
          <w:bCs w:val="1"/>
          <w:color w:val="auto"/>
        </w:rPr>
        <w:t>Compliance Certificates and Opinions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Every certificate or opinion with respect to compliance with a covenant or condition provided for in this Indenture (other than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10.04) shall include:</w:t>
      </w:r>
    </w:p>
    <w:p>
      <w:pPr>
        <w:spacing w:after="0" w:line="165" w:lineRule="exact"/>
        <w:rPr>
          <w:sz w:val="20"/>
          <w:szCs w:val="20"/>
          <w:color w:val="auto"/>
        </w:rPr>
      </w:pPr>
    </w:p>
    <w:p>
      <w:pPr>
        <w:ind w:left="1100" w:hanging="554"/>
        <w:spacing w:after="0" w:line="279" w:lineRule="auto"/>
        <w:tabs>
          <w:tab w:leader="none" w:pos="11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 thereto;</w:t>
      </w:r>
    </w:p>
    <w:p>
      <w:pPr>
        <w:spacing w:after="0" w:line="118"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18"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covenant or condition has been complied with.</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8"/>
          <w:szCs w:val="18"/>
          <w:b w:val="1"/>
          <w:bCs w:val="1"/>
          <w:color w:val="auto"/>
        </w:rPr>
        <w:t>Form of Documents Delivered to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43"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3" w:name="page74"/>
    <w:bookmarkEnd w:id="73"/>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46"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8"/>
          <w:szCs w:val="18"/>
          <w:b w:val="1"/>
          <w:bCs w:val="1"/>
          <w:color w:val="auto"/>
        </w:rPr>
        <w:t>Acts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46"/>
        <w:spacing w:after="0" w:line="245" w:lineRule="auto"/>
        <w:tabs>
          <w:tab w:leader="none" w:pos="11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Trustees may make reasonable rules for action by or at a meeting of Holders.</w:t>
      </w:r>
    </w:p>
    <w:p>
      <w:pPr>
        <w:spacing w:after="0" w:line="152" w:lineRule="exact"/>
        <w:rPr>
          <w:rFonts w:ascii="Times New Roman" w:cs="Times New Roman" w:eastAsia="Times New Roman" w:hAnsi="Times New Roman"/>
          <w:sz w:val="18"/>
          <w:szCs w:val="18"/>
          <w:color w:val="auto"/>
        </w:rPr>
      </w:pPr>
    </w:p>
    <w:p>
      <w:pPr>
        <w:jc w:val="both"/>
        <w:ind w:firstLine="546"/>
        <w:spacing w:after="0" w:line="250" w:lineRule="auto"/>
        <w:tabs>
          <w:tab w:leader="none" w:pos="11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45" w:lineRule="exact"/>
        <w:rPr>
          <w:rFonts w:ascii="Times New Roman" w:cs="Times New Roman" w:eastAsia="Times New Roman" w:hAnsi="Times New Roman"/>
          <w:sz w:val="18"/>
          <w:szCs w:val="18"/>
          <w:color w:val="auto"/>
        </w:rPr>
      </w:pPr>
    </w:p>
    <w:p>
      <w:pPr>
        <w:ind w:right="20" w:firstLine="546"/>
        <w:spacing w:after="0" w:line="279" w:lineRule="auto"/>
        <w:tabs>
          <w:tab w:leader="none" w:pos="11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the Securities, including the principal amount and serial numbers, and the date of holding the same, shall be proved by the Security Register.</w:t>
      </w:r>
    </w:p>
    <w:p>
      <w:pPr>
        <w:spacing w:after="0" w:line="118" w:lineRule="exact"/>
        <w:rPr>
          <w:rFonts w:ascii="Times New Roman" w:cs="Times New Roman" w:eastAsia="Times New Roman" w:hAnsi="Times New Roman"/>
          <w:sz w:val="18"/>
          <w:szCs w:val="18"/>
          <w:color w:val="auto"/>
        </w:rPr>
      </w:pPr>
    </w:p>
    <w:p>
      <w:pPr>
        <w:jc w:val="both"/>
        <w:ind w:firstLine="546"/>
        <w:spacing w:after="0" w:line="244" w:lineRule="auto"/>
        <w:tabs>
          <w:tab w:leader="none" w:pos="11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4" w:name="page75"/>
    <w:bookmarkEnd w:id="74"/>
    <w:p>
      <w:pPr>
        <w:jc w:val="both"/>
        <w:ind w:firstLine="546"/>
        <w:spacing w:after="0" w:line="254" w:lineRule="auto"/>
        <w:tabs>
          <w:tab w:leader="none" w:pos="11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13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1.06</w:t>
      </w:r>
      <w:r>
        <w:rPr>
          <w:sz w:val="20"/>
          <w:szCs w:val="20"/>
          <w:color w:val="auto"/>
        </w:rPr>
        <w:tab/>
      </w:r>
      <w:r>
        <w:rPr>
          <w:rFonts w:ascii="Times New Roman" w:cs="Times New Roman" w:eastAsia="Times New Roman" w:hAnsi="Times New Roman"/>
          <w:sz w:val="18"/>
          <w:szCs w:val="18"/>
          <w:b w:val="1"/>
          <w:bCs w:val="1"/>
          <w:color w:val="auto"/>
        </w:rPr>
        <w:t>Notices, Etc. to Trustees and Company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request, demand, authorization, direction, notice, consent, waiver or Act of Holders or other documents provided or permitted by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be made upon, given or furnished to, or filed with:</w:t>
      </w:r>
    </w:p>
    <w:p>
      <w:pPr>
        <w:spacing w:after="0" w:line="165" w:lineRule="exact"/>
        <w:rPr>
          <w:sz w:val="20"/>
          <w:szCs w:val="20"/>
          <w:color w:val="auto"/>
        </w:rPr>
      </w:pPr>
    </w:p>
    <w:p>
      <w:pPr>
        <w:ind w:left="1100" w:hanging="554"/>
        <w:spacing w:after="0" w:line="279" w:lineRule="auto"/>
        <w:tabs>
          <w:tab w:leader="none" w:pos="11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Trustee, by the Canadian Trustee, any Holder or by the Company shall be sufficient for every purpose hereunder if made, given, furnished or filed in writing to or with the U.S. Trustee at its Corporate Trust Office, Attention: ________________, or</w:t>
      </w:r>
    </w:p>
    <w:p>
      <w:pPr>
        <w:spacing w:after="0" w:line="118"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Trustee, by the U.S. Trustee, any Holder or by the Company shall be sufficient for every purpose hereunder if made, given, furnished or filed in writing to or with the Canadian Trustee at its Corporate Trust Office, Attention: ________________, or</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53" w:lineRule="auto"/>
        <w:tabs>
          <w:tab w:leader="none" w:pos="11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Canada, M5X 1C9, Attention: Corporate Secretary or such other address and/or officer as the Company may designate on written notice to the Trustees</w:t>
      </w:r>
    </w:p>
    <w:p>
      <w:pPr>
        <w:spacing w:after="0" w:line="1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1.07</w:t>
      </w:r>
      <w:r>
        <w:rPr>
          <w:sz w:val="20"/>
          <w:szCs w:val="20"/>
          <w:color w:val="auto"/>
        </w:rPr>
        <w:tab/>
      </w:r>
      <w:r>
        <w:rPr>
          <w:rFonts w:ascii="Times New Roman" w:cs="Times New Roman" w:eastAsia="Times New Roman" w:hAnsi="Times New Roman"/>
          <w:sz w:val="18"/>
          <w:szCs w:val="18"/>
          <w:b w:val="1"/>
          <w:bCs w:val="1"/>
          <w:color w:val="auto"/>
        </w:rPr>
        <w:t>Notice to Holders; Waiver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Where this Indenture provides for notice of any event to Holders of Securities by the Company or the Trustees, such notice shall be sufficiently given (unless otherwise herein expressly provided) if in writing and mailed, first-class postage prepaid, to each such Holder affected by such event, at his address as it appears in the Security Register. In any case where notice to Holders of Securities is given by mail, neither the failure to mail such notice, nor any defect in any notice so mailed, to any particular Holder shall affect the sufficiency of such notice with respect to other Holders of Securities. Any notice mailed to a Holder in the manner herein prescribed shall be conclusively deemed to have been received by such Holder, whether or not such Holder actually receives such notice.</w:t>
      </w:r>
    </w:p>
    <w:p>
      <w:pPr>
        <w:spacing w:after="0" w:line="148"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5" w:name="page76"/>
    <w:bookmarkEnd w:id="75"/>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18"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1.08</w:t>
      </w:r>
      <w:r>
        <w:rPr>
          <w:sz w:val="20"/>
          <w:szCs w:val="20"/>
          <w:color w:val="auto"/>
        </w:rPr>
        <w:tab/>
      </w:r>
      <w:r>
        <w:rPr>
          <w:rFonts w:ascii="Times New Roman" w:cs="Times New Roman" w:eastAsia="Times New Roman" w:hAnsi="Times New Roman"/>
          <w:sz w:val="18"/>
          <w:szCs w:val="18"/>
          <w:b w:val="1"/>
          <w:bCs w:val="1"/>
          <w:color w:val="auto"/>
        </w:rPr>
        <w:t>Effect of Headings and Table of Contents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1.09</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covenants and agreements in this Indenture by the Company and the Trustees shall bind their successors and assigns, whether so expressed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not.</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w:t>
      </w:r>
      <w:r>
        <w:rPr>
          <w:sz w:val="20"/>
          <w:szCs w:val="20"/>
          <w:color w:val="auto"/>
        </w:rPr>
        <w:tab/>
      </w:r>
      <w:r>
        <w:rPr>
          <w:rFonts w:ascii="Times New Roman" w:cs="Times New Roman" w:eastAsia="Times New Roman" w:hAnsi="Times New Roman"/>
          <w:sz w:val="18"/>
          <w:szCs w:val="18"/>
          <w:b w:val="1"/>
          <w:bCs w:val="1"/>
          <w:color w:val="auto"/>
        </w:rPr>
        <w:t>Severability Clause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8"/>
          <w:szCs w:val="18"/>
          <w:b w:val="1"/>
          <w:bCs w:val="1"/>
          <w:color w:val="auto"/>
        </w:rPr>
        <w:t>Benefits of Indenture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This Indenture and the Securities shall be governed by and construed in accordance with the law of the State of New York, but without giving effect to applicable principles of conflicts of law to the extent that the application of the law of another jurisdiction would be required thereby.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 This Indenture is subject to the provisions of Trust Indenture Legislation that are required to be part of this Indenture and shall, to the extent applicable, be governed by such provisions. Each Trustee and the Company agrees to comply with all provisions of Trust Indenture Legislation applicable to or binding upon it in connection with this Indenture and any action to be taken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6" w:name="page77"/>
    <w:bookmarkEnd w:id="76"/>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8"/>
          <w:szCs w:val="18"/>
          <w:b w:val="1"/>
          <w:bCs w:val="1"/>
          <w:color w:val="auto"/>
        </w:rPr>
        <w:t>Legal Holidays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interest shall accrue for the period from and after such Interest Payment Date, Redemption Date, sinking fund payment date,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or Maturity, as the case may be.</w:t>
      </w:r>
    </w:p>
    <w:p>
      <w:pPr>
        <w:spacing w:after="0" w:line="14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1.14</w:t>
      </w:r>
      <w:r>
        <w:rPr>
          <w:sz w:val="20"/>
          <w:szCs w:val="20"/>
          <w:color w:val="auto"/>
        </w:rPr>
        <w:tab/>
      </w:r>
      <w:r>
        <w:rPr>
          <w:rFonts w:ascii="Times New Roman" w:cs="Times New Roman" w:eastAsia="Times New Roman" w:hAnsi="Times New Roman"/>
          <w:sz w:val="18"/>
          <w:szCs w:val="18"/>
          <w:b w:val="1"/>
          <w:bCs w:val="1"/>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the execution and delivery of this Indenture, the Company (i) acknowledges that it has irrevocably designated and appointed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 as its authorized agent upon which process may be served in any suit, action or proceeding arising out of or relating to the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 _____________________ and</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written notice of said service to the Company (mailed or delivered to the Company at 100 King Street West, Suite 5600, Toronto, Ontario, Canada,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_____________________ in full force and effect so long as this Indenture shall be in full force and effect.</w:t>
      </w:r>
    </w:p>
    <w:p>
      <w:pPr>
        <w:spacing w:after="0" w:line="151"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13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35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8"/>
          <w:szCs w:val="18"/>
          <w:b w:val="1"/>
          <w:bCs w:val="1"/>
          <w:color w:val="auto"/>
        </w:rPr>
        <w:t>Conversion of Judgment Currency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546"/>
        <w:spacing w:after="0" w:line="279" w:lineRule="auto"/>
        <w:tabs>
          <w:tab w:leader="none" w:pos="11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the following provisions shall apply to conversion of Currency in the case of the Securities and this Indenture, to the fullest extent permitted by applicable law: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7" w:name="page78"/>
    <w:bookmarkEnd w:id="77"/>
    <w:p>
      <w:pPr>
        <w:jc w:val="both"/>
        <w:ind w:left="540" w:firstLine="560"/>
        <w:spacing w:after="0" w:line="254" w:lineRule="auto"/>
        <w:tabs>
          <w:tab w:leader="none" w:pos="166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purposes of obtaining judgment in, or enforcing the judgment of, any court in any country, it becomes necessary to convert into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or contingently due in any other Currency under the Securities of any series and this Indenture (the "</w:t>
      </w:r>
      <w:r>
        <w:rPr>
          <w:rFonts w:ascii="Times New Roman" w:cs="Times New Roman" w:eastAsia="Times New Roman" w:hAnsi="Times New Roman"/>
          <w:sz w:val="18"/>
          <w:szCs w:val="18"/>
          <w:b w:val="1"/>
          <w:bCs w:val="1"/>
          <w:color w:val="auto"/>
        </w:rPr>
        <w:t>Base Currency</w:t>
      </w:r>
      <w:r>
        <w:rPr>
          <w:rFonts w:ascii="Times New Roman" w:cs="Times New Roman" w:eastAsia="Times New Roman" w:hAnsi="Times New Roman"/>
          <w:sz w:val="18"/>
          <w:szCs w:val="18"/>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140" w:lineRule="exact"/>
        <w:rPr>
          <w:rFonts w:ascii="Times New Roman" w:cs="Times New Roman" w:eastAsia="Times New Roman" w:hAnsi="Times New Roman"/>
          <w:sz w:val="18"/>
          <w:szCs w:val="18"/>
          <w:color w:val="auto"/>
        </w:rPr>
      </w:pPr>
    </w:p>
    <w:p>
      <w:pPr>
        <w:jc w:val="both"/>
        <w:ind w:left="540" w:right="20" w:firstLine="560"/>
        <w:spacing w:after="0" w:line="250" w:lineRule="auto"/>
        <w:tabs>
          <w:tab w:leader="none" w:pos="167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45" w:lineRule="exact"/>
        <w:rPr>
          <w:rFonts w:ascii="Times New Roman" w:cs="Times New Roman" w:eastAsia="Times New Roman" w:hAnsi="Times New Roman"/>
          <w:sz w:val="18"/>
          <w:szCs w:val="18"/>
          <w:color w:val="auto"/>
        </w:rPr>
      </w:pPr>
    </w:p>
    <w:p>
      <w:pPr>
        <w:jc w:val="both"/>
        <w:ind w:firstLine="546"/>
        <w:spacing w:after="0" w:line="246" w:lineRule="auto"/>
        <w:tabs>
          <w:tab w:leader="none" w:pos="11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49" w:lineRule="exact"/>
        <w:rPr>
          <w:rFonts w:ascii="Times New Roman" w:cs="Times New Roman" w:eastAsia="Times New Roman" w:hAnsi="Times New Roman"/>
          <w:sz w:val="18"/>
          <w:szCs w:val="18"/>
          <w:color w:val="auto"/>
        </w:rPr>
      </w:pPr>
    </w:p>
    <w:p>
      <w:pPr>
        <w:jc w:val="both"/>
        <w:ind w:firstLine="546"/>
        <w:spacing w:after="0" w:line="246"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145"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rate(s) of exchange</w:t>
      </w:r>
      <w:r>
        <w:rPr>
          <w:rFonts w:ascii="Times New Roman" w:cs="Times New Roman" w:eastAsia="Times New Roman" w:hAnsi="Times New Roman"/>
          <w:sz w:val="18"/>
          <w:szCs w:val="18"/>
          <w:color w:val="auto"/>
        </w:rPr>
        <w:t>"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13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1.16</w:t>
      </w:r>
      <w:r>
        <w:rPr>
          <w:sz w:val="20"/>
          <w:szCs w:val="20"/>
          <w:color w:val="auto"/>
        </w:rPr>
        <w:tab/>
      </w:r>
      <w:r>
        <w:rPr>
          <w:rFonts w:ascii="Times New Roman" w:cs="Times New Roman" w:eastAsia="Times New Roman" w:hAnsi="Times New Roman"/>
          <w:sz w:val="18"/>
          <w:szCs w:val="18"/>
          <w:b w:val="1"/>
          <w:bCs w:val="1"/>
          <w:color w:val="auto"/>
        </w:rPr>
        <w:t>Currency Equivalent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Except as otherwise provided in this Indenture, for purposes of the construction of the terms of this Indenture or of the Securities, in the event that any amount is stated herein in the Currency of one nation (the "</w:t>
      </w:r>
      <w:r>
        <w:rPr>
          <w:rFonts w:ascii="Times New Roman" w:cs="Times New Roman" w:eastAsia="Times New Roman" w:hAnsi="Times New Roman"/>
          <w:sz w:val="18"/>
          <w:szCs w:val="18"/>
          <w:b w:val="1"/>
          <w:bCs w:val="1"/>
          <w:color w:val="auto"/>
        </w:rPr>
        <w:t>First Currency</w:t>
      </w:r>
      <w:r>
        <w:rPr>
          <w:rFonts w:ascii="Times New Roman" w:cs="Times New Roman" w:eastAsia="Times New Roman" w:hAnsi="Times New Roman"/>
          <w:sz w:val="18"/>
          <w:szCs w:val="18"/>
          <w:color w:val="auto"/>
        </w:rPr>
        <w:t>"), as of any date such amount shall also be deemed to represent the amount in the Currency of any other relevant nation which is required to purchase such amount in the First Currency at the Bank of Canada daily average exchange rate as reported by Telerate on screen 3194 (or such other means of reporting the Bank of Canada daily average exchange rate as may be agreed upon by each of the parties to this Indenture) on the date of determination.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8" w:name="page79"/>
    <w:bookmarkEnd w:id="78"/>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1.17</w:t>
      </w:r>
      <w:r>
        <w:rPr>
          <w:sz w:val="20"/>
          <w:szCs w:val="20"/>
          <w:color w:val="auto"/>
        </w:rPr>
        <w:tab/>
      </w:r>
      <w:r>
        <w:rPr>
          <w:rFonts w:ascii="Times New Roman" w:cs="Times New Roman" w:eastAsia="Times New Roman" w:hAnsi="Times New Roman"/>
          <w:sz w:val="18"/>
          <w:szCs w:val="18"/>
          <w:b w:val="1"/>
          <w:bCs w:val="1"/>
          <w:color w:val="auto"/>
        </w:rPr>
        <w:t>Conflict with Trust Indenture Legislation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35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1.18</w:t>
      </w:r>
      <w:r>
        <w:rPr>
          <w:sz w:val="20"/>
          <w:szCs w:val="20"/>
          <w:color w:val="auto"/>
        </w:rPr>
        <w:tab/>
      </w:r>
      <w:r>
        <w:rPr>
          <w:rFonts w:ascii="Times New Roman" w:cs="Times New Roman" w:eastAsia="Times New Roman" w:hAnsi="Times New Roman"/>
          <w:sz w:val="18"/>
          <w:szCs w:val="18"/>
          <w:b w:val="1"/>
          <w:bCs w:val="1"/>
          <w:color w:val="auto"/>
        </w:rPr>
        <w:t>Incorporators, Shareholders, Officers and Directors of the Company Exempt from Individual Liability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1.20</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2.01</w:t>
      </w:r>
      <w:r>
        <w:rPr>
          <w:sz w:val="20"/>
          <w:szCs w:val="20"/>
          <w:color w:val="auto"/>
        </w:rPr>
        <w:tab/>
      </w:r>
      <w:r>
        <w:rPr>
          <w:rFonts w:ascii="Times New Roman" w:cs="Times New Roman" w:eastAsia="Times New Roman" w:hAnsi="Times New Roman"/>
          <w:sz w:val="18"/>
          <w:szCs w:val="18"/>
          <w:b w:val="1"/>
          <w:bCs w:val="1"/>
          <w:color w:val="auto"/>
        </w:rPr>
        <w:t>Forms Generally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 as evidenced by the execution of such Securities by such Officer. If the forms of Securities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Any portion of the text of any Security may be set forth on the reverse thereof, with an appropriate reference thereto on the face of the Security.</w:t>
      </w:r>
    </w:p>
    <w:p>
      <w:pPr>
        <w:spacing w:after="0" w:line="3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Either Trustee's certificate of authentication shall be in substantially the form set forth in this Article Two.</w:t>
      </w:r>
    </w:p>
    <w:p>
      <w:pPr>
        <w:spacing w:after="0" w:line="18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8"/>
          <w:szCs w:val="18"/>
          <w:b w:val="1"/>
          <w:bCs w:val="1"/>
          <w:color w:val="auto"/>
        </w:rPr>
        <w:t>Form of Trustee's Certificate of Authentication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Section 6.12, either Trustee's certificate of authentication shall be in substantially the following form: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Authentication may be executed by either Trustee)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 as U.S. Trustee, certifies that this is one of the Securities of the series designated therein referred to in the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74"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-4445</wp:posOffset>
            </wp:positionV>
            <wp:extent cx="22466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2246630" cy="762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U.S.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-108585</wp:posOffset>
            </wp:positionV>
            <wp:extent cx="32169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 as Canadian Trustee, certifies that this is one of the Securities of the series designated therein referred to in the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74"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-4445</wp:posOffset>
            </wp:positionV>
            <wp:extent cx="22466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2246630" cy="762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Canadian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-108585</wp:posOffset>
            </wp:positionV>
            <wp:extent cx="3216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0" w:name="page81"/>
    <w:bookmarkEnd w:id="80"/>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8"/>
          <w:szCs w:val="18"/>
          <w:b w:val="1"/>
          <w:bCs w:val="1"/>
          <w:color w:val="auto"/>
        </w:rPr>
        <w:t>Securities Issuable in Global Form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365"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11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the Holder of such permanent global Security.</w:t>
      </w:r>
    </w:p>
    <w:p>
      <w:pPr>
        <w:spacing w:after="0" w:line="1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8"/>
          <w:szCs w:val="18"/>
          <w:b w:val="1"/>
          <w:bCs w:val="1"/>
          <w:color w:val="auto"/>
        </w:rPr>
        <w:t>Issuable in Series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aggregate principal amount of Securities which may be authenticated and delivered under this Indenture is unlimited.</w:t>
      </w:r>
    </w:p>
    <w:p>
      <w:pPr>
        <w:spacing w:after="0" w:line="185"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The Securities may be issued in one or more series and may be denominated and payable in Dollars or any Foreign Currency.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143" w:lineRule="exact"/>
        <w:rPr>
          <w:sz w:val="20"/>
          <w:szCs w:val="20"/>
          <w:color w:val="auto"/>
        </w:rPr>
      </w:pPr>
    </w:p>
    <w:p>
      <w:pPr>
        <w:ind w:left="5540" w:right="580" w:hanging="4994"/>
        <w:spacing w:after="0" w:line="366" w:lineRule="auto"/>
        <w:tabs>
          <w:tab w:leader="none" w:pos="11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such series from the Securities of all other series);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7232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505" w:right="319" w:bottom="1440" w:gutter="0" w:footer="0" w:header="0"/>
        </w:sectPr>
      </w:pPr>
    </w:p>
    <w:bookmarkStart w:id="81" w:name="page82"/>
    <w:bookmarkEnd w:id="81"/>
    <w:p>
      <w:pPr>
        <w:jc w:val="both"/>
        <w:ind w:left="560" w:hanging="554"/>
        <w:spacing w:after="0" w:line="247"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148" w:lineRule="exact"/>
        <w:rPr>
          <w:rFonts w:ascii="Times New Roman" w:cs="Times New Roman" w:eastAsia="Times New Roman" w:hAnsi="Times New Roman"/>
          <w:sz w:val="18"/>
          <w:szCs w:val="18"/>
          <w:color w:val="auto"/>
        </w:rPr>
      </w:pPr>
    </w:p>
    <w:p>
      <w:pPr>
        <w:jc w:val="both"/>
        <w:ind w:left="560" w:hanging="554"/>
        <w:spacing w:after="0" w:line="260"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135" w:lineRule="exact"/>
        <w:rPr>
          <w:rFonts w:ascii="Times New Roman" w:cs="Times New Roman" w:eastAsia="Times New Roman" w:hAnsi="Times New Roman"/>
          <w:sz w:val="18"/>
          <w:szCs w:val="18"/>
          <w:color w:val="auto"/>
        </w:rPr>
      </w:pPr>
    </w:p>
    <w:p>
      <w:pPr>
        <w:ind w:left="600" w:hanging="594"/>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or percentages of principal amount at which the Securities of the series will be issued;</w:t>
      </w:r>
    </w:p>
    <w:p>
      <w:pPr>
        <w:spacing w:after="0" w:line="185" w:lineRule="exact"/>
        <w:rPr>
          <w:rFonts w:ascii="Times New Roman" w:cs="Times New Roman" w:eastAsia="Times New Roman" w:hAnsi="Times New Roman"/>
          <w:sz w:val="18"/>
          <w:szCs w:val="18"/>
          <w:color w:val="auto"/>
        </w:rPr>
      </w:pPr>
    </w:p>
    <w:p>
      <w:pPr>
        <w:jc w:val="both"/>
        <w:ind w:left="560" w:hanging="554"/>
        <w:spacing w:after="0" w:line="260"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135" w:lineRule="exact"/>
        <w:rPr>
          <w:rFonts w:ascii="Times New Roman" w:cs="Times New Roman" w:eastAsia="Times New Roman" w:hAnsi="Times New Roman"/>
          <w:sz w:val="18"/>
          <w:szCs w:val="18"/>
          <w:color w:val="auto"/>
        </w:rPr>
      </w:pPr>
    </w:p>
    <w:p>
      <w:pPr>
        <w:jc w:val="both"/>
        <w:ind w:left="560" w:hanging="554"/>
        <w:spacing w:after="0" w:line="247"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 outstanding of such series, the date or dates from which such interest shall accrue, or the method by which such date or dates shall be 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w:t>
      </w:r>
    </w:p>
    <w:p>
      <w:pPr>
        <w:spacing w:after="0" w:line="360" w:lineRule="exact"/>
        <w:rPr>
          <w:rFonts w:ascii="Times New Roman" w:cs="Times New Roman" w:eastAsia="Times New Roman" w:hAnsi="Times New Roman"/>
          <w:sz w:val="18"/>
          <w:szCs w:val="18"/>
          <w:color w:val="auto"/>
        </w:rPr>
      </w:pPr>
    </w:p>
    <w:p>
      <w:pPr>
        <w:jc w:val="both"/>
        <w:ind w:left="560" w:hanging="554"/>
        <w:spacing w:after="0" w:line="248"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The City of New York, where the principal of,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361" w:lineRule="exact"/>
        <w:rPr>
          <w:rFonts w:ascii="Times New Roman" w:cs="Times New Roman" w:eastAsia="Times New Roman" w:hAnsi="Times New Roman"/>
          <w:sz w:val="18"/>
          <w:szCs w:val="18"/>
          <w:color w:val="auto"/>
        </w:rPr>
      </w:pPr>
    </w:p>
    <w:p>
      <w:pPr>
        <w:jc w:val="both"/>
        <w:ind w:left="560" w:hanging="554"/>
        <w:spacing w:after="0" w:line="260"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135" w:lineRule="exact"/>
        <w:rPr>
          <w:rFonts w:ascii="Times New Roman" w:cs="Times New Roman" w:eastAsia="Times New Roman" w:hAnsi="Times New Roman"/>
          <w:sz w:val="18"/>
          <w:szCs w:val="18"/>
          <w:color w:val="auto"/>
        </w:rPr>
      </w:pPr>
    </w:p>
    <w:p>
      <w:pPr>
        <w:jc w:val="both"/>
        <w:ind w:left="560" w:right="20" w:hanging="554"/>
        <w:spacing w:after="0" w:line="253" w:lineRule="auto"/>
        <w:tabs>
          <w:tab w:leader="none" w:pos="6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14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129540</wp:posOffset>
            </wp:positionV>
            <wp:extent cx="717232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720"/>
          </w:cols>
          <w:pgMar w:left="860" w:top="115" w:right="319" w:bottom="1440" w:gutter="0" w:footer="0" w:header="0"/>
        </w:sectPr>
      </w:pPr>
    </w:p>
    <w:bookmarkStart w:id="82" w:name="page83"/>
    <w:bookmarkEnd w:id="82"/>
    <w:p>
      <w:pPr>
        <w:ind w:left="560" w:hanging="554"/>
        <w:spacing w:after="0" w:line="280"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 or denominations in which any Securities of the series shall be issuable;</w:t>
      </w:r>
    </w:p>
    <w:p>
      <w:pPr>
        <w:spacing w:after="0" w:line="118"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each Security Registrar and/or Paying Agent;</w:t>
      </w:r>
    </w:p>
    <w:p>
      <w:pPr>
        <w:spacing w:after="0" w:line="185" w:lineRule="exact"/>
        <w:rPr>
          <w:rFonts w:ascii="Times New Roman" w:cs="Times New Roman" w:eastAsia="Times New Roman" w:hAnsi="Times New Roman"/>
          <w:sz w:val="18"/>
          <w:szCs w:val="18"/>
          <w:color w:val="auto"/>
        </w:rPr>
      </w:pPr>
    </w:p>
    <w:p>
      <w:pPr>
        <w:ind w:left="560" w:hanging="554"/>
        <w:spacing w:after="0" w:line="279"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118" w:lineRule="exact"/>
        <w:rPr>
          <w:rFonts w:ascii="Times New Roman" w:cs="Times New Roman" w:eastAsia="Times New Roman" w:hAnsi="Times New Roman"/>
          <w:sz w:val="18"/>
          <w:szCs w:val="18"/>
          <w:color w:val="auto"/>
        </w:rPr>
      </w:pPr>
    </w:p>
    <w:p>
      <w:pPr>
        <w:jc w:val="both"/>
        <w:ind w:left="560" w:hanging="554"/>
        <w:spacing w:after="0" w:line="260"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135" w:lineRule="exact"/>
        <w:rPr>
          <w:rFonts w:ascii="Times New Roman" w:cs="Times New Roman" w:eastAsia="Times New Roman" w:hAnsi="Times New Roman"/>
          <w:sz w:val="18"/>
          <w:szCs w:val="18"/>
          <w:color w:val="auto"/>
        </w:rPr>
      </w:pPr>
    </w:p>
    <w:p>
      <w:pPr>
        <w:jc w:val="both"/>
        <w:ind w:left="560" w:right="20" w:hanging="554"/>
        <w:spacing w:after="0" w:line="260"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35" w:lineRule="exact"/>
        <w:rPr>
          <w:rFonts w:ascii="Times New Roman" w:cs="Times New Roman" w:eastAsia="Times New Roman" w:hAnsi="Times New Roman"/>
          <w:sz w:val="18"/>
          <w:szCs w:val="18"/>
          <w:color w:val="auto"/>
        </w:rPr>
      </w:pPr>
    </w:p>
    <w:p>
      <w:pPr>
        <w:jc w:val="both"/>
        <w:ind w:left="560" w:hanging="554"/>
        <w:spacing w:after="0" w:line="248" w:lineRule="auto"/>
        <w:tabs>
          <w:tab w:leader="none" w:pos="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47"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initial Exchange Rate Agent, if any;</w:t>
      </w:r>
    </w:p>
    <w:p>
      <w:pPr>
        <w:spacing w:after="0" w:line="185" w:lineRule="exact"/>
        <w:rPr>
          <w:rFonts w:ascii="Times New Roman" w:cs="Times New Roman" w:eastAsia="Times New Roman" w:hAnsi="Times New Roman"/>
          <w:sz w:val="18"/>
          <w:szCs w:val="18"/>
          <w:color w:val="auto"/>
        </w:rPr>
      </w:pPr>
    </w:p>
    <w:p>
      <w:pPr>
        <w:ind w:left="560" w:right="20" w:hanging="554"/>
        <w:spacing w:after="0" w:line="279" w:lineRule="auto"/>
        <w:tabs>
          <w:tab w:leader="none" w:pos="6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118" w:lineRule="exact"/>
        <w:rPr>
          <w:rFonts w:ascii="Times New Roman" w:cs="Times New Roman" w:eastAsia="Times New Roman" w:hAnsi="Times New Roman"/>
          <w:sz w:val="18"/>
          <w:szCs w:val="18"/>
          <w:color w:val="auto"/>
        </w:rPr>
      </w:pPr>
    </w:p>
    <w:p>
      <w:pPr>
        <w:ind w:left="560" w:hanging="554"/>
        <w:spacing w:after="0" w:line="259" w:lineRule="auto"/>
        <w:tabs>
          <w:tab w:leader="none" w:pos="6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376" w:lineRule="exact"/>
        <w:rPr>
          <w:rFonts w:ascii="Times New Roman" w:cs="Times New Roman" w:eastAsia="Times New Roman" w:hAnsi="Times New Roman"/>
          <w:sz w:val="18"/>
          <w:szCs w:val="18"/>
          <w:color w:val="auto"/>
        </w:rPr>
      </w:pPr>
    </w:p>
    <w:p>
      <w:pPr>
        <w:jc w:val="both"/>
        <w:ind w:left="560" w:right="20" w:hanging="554"/>
        <w:spacing w:after="0" w:line="260" w:lineRule="auto"/>
        <w:tabs>
          <w:tab w:leader="none" w:pos="6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13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129540</wp:posOffset>
            </wp:positionV>
            <wp:extent cx="717232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720"/>
          </w:cols>
          <w:pgMar w:left="860" w:top="115" w:right="319" w:bottom="1440" w:gutter="0" w:footer="0" w:header="0"/>
        </w:sectPr>
      </w:pPr>
    </w:p>
    <w:bookmarkStart w:id="83" w:name="page84"/>
    <w:bookmarkEnd w:id="83"/>
    <w:p>
      <w:pPr>
        <w:jc w:val="both"/>
        <w:ind w:left="1100" w:hanging="554"/>
        <w:spacing w:after="0" w:line="248" w:lineRule="auto"/>
        <w:tabs>
          <w:tab w:leader="none" w:pos="11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of the series,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designation of any Depositary therefor;</w:t>
      </w:r>
    </w:p>
    <w:p>
      <w:pPr>
        <w:spacing w:after="0" w:line="148"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temporary global Security of the series shall be dated if other than the date of original issuance of the first Security of the series to be issued;</w:t>
      </w:r>
    </w:p>
    <w:p>
      <w:pPr>
        <w:spacing w:after="0" w:line="118" w:lineRule="exact"/>
        <w:rPr>
          <w:rFonts w:ascii="Times New Roman" w:cs="Times New Roman" w:eastAsia="Times New Roman" w:hAnsi="Times New Roman"/>
          <w:sz w:val="18"/>
          <w:szCs w:val="18"/>
          <w:color w:val="auto"/>
        </w:rPr>
      </w:pPr>
    </w:p>
    <w:p>
      <w:pPr>
        <w:jc w:val="both"/>
        <w:ind w:left="1100" w:right="20" w:hanging="554"/>
        <w:spacing w:after="0" w:line="253" w:lineRule="auto"/>
        <w:tabs>
          <w:tab w:leader="none" w:pos="11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spacing w:after="0" w:line="142"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issued upon the exercise of warrants or subscription receipts, the time, manner and place for such Securities to be authenticated and delivered;</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135" w:lineRule="exact"/>
        <w:rPr>
          <w:rFonts w:ascii="Times New Roman" w:cs="Times New Roman" w:eastAsia="Times New Roman" w:hAnsi="Times New Roman"/>
          <w:sz w:val="18"/>
          <w:szCs w:val="18"/>
          <w:color w:val="auto"/>
        </w:rPr>
      </w:pPr>
    </w:p>
    <w:p>
      <w:pPr>
        <w:ind w:left="1160" w:hanging="61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Securities;</w:t>
      </w:r>
    </w:p>
    <w:p>
      <w:pPr>
        <w:spacing w:after="0" w:line="185" w:lineRule="exact"/>
        <w:rPr>
          <w:rFonts w:ascii="Times New Roman" w:cs="Times New Roman" w:eastAsia="Times New Roman" w:hAnsi="Times New Roman"/>
          <w:sz w:val="18"/>
          <w:szCs w:val="18"/>
          <w:color w:val="auto"/>
        </w:rPr>
      </w:pPr>
    </w:p>
    <w:p>
      <w:pPr>
        <w:ind w:left="1160" w:hanging="61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secured or unsecured and the nature and priority of any security; and</w:t>
      </w:r>
    </w:p>
    <w:p>
      <w:pPr>
        <w:spacing w:after="0" w:line="185"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11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84" w:name="page85"/>
    <w:bookmarkEnd w:id="84"/>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11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8"/>
          <w:szCs w:val="18"/>
          <w:b w:val="1"/>
          <w:bCs w:val="1"/>
          <w:color w:val="auto"/>
        </w:rPr>
        <w:t>Denominations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Securities of each series shall be issuable in such denominations as shall be specified as contemplated by Section 3.01.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3.03</w:t>
      </w:r>
      <w:r>
        <w:rPr>
          <w:sz w:val="20"/>
          <w:szCs w:val="20"/>
          <w:color w:val="auto"/>
        </w:rPr>
        <w:tab/>
      </w:r>
      <w:r>
        <w:rPr>
          <w:rFonts w:ascii="Times New Roman" w:cs="Times New Roman" w:eastAsia="Times New Roman" w:hAnsi="Times New Roman"/>
          <w:sz w:val="18"/>
          <w:szCs w:val="18"/>
          <w:b w:val="1"/>
          <w:bCs w:val="1"/>
          <w:color w:val="auto"/>
        </w:rPr>
        <w:t>Execution, Authentication, Delivery and Dating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an Officer. The signature of an Officer on the Securities may be the manual or facsimile signatures of the present or any future such authorized officer and may be imprinted or otherwise reproduced on the Securities.</w:t>
      </w:r>
    </w:p>
    <w:p>
      <w:pPr>
        <w:spacing w:after="0" w:line="11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35"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executed by the Company to the applicable Trustee for authentication, together with a Company Order for the authentication and delivery of such Securities, and the applicable Trustee in accordance with such Company Order shall authenticate and deliver such Securities.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48"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135" w:lineRule="exact"/>
        <w:rPr>
          <w:sz w:val="20"/>
          <w:szCs w:val="20"/>
          <w:color w:val="auto"/>
        </w:rPr>
      </w:pPr>
    </w:p>
    <w:p>
      <w:pPr>
        <w:ind w:left="1140" w:hanging="59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form or forms of such Securities have been established in conformity with the provisions of this Indenture;</w:t>
      </w:r>
    </w:p>
    <w:p>
      <w:pPr>
        <w:spacing w:after="0" w:line="18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have been established in conformity with the provisions of this Indenture;</w:t>
      </w:r>
    </w:p>
    <w:p>
      <w:pPr>
        <w:spacing w:after="0" w:line="185" w:lineRule="exact"/>
        <w:rPr>
          <w:rFonts w:ascii="Times New Roman" w:cs="Times New Roman" w:eastAsia="Times New Roman" w:hAnsi="Times New Roman"/>
          <w:sz w:val="18"/>
          <w:szCs w:val="18"/>
          <w:color w:val="auto"/>
        </w:rPr>
      </w:pPr>
    </w:p>
    <w:p>
      <w:pPr>
        <w:jc w:val="both"/>
        <w:ind w:firstLine="546"/>
        <w:spacing w:after="0" w:line="253" w:lineRule="auto"/>
        <w:tabs>
          <w:tab w:leader="none" w:pos="11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5" w:name="page86"/>
    <w:bookmarkEnd w:id="85"/>
    <w:p>
      <w:pPr>
        <w:ind w:firstLine="546"/>
        <w:spacing w:after="0" w:line="280" w:lineRule="auto"/>
        <w:tabs>
          <w:tab w:leader="none" w:pos="11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such Securities and any supplemental indenture will not contravene the articles of incorporation or continuance, or such other constating documents then in effect, if any, or the by-laws of the Company, or violate applicable laws; and</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the corporate power to issue such Securities, and has duly taken all necessary corporate action with respect to such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w:t>
      </w:r>
    </w:p>
    <w:p>
      <w:pPr>
        <w:spacing w:after="0" w:line="165"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if such documents are delivered prior to or at the time of issuance of the first Security of such series and with respect to all Securities of such series.</w:t>
      </w:r>
    </w:p>
    <w:p>
      <w:pPr>
        <w:spacing w:after="0" w:line="143"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185"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No Security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14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3.04</w:t>
      </w:r>
      <w:r>
        <w:rPr>
          <w:sz w:val="20"/>
          <w:szCs w:val="20"/>
          <w:color w:val="auto"/>
        </w:rPr>
        <w:tab/>
      </w:r>
      <w:r>
        <w:rPr>
          <w:rFonts w:ascii="Times New Roman" w:cs="Times New Roman" w:eastAsia="Times New Roman" w:hAnsi="Times New Roman"/>
          <w:sz w:val="18"/>
          <w:szCs w:val="18"/>
          <w:b w:val="1"/>
          <w:bCs w:val="1"/>
          <w:color w:val="auto"/>
        </w:rPr>
        <w:t>Temporary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45"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applicable Trustee shall authenticate and deliver in exchange therefor a like principal amount of definitive Securities of the same series of authorized denominations and of like tenor and evidencing the same indebtedness. Until so exchanged the temporary Securities of any series shall in all respects be entitled to the same benefits under this Indenture as definitive Securities of such series.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6" w:name="page87"/>
    <w:bookmarkEnd w:id="86"/>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36"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Without unnecessary delay, but in any event not later than the date specified in, or determined pursuant to the terms of, any such temporary global Security (the "</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w:t>
      </w:r>
    </w:p>
    <w:p>
      <w:pPr>
        <w:spacing w:after="0" w:line="14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w:t>
      </w:r>
    </w:p>
    <w:p>
      <w:pPr>
        <w:spacing w:after="0" w:line="364"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87" w:name="page88"/>
    <w:bookmarkEnd w:id="87"/>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8"/>
          <w:szCs w:val="18"/>
          <w:b w:val="1"/>
          <w:bCs w:val="1"/>
          <w:color w:val="auto"/>
        </w:rPr>
        <w:t>Registration, Registration of Transfer and Exchange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So long as required by Trust Indenture Legislation, the Company shall cause to be kept at the Corporate Trust Offices of the applicable Trustee a register for each series of Securities (the registers maintained in the Corporate Trust Offices of the Trustees and in any other office or agency of the Company in a Place of Payment being herein sometimes collectively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the Holders of Securities and of transfers of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Securities and transfers of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363"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Upon surrender for registration of transfer of any Security of any series at the office or agency in a Place of Payment for that series, the Company shall execute, and the applicable Trustee shall authenticate and deliver, in the name of the designated transferee, one or more new Securities of the same series, of any authorized denominations and of a like aggregate principal amount and tenor and evidencing the same indebtedness.</w:t>
      </w:r>
    </w:p>
    <w:p>
      <w:pPr>
        <w:spacing w:after="0" w:line="135"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11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At the option of the Holder, Securities of any series may be exchanged for other Securities of the same series, of any authorized denomination and of a like aggregate principal amount and tenor and evidencing the same indebtedness, upon surrender of the Securities to be exchanged at such office or agency. Whenever any Securities are so surrendered for exchange, the Company shall execute, and the applicable Trustee shall authenticate and deliver, the Securities which the Holder making the exchange is entitled to receive.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8" w:name="page89"/>
    <w:bookmarkEnd w:id="88"/>
    <w:p>
      <w:pPr>
        <w:jc w:val="both"/>
        <w:ind w:right="20" w:firstLine="554"/>
        <w:spacing w:after="0" w:line="280" w:lineRule="auto"/>
        <w:rPr>
          <w:sz w:val="20"/>
          <w:szCs w:val="20"/>
          <w:color w:val="auto"/>
        </w:rPr>
      </w:pPr>
      <w:r>
        <w:rPr>
          <w:rFonts w:ascii="Times New Roman" w:cs="Times New Roman" w:eastAsia="Times New Roman" w:hAnsi="Times New Roman"/>
          <w:sz w:val="18"/>
          <w:szCs w:val="18"/>
          <w:color w:val="auto"/>
        </w:rPr>
        <w:t>Whenever any Securities are so surrendered for exchange, the Company shall execute, and the applicable Trustee shall authenticate and deliver, the Securities which the Holder making the exchange is entitled to receive.</w:t>
      </w:r>
    </w:p>
    <w:p>
      <w:pPr>
        <w:spacing w:after="0" w:line="118"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361"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9" w:name="page90"/>
    <w:bookmarkEnd w:id="89"/>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46" w:lineRule="exact"/>
        <w:rPr>
          <w:sz w:val="20"/>
          <w:szCs w:val="20"/>
          <w:color w:val="auto"/>
        </w:rPr>
      </w:pPr>
    </w:p>
    <w:p>
      <w:pPr>
        <w:jc w:val="both"/>
        <w:ind w:right="20" w:firstLine="554"/>
        <w:spacing w:after="0" w:line="253" w:lineRule="auto"/>
        <w:rPr>
          <w:sz w:val="20"/>
          <w:szCs w:val="20"/>
          <w:color w:val="auto"/>
        </w:rPr>
      </w:pPr>
      <w:r>
        <w:rPr>
          <w:rFonts w:ascii="Times New Roman" w:cs="Times New Roman" w:eastAsia="Times New Roman" w:hAnsi="Times New Roman"/>
          <w:sz w:val="18"/>
          <w:szCs w:val="18"/>
          <w:color w:val="auto"/>
        </w:rPr>
        <w:t>Upon the exchange of a global Security for Securities in definitive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143"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1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3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35"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the day of the mailing of the relevant notice of redemption or (ii) to register the transfer of or exchange any Security in definitive form so selected for redemption in whole or in part, except the unredeemed portion of any Security being redeemed in part, or (iii) to issue, register the transfer of or exchange any Security in definitive form which has been surrendered for repayment at the option of the Holder, except the portion, if any, of such Security not to be so repaid.</w:t>
      </w:r>
    </w:p>
    <w:p>
      <w:pPr>
        <w:spacing w:after="0" w:line="14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8"/>
          <w:szCs w:val="18"/>
          <w:b w:val="1"/>
          <w:bCs w:val="1"/>
          <w:color w:val="auto"/>
        </w:rPr>
        <w:t>Mutilated, Destroyed, Lost and Stolen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If any mutilated Security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or, in case any such mutilated Security has become or is about to become due and payable, the Company in its discretion may, instead of issuing a new Security, , pay such Security. If there shall be delivered to the Company and to the Trustees (i) evidence to their satisfaction of the destruction, loss or theft of any Security and (ii) such security (or surety in the case of the Canadian Trustee) or indemnity as may be required by them to save each of them and any agent of either of them harmless, then, in the absence of notice to the Company or the Trustees that such Security has been acquired by a bona fide purchaser , the Company shall execute and upon Company Order the applicable Trustee shall authenticate and deliver, in lieu of any such destroyed, lost or stolen Security, a new Security of the same series and of like tenor and principal amount and evidencing the same indebtedness and bearing a number not contemporaneously outstanding.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0" w:name="page91"/>
    <w:bookmarkEnd w:id="90"/>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Notwithstanding the provisions of the previous two paragraphs, in case any such mutilated, destroyed, lost or stolen Security has become or is about to become due and payable, the Company in its discretion may, instead of issuing a new Security appertaining to such mutilated, destroyed, lost or stolen Security, pay such Security.</w:t>
      </w:r>
    </w:p>
    <w:p>
      <w:pPr>
        <w:spacing w:after="0" w:line="136" w:lineRule="exact"/>
        <w:rPr>
          <w:sz w:val="20"/>
          <w:szCs w:val="20"/>
          <w:color w:val="auto"/>
        </w:rPr>
      </w:pPr>
    </w:p>
    <w:p>
      <w:pPr>
        <w:jc w:val="both"/>
        <w:ind w:firstLine="554"/>
        <w:spacing w:after="0" w:line="267"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347"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3.06 in lieu of any mutilated, destroyed, lost or stolen Security, shall constitute an original additional contractual obligation of the Company, whether or not the mutilated, destroyed, lost or stolen Security shall be at any time enforceable by anyone, and the Holders of such Security shall be entitled to all the benefits of this Indenture equally and proportionately with the Holders of any and all other Securities of that series duly issued hereunder.</w:t>
      </w:r>
    </w:p>
    <w:p>
      <w:pPr>
        <w:spacing w:after="0" w:line="143"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3.07</w:t>
      </w:r>
      <w:r>
        <w:rPr>
          <w:sz w:val="20"/>
          <w:szCs w:val="20"/>
          <w:color w:val="auto"/>
        </w:rPr>
        <w:tab/>
      </w:r>
      <w:r>
        <w:rPr>
          <w:rFonts w:ascii="Times New Roman" w:cs="Times New Roman" w:eastAsia="Times New Roman" w:hAnsi="Times New Roman"/>
          <w:sz w:val="18"/>
          <w:szCs w:val="18"/>
          <w:b w:val="1"/>
          <w:bCs w:val="1"/>
          <w:color w:val="auto"/>
        </w:rPr>
        <w:t>Payment of Principal, Premium and Interest; Interest Rights Preserved; Optional Interest Reset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80" w:firstLine="1062"/>
        <w:spacing w:after="0" w:line="245" w:lineRule="auto"/>
        <w:tabs>
          <w:tab w:leader="none" w:pos="17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provided as contemplated by Section 3.01 with respect to any series of Securities, interest (if any) on any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installment of interest (if any) on any Security may at the Company's option be paid by (i) mailing a check for such interest, payable to or upon the written order of the Person entitled thereto pursuant to Section 3.09, to the address of such Person as it appears on the Security Register, (ii) wire transfer to an account located in the United States maintained by the Person entitled to such payment as specified in the Security Register, or (iii) as otherwise specified pursuant to Section 3.01 for the Securities of such series.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4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1" w:name="page92"/>
    <w:bookmarkEnd w:id="91"/>
    <w:p>
      <w:pPr>
        <w:jc w:val="both"/>
        <w:ind w:left="8" w:firstLine="554"/>
        <w:spacing w:after="0" w:line="250" w:lineRule="auto"/>
        <w:rPr>
          <w:sz w:val="20"/>
          <w:szCs w:val="20"/>
          <w:color w:val="auto"/>
        </w:rPr>
      </w:pPr>
      <w:r>
        <w:rPr>
          <w:rFonts w:ascii="Times New Roman" w:cs="Times New Roman" w:eastAsia="Times New Roman" w:hAnsi="Times New Roman"/>
          <w:sz w:val="18"/>
          <w:szCs w:val="18"/>
          <w:color w:val="auto"/>
        </w:rPr>
        <w:t>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must be paid by the Company as provided for in either clause (1) or (2), at the Company's election:</w:t>
      </w:r>
    </w:p>
    <w:p>
      <w:pPr>
        <w:spacing w:after="0" w:line="146" w:lineRule="exact"/>
        <w:rPr>
          <w:sz w:val="20"/>
          <w:szCs w:val="20"/>
          <w:color w:val="auto"/>
        </w:rPr>
      </w:pPr>
    </w:p>
    <w:p>
      <w:pPr>
        <w:jc w:val="both"/>
        <w:ind w:left="1108" w:hanging="554"/>
        <w:spacing w:after="0" w:line="243" w:lineRule="auto"/>
        <w:tabs>
          <w:tab w:leader="none" w:pos="11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w:t>
      </w:r>
    </w:p>
    <w:p>
      <w:pPr>
        <w:spacing w:after="0" w:line="153" w:lineRule="exact"/>
        <w:rPr>
          <w:rFonts w:ascii="Times New Roman" w:cs="Times New Roman" w:eastAsia="Times New Roman" w:hAnsi="Times New Roman"/>
          <w:sz w:val="18"/>
          <w:szCs w:val="18"/>
          <w:color w:val="auto"/>
        </w:rPr>
      </w:pPr>
    </w:p>
    <w:p>
      <w:pPr>
        <w:jc w:val="both"/>
        <w:ind w:left="1108" w:hanging="554"/>
        <w:spacing w:after="0" w:line="253" w:lineRule="auto"/>
        <w:tabs>
          <w:tab w:leader="none" w:pos="11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43" w:lineRule="exact"/>
        <w:rPr>
          <w:sz w:val="20"/>
          <w:szCs w:val="20"/>
          <w:color w:val="auto"/>
        </w:rPr>
      </w:pPr>
    </w:p>
    <w:p>
      <w:pPr>
        <w:jc w:val="both"/>
        <w:ind w:left="8" w:firstLine="546"/>
        <w:spacing w:after="0" w:line="244" w:lineRule="auto"/>
        <w:tabs>
          <w:tab w:leader="none" w:pos="116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18"/>
          <w:szCs w:val="18"/>
          <w:b w:val="1"/>
          <w:bCs w:val="1"/>
          <w:color w:val="auto"/>
        </w:rPr>
        <w:t>Optional Reset Date</w:t>
      </w:r>
      <w:r>
        <w:rPr>
          <w:rFonts w:ascii="Times New Roman" w:cs="Times New Roman" w:eastAsia="Times New Roman" w:hAnsi="Times New Roman"/>
          <w:sz w:val="18"/>
          <w:szCs w:val="18"/>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Times New Roman" w:cs="Times New Roman" w:eastAsia="Times New Roman" w:hAnsi="Times New Roman"/>
          <w:sz w:val="18"/>
          <w:szCs w:val="18"/>
          <w:b w:val="1"/>
          <w:bCs w:val="1"/>
          <w:color w:val="auto"/>
        </w:rPr>
        <w:t>Reset Notice</w:t>
      </w:r>
      <w:r>
        <w:rPr>
          <w:rFonts w:ascii="Times New Roman" w:cs="Times New Roman" w:eastAsia="Times New Roman" w:hAnsi="Times New Roman"/>
          <w:sz w:val="18"/>
          <w:szCs w:val="18"/>
          <w:color w:val="auto"/>
        </w:rPr>
        <w:t>") indicating whether the Company has elected to reset the interest rate (or the spread or spread multiplier used to calculate such interest rate, if applicable), and if so</w:t>
      </w:r>
    </w:p>
    <w:p>
      <w:pPr>
        <w:spacing w:after="0" w:line="1" w:lineRule="exact"/>
        <w:rPr>
          <w:rFonts w:ascii="Times New Roman" w:cs="Times New Roman" w:eastAsia="Times New Roman" w:hAnsi="Times New Roman"/>
          <w:sz w:val="18"/>
          <w:szCs w:val="18"/>
          <w:color w:val="auto"/>
        </w:rPr>
      </w:pPr>
    </w:p>
    <w:p>
      <w:pPr>
        <w:jc w:val="both"/>
        <w:ind w:left="8" w:hanging="8"/>
        <w:spacing w:after="0" w:line="246" w:lineRule="auto"/>
        <w:tabs>
          <w:tab w:leader="none" w:pos="2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18"/>
          <w:szCs w:val="18"/>
          <w:b w:val="1"/>
          <w:bCs w:val="1"/>
          <w:color w:val="auto"/>
        </w:rPr>
        <w:t>Subsequent Interest Period</w:t>
      </w:r>
      <w:r>
        <w:rPr>
          <w:rFonts w:ascii="Times New Roman" w:cs="Times New Roman" w:eastAsia="Times New Roman" w:hAnsi="Times New Roman"/>
          <w:sz w:val="18"/>
          <w:szCs w:val="18"/>
          <w:color w:val="auto"/>
        </w:rPr>
        <w:t>"), including the date or dates on which or the period or periods during which and the price or prices at which such redemption may occur during the Subsequent Interest Period.</w:t>
      </w:r>
    </w:p>
    <w:p>
      <w:pPr>
        <w:spacing w:after="0" w:line="1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92" w:name="page93"/>
    <w:bookmarkEnd w:id="92"/>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50"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48"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3.08</w:t>
      </w:r>
      <w:r>
        <w:rPr>
          <w:sz w:val="20"/>
          <w:szCs w:val="20"/>
          <w:color w:val="auto"/>
        </w:rPr>
        <w:tab/>
      </w:r>
      <w:r>
        <w:rPr>
          <w:rFonts w:ascii="Times New Roman" w:cs="Times New Roman" w:eastAsia="Times New Roman" w:hAnsi="Times New Roman"/>
          <w:sz w:val="18"/>
          <w:szCs w:val="18"/>
          <w:b w:val="1"/>
          <w:bCs w:val="1"/>
          <w:color w:val="auto"/>
        </w:rPr>
        <w:t>Optional Extension of Stated Maturity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cs="Times New Roman" w:eastAsia="Times New Roman" w:hAnsi="Times New Roman"/>
          <w:sz w:val="18"/>
          <w:szCs w:val="18"/>
          <w:b w:val="1"/>
          <w:bCs w:val="1"/>
          <w:color w:val="auto"/>
        </w:rPr>
        <w:t>Extension Period</w:t>
      </w:r>
      <w:r>
        <w:rPr>
          <w:rFonts w:ascii="Times New Roman" w:cs="Times New Roman" w:eastAsia="Times New Roman" w:hAnsi="Times New Roman"/>
          <w:sz w:val="18"/>
          <w:szCs w:val="18"/>
          <w:color w:val="auto"/>
        </w:rPr>
        <w:t>") up to but not beyond the date (the "</w:t>
      </w:r>
      <w:r>
        <w:rPr>
          <w:rFonts w:ascii="Times New Roman" w:cs="Times New Roman" w:eastAsia="Times New Roman" w:hAnsi="Times New Roman"/>
          <w:sz w:val="18"/>
          <w:szCs w:val="18"/>
          <w:b w:val="1"/>
          <w:bCs w:val="1"/>
          <w:color w:val="auto"/>
        </w:rPr>
        <w:t>Final Maturity</w:t>
      </w:r>
      <w:r>
        <w:rPr>
          <w:rFonts w:ascii="Times New Roman" w:cs="Times New Roman" w:eastAsia="Times New Roman" w:hAnsi="Times New Roman"/>
          <w:sz w:val="18"/>
          <w:szCs w:val="18"/>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Times New Roman" w:cs="Times New Roman" w:eastAsia="Times New Roman" w:hAnsi="Times New Roman"/>
          <w:sz w:val="18"/>
          <w:szCs w:val="18"/>
          <w:b w:val="1"/>
          <w:bCs w:val="1"/>
          <w:color w:val="auto"/>
        </w:rPr>
        <w:t>Original Stated Maturity</w:t>
      </w:r>
      <w:r>
        <w:rPr>
          <w:rFonts w:ascii="Times New Roman" w:cs="Times New Roman" w:eastAsia="Times New Roman" w:hAnsi="Times New Roman"/>
          <w:sz w:val="18"/>
          <w:szCs w:val="18"/>
          <w:color w:val="auto"/>
        </w:rPr>
        <w:t>"). If the Company exercises such option, the Trustees shall transmit, in the manner provided for in Section 1.07, to the Holder of such Security not later than 40 days prior to the Original Stated Maturity a notice (the "</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indicating (i) the election of the Company to extend the Stated Maturity, (ii) the new Stated Maturity, (iii) 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3" w:name="page94"/>
    <w:bookmarkEnd w:id="93"/>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40"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14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3.09</w:t>
      </w:r>
      <w:r>
        <w:rPr>
          <w:sz w:val="20"/>
          <w:szCs w:val="20"/>
          <w:color w:val="auto"/>
        </w:rPr>
        <w:tab/>
      </w: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Prior to due presentment of a Security for registration of transfer, the Company, the Trustees and any agent of the Company or the Trustees may treat the Person in whose name such Security is registered as the owner of such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43"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The Depositary for Securities may be treated by the Company, the Trustees, and any agent of the Company or the Trustees as the owner of such global Security for all purposes whatsoever. 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43"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3.10</w:t>
      </w:r>
      <w:r>
        <w:rPr>
          <w:sz w:val="20"/>
          <w:szCs w:val="20"/>
          <w:color w:val="auto"/>
        </w:rPr>
        <w:tab/>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All Securities surrendered for payment, redemption, repayment at the option of the Holder, registration of transfer or exchange or for credit against any current or future sinking fund payment shall, if surrendered to any Person other than a Trustee, be delivered to either Trustee. All Securities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4" w:name="page95"/>
    <w:bookmarkEnd w:id="94"/>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3.11</w:t>
      </w:r>
      <w:r>
        <w:rPr>
          <w:sz w:val="20"/>
          <w:szCs w:val="20"/>
          <w:color w:val="auto"/>
        </w:rPr>
        <w:tab/>
      </w:r>
      <w:r>
        <w:rPr>
          <w:rFonts w:ascii="Times New Roman" w:cs="Times New Roman" w:eastAsia="Times New Roman" w:hAnsi="Times New Roman"/>
          <w:sz w:val="18"/>
          <w:szCs w:val="18"/>
          <w:b w:val="1"/>
          <w:bCs w:val="1"/>
          <w:color w:val="auto"/>
        </w:rPr>
        <w:t>Computation of Interest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Times New Roman" w:cs="Times New Roman" w:eastAsia="Times New Roman" w:hAnsi="Times New Roman"/>
          <w:sz w:val="18"/>
          <w:szCs w:val="18"/>
          <w:b w:val="1"/>
          <w:bCs w:val="1"/>
          <w:color w:val="auto"/>
        </w:rPr>
        <w:t>calculation period</w:t>
      </w:r>
      <w:r>
        <w:rPr>
          <w:rFonts w:ascii="Times New Roman" w:cs="Times New Roman" w:eastAsia="Times New Roman" w:hAnsi="Times New Roman"/>
          <w:sz w:val="18"/>
          <w:szCs w:val="18"/>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3.12</w:t>
      </w:r>
      <w:r>
        <w:rPr>
          <w:sz w:val="20"/>
          <w:szCs w:val="20"/>
          <w:color w:val="auto"/>
        </w:rPr>
        <w:tab/>
      </w:r>
      <w:r>
        <w:rPr>
          <w:rFonts w:ascii="Times New Roman" w:cs="Times New Roman" w:eastAsia="Times New Roman" w:hAnsi="Times New Roman"/>
          <w:sz w:val="18"/>
          <w:szCs w:val="18"/>
          <w:b w:val="1"/>
          <w:bCs w:val="1"/>
          <w:color w:val="auto"/>
        </w:rPr>
        <w:t>Currency and Manner of Payments in Respect of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46"/>
        <w:spacing w:after="0" w:line="253" w:lineRule="auto"/>
        <w:tabs>
          <w:tab w:leader="none" w:pos="11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Securities of any series not permitting the election provided for in paragraph (b) below or the Holders of which have not made the election provided for in paragraph (b) below, payment of the principal of, premium (if any) and interest (if any) on such Security of such series will be made in the Currency in which such Security is payable. The provisions of this Section 3.12 may be modified or superseded with respect to any Securities pursuant to Section 3.01.</w:t>
      </w:r>
    </w:p>
    <w:p>
      <w:pPr>
        <w:spacing w:after="0" w:line="142" w:lineRule="exact"/>
        <w:rPr>
          <w:rFonts w:ascii="Times New Roman" w:cs="Times New Roman" w:eastAsia="Times New Roman" w:hAnsi="Times New Roman"/>
          <w:sz w:val="18"/>
          <w:szCs w:val="18"/>
          <w:color w:val="auto"/>
        </w:rPr>
      </w:pPr>
    </w:p>
    <w:p>
      <w:pPr>
        <w:jc w:val="both"/>
        <w:ind w:firstLine="546"/>
        <w:spacing w:after="0" w:line="244" w:lineRule="auto"/>
        <w:tabs>
          <w:tab w:leader="none" w:pos="11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provided pursuant to Section 3.01 with respect to Securities of any series that Holders shall have the option, subject to paragraphs (d) and (e) below, to receive payments of principal of, premium (if any) or interest (if any) on such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Securities for which Holders have made such written election.</w:t>
      </w:r>
    </w:p>
    <w:p>
      <w:pPr>
        <w:spacing w:after="0" w:line="149" w:lineRule="exact"/>
        <w:rPr>
          <w:rFonts w:ascii="Times New Roman" w:cs="Times New Roman" w:eastAsia="Times New Roman" w:hAnsi="Times New Roman"/>
          <w:sz w:val="18"/>
          <w:szCs w:val="18"/>
          <w:color w:val="auto"/>
        </w:rPr>
      </w:pPr>
    </w:p>
    <w:p>
      <w:pPr>
        <w:jc w:val="both"/>
        <w:ind w:firstLine="546"/>
        <w:spacing w:after="0" w:line="244" w:lineRule="auto"/>
        <w:tabs>
          <w:tab w:leader="none" w:pos="11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Securities of any series, the Exchange Rate Agent will deliver to the Company a written notice specifying, in the Currency in which Securities of such series are payable, the respective aggregate amounts of principal of, premium (if any) and interest (if any) on the Securities to be paid on such payment date, specifying the amounts in such Currency so payable in respect of the Securities as to which the Holders of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Securities an Exchange Rate Officer's Certificate in respect of the Dollar or Foreign Currency payments to be made on such payment date. Unless otherwise specified pursuant to Section 3.01, the Dollar or Foreign Currency amount receivable by Holders of Securities who have elected payment in a Currency as provided in paragraph (b) above shall be determined by the Company on the basis of the applicable Market Exchange Rate in effect on the third Business Day (the "</w:t>
      </w:r>
      <w:r>
        <w:rPr>
          <w:rFonts w:ascii="Times New Roman" w:cs="Times New Roman" w:eastAsia="Times New Roman" w:hAnsi="Times New Roman"/>
          <w:sz w:val="18"/>
          <w:szCs w:val="18"/>
          <w:b w:val="1"/>
          <w:bCs w:val="1"/>
          <w:color w:val="auto"/>
        </w:rPr>
        <w:t>Valuation Date</w:t>
      </w:r>
      <w:r>
        <w:rPr>
          <w:rFonts w:ascii="Times New Roman" w:cs="Times New Roman" w:eastAsia="Times New Roman" w:hAnsi="Times New Roman"/>
          <w:sz w:val="18"/>
          <w:szCs w:val="18"/>
          <w:color w:val="auto"/>
        </w:rPr>
        <w:t>") immediately preceding each payment date, and such determination shall be conclusive and binding for all purposes, absent manifest error.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5" w:name="page96"/>
    <w:bookmarkEnd w:id="95"/>
    <w:p>
      <w:pPr>
        <w:jc w:val="both"/>
        <w:ind w:firstLine="546"/>
        <w:spacing w:after="0" w:line="246" w:lineRule="auto"/>
        <w:tabs>
          <w:tab w:leader="none" w:pos="11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50" w:lineRule="exact"/>
        <w:rPr>
          <w:rFonts w:ascii="Times New Roman" w:cs="Times New Roman" w:eastAsia="Times New Roman" w:hAnsi="Times New Roman"/>
          <w:sz w:val="18"/>
          <w:szCs w:val="18"/>
          <w:color w:val="auto"/>
        </w:rPr>
      </w:pPr>
    </w:p>
    <w:p>
      <w:pPr>
        <w:jc w:val="both"/>
        <w:ind w:firstLine="546"/>
        <w:spacing w:after="0" w:line="250" w:lineRule="auto"/>
        <w:tabs>
          <w:tab w:leader="none" w:pos="11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the Holder of a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41" w:lineRule="exact"/>
        <w:rPr>
          <w:rFonts w:ascii="Times New Roman" w:cs="Times New Roman" w:eastAsia="Times New Roman" w:hAnsi="Times New Roman"/>
          <w:sz w:val="18"/>
          <w:szCs w:val="18"/>
          <w:color w:val="auto"/>
        </w:rPr>
      </w:pPr>
    </w:p>
    <w:p>
      <w:pPr>
        <w:ind w:right="20" w:firstLine="546"/>
        <w:spacing w:after="0" w:line="284" w:lineRule="auto"/>
        <w:tabs>
          <w:tab w:leader="none" w:pos="11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Dollar Equivalent of the Foreign Currency</w:t>
      </w:r>
      <w:r>
        <w:rPr>
          <w:rFonts w:ascii="Times New Roman" w:cs="Times New Roman" w:eastAsia="Times New Roman" w:hAnsi="Times New Roman"/>
          <w:sz w:val="18"/>
          <w:szCs w:val="18"/>
          <w:color w:val="auto"/>
        </w:rPr>
        <w:t>" shall be determined by the Exchange Rate Agent and shall be obtained for each subsequent payment date by converting the specified Foreign Currency into Dollars at the Market Exchange Rate on the Conversion Date.</w:t>
      </w:r>
    </w:p>
    <w:p>
      <w:pPr>
        <w:spacing w:after="0" w:line="110" w:lineRule="exact"/>
        <w:rPr>
          <w:rFonts w:ascii="Times New Roman" w:cs="Times New Roman" w:eastAsia="Times New Roman" w:hAnsi="Times New Roman"/>
          <w:sz w:val="18"/>
          <w:szCs w:val="18"/>
          <w:color w:val="auto"/>
        </w:rPr>
      </w:pPr>
    </w:p>
    <w:p>
      <w:pPr>
        <w:jc w:val="both"/>
        <w:ind w:firstLine="546"/>
        <w:spacing w:after="0" w:line="262" w:lineRule="auto"/>
        <w:tabs>
          <w:tab w:leader="none" w:pos="11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Dollar Equivalent of the Currency Unit</w:t>
      </w:r>
      <w:r>
        <w:rPr>
          <w:rFonts w:ascii="Times New Roman" w:cs="Times New Roman" w:eastAsia="Times New Roman" w:hAnsi="Times New Roman"/>
          <w:sz w:val="18"/>
          <w:szCs w:val="18"/>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33" w:lineRule="exact"/>
        <w:rPr>
          <w:rFonts w:ascii="Times New Roman" w:cs="Times New Roman" w:eastAsia="Times New Roman" w:hAnsi="Times New Roman"/>
          <w:sz w:val="18"/>
          <w:szCs w:val="18"/>
          <w:color w:val="auto"/>
        </w:rPr>
      </w:pPr>
    </w:p>
    <w:p>
      <w:pPr>
        <w:ind w:left="1120" w:hanging="574"/>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3.12 the following terms shall have the following meanings:</w:t>
      </w:r>
    </w:p>
    <w:p>
      <w:pPr>
        <w:spacing w:after="0" w:line="181" w:lineRule="exact"/>
        <w:rPr>
          <w:sz w:val="20"/>
          <w:szCs w:val="20"/>
          <w:color w:val="auto"/>
        </w:rPr>
      </w:pPr>
    </w:p>
    <w:p>
      <w:pPr>
        <w:ind w:right="20" w:firstLine="554"/>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Component Currency</w:t>
      </w:r>
      <w:r>
        <w:rPr>
          <w:rFonts w:ascii="Times New Roman" w:cs="Times New Roman" w:eastAsia="Times New Roman" w:hAnsi="Times New Roman"/>
          <w:sz w:val="18"/>
          <w:szCs w:val="18"/>
          <w:color w:val="auto"/>
        </w:rPr>
        <w:t>" shall mean any Currency which, on the Conversion Date, was a component currency of the relevant currency unit, including, but not limited to, the Euro.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6" w:name="page97"/>
    <w:bookmarkEnd w:id="96"/>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56"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shall mean the date for any series of Securities as specified pursuant to clause (15) of Section 3.01 by which the written election referred to in paragraph (b) above may be made.</w:t>
      </w:r>
    </w:p>
    <w:p>
      <w:pPr>
        <w:spacing w:after="0" w:line="114"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45"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4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7" w:name="page98"/>
    <w:bookmarkEnd w:id="97"/>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3.13</w:t>
      </w:r>
      <w:r>
        <w:rPr>
          <w:sz w:val="20"/>
          <w:szCs w:val="20"/>
          <w:color w:val="auto"/>
        </w:rPr>
        <w:tab/>
      </w:r>
      <w:r>
        <w:rPr>
          <w:rFonts w:ascii="Times New Roman" w:cs="Times New Roman" w:eastAsia="Times New Roman" w:hAnsi="Times New Roman"/>
          <w:sz w:val="18"/>
          <w:szCs w:val="18"/>
          <w:b w:val="1"/>
          <w:bCs w:val="1"/>
          <w:color w:val="auto"/>
        </w:rPr>
        <w:t>Appointment and Resignation of Successor Exchange Rate Agent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46"/>
        <w:spacing w:after="0" w:line="248" w:lineRule="auto"/>
        <w:tabs>
          <w:tab w:leader="none" w:pos="11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47" w:lineRule="exact"/>
        <w:rPr>
          <w:rFonts w:ascii="Times New Roman" w:cs="Times New Roman" w:eastAsia="Times New Roman" w:hAnsi="Times New Roman"/>
          <w:sz w:val="18"/>
          <w:szCs w:val="18"/>
          <w:color w:val="auto"/>
        </w:rPr>
      </w:pPr>
    </w:p>
    <w:p>
      <w:pPr>
        <w:jc w:val="both"/>
        <w:ind w:firstLine="546"/>
        <w:spacing w:after="0" w:line="255" w:lineRule="auto"/>
        <w:tabs>
          <w:tab w:leader="none" w:pos="11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355" w:lineRule="exact"/>
        <w:rPr>
          <w:rFonts w:ascii="Times New Roman" w:cs="Times New Roman" w:eastAsia="Times New Roman" w:hAnsi="Times New Roman"/>
          <w:sz w:val="18"/>
          <w:szCs w:val="18"/>
          <w:color w:val="auto"/>
        </w:rPr>
      </w:pPr>
    </w:p>
    <w:p>
      <w:pPr>
        <w:jc w:val="both"/>
        <w:ind w:firstLine="546"/>
        <w:spacing w:after="0" w:line="248" w:lineRule="auto"/>
        <w:tabs>
          <w:tab w:leader="none" w:pos="11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8"/>
          <w:szCs w:val="18"/>
          <w:b w:val="1"/>
          <w:bCs w:val="1"/>
          <w:color w:val="auto"/>
        </w:rPr>
        <w:t>Satisfaction and Discharge of Indenture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to receive, solely from the trust fund described in subclause (b) of clause (1) of this Section 4.01, payments in respect of the principal of, premium (if any) and interest (if any) on such Securities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148" w:lineRule="exact"/>
        <w:rPr>
          <w:sz w:val="20"/>
          <w:szCs w:val="20"/>
          <w:color w:val="auto"/>
        </w:rPr>
      </w:pPr>
    </w:p>
    <w:p>
      <w:pPr>
        <w:ind w:left="1120" w:hanging="574"/>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85" w:lineRule="exact"/>
        <w:rPr>
          <w:sz w:val="20"/>
          <w:szCs w:val="20"/>
          <w:color w:val="auto"/>
        </w:rPr>
      </w:pPr>
    </w:p>
    <w:p>
      <w:pPr>
        <w:jc w:val="both"/>
        <w:ind w:right="20" w:firstLine="546"/>
        <w:spacing w:after="0" w:line="260" w:lineRule="auto"/>
        <w:tabs>
          <w:tab w:leader="none" w:pos="11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35" w:lineRule="exact"/>
        <w:rPr>
          <w:rFonts w:ascii="Times New Roman" w:cs="Times New Roman" w:eastAsia="Times New Roman" w:hAnsi="Times New Roman"/>
          <w:sz w:val="18"/>
          <w:szCs w:val="18"/>
          <w:color w:val="auto"/>
        </w:rPr>
      </w:pPr>
    </w:p>
    <w:p>
      <w:pPr>
        <w:ind w:left="1120" w:hanging="574"/>
        <w:spacing w:after="0"/>
        <w:tabs>
          <w:tab w:leader="none" w:pos="1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not theretofore delivered to either Trustee for cancellation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8" w:name="page99"/>
    <w:bookmarkEnd w:id="98"/>
    <w:p>
      <w:pPr>
        <w:ind w:left="1680" w:hanging="580"/>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86" w:lineRule="exact"/>
        <w:rPr>
          <w:rFonts w:ascii="Times New Roman" w:cs="Times New Roman" w:eastAsia="Times New Roman" w:hAnsi="Times New Roman"/>
          <w:sz w:val="18"/>
          <w:szCs w:val="18"/>
          <w:color w:val="auto"/>
        </w:rPr>
      </w:pPr>
    </w:p>
    <w:p>
      <w:pPr>
        <w:ind w:left="1700" w:hanging="600"/>
        <w:spacing w:after="0"/>
        <w:tabs>
          <w:tab w:leader="none" w:pos="1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85" w:lineRule="exact"/>
        <w:rPr>
          <w:rFonts w:ascii="Times New Roman" w:cs="Times New Roman" w:eastAsia="Times New Roman" w:hAnsi="Times New Roman"/>
          <w:sz w:val="18"/>
          <w:szCs w:val="18"/>
          <w:color w:val="auto"/>
        </w:rPr>
      </w:pPr>
    </w:p>
    <w:p>
      <w:pPr>
        <w:ind w:left="1660" w:hanging="560"/>
        <w:spacing w:after="0" w:line="279" w:lineRule="auto"/>
        <w:tabs>
          <w:tab w:leader="none" w:pos="17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143" w:lineRule="exact"/>
        <w:rPr>
          <w:sz w:val="20"/>
          <w:szCs w:val="20"/>
          <w:color w:val="auto"/>
        </w:rPr>
      </w:pPr>
    </w:p>
    <w:p>
      <w:pPr>
        <w:ind w:left="1140" w:hanging="59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85"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119" w:lineRule="exact"/>
        <w:rPr>
          <w:sz w:val="20"/>
          <w:szCs w:val="20"/>
          <w:color w:val="auto"/>
        </w:rPr>
      </w:pPr>
    </w:p>
    <w:p>
      <w:pPr>
        <w:jc w:val="both"/>
        <w:ind w:firstLine="554"/>
        <w:spacing w:after="0" w:line="255"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Section 6.07(3) and the last paragraph of Section 10.03 shall survive.</w:t>
      </w:r>
    </w:p>
    <w:p>
      <w:pPr>
        <w:spacing w:after="0" w:line="35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8"/>
          <w:szCs w:val="18"/>
          <w:b w:val="1"/>
          <w:bCs w:val="1"/>
          <w:color w:val="auto"/>
        </w:rPr>
        <w:t>Application of Trust Money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50"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deposited with the Trustees pursuant to Section 4.01 shall be held in trust and applied by it, in accordance with the provisions of the Securities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55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9" w:name="page100"/>
    <w:bookmarkEnd w:id="99"/>
    <w:p>
      <w:pPr>
        <w:ind w:left="1100" w:hanging="554"/>
        <w:spacing w:after="0" w:line="280" w:lineRule="auto"/>
        <w:tabs>
          <w:tab w:leader="none" w:pos="1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due on any Security of that series, when such interest becomes due and payable, and continuance of such default for a period of 30 days; or</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or premium (if any) in respect of any Security of that series at its Maturity; or</w:t>
      </w:r>
    </w:p>
    <w:p>
      <w:pPr>
        <w:spacing w:after="0" w:line="185"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amortization or analogous payment when due by the terms of any Security of that series and Article Twelve; or</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48" w:lineRule="auto"/>
        <w:tabs>
          <w:tab w:leader="none" w:pos="1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147" w:lineRule="exact"/>
        <w:rPr>
          <w:rFonts w:ascii="Times New Roman" w:cs="Times New Roman" w:eastAsia="Times New Roman" w:hAnsi="Times New Roman"/>
          <w:sz w:val="18"/>
          <w:szCs w:val="18"/>
          <w:color w:val="auto"/>
        </w:rPr>
      </w:pPr>
    </w:p>
    <w:p>
      <w:pPr>
        <w:jc w:val="both"/>
        <w:ind w:left="1100" w:hanging="554"/>
        <w:spacing w:after="0" w:line="247" w:lineRule="auto"/>
        <w:tabs>
          <w:tab w:leader="none" w:pos="1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47" w:lineRule="exact"/>
        <w:rPr>
          <w:rFonts w:ascii="Times New Roman" w:cs="Times New Roman" w:eastAsia="Times New Roman" w:hAnsi="Times New Roman"/>
          <w:sz w:val="18"/>
          <w:szCs w:val="18"/>
          <w:color w:val="auto"/>
        </w:rPr>
      </w:pPr>
    </w:p>
    <w:p>
      <w:pPr>
        <w:jc w:val="both"/>
        <w:ind w:left="1100" w:hanging="554"/>
        <w:spacing w:after="0" w:line="246" w:lineRule="auto"/>
        <w:tabs>
          <w:tab w:leader="none" w:pos="11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361"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8"/>
          <w:szCs w:val="18"/>
          <w:b w:val="1"/>
          <w:bCs w:val="1"/>
          <w:color w:val="auto"/>
        </w:rPr>
        <w:t>Acceleration of Maturity; Rescission and Annulment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0" w:name="page101"/>
    <w:bookmarkEnd w:id="100"/>
    <w:p>
      <w:pPr>
        <w:jc w:val="both"/>
        <w:ind w:firstLine="554"/>
        <w:spacing w:after="0" w:line="254"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40" w:lineRule="exact"/>
        <w:rPr>
          <w:sz w:val="20"/>
          <w:szCs w:val="20"/>
          <w:color w:val="auto"/>
        </w:rPr>
      </w:pPr>
    </w:p>
    <w:p>
      <w:pPr>
        <w:jc w:val="both"/>
        <w:ind w:left="1100" w:right="20" w:hanging="554"/>
        <w:spacing w:after="0" w:line="260" w:lineRule="auto"/>
        <w:tabs>
          <w:tab w:leader="none" w:pos="11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35" w:lineRule="exact"/>
        <w:rPr>
          <w:rFonts w:ascii="Times New Roman" w:cs="Times New Roman" w:eastAsia="Times New Roman" w:hAnsi="Times New Roman"/>
          <w:sz w:val="18"/>
          <w:szCs w:val="18"/>
          <w:color w:val="auto"/>
        </w:rPr>
      </w:pPr>
    </w:p>
    <w:p>
      <w:pPr>
        <w:ind w:left="1700" w:hanging="600"/>
        <w:spacing w:after="0"/>
        <w:tabs>
          <w:tab w:leader="none" w:pos="17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(if any) on all Outstanding Securities of that series (or of all series, as the case may be),</w:t>
      </w:r>
    </w:p>
    <w:p>
      <w:pPr>
        <w:spacing w:after="0" w:line="185" w:lineRule="exact"/>
        <w:rPr>
          <w:rFonts w:ascii="Times New Roman" w:cs="Times New Roman" w:eastAsia="Times New Roman" w:hAnsi="Times New Roman"/>
          <w:sz w:val="18"/>
          <w:szCs w:val="18"/>
          <w:color w:val="auto"/>
        </w:rPr>
      </w:pPr>
    </w:p>
    <w:p>
      <w:pPr>
        <w:jc w:val="both"/>
        <w:ind w:left="1660" w:hanging="560"/>
        <w:spacing w:after="0" w:line="260" w:lineRule="auto"/>
        <w:tabs>
          <w:tab w:leader="none" w:pos="17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135" w:lineRule="exact"/>
        <w:rPr>
          <w:rFonts w:ascii="Times New Roman" w:cs="Times New Roman" w:eastAsia="Times New Roman" w:hAnsi="Times New Roman"/>
          <w:sz w:val="18"/>
          <w:szCs w:val="18"/>
          <w:color w:val="auto"/>
        </w:rPr>
      </w:pPr>
    </w:p>
    <w:p>
      <w:pPr>
        <w:ind w:left="1660" w:right="20" w:hanging="560"/>
        <w:spacing w:after="0" w:line="279" w:lineRule="auto"/>
        <w:tabs>
          <w:tab w:leader="none" w:pos="170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legally enforceable, interest on overdue interest at the rate or rates prescribed therefor in such Securities, and</w:t>
      </w:r>
    </w:p>
    <w:p>
      <w:pPr>
        <w:spacing w:after="0" w:line="118" w:lineRule="exact"/>
        <w:rPr>
          <w:rFonts w:ascii="Times New Roman" w:cs="Times New Roman" w:eastAsia="Times New Roman" w:hAnsi="Times New Roman"/>
          <w:sz w:val="18"/>
          <w:szCs w:val="18"/>
          <w:color w:val="auto"/>
        </w:rPr>
      </w:pPr>
    </w:p>
    <w:p>
      <w:pPr>
        <w:ind w:left="1660" w:hanging="560"/>
        <w:spacing w:after="0" w:line="279" w:lineRule="auto"/>
        <w:tabs>
          <w:tab w:leader="none" w:pos="170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Trustees hereunder and the reasonable compensation, expenses, disbursements and advances of the Trustees, their agents and counsel; and</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8"/>
          <w:szCs w:val="18"/>
          <w:b w:val="1"/>
          <w:bCs w:val="1"/>
          <w:color w:val="auto"/>
        </w:rPr>
        <w:t>Collection of Debt and Suits for Enforcement by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85" w:lineRule="exact"/>
        <w:rPr>
          <w:sz w:val="20"/>
          <w:szCs w:val="20"/>
          <w:color w:val="auto"/>
        </w:rPr>
      </w:pPr>
    </w:p>
    <w:p>
      <w:pPr>
        <w:ind w:left="1100" w:hanging="554"/>
        <w:spacing w:after="0" w:line="279" w:lineRule="auto"/>
        <w:tabs>
          <w:tab w:leader="none" w:pos="1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when such interest becomes due and payable and such default continues for a period of 30 days,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01" w:name="page102"/>
    <w:bookmarkEnd w:id="101"/>
    <w:p>
      <w:pPr>
        <w:ind w:left="1140" w:hanging="59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any Security at the Maturity thereof,</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then the Company will, upon demand of the Trustees, pay to the applicable Trustee for the benefit of the Holders of such Securities , the whole amount then due and payable on such Securities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45"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43" w:lineRule="exact"/>
        <w:rPr>
          <w:sz w:val="20"/>
          <w:szCs w:val="20"/>
          <w:color w:val="auto"/>
        </w:rPr>
      </w:pPr>
    </w:p>
    <w:p>
      <w:pPr>
        <w:jc w:val="both"/>
        <w:ind w:right="20" w:firstLine="554"/>
        <w:spacing w:after="0" w:line="25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5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8"/>
          <w:szCs w:val="18"/>
          <w:b w:val="1"/>
          <w:bCs w:val="1"/>
          <w:color w:val="auto"/>
        </w:rPr>
        <w:t>Trustees May File Proofs of Claim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145" w:lineRule="exact"/>
        <w:rPr>
          <w:sz w:val="20"/>
          <w:szCs w:val="20"/>
          <w:color w:val="auto"/>
        </w:rPr>
      </w:pPr>
    </w:p>
    <w:p>
      <w:pPr>
        <w:jc w:val="both"/>
        <w:ind w:left="1660" w:hanging="560"/>
        <w:spacing w:after="0" w:line="250" w:lineRule="auto"/>
        <w:tabs>
          <w:tab w:leader="none" w:pos="16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145" w:lineRule="exact"/>
        <w:rPr>
          <w:rFonts w:ascii="Times New Roman" w:cs="Times New Roman" w:eastAsia="Times New Roman" w:hAnsi="Times New Roman"/>
          <w:sz w:val="18"/>
          <w:szCs w:val="18"/>
          <w:color w:val="auto"/>
        </w:rPr>
      </w:pPr>
    </w:p>
    <w:p>
      <w:pPr>
        <w:ind w:left="1680" w:hanging="580"/>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18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2" w:name="page103"/>
    <w:bookmarkEnd w:id="102"/>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13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5.05</w:t>
      </w:r>
      <w:r>
        <w:rPr>
          <w:sz w:val="20"/>
          <w:szCs w:val="20"/>
          <w:color w:val="auto"/>
        </w:rPr>
        <w:tab/>
      </w:r>
      <w:r>
        <w:rPr>
          <w:rFonts w:ascii="Times New Roman" w:cs="Times New Roman" w:eastAsia="Times New Roman" w:hAnsi="Times New Roman"/>
          <w:sz w:val="18"/>
          <w:szCs w:val="18"/>
          <w:b w:val="1"/>
          <w:bCs w:val="1"/>
          <w:color w:val="auto"/>
        </w:rPr>
        <w:t>Trustees May Enforce Claims Without Possession of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All rights of action and claims under this Indenture, the Securities may be prosecuted and enforced by the Trustees without the possession of any of the Securities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in respect of which such judgment has been recovered.</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5.06</w:t>
      </w:r>
      <w:r>
        <w:rPr>
          <w:sz w:val="20"/>
          <w:szCs w:val="20"/>
          <w:color w:val="auto"/>
        </w:rPr>
        <w:tab/>
      </w:r>
      <w:r>
        <w:rPr>
          <w:rFonts w:ascii="Times New Roman" w:cs="Times New Roman" w:eastAsia="Times New Roman" w:hAnsi="Times New Roman"/>
          <w:sz w:val="18"/>
          <w:szCs w:val="18"/>
          <w:b w:val="1"/>
          <w:bCs w:val="1"/>
          <w:color w:val="auto"/>
        </w:rPr>
        <w:t>Application of Money Collected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and the notation thereon of the payment if only partially paid and upon surrender thereof if fully paid: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First: to the payment of all amounts due the Trustees under Section 6.07;</w:t>
      </w:r>
    </w:p>
    <w:p>
      <w:pPr>
        <w:spacing w:after="0" w:line="185"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premium (if any) and interest (if any), on the Securities in respect of which or for the benefit of which such money has been collected, ratably, without preference or priority of any kind, according to the amounts due and payable on such Securities for principal, premium (if any) and interest (if any), respectively; and</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Third: the balance, if any, to the Person or Persons entitled thereto.</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5.07</w:t>
      </w:r>
      <w:r>
        <w:rPr>
          <w:sz w:val="20"/>
          <w:szCs w:val="20"/>
          <w:color w:val="auto"/>
        </w:rPr>
        <w:tab/>
      </w:r>
      <w:r>
        <w:rPr>
          <w:rFonts w:ascii="Times New Roman" w:cs="Times New Roman" w:eastAsia="Times New Roman" w:hAnsi="Times New Roman"/>
          <w:sz w:val="18"/>
          <w:szCs w:val="18"/>
          <w:b w:val="1"/>
          <w:bCs w:val="1"/>
          <w:color w:val="auto"/>
        </w:rPr>
        <w:t>Limitation on Suits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the Securities, or for the appointment of a receiver or trustee, or for any other remedy hereunder, unless</w:t>
      </w:r>
    </w:p>
    <w:p>
      <w:pPr>
        <w:spacing w:after="0" w:line="119" w:lineRule="exact"/>
        <w:rPr>
          <w:sz w:val="20"/>
          <w:szCs w:val="20"/>
          <w:color w:val="auto"/>
        </w:rPr>
      </w:pPr>
    </w:p>
    <w:p>
      <w:pPr>
        <w:ind w:left="1100" w:hanging="554"/>
        <w:spacing w:after="0" w:line="259" w:lineRule="auto"/>
        <w:tabs>
          <w:tab w:leader="none" w:pos="11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Trustees of a continuing Event of Default with respect to the Securities of that series;</w:t>
      </w:r>
    </w:p>
    <w:p>
      <w:pPr>
        <w:spacing w:after="0" w:line="376" w:lineRule="exact"/>
        <w:rPr>
          <w:rFonts w:ascii="Times New Roman" w:cs="Times New Roman" w:eastAsia="Times New Roman" w:hAnsi="Times New Roman"/>
          <w:sz w:val="18"/>
          <w:szCs w:val="18"/>
          <w:color w:val="auto"/>
        </w:rPr>
      </w:pPr>
    </w:p>
    <w:p>
      <w:pPr>
        <w:jc w:val="both"/>
        <w:ind w:left="1100" w:hanging="554"/>
        <w:spacing w:after="0" w:line="253" w:lineRule="auto"/>
        <w:tabs>
          <w:tab w:leader="none" w:pos="11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3" w:name="page104"/>
    <w:bookmarkEnd w:id="103"/>
    <w:p>
      <w:pPr>
        <w:ind w:left="1108" w:right="20" w:hanging="554"/>
        <w:spacing w:after="0" w:line="280" w:lineRule="auto"/>
        <w:tabs>
          <w:tab w:leader="none" w:pos="11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Trustees reasonable indemnity against the costs, expenses and liabilities to be incurred in compliance with such request;</w:t>
      </w:r>
    </w:p>
    <w:p>
      <w:pPr>
        <w:spacing w:after="0" w:line="118" w:lineRule="exact"/>
        <w:rPr>
          <w:rFonts w:ascii="Times New Roman" w:cs="Times New Roman" w:eastAsia="Times New Roman" w:hAnsi="Times New Roman"/>
          <w:sz w:val="18"/>
          <w:szCs w:val="18"/>
          <w:color w:val="auto"/>
        </w:rPr>
      </w:pPr>
    </w:p>
    <w:p>
      <w:pPr>
        <w:ind w:left="1108" w:hanging="554"/>
        <w:spacing w:after="0" w:line="259" w:lineRule="auto"/>
        <w:tabs>
          <w:tab w:leader="none" w:pos="11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for 60 days after their receipt of such notice, request and offer of indemnity have failed to institute any such proceeding; and</w:t>
      </w:r>
    </w:p>
    <w:p>
      <w:pPr>
        <w:spacing w:after="0" w:line="376" w:lineRule="exact"/>
        <w:rPr>
          <w:rFonts w:ascii="Times New Roman" w:cs="Times New Roman" w:eastAsia="Times New Roman" w:hAnsi="Times New Roman"/>
          <w:sz w:val="18"/>
          <w:szCs w:val="18"/>
          <w:color w:val="auto"/>
        </w:rPr>
      </w:pPr>
    </w:p>
    <w:p>
      <w:pPr>
        <w:jc w:val="both"/>
        <w:ind w:left="1108" w:hanging="554"/>
        <w:spacing w:after="0" w:line="252" w:lineRule="auto"/>
        <w:tabs>
          <w:tab w:leader="none" w:pos="11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w:t>
      </w:r>
    </w:p>
    <w:p>
      <w:pPr>
        <w:ind w:left="110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 (3), (4) or (7) of Section 5.01, or in the case of any Event of Default described in clause (5) or (6) of Section 5.01, by the Holders of a majority or more in principal amount of all Outstanding Securities;</w:t>
      </w:r>
    </w:p>
    <w:p>
      <w:pPr>
        <w:spacing w:after="0" w:line="139"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w:t>
      </w:r>
    </w:p>
    <w:p>
      <w:pPr>
        <w:spacing w:after="0" w:line="2" w:lineRule="exact"/>
        <w:rPr>
          <w:sz w:val="20"/>
          <w:szCs w:val="20"/>
          <w:color w:val="auto"/>
        </w:rPr>
      </w:pPr>
    </w:p>
    <w:p>
      <w:pPr>
        <w:jc w:val="both"/>
        <w:ind w:left="8" w:hanging="8"/>
        <w:spacing w:after="0" w:line="246"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143"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5.08</w:t>
      </w:r>
      <w:r>
        <w:rPr>
          <w:sz w:val="20"/>
          <w:szCs w:val="20"/>
          <w:color w:val="auto"/>
        </w:rPr>
        <w:tab/>
      </w:r>
      <w:r>
        <w:rPr>
          <w:rFonts w:ascii="Times New Roman" w:cs="Times New Roman" w:eastAsia="Times New Roman" w:hAnsi="Times New Roman"/>
          <w:sz w:val="18"/>
          <w:szCs w:val="18"/>
          <w:b w:val="1"/>
          <w:bCs w:val="1"/>
          <w:color w:val="auto"/>
        </w:rPr>
        <w:t>Unconditional Right of Holders to Receive Principal, Premium and Interest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8" w:firstLine="554"/>
        <w:spacing w:after="0" w:line="248"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on the respective Stated Maturities expressed in such Security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144"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5.09</w:t>
      </w:r>
      <w:r>
        <w:rPr>
          <w:sz w:val="20"/>
          <w:szCs w:val="20"/>
          <w:color w:val="auto"/>
        </w:rPr>
        <w:tab/>
      </w:r>
      <w:r>
        <w:rPr>
          <w:rFonts w:ascii="Times New Roman" w:cs="Times New Roman" w:eastAsia="Times New Roman" w:hAnsi="Times New Roman"/>
          <w:sz w:val="18"/>
          <w:szCs w:val="18"/>
          <w:b w:val="1"/>
          <w:bCs w:val="1"/>
          <w:color w:val="auto"/>
        </w:rPr>
        <w:t>Restoration of Rights and Remedies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8" w:firstLine="554"/>
        <w:spacing w:after="0" w:line="251" w:lineRule="auto"/>
        <w:rPr>
          <w:sz w:val="20"/>
          <w:szCs w:val="20"/>
          <w:color w:val="auto"/>
        </w:rPr>
      </w:pPr>
      <w:r>
        <w:rPr>
          <w:rFonts w:ascii="Times New Roman" w:cs="Times New Roman" w:eastAsia="Times New Roman" w:hAnsi="Times New Roman"/>
          <w:sz w:val="18"/>
          <w:szCs w:val="18"/>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shall be restored severally and respectively to their former positions hereunder and thereafter all rights and remedies of the Trustees and the Holders shall continue as though no such proceeding had been instituted.</w:t>
      </w:r>
    </w:p>
    <w:p>
      <w:pPr>
        <w:spacing w:after="0" w:line="353" w:lineRule="exact"/>
        <w:rPr>
          <w:sz w:val="20"/>
          <w:szCs w:val="20"/>
          <w:color w:val="auto"/>
        </w:rPr>
      </w:pPr>
    </w:p>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5.10</w:t>
      </w:r>
      <w:r>
        <w:rPr>
          <w:sz w:val="20"/>
          <w:szCs w:val="20"/>
          <w:color w:val="auto"/>
        </w:rPr>
        <w:tab/>
      </w:r>
      <w:r>
        <w:rPr>
          <w:rFonts w:ascii="Times New Roman" w:cs="Times New Roman" w:eastAsia="Times New Roman" w:hAnsi="Times New Roman"/>
          <w:sz w:val="18"/>
          <w:szCs w:val="18"/>
          <w:b w:val="1"/>
          <w:bCs w:val="1"/>
          <w:color w:val="auto"/>
        </w:rPr>
        <w:t>Rights and Remedies Cumulative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8" w:firstLine="554"/>
        <w:spacing w:after="0" w:line="250"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the last paragraph of Section 3.06, no right or remedy herein conferred upon or reserved to the Trustees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6" w:right="319" w:bottom="1440" w:gutter="0" w:footer="0" w:header="0"/>
        </w:sectPr>
      </w:pPr>
    </w:p>
    <w:bookmarkStart w:id="104" w:name="page105"/>
    <w:bookmarkEnd w:id="104"/>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5.11</w:t>
      </w:r>
      <w:r>
        <w:rPr>
          <w:sz w:val="20"/>
          <w:szCs w:val="20"/>
          <w:color w:val="auto"/>
        </w:rPr>
        <w:tab/>
      </w:r>
      <w:r>
        <w:rPr>
          <w:rFonts w:ascii="Times New Roman" w:cs="Times New Roman" w:eastAsia="Times New Roman" w:hAnsi="Times New Roman"/>
          <w:sz w:val="18"/>
          <w:szCs w:val="18"/>
          <w:b w:val="1"/>
          <w:bCs w:val="1"/>
          <w:color w:val="auto"/>
        </w:rPr>
        <w:t>Delay or Omission Not Waiver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No delay or omission of the Trustees or of any Holder of any Security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5.12</w:t>
      </w:r>
      <w:r>
        <w:rPr>
          <w:sz w:val="20"/>
          <w:szCs w:val="20"/>
          <w:color w:val="auto"/>
        </w:rPr>
        <w:tab/>
      </w:r>
      <w:r>
        <w:rPr>
          <w:rFonts w:ascii="Times New Roman" w:cs="Times New Roman" w:eastAsia="Times New Roman" w:hAnsi="Times New Roman"/>
          <w:sz w:val="18"/>
          <w:szCs w:val="18"/>
          <w:b w:val="1"/>
          <w:bCs w:val="1"/>
          <w:color w:val="auto"/>
        </w:rPr>
        <w:t>Control by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or (7) of Section 5.01,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148" w:lineRule="exact"/>
        <w:rPr>
          <w:sz w:val="20"/>
          <w:szCs w:val="20"/>
          <w:color w:val="auto"/>
        </w:rPr>
      </w:pPr>
    </w:p>
    <w:p>
      <w:pPr>
        <w:ind w:left="1140" w:hanging="59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8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take any other action deemed proper by the Trustees which is not inconsistent with such direction, and</w:t>
      </w:r>
    </w:p>
    <w:p>
      <w:pPr>
        <w:spacing w:after="0" w:line="18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need not take any action which might involve them in personal liability or be unjustly prejudicial to the Holders of Securities of such series not consenting.</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5.13</w:t>
      </w:r>
      <w:r>
        <w:rPr>
          <w:sz w:val="20"/>
          <w:szCs w:val="20"/>
          <w:color w:val="auto"/>
        </w:rPr>
        <w:tab/>
      </w:r>
      <w:r>
        <w:rPr>
          <w:rFonts w:ascii="Times New Roman" w:cs="Times New Roman" w:eastAsia="Times New Roman" w:hAnsi="Times New Roman"/>
          <w:sz w:val="18"/>
          <w:szCs w:val="18"/>
          <w:b w:val="1"/>
          <w:bCs w:val="1"/>
          <w:color w:val="auto"/>
        </w:rPr>
        <w:t>Waiver of Past Defaults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143" w:lineRule="exact"/>
        <w:rPr>
          <w:sz w:val="20"/>
          <w:szCs w:val="20"/>
          <w:color w:val="auto"/>
        </w:rPr>
      </w:pPr>
    </w:p>
    <w:p>
      <w:pPr>
        <w:ind w:left="1140" w:hanging="59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payment of the principal of, premium (if any) or interest (if any) on any Security, or</w:t>
      </w:r>
    </w:p>
    <w:p>
      <w:pPr>
        <w:spacing w:after="0" w:line="18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herein which under Article Nine cannot be modified or amended without the consent of the Holder of each outstanding Security of such series affected.</w:t>
      </w:r>
    </w:p>
    <w:p>
      <w:pPr>
        <w:spacing w:after="0" w:line="11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5" w:name="page106"/>
    <w:bookmarkEnd w:id="105"/>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5.14</w:t>
      </w:r>
      <w:r>
        <w:rPr>
          <w:sz w:val="20"/>
          <w:szCs w:val="20"/>
          <w:color w:val="auto"/>
        </w:rPr>
        <w:tab/>
      </w:r>
      <w:r>
        <w:rPr>
          <w:rFonts w:ascii="Times New Roman" w:cs="Times New Roman" w:eastAsia="Times New Roman" w:hAnsi="Times New Roman"/>
          <w:sz w:val="18"/>
          <w:szCs w:val="18"/>
          <w:b w:val="1"/>
          <w:bCs w:val="1"/>
          <w:color w:val="auto"/>
        </w:rPr>
        <w:t>Waiver of Stay or Extension Laws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5.15</w:t>
      </w:r>
      <w:r>
        <w:rPr>
          <w:sz w:val="20"/>
          <w:szCs w:val="20"/>
          <w:color w:val="auto"/>
        </w:rPr>
        <w:tab/>
      </w:r>
      <w:r>
        <w:rPr>
          <w:rFonts w:ascii="Times New Roman" w:cs="Times New Roman" w:eastAsia="Times New Roman" w:hAnsi="Times New Roman"/>
          <w:sz w:val="18"/>
          <w:szCs w:val="18"/>
          <w:b w:val="1"/>
          <w:bCs w:val="1"/>
          <w:color w:val="auto"/>
        </w:rPr>
        <w:t>Undertaking for Costs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6.01</w:t>
      </w:r>
      <w:r>
        <w:rPr>
          <w:sz w:val="20"/>
          <w:szCs w:val="20"/>
          <w:color w:val="auto"/>
        </w:rPr>
        <w:tab/>
      </w:r>
      <w:r>
        <w:rPr>
          <w:rFonts w:ascii="Times New Roman" w:cs="Times New Roman" w:eastAsia="Times New Roman" w:hAnsi="Times New Roman"/>
          <w:sz w:val="18"/>
          <w:szCs w:val="18"/>
          <w:b w:val="1"/>
          <w:bCs w:val="1"/>
          <w:color w:val="auto"/>
        </w:rPr>
        <w:t>Notice of Defaults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15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8"/>
          <w:szCs w:val="18"/>
          <w:b w:val="1"/>
          <w:bCs w:val="1"/>
          <w:color w:val="auto"/>
        </w:rPr>
        <w:t>Certain Duties and Responsibilities of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46"/>
        <w:spacing w:after="0" w:line="260" w:lineRule="auto"/>
        <w:tabs>
          <w:tab w:leader="none" w:pos="11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06" w:name="page107"/>
    <w:bookmarkEnd w:id="106"/>
    <w:p>
      <w:pPr>
        <w:jc w:val="both"/>
        <w:ind w:firstLine="546"/>
        <w:spacing w:after="0" w:line="254" w:lineRule="auto"/>
        <w:tabs>
          <w:tab w:leader="none" w:pos="11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40" w:lineRule="exact"/>
        <w:rPr>
          <w:rFonts w:ascii="Times New Roman" w:cs="Times New Roman" w:eastAsia="Times New Roman" w:hAnsi="Times New Roman"/>
          <w:sz w:val="18"/>
          <w:szCs w:val="18"/>
          <w:color w:val="auto"/>
        </w:rPr>
      </w:pPr>
    </w:p>
    <w:p>
      <w:pPr>
        <w:ind w:firstLine="546"/>
        <w:spacing w:after="0" w:line="279" w:lineRule="auto"/>
        <w:tabs>
          <w:tab w:leader="none" w:pos="11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each Trustee from liability for its own actions or failure to act in accordance with Subsection 6.02(b), except that:</w:t>
      </w:r>
    </w:p>
    <w:p>
      <w:pPr>
        <w:spacing w:after="0" w:line="118" w:lineRule="exact"/>
        <w:rPr>
          <w:rFonts w:ascii="Times New Roman" w:cs="Times New Roman" w:eastAsia="Times New Roman" w:hAnsi="Times New Roman"/>
          <w:sz w:val="18"/>
          <w:szCs w:val="18"/>
          <w:color w:val="auto"/>
        </w:rPr>
      </w:pPr>
    </w:p>
    <w:p>
      <w:pPr>
        <w:ind w:left="1660" w:hanging="560"/>
        <w:spacing w:after="0" w:line="259" w:lineRule="auto"/>
        <w:tabs>
          <w:tab w:leader="none" w:pos="167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such Events of Default that may have occurred:</w:t>
      </w:r>
    </w:p>
    <w:p>
      <w:pPr>
        <w:spacing w:after="0" w:line="376" w:lineRule="exact"/>
        <w:rPr>
          <w:rFonts w:ascii="Times New Roman" w:cs="Times New Roman" w:eastAsia="Times New Roman" w:hAnsi="Times New Roman"/>
          <w:sz w:val="18"/>
          <w:szCs w:val="18"/>
          <w:color w:val="auto"/>
        </w:rPr>
      </w:pPr>
    </w:p>
    <w:p>
      <w:pPr>
        <w:jc w:val="both"/>
        <w:ind w:left="2200" w:hanging="546"/>
        <w:spacing w:after="0" w:line="253" w:lineRule="auto"/>
        <w:tabs>
          <w:tab w:leader="none" w:pos="224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142" w:lineRule="exact"/>
        <w:rPr>
          <w:rFonts w:ascii="Times New Roman" w:cs="Times New Roman" w:eastAsia="Times New Roman" w:hAnsi="Times New Roman"/>
          <w:sz w:val="18"/>
          <w:szCs w:val="18"/>
          <w:color w:val="auto"/>
        </w:rPr>
      </w:pPr>
    </w:p>
    <w:p>
      <w:pPr>
        <w:jc w:val="both"/>
        <w:ind w:left="2200" w:hanging="546"/>
        <w:spacing w:after="0" w:line="246" w:lineRule="auto"/>
        <w:tabs>
          <w:tab w:leader="none" w:pos="223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Canadian Trustee shall not be required to determine whether the certificates or opinions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 conform to the Trust Indenture Act and the U.S. Trustee shall not be required to determine whether the certificates or opinions presented to it conform to Canadian Trust Indenture Legislation.</w:t>
      </w:r>
    </w:p>
    <w:p>
      <w:pPr>
        <w:spacing w:after="0" w:line="149" w:lineRule="exact"/>
        <w:rPr>
          <w:rFonts w:ascii="Times New Roman" w:cs="Times New Roman" w:eastAsia="Times New Roman" w:hAnsi="Times New Roman"/>
          <w:sz w:val="18"/>
          <w:szCs w:val="18"/>
          <w:color w:val="auto"/>
        </w:rPr>
      </w:pPr>
    </w:p>
    <w:p>
      <w:pPr>
        <w:jc w:val="both"/>
        <w:ind w:left="1660" w:hanging="560"/>
        <w:spacing w:after="0" w:line="253" w:lineRule="auto"/>
        <w:tabs>
          <w:tab w:leader="none" w:pos="168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142" w:lineRule="exact"/>
        <w:rPr>
          <w:rFonts w:ascii="Times New Roman" w:cs="Times New Roman" w:eastAsia="Times New Roman" w:hAnsi="Times New Roman"/>
          <w:sz w:val="18"/>
          <w:szCs w:val="18"/>
          <w:color w:val="auto"/>
        </w:rPr>
      </w:pPr>
    </w:p>
    <w:p>
      <w:pPr>
        <w:jc w:val="both"/>
        <w:ind w:left="1660" w:hanging="560"/>
        <w:spacing w:after="0" w:line="267" w:lineRule="auto"/>
        <w:tabs>
          <w:tab w:leader="none" w:pos="17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347" w:lineRule="exact"/>
        <w:rPr>
          <w:rFonts w:ascii="Times New Roman" w:cs="Times New Roman" w:eastAsia="Times New Roman" w:hAnsi="Times New Roman"/>
          <w:sz w:val="18"/>
          <w:szCs w:val="18"/>
          <w:color w:val="auto"/>
        </w:rPr>
      </w:pPr>
    </w:p>
    <w:p>
      <w:pPr>
        <w:jc w:val="both"/>
        <w:ind w:left="1660" w:hanging="560"/>
        <w:spacing w:after="0" w:line="260" w:lineRule="auto"/>
        <w:tabs>
          <w:tab w:leader="none" w:pos="170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7" w:name="page108"/>
    <w:bookmarkEnd w:id="107"/>
    <w:p>
      <w:pPr>
        <w:jc w:val="both"/>
        <w:ind w:firstLine="546"/>
        <w:spacing w:after="0" w:line="255" w:lineRule="auto"/>
        <w:tabs>
          <w:tab w:leader="none" w:pos="11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35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8"/>
          <w:szCs w:val="18"/>
          <w:b w:val="1"/>
          <w:bCs w:val="1"/>
          <w:color w:val="auto"/>
        </w:rPr>
        <w:t>Certain Rights of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the provisions of TIA Sections 315(a) through 315(d):</w:t>
      </w:r>
    </w:p>
    <w:p>
      <w:pPr>
        <w:spacing w:after="0" w:line="185" w:lineRule="exact"/>
        <w:rPr>
          <w:sz w:val="20"/>
          <w:szCs w:val="20"/>
          <w:color w:val="auto"/>
        </w:rPr>
      </w:pPr>
    </w:p>
    <w:p>
      <w:pPr>
        <w:jc w:val="both"/>
        <w:ind w:left="1100" w:hanging="554"/>
        <w:spacing w:after="0" w:line="260"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53"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be under no obligation to exercise any of the rights or powers vested in it by this Indenture at the request or direction of any of the Holders of Securities of any series pursuant to this Indenture, unless such Holders shall have offered to the Trustees reasonable security or indemnity against the costs, expenses and liabilities which might be incurred by them in compliance with such request or direction;</w:t>
      </w:r>
    </w:p>
    <w:p>
      <w:pPr>
        <w:spacing w:after="0" w:line="142" w:lineRule="exact"/>
        <w:rPr>
          <w:rFonts w:ascii="Times New Roman" w:cs="Times New Roman" w:eastAsia="Times New Roman" w:hAnsi="Times New Roman"/>
          <w:sz w:val="18"/>
          <w:szCs w:val="18"/>
          <w:color w:val="auto"/>
        </w:rPr>
      </w:pPr>
    </w:p>
    <w:p>
      <w:pPr>
        <w:jc w:val="both"/>
        <w:ind w:left="1100" w:hanging="554"/>
        <w:spacing w:after="0" w:line="250"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14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Event of Default, the Trustees' powers shall not be infringed upon so long as they act in accordance with Section 6.02(b);</w:t>
      </w:r>
    </w:p>
    <w:p>
      <w:pPr>
        <w:spacing w:after="0" w:line="185" w:lineRule="exact"/>
        <w:rPr>
          <w:rFonts w:ascii="Times New Roman" w:cs="Times New Roman" w:eastAsia="Times New Roman" w:hAnsi="Times New Roman"/>
          <w:sz w:val="18"/>
          <w:szCs w:val="18"/>
          <w:color w:val="auto"/>
        </w:rPr>
      </w:pPr>
    </w:p>
    <w:p>
      <w:pPr>
        <w:jc w:val="both"/>
        <w:ind w:left="1100" w:right="20" w:hanging="554"/>
        <w:spacing w:after="0" w:line="260" w:lineRule="auto"/>
        <w:tabs>
          <w:tab w:leader="none" w:pos="11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8" w:name="page109"/>
    <w:bookmarkEnd w:id="108"/>
    <w:p>
      <w:pPr>
        <w:jc w:val="both"/>
        <w:ind w:left="1100" w:hanging="554"/>
        <w:spacing w:after="0" w:line="267" w:lineRule="auto"/>
        <w:tabs>
          <w:tab w:leader="none" w:pos="11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34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8"/>
          <w:szCs w:val="18"/>
          <w:b w:val="1"/>
          <w:bCs w:val="1"/>
          <w:color w:val="auto"/>
        </w:rPr>
        <w:t>Trustees Not Responsible for Recitals or Issuance of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The recitals contained herein and in the Securities, except for a Trustee's certificate of authentication, shall be taken as the statements of the Company, and neither Trustee nor any Authenticating Agent assumes any responsibility for their correctness. The Trustees make no representations as to the validity or sufficiency of this Indenture or of the Securities ,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14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8"/>
          <w:szCs w:val="18"/>
          <w:b w:val="1"/>
          <w:bCs w:val="1"/>
          <w:color w:val="auto"/>
        </w:rPr>
        <w:t>May Hold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The Trustees, any Authenticating Agent, any Paying Agent, any Security Registrar or any other agent of the Company or of the Trustees, in their individual or any other capacity, may become the owner or pledgee of Securities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14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6.06</w:t>
      </w:r>
      <w:r>
        <w:rPr>
          <w:sz w:val="20"/>
          <w:szCs w:val="20"/>
          <w:color w:val="auto"/>
        </w:rPr>
        <w:tab/>
      </w:r>
      <w:r>
        <w:rPr>
          <w:rFonts w:ascii="Times New Roman" w:cs="Times New Roman" w:eastAsia="Times New Roman" w:hAnsi="Times New Roman"/>
          <w:sz w:val="18"/>
          <w:szCs w:val="18"/>
          <w:b w:val="1"/>
          <w:bCs w:val="1"/>
          <w:color w:val="auto"/>
        </w:rPr>
        <w:t>Money Held in Trust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8"/>
          <w:szCs w:val="18"/>
          <w:b w:val="1"/>
          <w:bCs w:val="1"/>
          <w:color w:val="auto"/>
        </w:rPr>
        <w:t>Compensation and Reimbursement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agrees:</w:t>
      </w:r>
    </w:p>
    <w:p>
      <w:pPr>
        <w:spacing w:after="0" w:line="185" w:lineRule="exact"/>
        <w:rPr>
          <w:sz w:val="20"/>
          <w:szCs w:val="20"/>
          <w:color w:val="auto"/>
        </w:rPr>
      </w:pPr>
    </w:p>
    <w:p>
      <w:pPr>
        <w:ind w:left="1100" w:right="20" w:hanging="554"/>
        <w:spacing w:after="0" w:line="279" w:lineRule="auto"/>
        <w:tabs>
          <w:tab w:leader="none" w:pos="11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51" w:lineRule="auto"/>
        <w:tabs>
          <w:tab w:leader="none" w:pos="11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9" w:name="page110"/>
    <w:bookmarkEnd w:id="109"/>
    <w:p>
      <w:pPr>
        <w:jc w:val="both"/>
        <w:ind w:left="1100" w:hanging="554"/>
        <w:spacing w:after="0" w:line="250" w:lineRule="auto"/>
        <w:tabs>
          <w:tab w:leader="none" w:pos="11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146"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w:t>
      </w:r>
    </w:p>
    <w:p>
      <w:pPr>
        <w:spacing w:after="0" w:line="14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provisions of this Section 6.07 shall survive the termination of this Indenture.</w:t>
      </w:r>
    </w:p>
    <w:p>
      <w:pPr>
        <w:spacing w:after="0" w:line="18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6.08</w:t>
      </w:r>
      <w:r>
        <w:rPr>
          <w:sz w:val="20"/>
          <w:szCs w:val="20"/>
          <w:color w:val="auto"/>
        </w:rPr>
        <w:tab/>
      </w:r>
      <w:r>
        <w:rPr>
          <w:rFonts w:ascii="Times New Roman" w:cs="Times New Roman" w:eastAsia="Times New Roman" w:hAnsi="Times New Roman"/>
          <w:sz w:val="18"/>
          <w:szCs w:val="18"/>
          <w:b w:val="1"/>
          <w:bCs w:val="1"/>
          <w:color w:val="auto"/>
        </w:rPr>
        <w:t>Corporate Trustees Required; Eligibility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100" w:hanging="554"/>
        <w:spacing w:after="0" w:line="247"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47" w:lineRule="exact"/>
        <w:rPr>
          <w:rFonts w:ascii="Times New Roman" w:cs="Times New Roman" w:eastAsia="Times New Roman" w:hAnsi="Times New Roman"/>
          <w:sz w:val="18"/>
          <w:szCs w:val="18"/>
          <w:color w:val="auto"/>
        </w:rPr>
      </w:pPr>
    </w:p>
    <w:p>
      <w:pPr>
        <w:jc w:val="both"/>
        <w:ind w:left="1100" w:hanging="554"/>
        <w:spacing w:after="0" w:line="247"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47"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will not be required to give any bond or security in respect of the execution of the trusts and powers set out in this Indenture or otherwise in respect of the premises.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0" w:name="page111"/>
    <w:bookmarkEnd w:id="110"/>
    <w:p>
      <w:pPr>
        <w:ind w:left="1100" w:right="20" w:hanging="554"/>
        <w:spacing w:after="0" w:line="280" w:lineRule="auto"/>
        <w:tabs>
          <w:tab w:leader="none" w:pos="11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Trustee nor any Affiliate of either Trustee shall be appointed a receiver or receiver and manager or liquidator of all or any part of the assets or undertaking of the Company.</w:t>
      </w:r>
    </w:p>
    <w:p>
      <w:pPr>
        <w:spacing w:after="0" w:line="11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6.09</w:t>
      </w:r>
      <w:r>
        <w:rPr>
          <w:sz w:val="20"/>
          <w:szCs w:val="20"/>
          <w:color w:val="auto"/>
        </w:rPr>
        <w:tab/>
      </w:r>
      <w:r>
        <w:rPr>
          <w:rFonts w:ascii="Times New Roman" w:cs="Times New Roman" w:eastAsia="Times New Roman" w:hAnsi="Times New Roman"/>
          <w:sz w:val="18"/>
          <w:szCs w:val="18"/>
          <w:b w:val="1"/>
          <w:bCs w:val="1"/>
          <w:color w:val="auto"/>
        </w:rPr>
        <w:t>Resignation and Removal; Appointment of Successor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100" w:right="20" w:hanging="554"/>
        <w:spacing w:after="0" w:line="279" w:lineRule="auto"/>
        <w:tabs>
          <w:tab w:leader="none" w:pos="11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53" w:lineRule="auto"/>
        <w:tabs>
          <w:tab w:leader="none" w:pos="11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142"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85" w:lineRule="exact"/>
        <w:rPr>
          <w:rFonts w:ascii="Times New Roman" w:cs="Times New Roman" w:eastAsia="Times New Roman" w:hAnsi="Times New Roman"/>
          <w:sz w:val="18"/>
          <w:szCs w:val="18"/>
          <w:color w:val="auto"/>
        </w:rPr>
      </w:pPr>
    </w:p>
    <w:p>
      <w:pPr>
        <w:ind w:left="1660" w:right="20" w:hanging="560"/>
        <w:spacing w:after="0" w:line="279" w:lineRule="auto"/>
        <w:tabs>
          <w:tab w:leader="none" w:pos="16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acquire any conflicting interest as defined in TIA Section 310(b) and fail to comply with the provisions of TIA Section 310(b)(i), or</w:t>
      </w:r>
    </w:p>
    <w:p>
      <w:pPr>
        <w:spacing w:after="0" w:line="118" w:lineRule="exact"/>
        <w:rPr>
          <w:rFonts w:ascii="Times New Roman" w:cs="Times New Roman" w:eastAsia="Times New Roman" w:hAnsi="Times New Roman"/>
          <w:sz w:val="18"/>
          <w:szCs w:val="18"/>
          <w:color w:val="auto"/>
        </w:rPr>
      </w:pPr>
    </w:p>
    <w:p>
      <w:pPr>
        <w:ind w:left="1660" w:right="20" w:hanging="560"/>
        <w:spacing w:after="0" w:line="279" w:lineRule="auto"/>
        <w:tabs>
          <w:tab w:leader="none" w:pos="170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fail to comply with the provisions of TIA Section 310(b) after written request therefor by the Company or by any Holder who has been a bona fide Holder of a Security for at least six months, or</w:t>
      </w:r>
    </w:p>
    <w:p>
      <w:pPr>
        <w:spacing w:after="0" w:line="118" w:lineRule="exact"/>
        <w:rPr>
          <w:rFonts w:ascii="Times New Roman" w:cs="Times New Roman" w:eastAsia="Times New Roman" w:hAnsi="Times New Roman"/>
          <w:sz w:val="18"/>
          <w:szCs w:val="18"/>
          <w:color w:val="auto"/>
        </w:rPr>
      </w:pPr>
    </w:p>
    <w:p>
      <w:pPr>
        <w:ind w:left="1660" w:right="20" w:hanging="560"/>
        <w:spacing w:after="0" w:line="279" w:lineRule="auto"/>
        <w:tabs>
          <w:tab w:leader="none" w:pos="170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118" w:lineRule="exact"/>
        <w:rPr>
          <w:rFonts w:ascii="Times New Roman" w:cs="Times New Roman" w:eastAsia="Times New Roman" w:hAnsi="Times New Roman"/>
          <w:sz w:val="18"/>
          <w:szCs w:val="18"/>
          <w:color w:val="auto"/>
        </w:rPr>
      </w:pPr>
    </w:p>
    <w:p>
      <w:pPr>
        <w:jc w:val="both"/>
        <w:ind w:left="1660" w:right="20" w:hanging="560"/>
        <w:spacing w:after="0" w:line="260" w:lineRule="auto"/>
        <w:tabs>
          <w:tab w:leader="none" w:pos="170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35" w:lineRule="exact"/>
        <w:rPr>
          <w:sz w:val="20"/>
          <w:szCs w:val="20"/>
          <w:color w:val="auto"/>
        </w:rPr>
      </w:pPr>
    </w:p>
    <w:p>
      <w:pPr>
        <w:jc w:val="both"/>
        <w:ind w:left="1100"/>
        <w:spacing w:after="0" w:line="253" w:lineRule="auto"/>
        <w:rPr>
          <w:sz w:val="20"/>
          <w:szCs w:val="20"/>
          <w:color w:val="auto"/>
        </w:rPr>
      </w:pPr>
      <w:r>
        <w:rPr>
          <w:rFonts w:ascii="Times New Roman" w:cs="Times New Roman" w:eastAsia="Times New Roman" w:hAnsi="Times New Roman"/>
          <w:sz w:val="18"/>
          <w:szCs w:val="18"/>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143" w:lineRule="exact"/>
        <w:rPr>
          <w:sz w:val="20"/>
          <w:szCs w:val="20"/>
          <w:color w:val="auto"/>
        </w:rPr>
      </w:pPr>
    </w:p>
    <w:p>
      <w:pPr>
        <w:jc w:val="both"/>
        <w:ind w:left="1100" w:hanging="554"/>
        <w:spacing w:after="0" w:line="243" w:lineRule="auto"/>
        <w:tabs>
          <w:tab w:leader="none" w:pos="11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1" w:name="page112"/>
    <w:bookmarkEnd w:id="111"/>
    <w:p>
      <w:pPr>
        <w:jc w:val="both"/>
        <w:ind w:left="1100" w:hanging="554"/>
        <w:spacing w:after="0" w:line="254" w:lineRule="auto"/>
        <w:tabs>
          <w:tab w:leader="none" w:pos="11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140"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Canadian Trustee under this Indenture is no longer required by Trust Indenture Legislation, then the Company by a Board Resolution may remove the Canadian Trustee.</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6.10</w:t>
      </w:r>
      <w:r>
        <w:rPr>
          <w:sz w:val="20"/>
          <w:szCs w:val="20"/>
          <w:color w:val="auto"/>
        </w:rPr>
        <w:tab/>
      </w:r>
      <w:r>
        <w:rPr>
          <w:rFonts w:ascii="Times New Roman" w:cs="Times New Roman" w:eastAsia="Times New Roman" w:hAnsi="Times New Roman"/>
          <w:sz w:val="18"/>
          <w:szCs w:val="18"/>
          <w:b w:val="1"/>
          <w:bCs w:val="1"/>
          <w:color w:val="auto"/>
        </w:rPr>
        <w:t>Acceptance of Appointment by Successor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100" w:hanging="554"/>
        <w:spacing w:after="0" w:line="247" w:lineRule="auto"/>
        <w:tabs>
          <w:tab w:leader="none" w:pos="11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7" w:lineRule="exact"/>
        <w:rPr>
          <w:rFonts w:ascii="Times New Roman" w:cs="Times New Roman" w:eastAsia="Times New Roman" w:hAnsi="Times New Roman"/>
          <w:sz w:val="18"/>
          <w:szCs w:val="18"/>
          <w:color w:val="auto"/>
        </w:rPr>
      </w:pPr>
    </w:p>
    <w:p>
      <w:pPr>
        <w:jc w:val="both"/>
        <w:ind w:left="1100" w:hanging="554"/>
        <w:spacing w:after="0" w:line="242" w:lineRule="auto"/>
        <w:tabs>
          <w:tab w:leader="none" w:pos="11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2" w:name="page113"/>
    <w:bookmarkEnd w:id="112"/>
    <w:p>
      <w:pPr>
        <w:jc w:val="both"/>
        <w:ind w:left="1100" w:hanging="554"/>
        <w:spacing w:after="0" w:line="260" w:lineRule="auto"/>
        <w:tabs>
          <w:tab w:leader="none" w:pos="11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136"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Six.</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6.11</w:t>
      </w:r>
      <w:r>
        <w:rPr>
          <w:sz w:val="20"/>
          <w:szCs w:val="20"/>
          <w:color w:val="auto"/>
        </w:rPr>
        <w:tab/>
      </w:r>
      <w:r>
        <w:rPr>
          <w:rFonts w:ascii="Times New Roman" w:cs="Times New Roman" w:eastAsia="Times New Roman" w:hAnsi="Times New Roman"/>
          <w:sz w:val="18"/>
          <w:szCs w:val="18"/>
          <w:b w:val="1"/>
          <w:bCs w:val="1"/>
          <w:color w:val="auto"/>
        </w:rPr>
        <w:t>Merger, Conversion, Consolidation or Succession to Business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adopt the certificate of authentication of any predecessor Trustee or to authenticate Securities in the name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Trustee shall apply only to its successor or successors by merger, conversion or consolidation.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3" w:name="page114"/>
    <w:bookmarkEnd w:id="113"/>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6.12</w:t>
      </w:r>
      <w:r>
        <w:rPr>
          <w:sz w:val="20"/>
          <w:szCs w:val="20"/>
          <w:color w:val="auto"/>
        </w:rPr>
        <w:tab/>
      </w:r>
      <w:r>
        <w:rPr>
          <w:rFonts w:ascii="Times New Roman" w:cs="Times New Roman" w:eastAsia="Times New Roman" w:hAnsi="Times New Roman"/>
          <w:sz w:val="18"/>
          <w:szCs w:val="18"/>
          <w:b w:val="1"/>
          <w:bCs w:val="1"/>
          <w:color w:val="auto"/>
        </w:rPr>
        <w:t>Appointment of Authenticating Agent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55"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corporation shall be otherwise eligible under this Section 6.12, without the execution or filing of any paper or any further act on the part of the Trustees or the Authenticating Agent.</w:t>
      </w:r>
    </w:p>
    <w:p>
      <w:pPr>
        <w:spacing w:after="0" w:line="357"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4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4" w:name="page115"/>
    <w:bookmarkEnd w:id="114"/>
    <w:p>
      <w:pPr>
        <w:jc w:val="both"/>
        <w:ind w:firstLine="554"/>
        <w:spacing w:after="0" w:line="280"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Authentication may be executed by either Trustee)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 as U.S. Trustee, certifies that this is one of the Securities of the series designated therein referred to in the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mentioned Indenture.</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9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-4445</wp:posOffset>
            </wp:positionV>
            <wp:extent cx="244157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2441575" cy="762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as U.S. Trustee</w:t>
      </w:r>
    </w:p>
    <w:p>
      <w:pPr>
        <w:spacing w:after="0" w:line="1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5"/>
          <w:szCs w:val="15"/>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-108585</wp:posOffset>
            </wp:positionV>
            <wp:extent cx="32169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-108585</wp:posOffset>
            </wp:positionV>
            <wp:extent cx="32169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 as Canadian Trustee, certifies that this is one of the Securities of the series designated therein referred to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19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-4445</wp:posOffset>
            </wp:positionV>
            <wp:extent cx="244157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2441575" cy="76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00" w:type="dxa"/>
            <w:vAlign w:val="bottom"/>
          </w:tcPr>
          <w:p>
            <w:pPr>
              <w:spacing w:after="0"/>
              <w:rPr>
                <w:sz w:val="17"/>
                <w:szCs w:val="17"/>
                <w:color w:val="auto"/>
              </w:rPr>
            </w:pPr>
          </w:p>
        </w:tc>
        <w:tc>
          <w:tcPr>
            <w:tcW w:w="9660" w:type="dxa"/>
            <w:vAlign w:val="bottom"/>
            <w:gridSpan w:val="2"/>
          </w:tcPr>
          <w:p>
            <w:pPr>
              <w:ind w:left="4040"/>
              <w:spacing w:after="0"/>
              <w:rPr>
                <w:sz w:val="20"/>
                <w:szCs w:val="20"/>
                <w:color w:val="auto"/>
              </w:rPr>
            </w:pPr>
            <w:r>
              <w:rPr>
                <w:rFonts w:ascii="Times New Roman" w:cs="Times New Roman" w:eastAsia="Times New Roman" w:hAnsi="Times New Roman"/>
                <w:sz w:val="15"/>
                <w:szCs w:val="15"/>
                <w:color w:val="auto"/>
              </w:rPr>
              <w:t>as Canadian Trustee</w:t>
            </w:r>
          </w:p>
        </w:tc>
      </w:tr>
      <w:tr>
        <w:trPr>
          <w:trHeight w:val="355"/>
        </w:trPr>
        <w:tc>
          <w:tcPr>
            <w:tcW w:w="1600" w:type="dxa"/>
            <w:vAlign w:val="bottom"/>
          </w:tcPr>
          <w:p>
            <w:pPr>
              <w:spacing w:after="0"/>
              <w:rPr>
                <w:sz w:val="24"/>
                <w:szCs w:val="24"/>
                <w:color w:val="auto"/>
              </w:rPr>
            </w:pPr>
          </w:p>
        </w:tc>
        <w:tc>
          <w:tcPr>
            <w:tcW w:w="9660" w:type="dxa"/>
            <w:vAlign w:val="bottom"/>
            <w:gridSpan w:val="2"/>
          </w:tcPr>
          <w:p>
            <w:pPr>
              <w:ind w:left="4040"/>
              <w:spacing w:after="0"/>
              <w:rPr>
                <w:sz w:val="20"/>
                <w:szCs w:val="20"/>
                <w:color w:val="auto"/>
              </w:rPr>
            </w:pPr>
            <w:r>
              <w:rPr>
                <w:rFonts w:ascii="Times New Roman" w:cs="Times New Roman" w:eastAsia="Times New Roman" w:hAnsi="Times New Roman"/>
                <w:sz w:val="15"/>
                <w:szCs w:val="15"/>
                <w:color w:val="auto"/>
              </w:rPr>
              <w:t>By:</w:t>
            </w:r>
          </w:p>
        </w:tc>
      </w:tr>
      <w:tr>
        <w:trPr>
          <w:trHeight w:val="191"/>
        </w:trPr>
        <w:tc>
          <w:tcPr>
            <w:tcW w:w="16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As Authenticating Agent</w:t>
            </w:r>
          </w:p>
        </w:tc>
      </w:tr>
      <w:tr>
        <w:trPr>
          <w:trHeight w:val="355"/>
        </w:trPr>
        <w:tc>
          <w:tcPr>
            <w:tcW w:w="1600" w:type="dxa"/>
            <w:vAlign w:val="bottom"/>
          </w:tcPr>
          <w:p>
            <w:pPr>
              <w:spacing w:after="0"/>
              <w:rPr>
                <w:sz w:val="24"/>
                <w:szCs w:val="24"/>
                <w:color w:val="auto"/>
              </w:rPr>
            </w:pPr>
          </w:p>
        </w:tc>
        <w:tc>
          <w:tcPr>
            <w:tcW w:w="9660" w:type="dxa"/>
            <w:vAlign w:val="bottom"/>
            <w:gridSpan w:val="2"/>
          </w:tcPr>
          <w:p>
            <w:pPr>
              <w:ind w:left="4040"/>
              <w:spacing w:after="0"/>
              <w:rPr>
                <w:sz w:val="20"/>
                <w:szCs w:val="20"/>
                <w:color w:val="auto"/>
              </w:rPr>
            </w:pPr>
            <w:r>
              <w:rPr>
                <w:rFonts w:ascii="Times New Roman" w:cs="Times New Roman" w:eastAsia="Times New Roman" w:hAnsi="Times New Roman"/>
                <w:sz w:val="15"/>
                <w:szCs w:val="15"/>
                <w:color w:val="auto"/>
              </w:rPr>
              <w:t>By:</w:t>
            </w:r>
          </w:p>
        </w:tc>
      </w:tr>
      <w:tr>
        <w:trPr>
          <w:trHeight w:val="191"/>
        </w:trPr>
        <w:tc>
          <w:tcPr>
            <w:tcW w:w="16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Authorized Officer</w:t>
            </w:r>
          </w:p>
        </w:tc>
      </w:tr>
      <w:tr>
        <w:trPr>
          <w:trHeight w:val="38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96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Joint Trustees</w:t>
            </w:r>
            <w:r>
              <w:rPr>
                <w:rFonts w:ascii="Times New Roman" w:cs="Times New Roman" w:eastAsia="Times New Roman" w:hAnsi="Times New Roman"/>
                <w:sz w:val="18"/>
                <w:szCs w:val="18"/>
                <w:color w:val="auto"/>
              </w:rPr>
              <w:t>.</w:t>
            </w:r>
          </w:p>
        </w:tc>
      </w:tr>
    </w:tbl>
    <w:p>
      <w:pPr>
        <w:spacing w:after="0" w:line="152"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failure of such trustee in receipt of such Writing to so notify such other Trustee shall not be deemed as a deficiency in the delivery of such Writing to the Trustee.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15" w:name="page116"/>
    <w:bookmarkEnd w:id="115"/>
    <w:p>
      <w:pPr>
        <w:ind w:left="8"/>
        <w:spacing w:after="0"/>
        <w:tabs>
          <w:tab w:leader="none" w:pos="1967" w:val="left"/>
        </w:tabs>
        <w:rPr>
          <w:sz w:val="20"/>
          <w:szCs w:val="20"/>
          <w:color w:val="auto"/>
        </w:rPr>
      </w:pPr>
      <w:r>
        <w:rPr>
          <w:rFonts w:ascii="Times New Roman" w:cs="Times New Roman" w:eastAsia="Times New Roman" w:hAnsi="Times New Roman"/>
          <w:sz w:val="18"/>
          <w:szCs w:val="18"/>
          <w:b w:val="1"/>
          <w:bCs w:val="1"/>
          <w:color w:val="auto"/>
        </w:rPr>
        <w:t>SECTION 6.14</w:t>
      </w:r>
      <w:r>
        <w:rPr>
          <w:sz w:val="20"/>
          <w:szCs w:val="20"/>
          <w:color w:val="auto"/>
        </w:rPr>
        <w:tab/>
      </w:r>
      <w:r>
        <w:rPr>
          <w:rFonts w:ascii="Times New Roman" w:cs="Times New Roman" w:eastAsia="Times New Roman" w:hAnsi="Times New Roman"/>
          <w:sz w:val="18"/>
          <w:szCs w:val="18"/>
          <w:b w:val="1"/>
          <w:bCs w:val="1"/>
          <w:color w:val="auto"/>
        </w:rPr>
        <w:t>Other Rights of Trustees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8" w:firstLine="554"/>
        <w:spacing w:after="0" w:line="247" w:lineRule="auto"/>
        <w:rPr>
          <w:sz w:val="20"/>
          <w:szCs w:val="20"/>
          <w:color w:val="auto"/>
        </w:rPr>
      </w:pPr>
      <w:r>
        <w:rPr>
          <w:rFonts w:ascii="Times New Roman" w:cs="Times New Roman" w:eastAsia="Times New Roman" w:hAnsi="Times New Roman"/>
          <w:sz w:val="18"/>
          <w:szCs w:val="18"/>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48" w:lineRule="exact"/>
        <w:rPr>
          <w:sz w:val="20"/>
          <w:szCs w:val="20"/>
          <w:color w:val="auto"/>
        </w:rPr>
      </w:pPr>
    </w:p>
    <w:p>
      <w:pPr>
        <w:jc w:val="both"/>
        <w:ind w:left="8" w:firstLine="554"/>
        <w:spacing w:after="0" w:line="243" w:lineRule="auto"/>
        <w:rPr>
          <w:sz w:val="20"/>
          <w:szCs w:val="20"/>
          <w:color w:val="auto"/>
        </w:rPr>
      </w:pPr>
      <w:r>
        <w:rPr>
          <w:rFonts w:ascii="Times New Roman" w:cs="Times New Roman" w:eastAsia="Times New Roman" w:hAnsi="Times New Roman"/>
          <w:sz w:val="18"/>
          <w:szCs w:val="18"/>
          <w:color w:val="auto"/>
        </w:rPr>
        <w:t>The parties hereto acknowledge that Canadian federal and provincial legislation addressing the protection of individuals' personal information (collectively,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w:t>
      </w:r>
    </w:p>
    <w:p>
      <w:pPr>
        <w:spacing w:after="0" w:line="3" w:lineRule="exact"/>
        <w:rPr>
          <w:sz w:val="20"/>
          <w:szCs w:val="20"/>
          <w:color w:val="auto"/>
        </w:rPr>
      </w:pPr>
    </w:p>
    <w:p>
      <w:pPr>
        <w:ind w:left="8" w:right="20" w:hanging="8"/>
        <w:spacing w:after="0" w:line="256" w:lineRule="auto"/>
        <w:tabs>
          <w:tab w:leader="none" w:pos="3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39" w:lineRule="exact"/>
        <w:rPr>
          <w:sz w:val="20"/>
          <w:szCs w:val="20"/>
          <w:color w:val="auto"/>
        </w:rPr>
      </w:pPr>
    </w:p>
    <w:p>
      <w:pPr>
        <w:jc w:val="both"/>
        <w:ind w:left="8" w:firstLine="554"/>
        <w:spacing w:after="0" w:line="260" w:lineRule="auto"/>
        <w:rPr>
          <w:sz w:val="20"/>
          <w:szCs w:val="20"/>
          <w:color w:val="auto"/>
        </w:rPr>
      </w:pPr>
      <w:r>
        <w:rPr>
          <w:rFonts w:ascii="Times New Roman" w:cs="Times New Roman" w:eastAsia="Times New Roman" w:hAnsi="Times New Roman"/>
          <w:sz w:val="18"/>
          <w:szCs w:val="18"/>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135" w:lineRule="exact"/>
        <w:rPr>
          <w:sz w:val="20"/>
          <w:szCs w:val="20"/>
          <w:color w:val="auto"/>
        </w:rPr>
      </w:pPr>
    </w:p>
    <w:p>
      <w:pPr>
        <w:ind w:left="1668" w:hanging="560"/>
        <w:spacing w:after="0"/>
        <w:tabs>
          <w:tab w:leader="none" w:pos="16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services required under this Indenture and other services that may be requested from time to time;</w:t>
      </w:r>
    </w:p>
    <w:p>
      <w:pPr>
        <w:spacing w:after="0" w:line="185" w:lineRule="exact"/>
        <w:rPr>
          <w:rFonts w:ascii="Times New Roman" w:cs="Times New Roman" w:eastAsia="Times New Roman" w:hAnsi="Times New Roman"/>
          <w:sz w:val="18"/>
          <w:szCs w:val="18"/>
          <w:color w:val="auto"/>
        </w:rPr>
      </w:pPr>
    </w:p>
    <w:p>
      <w:pPr>
        <w:ind w:left="1688" w:hanging="580"/>
        <w:spacing w:after="0"/>
        <w:tabs>
          <w:tab w:leader="none" w:pos="16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the Canadian Trustee manage its servicing relationships with such individuals;</w:t>
      </w:r>
    </w:p>
    <w:p>
      <w:pPr>
        <w:spacing w:after="0" w:line="185" w:lineRule="exact"/>
        <w:rPr>
          <w:rFonts w:ascii="Times New Roman" w:cs="Times New Roman" w:eastAsia="Times New Roman" w:hAnsi="Times New Roman"/>
          <w:sz w:val="18"/>
          <w:szCs w:val="18"/>
          <w:color w:val="auto"/>
        </w:rPr>
      </w:pPr>
    </w:p>
    <w:p>
      <w:pPr>
        <w:ind w:left="1708" w:hanging="600"/>
        <w:spacing w:after="0"/>
        <w:tabs>
          <w:tab w:leader="none" w:pos="17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meet the Canadian Trustee's legal and regulatory requirements; and</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116" w:name="page117"/>
    <w:bookmarkEnd w:id="116"/>
    <w:p>
      <w:pPr>
        <w:ind w:left="1660" w:right="20" w:hanging="560"/>
        <w:spacing w:after="0" w:line="280" w:lineRule="auto"/>
        <w:tabs>
          <w:tab w:leader="none" w:pos="17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social insurance numbers are collected by the Canadian Trustee, to perform tax reporting and to assist in verification of an individual's identity for security purposes.</w:t>
      </w:r>
    </w:p>
    <w:p>
      <w:pPr>
        <w:spacing w:after="0" w:line="11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 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4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8"/>
          <w:szCs w:val="18"/>
          <w:b w:val="1"/>
          <w:bCs w:val="1"/>
          <w:color w:val="auto"/>
        </w:rPr>
        <w:t>Company to Furnish Trustees Names and Addresses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furnish or cause to be furnished such list at any time that the list shall not differ in any respect 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14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8"/>
          <w:szCs w:val="18"/>
          <w:b w:val="1"/>
          <w:bCs w:val="1"/>
          <w:color w:val="auto"/>
        </w:rPr>
        <w:t>Preservation of List of Names and Addresses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Trustees may destroy any list furnished as provided in Section 7.01 upon receipt of a new list so furnished.</w:t>
      </w:r>
    </w:p>
    <w:p>
      <w:pPr>
        <w:spacing w:after="0" w:line="185"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Holders may communicate as provided in TIA Section 312(b) with other Holders with respect to their rights under this Indenture or under the Securities.</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7.03</w:t>
      </w:r>
      <w:r>
        <w:rPr>
          <w:sz w:val="20"/>
          <w:szCs w:val="20"/>
          <w:color w:val="auto"/>
        </w:rPr>
        <w:tab/>
      </w:r>
      <w:r>
        <w:rPr>
          <w:rFonts w:ascii="Times New Roman" w:cs="Times New Roman" w:eastAsia="Times New Roman" w:hAnsi="Times New Roman"/>
          <w:sz w:val="18"/>
          <w:szCs w:val="18"/>
          <w:b w:val="1"/>
          <w:bCs w:val="1"/>
          <w:color w:val="auto"/>
        </w:rPr>
        <w:t>Disclosure of Names and Addresses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Every Holder of Securities ,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7" w:name="page118"/>
    <w:bookmarkEnd w:id="117"/>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7.04</w:t>
      </w:r>
      <w:r>
        <w:rPr>
          <w:sz w:val="20"/>
          <w:szCs w:val="20"/>
          <w:color w:val="auto"/>
        </w:rPr>
        <w:tab/>
      </w:r>
      <w:r>
        <w:rPr>
          <w:rFonts w:ascii="Times New Roman" w:cs="Times New Roman" w:eastAsia="Times New Roman" w:hAnsi="Times New Roman"/>
          <w:sz w:val="18"/>
          <w:szCs w:val="18"/>
          <w:b w:val="1"/>
          <w:bCs w:val="1"/>
          <w:color w:val="auto"/>
        </w:rPr>
        <w:t>Reports by Trustees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1100" w:hanging="554"/>
        <w:spacing w:after="0" w:line="260" w:lineRule="auto"/>
        <w:tabs>
          <w:tab w:leader="none" w:pos="11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3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Trustee shall comply with TIA Sections 313(b) and 313(c).</w:t>
      </w:r>
    </w:p>
    <w:p>
      <w:pPr>
        <w:spacing w:after="0" w:line="185"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8"/>
          <w:szCs w:val="18"/>
          <w:b w:val="1"/>
          <w:bCs w:val="1"/>
          <w:color w:val="auto"/>
        </w:rPr>
        <w:t>Reports by the Company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100" w:hanging="554"/>
        <w:spacing w:after="0" w:line="245" w:lineRule="auto"/>
        <w:tabs>
          <w:tab w:leader="none" w:pos="11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reports, information or documents filed with the Commission pursuant to its Electronic Data Gathering, Analysis and Retrieval (EDGAR) system shall be deemed filed with the Trustees.</w:t>
      </w:r>
    </w:p>
    <w:p>
      <w:pPr>
        <w:spacing w:after="0" w:line="152" w:lineRule="exact"/>
        <w:rPr>
          <w:rFonts w:ascii="Times New Roman" w:cs="Times New Roman" w:eastAsia="Times New Roman" w:hAnsi="Times New Roman"/>
          <w:sz w:val="18"/>
          <w:szCs w:val="18"/>
          <w:color w:val="auto"/>
        </w:rPr>
      </w:pPr>
    </w:p>
    <w:p>
      <w:pPr>
        <w:jc w:val="both"/>
        <w:ind w:left="1100" w:hanging="554"/>
        <w:spacing w:after="0" w:line="255" w:lineRule="auto"/>
        <w:tabs>
          <w:tab w:leader="none" w:pos="11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355"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8"/>
          <w:szCs w:val="18"/>
          <w:b w:val="1"/>
          <w:bCs w:val="1"/>
          <w:color w:val="auto"/>
        </w:rPr>
        <w:t>Company May Consolidate, etc., only on Certain Terms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554"/>
        <w:spacing w:after="0" w:line="279" w:lineRule="auto"/>
        <w:rPr>
          <w:sz w:val="20"/>
          <w:szCs w:val="20"/>
          <w:color w:val="auto"/>
        </w:rPr>
      </w:pPr>
      <w:r>
        <w:rPr>
          <w:rFonts w:ascii="Times New Roman" w:cs="Times New Roman" w:eastAsia="Times New Roman" w:hAnsi="Times New Roman"/>
          <w:sz w:val="18"/>
          <w:szCs w:val="18"/>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119" w:lineRule="exact"/>
        <w:rPr>
          <w:sz w:val="20"/>
          <w:szCs w:val="20"/>
          <w:color w:val="auto"/>
        </w:rPr>
      </w:pPr>
    </w:p>
    <w:p>
      <w:pPr>
        <w:jc w:val="both"/>
        <w:ind w:left="1100" w:hanging="554"/>
        <w:spacing w:after="0" w:line="245" w:lineRule="auto"/>
        <w:tabs>
          <w:tab w:leader="none" w:pos="11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152"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happened and be continuing; and</w:t>
      </w:r>
    </w:p>
    <w:p>
      <w:pPr>
        <w:spacing w:after="0" w:line="185"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35"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35"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This Section 8.01 shall only apply to a merger, consolidation or amalgamation in which the Company is not the surviving Person and to conveyances, leases and transfers by the Company as transferor or lessor.</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8.02</w:t>
      </w:r>
      <w:r>
        <w:rPr>
          <w:sz w:val="20"/>
          <w:szCs w:val="20"/>
          <w:color w:val="auto"/>
        </w:rPr>
        <w:tab/>
      </w:r>
      <w:r>
        <w:rPr>
          <w:rFonts w:ascii="Times New Roman" w:cs="Times New Roman" w:eastAsia="Times New Roman" w:hAnsi="Times New Roman"/>
          <w:sz w:val="18"/>
          <w:szCs w:val="18"/>
          <w:b w:val="1"/>
          <w:bCs w:val="1"/>
          <w:color w:val="auto"/>
        </w:rPr>
        <w:t>Successor Person Substituted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8"/>
          <w:szCs w:val="18"/>
          <w:b w:val="1"/>
          <w:bCs w:val="1"/>
          <w:color w:val="auto"/>
        </w:rPr>
        <w:t>Supplemental Indentures Without Consent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135" w:lineRule="exact"/>
        <w:rPr>
          <w:sz w:val="20"/>
          <w:szCs w:val="20"/>
          <w:color w:val="auto"/>
        </w:rPr>
      </w:pPr>
    </w:p>
    <w:p>
      <w:pPr>
        <w:ind w:left="1100" w:right="20" w:hanging="554"/>
        <w:spacing w:after="0" w:line="279"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118"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delete or modify any Events of Default with respect to a series of the Securities, the form and terms of which are being established pursuant to such supplemental indenture as permitted in Section 3.01; or</w:t>
      </w:r>
    </w:p>
    <w:p>
      <w:pPr>
        <w:spacing w:after="0" w:line="114" w:lineRule="exact"/>
        <w:rPr>
          <w:rFonts w:ascii="Times New Roman" w:cs="Times New Roman" w:eastAsia="Times New Roman" w:hAnsi="Times New Roman"/>
          <w:sz w:val="18"/>
          <w:szCs w:val="18"/>
          <w:color w:val="auto"/>
        </w:rPr>
      </w:pPr>
    </w:p>
    <w:p>
      <w:pPr>
        <w:jc w:val="both"/>
        <w:ind w:left="1100" w:hanging="554"/>
        <w:spacing w:after="0" w:line="262"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33"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as permitted by Sections 2.01 and 3.01; or</w:t>
      </w:r>
    </w:p>
    <w:p>
      <w:pPr>
        <w:spacing w:after="0" w:line="185" w:lineRule="exact"/>
        <w:rPr>
          <w:rFonts w:ascii="Times New Roman" w:cs="Times New Roman" w:eastAsia="Times New Roman" w:hAnsi="Times New Roman"/>
          <w:sz w:val="18"/>
          <w:szCs w:val="18"/>
          <w:color w:val="auto"/>
        </w:rPr>
      </w:pPr>
    </w:p>
    <w:p>
      <w:pPr>
        <w:jc w:val="both"/>
        <w:ind w:left="1100" w:right="20" w:hanging="554"/>
        <w:spacing w:after="0" w:line="260" w:lineRule="auto"/>
        <w:tabs>
          <w:tab w:leader="none" w:pos="11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13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this Indenture with respect to the authentication and delivery of additional series of Securities;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0" w:name="page121"/>
    <w:bookmarkEnd w:id="120"/>
    <w:p>
      <w:pPr>
        <w:jc w:val="both"/>
        <w:ind w:left="1100" w:right="20" w:hanging="554"/>
        <w:spacing w:after="0" w:line="251" w:lineRule="auto"/>
        <w:tabs>
          <w:tab w:leader="none" w:pos="11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358" w:lineRule="exact"/>
        <w:rPr>
          <w:rFonts w:ascii="Times New Roman" w:cs="Times New Roman" w:eastAsia="Times New Roman" w:hAnsi="Times New Roman"/>
          <w:sz w:val="18"/>
          <w:szCs w:val="18"/>
          <w:color w:val="auto"/>
        </w:rPr>
      </w:pPr>
    </w:p>
    <w:p>
      <w:pPr>
        <w:ind w:left="1100" w:hanging="554"/>
        <w:spacing w:after="0" w:line="279" w:lineRule="auto"/>
        <w:tabs>
          <w:tab w:leader="none" w:pos="11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 any series of Securities that does not adversely affect in any material respect the rights of the Holders of such Securities; or</w:t>
      </w:r>
    </w:p>
    <w:p>
      <w:pPr>
        <w:spacing w:after="0" w:line="118" w:lineRule="exact"/>
        <w:rPr>
          <w:rFonts w:ascii="Times New Roman" w:cs="Times New Roman" w:eastAsia="Times New Roman" w:hAnsi="Times New Roman"/>
          <w:sz w:val="18"/>
          <w:szCs w:val="18"/>
          <w:color w:val="auto"/>
        </w:rPr>
      </w:pPr>
    </w:p>
    <w:p>
      <w:pPr>
        <w:ind w:left="1100" w:right="20" w:hanging="554"/>
        <w:spacing w:after="0" w:line="279" w:lineRule="auto"/>
        <w:tabs>
          <w:tab w:leader="none" w:pos="11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or eliminate any provision of this Indenture as shall be necessary or desirable in accordance with any amendments to the Trust Indenture Act; or</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or any other series of Securities in any material respect; or</w:t>
      </w:r>
    </w:p>
    <w:p>
      <w:pPr>
        <w:spacing w:after="0" w:line="135"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6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8"/>
          <w:szCs w:val="18"/>
          <w:b w:val="1"/>
          <w:bCs w:val="1"/>
          <w:color w:val="auto"/>
        </w:rPr>
        <w:t>Supplemental Indentures with Consent of Holders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supplemental indenture shall, without the consent of the Holder of each Outstanding Security of such series,</w:t>
      </w:r>
    </w:p>
    <w:p>
      <w:pPr>
        <w:spacing w:after="0" w:line="148" w:lineRule="exact"/>
        <w:rPr>
          <w:sz w:val="20"/>
          <w:szCs w:val="20"/>
          <w:color w:val="auto"/>
        </w:rPr>
      </w:pPr>
    </w:p>
    <w:p>
      <w:pPr>
        <w:jc w:val="both"/>
        <w:ind w:left="1100" w:hanging="554"/>
        <w:spacing w:after="0" w:line="245" w:lineRule="auto"/>
        <w:tabs>
          <w:tab w:leader="none" w:pos="11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21" w:name="page122"/>
    <w:bookmarkEnd w:id="121"/>
    <w:p>
      <w:pPr>
        <w:jc w:val="both"/>
        <w:ind w:left="1100" w:hanging="554"/>
        <w:spacing w:after="0" w:line="260" w:lineRule="auto"/>
        <w:tabs>
          <w:tab w:leader="none" w:pos="11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w:t>
      </w:r>
    </w:p>
    <w:p>
      <w:pPr>
        <w:spacing w:after="0" w:line="136"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35"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362"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9.02 Section to approve the particular form of any proposed supplemental indenture, but it shall be sufficient if such Act shall approve the substance thereof.</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9.03</w:t>
      </w:r>
      <w:r>
        <w:rPr>
          <w:sz w:val="20"/>
          <w:szCs w:val="20"/>
          <w:color w:val="auto"/>
        </w:rPr>
        <w:tab/>
      </w:r>
      <w:r>
        <w:rPr>
          <w:rFonts w:ascii="Times New Roman" w:cs="Times New Roman" w:eastAsia="Times New Roman" w:hAnsi="Times New Roman"/>
          <w:sz w:val="18"/>
          <w:szCs w:val="18"/>
          <w:b w:val="1"/>
          <w:bCs w:val="1"/>
          <w:color w:val="auto"/>
        </w:rPr>
        <w:t>Execution of Supplemental Indentures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1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8"/>
          <w:szCs w:val="18"/>
          <w:b w:val="1"/>
          <w:bCs w:val="1"/>
          <w:color w:val="auto"/>
        </w:rPr>
        <w:t>Effect of Supplemental Indentures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3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8"/>
          <w:szCs w:val="18"/>
          <w:b w:val="1"/>
          <w:bCs w:val="1"/>
          <w:color w:val="auto"/>
        </w:rPr>
        <w:t>Conformity with Trust Indenture Legislation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Every supplemental indenture executed pursuant to this Article Nine shall conform to the requirements of Trust Indenture Legislation as then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9.06</w:t>
      </w:r>
      <w:r>
        <w:rPr>
          <w:sz w:val="20"/>
          <w:szCs w:val="20"/>
          <w:color w:val="auto"/>
        </w:rPr>
        <w:tab/>
      </w:r>
      <w:r>
        <w:rPr>
          <w:rFonts w:ascii="Times New Roman" w:cs="Times New Roman" w:eastAsia="Times New Roman" w:hAnsi="Times New Roman"/>
          <w:sz w:val="18"/>
          <w:szCs w:val="18"/>
          <w:b w:val="1"/>
          <w:bCs w:val="1"/>
          <w:color w:val="auto"/>
        </w:rPr>
        <w:t>Reference in Securities to Supplemental Indentures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2" w:name="page123"/>
    <w:bookmarkEnd w:id="122"/>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9.07</w:t>
      </w:r>
      <w:r>
        <w:rPr>
          <w:sz w:val="20"/>
          <w:szCs w:val="20"/>
          <w:color w:val="auto"/>
        </w:rPr>
        <w:tab/>
      </w:r>
      <w:r>
        <w:rPr>
          <w:rFonts w:ascii="Times New Roman" w:cs="Times New Roman" w:eastAsia="Times New Roman" w:hAnsi="Times New Roman"/>
          <w:sz w:val="18"/>
          <w:szCs w:val="18"/>
          <w:b w:val="1"/>
          <w:bCs w:val="1"/>
          <w:color w:val="auto"/>
        </w:rPr>
        <w:t>Notice of Supplemental Indentures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firstLine="554"/>
        <w:spacing w:after="0" w:line="260"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8"/>
          <w:szCs w:val="18"/>
          <w:b w:val="1"/>
          <w:bCs w:val="1"/>
          <w:color w:val="auto"/>
        </w:rPr>
        <w:t>Payment of Principal, Premium and Interest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premium (if any) and interest (if any), on the Securities of that series in accordance with the terms of the Securities and this Indenture.</w:t>
      </w:r>
    </w:p>
    <w:p>
      <w:pPr>
        <w:spacing w:after="0" w:line="11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10.02</w:t>
      </w:r>
      <w:r>
        <w:rPr>
          <w:sz w:val="20"/>
          <w:szCs w:val="20"/>
          <w:color w:val="auto"/>
        </w:rPr>
        <w:tab/>
      </w:r>
      <w:r>
        <w:rPr>
          <w:rFonts w:ascii="Times New Roman" w:cs="Times New Roman" w:eastAsia="Times New Roman" w:hAnsi="Times New Roman"/>
          <w:sz w:val="18"/>
          <w:szCs w:val="18"/>
          <w:b w:val="1"/>
          <w:bCs w:val="1"/>
          <w:color w:val="auto"/>
        </w:rPr>
        <w:t>Maintenance of Office or Agency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100" w:hanging="554"/>
        <w:spacing w:after="0" w:line="253" w:lineRule="auto"/>
        <w:tabs>
          <w:tab w:leader="none" w:pos="11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spacing w:after="0" w:line="142"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jc w:val="both"/>
        <w:ind w:left="1100" w:hanging="554"/>
        <w:spacing w:after="0" w:line="246" w:lineRule="auto"/>
        <w:tabs>
          <w:tab w:leader="none" w:pos="11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3" w:name="page124"/>
    <w:bookmarkEnd w:id="123"/>
    <w:p>
      <w:pPr>
        <w:jc w:val="both"/>
        <w:ind w:left="1100" w:hanging="554"/>
        <w:spacing w:after="0" w:line="254" w:lineRule="auto"/>
        <w:tabs>
          <w:tab w:leader="none" w:pos="11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36"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10.03</w:t>
      </w:r>
      <w:r>
        <w:rPr>
          <w:sz w:val="20"/>
          <w:szCs w:val="20"/>
          <w:color w:val="auto"/>
        </w:rPr>
        <w:tab/>
      </w:r>
      <w:r>
        <w:rPr>
          <w:rFonts w:ascii="Times New Roman" w:cs="Times New Roman" w:eastAsia="Times New Roman" w:hAnsi="Times New Roman"/>
          <w:sz w:val="18"/>
          <w:szCs w:val="18"/>
          <w:b w:val="1"/>
          <w:bCs w:val="1"/>
          <w:color w:val="auto"/>
        </w:rPr>
        <w:t>Money for Securities Payments to Be Held in Trust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If the Company shall at any time act as its own Paying Agent with respect to any series of Securities ,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4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45"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119" w:lineRule="exact"/>
        <w:rPr>
          <w:sz w:val="20"/>
          <w:szCs w:val="20"/>
          <w:color w:val="auto"/>
        </w:rPr>
      </w:pPr>
    </w:p>
    <w:p>
      <w:pPr>
        <w:ind w:left="1100" w:hanging="554"/>
        <w:spacing w:after="0" w:line="279" w:lineRule="auto"/>
        <w:tabs>
          <w:tab w:leader="none" w:pos="1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118"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118"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Trustees, forthwith pay to the Trustees all sums so held in trust by such Paying Agent.</w:t>
      </w:r>
    </w:p>
    <w:p>
      <w:pPr>
        <w:spacing w:after="0" w:line="11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43"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Except as provided in the Securities of any series, any money deposited with the Trustees or any Paying Agent, or then held by the Company, in trust for the payment of the principal of, premium (if any) or interest (if any)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Trustees or such Paying Agent with respect to such trust money, and all liability of the Company as trustee thereof, shall thereupon cease.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24" w:name="page125"/>
    <w:bookmarkEnd w:id="124"/>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10.04</w:t>
      </w:r>
      <w:r>
        <w:rPr>
          <w:sz w:val="20"/>
          <w:szCs w:val="20"/>
          <w:color w:val="auto"/>
        </w:rPr>
        <w:tab/>
      </w:r>
      <w:r>
        <w:rPr>
          <w:rFonts w:ascii="Times New Roman" w:cs="Times New Roman" w:eastAsia="Times New Roman" w:hAnsi="Times New Roman"/>
          <w:sz w:val="18"/>
          <w:szCs w:val="18"/>
          <w:b w:val="1"/>
          <w:bCs w:val="1"/>
          <w:color w:val="auto"/>
        </w:rPr>
        <w:t>Statement as to Compliance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14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10.05</w:t>
      </w:r>
      <w:r>
        <w:rPr>
          <w:sz w:val="20"/>
          <w:szCs w:val="20"/>
          <w:color w:val="auto"/>
        </w:rPr>
        <w:tab/>
      </w:r>
      <w:r>
        <w:rPr>
          <w:rFonts w:ascii="Times New Roman" w:cs="Times New Roman" w:eastAsia="Times New Roman" w:hAnsi="Times New Roman"/>
          <w:sz w:val="18"/>
          <w:szCs w:val="18"/>
          <w:b w:val="1"/>
          <w:bCs w:val="1"/>
          <w:color w:val="auto"/>
        </w:rPr>
        <w:t>Payment of Taxes and Other Claims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 xml:space="preserve">The Company will pay or discharge or cause to be paid or discharged, before the same shall become delinquent, (1) all material taxes, assessments and governmental charges levied or imposed upon the Company or upon the income, profits or property of the Company, and (2) all material lawful claims for labor, materials and supplies which, if unpaid, might by law become a Lien upon any property or assets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whose amount, applicability or validity is being contested in good faith by appropriate proceedings.</w:t>
      </w:r>
    </w:p>
    <w:p>
      <w:pPr>
        <w:spacing w:after="0" w:line="14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10.06</w:t>
      </w:r>
      <w:r>
        <w:rPr>
          <w:sz w:val="20"/>
          <w:szCs w:val="20"/>
          <w:color w:val="auto"/>
        </w:rPr>
        <w:tab/>
      </w:r>
      <w:r>
        <w:rPr>
          <w:rFonts w:ascii="Times New Roman" w:cs="Times New Roman" w:eastAsia="Times New Roman" w:hAnsi="Times New Roman"/>
          <w:sz w:val="18"/>
          <w:szCs w:val="18"/>
          <w:b w:val="1"/>
          <w:bCs w:val="1"/>
          <w:color w:val="auto"/>
        </w:rPr>
        <w:t>Corporate Existence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55" w:lineRule="auto"/>
        <w:rPr>
          <w:sz w:val="20"/>
          <w:szCs w:val="20"/>
          <w:color w:val="auto"/>
        </w:rPr>
      </w:pPr>
      <w:r>
        <w:rPr>
          <w:rFonts w:ascii="Times New Roman" w:cs="Times New Roman" w:eastAsia="Times New Roman" w:hAnsi="Times New Roman"/>
          <w:sz w:val="18"/>
          <w:szCs w:val="18"/>
          <w:color w:val="auto"/>
        </w:rPr>
        <w:t xml:space="preserve">Subject to Article Eight, the Company will do or cause to be done all things necessary to preserve and keep in full force and effect its corporate existence and the rights (charter and statutory) and franchises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preserve any such right or franchise if the Company shall determine that the preservation thereof is no longer desirable in the conduct of the business of the Company.</w:t>
      </w:r>
    </w:p>
    <w:p>
      <w:pPr>
        <w:spacing w:after="0" w:line="35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10.07</w:t>
      </w:r>
      <w:r>
        <w:rPr>
          <w:sz w:val="20"/>
          <w:szCs w:val="20"/>
          <w:color w:val="auto"/>
        </w:rPr>
        <w:tab/>
      </w:r>
      <w:r>
        <w:rPr>
          <w:rFonts w:ascii="Times New Roman" w:cs="Times New Roman" w:eastAsia="Times New Roman" w:hAnsi="Times New Roman"/>
          <w:sz w:val="18"/>
          <w:szCs w:val="18"/>
          <w:b w:val="1"/>
          <w:bCs w:val="1"/>
          <w:color w:val="auto"/>
        </w:rPr>
        <w:t>Waiver of Certain Covenants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The Company may, with respect to any series of Securities, omit in any particular instance to comply with any term, provision or condition which affects such series set forth in Sections 10.06 and 10.07, or, as specified pursuant to Section 3.01(19) for Securities of such series,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161"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8"/>
          <w:szCs w:val="18"/>
          <w:b w:val="1"/>
          <w:bCs w:val="1"/>
          <w:color w:val="auto"/>
        </w:rPr>
        <w:t>Election to Redeem; Notice to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in the case of certificated Securities,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14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8"/>
          <w:szCs w:val="18"/>
          <w:b w:val="1"/>
          <w:bCs w:val="1"/>
          <w:color w:val="auto"/>
        </w:rPr>
        <w:t>Selection by Trustees of Securities to Be Redeemed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in the case of certificated Securities, by such method as the Trustees shall deem fair and appropriate and which may provide for the selection for redemption of portions of the principal of Securities of such series, or in the case of Securities in global form in accordance with the policies and procedures of the applicable Depositary;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the minimum authorized denomination for Securities of such series established pursuant to Section 3.01.</w:t>
      </w:r>
    </w:p>
    <w:p>
      <w:pPr>
        <w:spacing w:after="0" w:line="148"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The Trustees shall promptly notify the Company in writing of the Securities selected for redemption and, in the case of any Securities selected for partial redemption, the principal amount thereof to be redeemed.</w:t>
      </w:r>
    </w:p>
    <w:p>
      <w:pPr>
        <w:spacing w:after="0" w:line="119" w:lineRule="exact"/>
        <w:rPr>
          <w:sz w:val="20"/>
          <w:szCs w:val="20"/>
          <w:color w:val="auto"/>
        </w:rPr>
      </w:pPr>
    </w:p>
    <w:p>
      <w:pPr>
        <w:jc w:val="both"/>
        <w:ind w:firstLine="554"/>
        <w:spacing w:after="0" w:line="267"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4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6" w:name="page127"/>
    <w:bookmarkEnd w:id="126"/>
    <w:p>
      <w:pPr>
        <w:ind w:left="54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86" w:lineRule="exact"/>
        <w:rPr>
          <w:sz w:val="20"/>
          <w:szCs w:val="20"/>
          <w:color w:val="auto"/>
        </w:rPr>
      </w:pPr>
    </w:p>
    <w:p>
      <w:pPr>
        <w:ind w:left="1140" w:hanging="594"/>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8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accrued interest to the Redemption Date payable as provided in Section 11.06, if any,</w:t>
      </w:r>
    </w:p>
    <w:p>
      <w:pPr>
        <w:spacing w:after="0" w:line="18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35"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135" w:lineRule="exact"/>
        <w:rPr>
          <w:rFonts w:ascii="Times New Roman" w:cs="Times New Roman" w:eastAsia="Times New Roman" w:hAnsi="Times New Roman"/>
          <w:sz w:val="18"/>
          <w:szCs w:val="18"/>
          <w:color w:val="auto"/>
        </w:rPr>
      </w:pPr>
    </w:p>
    <w:p>
      <w:pPr>
        <w:ind w:left="1100" w:hanging="554"/>
        <w:spacing w:after="0" w:line="279" w:lineRule="auto"/>
        <w:tabs>
          <w:tab w:leader="none" w:pos="11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are to be surrendered for payment of the Redemption Price and accrued interest (if any),</w:t>
      </w:r>
    </w:p>
    <w:p>
      <w:pPr>
        <w:spacing w:after="0" w:line="118"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 and</w:t>
      </w:r>
    </w:p>
    <w:p>
      <w:pPr>
        <w:spacing w:after="0" w:line="185" w:lineRule="exact"/>
        <w:rPr>
          <w:rFonts w:ascii="Times New Roman" w:cs="Times New Roman" w:eastAsia="Times New Roman" w:hAnsi="Times New Roman"/>
          <w:sz w:val="18"/>
          <w:szCs w:val="18"/>
          <w:color w:val="auto"/>
        </w:rPr>
      </w:pPr>
    </w:p>
    <w:p>
      <w:pPr>
        <w:ind w:left="1140" w:hanging="594"/>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condition to such redemption.</w:t>
      </w:r>
    </w:p>
    <w:p>
      <w:pPr>
        <w:spacing w:after="0" w:line="185"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Trustees in the name and at the expense of the Company.</w:t>
      </w:r>
    </w:p>
    <w:p>
      <w:pPr>
        <w:spacing w:after="0" w:line="11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8"/>
          <w:szCs w:val="18"/>
          <w:b w:val="1"/>
          <w:bCs w:val="1"/>
          <w:color w:val="auto"/>
        </w:rPr>
        <w:t>Deposit of Redemption Price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Prior to any Redemption Date, the Company shall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13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11.06</w:t>
      </w:r>
      <w:r>
        <w:rPr>
          <w:sz w:val="20"/>
          <w:szCs w:val="20"/>
          <w:color w:val="auto"/>
        </w:rPr>
        <w:tab/>
      </w:r>
      <w:r>
        <w:rPr>
          <w:rFonts w:ascii="Times New Roman" w:cs="Times New Roman" w:eastAsia="Times New Roman" w:hAnsi="Times New Roman"/>
          <w:sz w:val="18"/>
          <w:szCs w:val="18"/>
          <w:b w:val="1"/>
          <w:bCs w:val="1"/>
          <w:color w:val="auto"/>
        </w:rPr>
        <w:t>Securities Payable on Redemption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7" w:name="page128"/>
    <w:bookmarkEnd w:id="127"/>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13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11.07</w:t>
      </w:r>
      <w:r>
        <w:rPr>
          <w:sz w:val="20"/>
          <w:szCs w:val="20"/>
          <w:color w:val="auto"/>
        </w:rPr>
        <w:tab/>
      </w:r>
      <w:r>
        <w:rPr>
          <w:rFonts w:ascii="Times New Roman" w:cs="Times New Roman" w:eastAsia="Times New Roman" w:hAnsi="Times New Roman"/>
          <w:sz w:val="18"/>
          <w:szCs w:val="18"/>
          <w:b w:val="1"/>
          <w:bCs w:val="1"/>
          <w:color w:val="auto"/>
        </w:rPr>
        <w:t>Securities Redeemed in Part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8" w:lineRule="auto"/>
        <w:rPr>
          <w:sz w:val="20"/>
          <w:szCs w:val="20"/>
          <w:color w:val="auto"/>
        </w:rPr>
      </w:pPr>
      <w:r>
        <w:rPr>
          <w:rFonts w:ascii="Times New Roman" w:cs="Times New Roman" w:eastAsia="Times New Roman" w:hAnsi="Times New Roman"/>
          <w:sz w:val="18"/>
          <w:szCs w:val="18"/>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16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115" w:lineRule="exact"/>
        <w:rPr>
          <w:sz w:val="20"/>
          <w:szCs w:val="20"/>
          <w:color w:val="auto"/>
        </w:rPr>
      </w:pPr>
    </w:p>
    <w:p>
      <w:pPr>
        <w:jc w:val="both"/>
        <w:ind w:firstLine="554"/>
        <w:spacing w:after="0" w:line="251"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sinking 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4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12.02</w:t>
      </w:r>
      <w:r>
        <w:rPr>
          <w:sz w:val="20"/>
          <w:szCs w:val="20"/>
          <w:color w:val="auto"/>
        </w:rPr>
        <w:tab/>
      </w:r>
      <w:r>
        <w:rPr>
          <w:rFonts w:ascii="Times New Roman" w:cs="Times New Roman" w:eastAsia="Times New Roman" w:hAnsi="Times New Roman"/>
          <w:sz w:val="18"/>
          <w:szCs w:val="18"/>
          <w:b w:val="1"/>
          <w:bCs w:val="1"/>
          <w:color w:val="auto"/>
        </w:rPr>
        <w:t>Satisfaction of Sinking Fund Payments with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8" w:name="page129"/>
    <w:bookmarkEnd w:id="128"/>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12.03</w:t>
      </w:r>
      <w:r>
        <w:rPr>
          <w:sz w:val="20"/>
          <w:szCs w:val="20"/>
          <w:color w:val="auto"/>
        </w:rPr>
        <w:tab/>
      </w:r>
      <w:r>
        <w:rPr>
          <w:rFonts w:ascii="Times New Roman" w:cs="Times New Roman" w:eastAsia="Times New Roman" w:hAnsi="Times New Roman"/>
          <w:sz w:val="18"/>
          <w:szCs w:val="18"/>
          <w:b w:val="1"/>
          <w:bCs w:val="1"/>
          <w:color w:val="auto"/>
        </w:rPr>
        <w:t>Redemption of Securities for Sinking Fund</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48"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45"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43"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35"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AT OPTION OF HOLDERS</w:t>
      </w:r>
    </w:p>
    <w:p>
      <w:pPr>
        <w:spacing w:after="0" w:line="16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79" w:lineRule="auto"/>
        <w:rPr>
          <w:sz w:val="20"/>
          <w:szCs w:val="20"/>
          <w:color w:val="auto"/>
        </w:rPr>
      </w:pPr>
      <w:r>
        <w:rPr>
          <w:rFonts w:ascii="Times New Roman" w:cs="Times New Roman" w:eastAsia="Times New Roman" w:hAnsi="Times New Roman"/>
          <w:sz w:val="18"/>
          <w:szCs w:val="18"/>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11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8"/>
          <w:szCs w:val="18"/>
          <w:b w:val="1"/>
          <w:bCs w:val="1"/>
          <w:color w:val="auto"/>
        </w:rPr>
        <w:t>Repayment of 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6" w:lineRule="auto"/>
        <w:rPr>
          <w:sz w:val="20"/>
          <w:szCs w:val="20"/>
          <w:color w:val="auto"/>
        </w:rPr>
      </w:pPr>
      <w:r>
        <w:rPr>
          <w:rFonts w:ascii="Times New Roman" w:cs="Times New Roman" w:eastAsia="Times New Roman" w:hAnsi="Times New Roman"/>
          <w:sz w:val="18"/>
          <w:szCs w:val="18"/>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 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14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48"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8"/>
          <w:szCs w:val="18"/>
          <w:b w:val="1"/>
          <w:bCs w:val="1"/>
          <w:color w:val="auto"/>
        </w:rPr>
        <w:t>When Securities Presented for Repayment Become Due and Payable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Upon surrender of any such Security for repayment in accordance with such provisions, the principal amount of such Security so to be repaid shall be paid by the Company, together with accrued interest (if any) to the Repayment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30" w:name="page131"/>
    <w:bookmarkEnd w:id="130"/>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13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8"/>
          <w:szCs w:val="18"/>
          <w:b w:val="1"/>
          <w:bCs w:val="1"/>
          <w:color w:val="auto"/>
        </w:rPr>
        <w:t>Securities Repaid in Part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Upon surrender of any Security which is to be repaid in part only, the Company shall execute and the applicable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16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14.01</w:t>
      </w:r>
      <w:r>
        <w:rPr>
          <w:sz w:val="20"/>
          <w:szCs w:val="20"/>
          <w:color w:val="auto"/>
        </w:rPr>
        <w:tab/>
      </w:r>
      <w:r>
        <w:rPr>
          <w:rFonts w:ascii="Times New Roman" w:cs="Times New Roman" w:eastAsia="Times New Roman" w:hAnsi="Times New Roman"/>
          <w:sz w:val="18"/>
          <w:szCs w:val="18"/>
          <w:b w:val="1"/>
          <w:bCs w:val="1"/>
          <w:color w:val="auto"/>
        </w:rPr>
        <w:t>Company's Option to Effect Defeasance or Covenant Defeasance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13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14.02</w:t>
      </w:r>
      <w:r>
        <w:rPr>
          <w:sz w:val="20"/>
          <w:szCs w:val="20"/>
          <w:color w:val="auto"/>
        </w:rPr>
        <w:tab/>
      </w:r>
      <w:r>
        <w:rPr>
          <w:rFonts w:ascii="Times New Roman" w:cs="Times New Roman" w:eastAsia="Times New Roman" w:hAnsi="Times New Roman"/>
          <w:sz w:val="18"/>
          <w:szCs w:val="18"/>
          <w:b w:val="1"/>
          <w:bCs w:val="1"/>
          <w:color w:val="auto"/>
        </w:rPr>
        <w:t>Defeasance and Discharge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4"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14.02 with respect to any Securities of or within a series, the Company shall be deemed to have been discharged from its obligations with respect to such Securities on the date the conditions set forth in Section 14.04 are satisfied (hereinafter,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For this purpose, such defeasance means that the Company shall be deemed to have paid and discharged the entire indebtedness represented by such Securities, which shall thereafter be deemed to be "Outstanding" only for the purposes of Section 14.05 and the other Sections of this Indenture referred to in (A) and (B) below, and to have satisfied all of its other obligations under such Securities and this Indenture insofar as such Securities are concerned (and the Trustees,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14.04 and as more fully set forth in such Section, payments in respect of the principal of, premium (if any) and interest (if any) on such Securities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1" w:name="page132"/>
    <w:bookmarkEnd w:id="131"/>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14.03</w:t>
      </w:r>
      <w:r>
        <w:rPr>
          <w:sz w:val="20"/>
          <w:szCs w:val="20"/>
          <w:color w:val="auto"/>
        </w:rPr>
        <w:tab/>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Upon the Company's exercise of the above option applicable to this Section 14.03 with respect to any Securities of or within a series, the Company shall be released from its obligations under Sections 10.05 and 10.06, and, if specified pursuant to Section 3.01, its obligations under any other covenant, with respect to such Securities on and after the date the conditions set forth in Section 14.04 are satisfied (hereinafter, "</w:t>
      </w:r>
      <w:r>
        <w:rPr>
          <w:rFonts w:ascii="Times New Roman" w:cs="Times New Roman" w:eastAsia="Times New Roman" w:hAnsi="Times New Roman"/>
          <w:sz w:val="18"/>
          <w:szCs w:val="18"/>
          <w:b w:val="1"/>
          <w:bCs w:val="1"/>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and such Securities shall thereafter be deemed not to be "Outstanding" for the purposes of any direction, waiver, consent or declaration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Holders (and the consequences of any thereof) in connection with such covenants,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shall be unaffected thereby.</w:t>
      </w:r>
    </w:p>
    <w:p>
      <w:pPr>
        <w:spacing w:after="0" w:line="14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14.04</w:t>
      </w:r>
      <w:r>
        <w:rPr>
          <w:sz w:val="20"/>
          <w:szCs w:val="20"/>
          <w:color w:val="auto"/>
        </w:rPr>
        <w:tab/>
      </w:r>
      <w:r>
        <w:rPr>
          <w:rFonts w:ascii="Times New Roman" w:cs="Times New Roman" w:eastAsia="Times New Roman" w:hAnsi="Times New Roman"/>
          <w:sz w:val="18"/>
          <w:szCs w:val="18"/>
          <w:b w:val="1"/>
          <w:bCs w:val="1"/>
          <w:color w:val="auto"/>
        </w:rPr>
        <w:t>Conditions to Defeasance or Covenant Defeasance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either Section 14.02 or Section 14.03 to any Securities of or within a series:</w:t>
      </w:r>
    </w:p>
    <w:p>
      <w:pPr>
        <w:spacing w:after="0" w:line="185" w:lineRule="exact"/>
        <w:rPr>
          <w:sz w:val="20"/>
          <w:szCs w:val="20"/>
          <w:color w:val="auto"/>
        </w:rPr>
      </w:pPr>
    </w:p>
    <w:p>
      <w:pPr>
        <w:jc w:val="both"/>
        <w:ind w:left="1100" w:hanging="554"/>
        <w:spacing w:after="0" w:line="243" w:lineRule="auto"/>
        <w:tabs>
          <w:tab w:leader="none" w:pos="11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 (C) 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on the Stated Maturity (or Redemption Date, if applicable) of such principal of, premium (if any) or installment of interest (if any), (ii) any mandatory sinking fund payments or analogous payments applicable to such Securities on the day on which such payments are due and payable in accordance with the terms of this Indenture and of such Securities, and (iii) all amounts due the Trustees under Section 6.07;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Trustees shall have been irrevocably instructed to apply such money or the proceeds of such Government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said payments with respect to such Securities. Before such a deposit, the Company may give to the Trustees, in accordance with Section 11.02, a notice of its election to redeem all or any portion of such Securities at a future date in accordance with the terms of such Securities and Article Eleven hereof, which notice shall be irrevocable. Such irrevocable redemption notice, if given, shall be given effect in applying the foregoing.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32" w:name="page133"/>
    <w:bookmarkEnd w:id="132"/>
    <w:p>
      <w:pPr>
        <w:jc w:val="both"/>
        <w:ind w:left="560" w:hanging="554"/>
        <w:spacing w:after="0" w:line="260"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Securities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136" w:lineRule="exact"/>
        <w:rPr>
          <w:rFonts w:ascii="Times New Roman" w:cs="Times New Roman" w:eastAsia="Times New Roman" w:hAnsi="Times New Roman"/>
          <w:sz w:val="18"/>
          <w:szCs w:val="18"/>
          <w:color w:val="auto"/>
        </w:rPr>
      </w:pPr>
    </w:p>
    <w:p>
      <w:pPr>
        <w:ind w:left="560" w:hanging="554"/>
        <w:spacing w:after="0" w:line="279"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118" w:lineRule="exact"/>
        <w:rPr>
          <w:rFonts w:ascii="Times New Roman" w:cs="Times New Roman" w:eastAsia="Times New Roman" w:hAnsi="Times New Roman"/>
          <w:sz w:val="18"/>
          <w:szCs w:val="18"/>
          <w:color w:val="auto"/>
        </w:rPr>
      </w:pPr>
    </w:p>
    <w:p>
      <w:pPr>
        <w:jc w:val="both"/>
        <w:ind w:left="560" w:hanging="554"/>
        <w:spacing w:after="0" w:line="248"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47" w:lineRule="exact"/>
        <w:rPr>
          <w:rFonts w:ascii="Times New Roman" w:cs="Times New Roman" w:eastAsia="Times New Roman" w:hAnsi="Times New Roman"/>
          <w:sz w:val="18"/>
          <w:szCs w:val="18"/>
          <w:color w:val="auto"/>
        </w:rPr>
      </w:pPr>
    </w:p>
    <w:p>
      <w:pPr>
        <w:jc w:val="both"/>
        <w:ind w:left="560" w:hanging="554"/>
        <w:spacing w:after="0" w:line="253"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142" w:lineRule="exact"/>
        <w:rPr>
          <w:rFonts w:ascii="Times New Roman" w:cs="Times New Roman" w:eastAsia="Times New Roman" w:hAnsi="Times New Roman"/>
          <w:sz w:val="18"/>
          <w:szCs w:val="18"/>
          <w:color w:val="auto"/>
        </w:rPr>
      </w:pPr>
    </w:p>
    <w:p>
      <w:pPr>
        <w:jc w:val="both"/>
        <w:ind w:left="560" w:hanging="554"/>
        <w:spacing w:after="0" w:line="248"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147" w:lineRule="exact"/>
        <w:rPr>
          <w:rFonts w:ascii="Times New Roman" w:cs="Times New Roman" w:eastAsia="Times New Roman" w:hAnsi="Times New Roman"/>
          <w:sz w:val="18"/>
          <w:szCs w:val="18"/>
          <w:color w:val="auto"/>
        </w:rPr>
      </w:pPr>
    </w:p>
    <w:p>
      <w:pPr>
        <w:jc w:val="both"/>
        <w:ind w:left="560" w:hanging="554"/>
        <w:spacing w:after="0" w:line="260" w:lineRule="auto"/>
        <w:tabs>
          <w:tab w:leader="none" w:pos="6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13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129540</wp:posOffset>
            </wp:positionV>
            <wp:extent cx="717232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720"/>
          </w:cols>
          <w:pgMar w:left="860" w:top="115" w:right="319" w:bottom="1440" w:gutter="0" w:footer="0" w:header="0"/>
        </w:sectPr>
      </w:pPr>
    </w:p>
    <w:bookmarkStart w:id="133" w:name="page134"/>
    <w:bookmarkEnd w:id="133"/>
    <w:p>
      <w:pPr>
        <w:ind w:left="1100" w:right="20" w:hanging="554"/>
        <w:spacing w:after="0" w:line="280" w:lineRule="auto"/>
        <w:tabs>
          <w:tab w:leader="none" w:pos="11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118" w:lineRule="exact"/>
        <w:rPr>
          <w:rFonts w:ascii="Times New Roman" w:cs="Times New Roman" w:eastAsia="Times New Roman" w:hAnsi="Times New Roman"/>
          <w:sz w:val="18"/>
          <w:szCs w:val="18"/>
          <w:color w:val="auto"/>
        </w:rPr>
      </w:pPr>
    </w:p>
    <w:p>
      <w:pPr>
        <w:jc w:val="both"/>
        <w:ind w:left="1100" w:hanging="554"/>
        <w:spacing w:after="0" w:line="260" w:lineRule="auto"/>
        <w:tabs>
          <w:tab w:leader="none" w:pos="11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3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14.05</w:t>
      </w:r>
      <w:r>
        <w:rPr>
          <w:sz w:val="20"/>
          <w:szCs w:val="20"/>
          <w:color w:val="auto"/>
        </w:rPr>
        <w:tab/>
      </w:r>
      <w:r>
        <w:rPr>
          <w:rFonts w:ascii="Times New Roman" w:cs="Times New Roman" w:eastAsia="Times New Roman" w:hAnsi="Times New Roman"/>
          <w:sz w:val="18"/>
          <w:szCs w:val="18"/>
          <w:b w:val="1"/>
          <w:bCs w:val="1"/>
          <w:color w:val="auto"/>
        </w:rPr>
        <w:t>Deposited Money and Government Obligations to Be Held in Trust; Other Miscellaneous Provisions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shall be held in trust and applied by such Trustee, in accordance with the provisions of such Securities and this Indenture, to the payment, either directly or through any Paying Agent (including the Company acting as its own Paying Agent), to the Holders of such Securities of all sums due and to become due thereon in respect of principal, premium (if any) and interest (if any) on such Securities but such money need not be segregated from other funds except to the extent required by law.</w:t>
      </w:r>
    </w:p>
    <w:p>
      <w:pPr>
        <w:spacing w:after="0" w:line="148" w:lineRule="exact"/>
        <w:rPr>
          <w:sz w:val="20"/>
          <w:szCs w:val="20"/>
          <w:color w:val="auto"/>
        </w:rPr>
      </w:pPr>
    </w:p>
    <w:p>
      <w:pPr>
        <w:jc w:val="both"/>
        <w:ind w:firstLine="554"/>
        <w:spacing w:after="0" w:line="245" w:lineRule="auto"/>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4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w:t>
      </w:r>
    </w:p>
    <w:p>
      <w:pPr>
        <w:spacing w:after="0" w:line="135" w:lineRule="exact"/>
        <w:rPr>
          <w:sz w:val="20"/>
          <w:szCs w:val="20"/>
          <w:color w:val="auto"/>
        </w:rPr>
      </w:pPr>
    </w:p>
    <w:p>
      <w:pPr>
        <w:jc w:val="both"/>
        <w:ind w:firstLine="554"/>
        <w:spacing w:after="0" w:line="250" w:lineRule="auto"/>
        <w:rPr>
          <w:sz w:val="20"/>
          <w:szCs w:val="20"/>
          <w:color w:val="auto"/>
        </w:rPr>
      </w:pPr>
      <w:r>
        <w:rPr>
          <w:rFonts w:ascii="Times New Roman" w:cs="Times New Roman" w:eastAsia="Times New Roman" w:hAnsi="Times New Roman"/>
          <w:sz w:val="18"/>
          <w:szCs w:val="18"/>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4" w:name="page135"/>
    <w:bookmarkEnd w:id="134"/>
    <w:p>
      <w:pPr>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14.06</w:t>
      </w:r>
      <w:r>
        <w:rPr>
          <w:sz w:val="20"/>
          <w:szCs w:val="20"/>
          <w:color w:val="auto"/>
        </w:rPr>
        <w:tab/>
      </w:r>
      <w:r>
        <w:rPr>
          <w:rFonts w:ascii="Times New Roman" w:cs="Times New Roman" w:eastAsia="Times New Roman" w:hAnsi="Times New Roman"/>
          <w:sz w:val="18"/>
          <w:szCs w:val="18"/>
          <w:b w:val="1"/>
          <w:bCs w:val="1"/>
          <w:color w:val="auto"/>
        </w:rPr>
        <w:t>Reinstatement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8"/>
          <w:szCs w:val="18"/>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14.02 or 14.03, as the case may be, until such time as such Trustee or Paying Agent is permitted to apply all such money in accordance with Section 14.05;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(if any) or interest (if any) on any such Security following the reinstatement of its obligations, the Company shall be subrogated to the rights of the Holders of such Securities to receive such payment from the money held by such Trustee or Paying Agent.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19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CYBIN INC.</w:t>
      </w:r>
    </w:p>
    <w:p>
      <w:pPr>
        <w:spacing w:after="0" w:line="19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32169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22225</wp:posOffset>
            </wp:positionV>
            <wp:extent cx="32169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321691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-101600</wp:posOffset>
            </wp:positionV>
            <wp:extent cx="3216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9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-4445</wp:posOffset>
            </wp:positionV>
            <wp:extent cx="222186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2221865" cy="7620"/>
                    </a:xfrm>
                    <a:prstGeom prst="rect">
                      <a:avLst/>
                    </a:prstGeom>
                    <a:noFill/>
                  </pic:spPr>
                </pic:pic>
              </a:graphicData>
            </a:graphic>
          </wp:anchor>
        </w:drawing>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as U.S. Trustee</w:t>
      </w:r>
    </w:p>
    <w:p>
      <w:pPr>
        <w:spacing w:after="0" w:line="36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32169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22225</wp:posOffset>
            </wp:positionV>
            <wp:extent cx="32169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321691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-101600</wp:posOffset>
            </wp:positionV>
            <wp:extent cx="321691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3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32169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jc w:val="center"/>
        <w:ind w:right="-299"/>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22225</wp:posOffset>
            </wp:positionV>
            <wp:extent cx="32169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321691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-101600</wp:posOffset>
            </wp:positionV>
            <wp:extent cx="321691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9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-4445</wp:posOffset>
            </wp:positionV>
            <wp:extent cx="222186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2221865" cy="7620"/>
                    </a:xfrm>
                    <a:prstGeom prst="rect">
                      <a:avLst/>
                    </a:prstGeom>
                    <a:noFill/>
                  </pic:spPr>
                </pic:pic>
              </a:graphicData>
            </a:graphic>
          </wp:anchor>
        </w:drawing>
      </w:r>
    </w:p>
    <w:p>
      <w:pPr>
        <w:spacing w:after="0" w:line="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as Canadian Trustee</w:t>
      </w:r>
    </w:p>
    <w:p>
      <w:pPr>
        <w:spacing w:after="0" w:line="36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32169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ind w:left="5100"/>
        <w:spacing w:after="0"/>
        <w:tabs>
          <w:tab w:leader="none" w:pos="5620" w:val="left"/>
        </w:tabs>
        <w:rPr>
          <w:sz w:val="20"/>
          <w:szCs w:val="20"/>
          <w:color w:val="auto"/>
        </w:rPr>
      </w:pPr>
      <w:r>
        <w:rPr>
          <w:rFonts w:ascii="Times New Roman" w:cs="Times New Roman" w:eastAsia="Times New Roman" w:hAnsi="Times New Roman"/>
          <w:sz w:val="15"/>
          <w:szCs w:val="15"/>
          <w:color w:val="auto"/>
        </w:rPr>
        <w:t>Title:</w:t>
        <w:tab/>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-101600</wp:posOffset>
            </wp:positionV>
            <wp:extent cx="32169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1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-108585</wp:posOffset>
            </wp:positionV>
            <wp:extent cx="3216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ind w:left="5100"/>
        <w:spacing w:after="0"/>
        <w:tabs>
          <w:tab w:leader="none" w:pos="5620" w:val="left"/>
        </w:tabs>
        <w:rPr>
          <w:sz w:val="20"/>
          <w:szCs w:val="20"/>
          <w:color w:val="auto"/>
        </w:rPr>
      </w:pPr>
      <w:r>
        <w:rPr>
          <w:rFonts w:ascii="Times New Roman" w:cs="Times New Roman" w:eastAsia="Times New Roman" w:hAnsi="Times New Roman"/>
          <w:sz w:val="15"/>
          <w:szCs w:val="15"/>
          <w:color w:val="auto"/>
        </w:rPr>
        <w:t>Title:</w:t>
        <w:tab/>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-101600</wp:posOffset>
            </wp:positionV>
            <wp:extent cx="32169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3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129540</wp:posOffset>
            </wp:positionV>
            <wp:extent cx="717232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0220"/>
          </w:cols>
          <w:pgMar w:left="860" w:top="115" w:right="8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TO BE GIVEN BY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PERSON ENTITLED TO OBTAIN INTEREST PAYABLE PRIOR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EXCHANGE DATE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CYBIN INC.</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 Notes due _________________</w:t>
      </w:r>
    </w:p>
    <w:p>
      <w:pPr>
        <w:spacing w:after="0" w:line="165" w:lineRule="exact"/>
        <w:rPr>
          <w:sz w:val="20"/>
          <w:szCs w:val="20"/>
          <w:color w:val="auto"/>
        </w:rPr>
      </w:pPr>
    </w:p>
    <w:p>
      <w:pPr>
        <w:jc w:val="both"/>
        <w:ind w:firstLine="554"/>
        <w:spacing w:after="0" w:line="243"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 (ii) 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361" w:lineRule="exact"/>
        <w:rPr>
          <w:sz w:val="20"/>
          <w:szCs w:val="20"/>
          <w:color w:val="auto"/>
        </w:rPr>
      </w:pPr>
    </w:p>
    <w:p>
      <w:pPr>
        <w:jc w:val="both"/>
        <w:ind w:right="20" w:firstLine="554"/>
        <w:spacing w:after="0" w:line="279"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19" w:lineRule="exact"/>
        <w:rPr>
          <w:sz w:val="20"/>
          <w:szCs w:val="20"/>
          <w:color w:val="auto"/>
        </w:rPr>
      </w:pPr>
    </w:p>
    <w:p>
      <w:pPr>
        <w:jc w:val="both"/>
        <w:ind w:firstLine="554"/>
        <w:spacing w:after="0" w:line="260" w:lineRule="auto"/>
        <w:rPr>
          <w:sz w:val="20"/>
          <w:szCs w:val="20"/>
          <w:color w:val="auto"/>
        </w:rPr>
      </w:pPr>
      <w:r>
        <w:rPr>
          <w:rFonts w:ascii="Times New Roman" w:cs="Times New Roman" w:eastAsia="Times New Roman" w:hAnsi="Times New Roman"/>
          <w:sz w:val="18"/>
          <w:szCs w:val="18"/>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certificate excepts and does not relate to U.S. $__________ of such interest in the above-captioned Securities in respect of which we are</w:t>
      </w:r>
    </w:p>
    <w:p>
      <w:pPr>
        <w:spacing w:after="0" w:line="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7232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37" w:name="page138"/>
    <w:bookmarkEnd w:id="137"/>
    <w:p>
      <w:pPr>
        <w:jc w:val="both"/>
        <w:ind w:left="8" w:firstLine="554"/>
        <w:spacing w:after="0" w:line="260"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Dated:__________________</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be dated no earlier than the 15th day prior to</w:t>
      </w:r>
    </w:p>
    <w:p>
      <w:pPr>
        <w:spacing w:after="0" w:line="1" w:lineRule="exact"/>
        <w:rPr>
          <w:sz w:val="20"/>
          <w:szCs w:val="20"/>
          <w:color w:val="auto"/>
        </w:rPr>
      </w:pPr>
    </w:p>
    <w:p>
      <w:pPr>
        <w:ind w:left="8" w:right="7660" w:hanging="8"/>
        <w:spacing w:after="0" w:line="248" w:lineRule="auto"/>
        <w:tabs>
          <w:tab w:leader="none" w:pos="2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Date or (ii) the relevant Interest Payment Date occurring prior to the Exchange Date, as applicable]</w:t>
      </w:r>
    </w:p>
    <w:p>
      <w:pPr>
        <w:spacing w:after="0" w:line="155"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[Name of Person Making Certification]</w:t>
      </w:r>
    </w:p>
    <w:p>
      <w:pPr>
        <w:spacing w:after="0" w:line="19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-108585</wp:posOffset>
            </wp:positionV>
            <wp:extent cx="32169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jc w:val="center"/>
        <w:ind w:left="34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22225</wp:posOffset>
            </wp:positionV>
            <wp:extent cx="32169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3216910" cy="762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-101600</wp:posOffset>
            </wp:positionV>
            <wp:extent cx="3216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3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1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OF CERTIFICATE TO BE GIVEN BY THE DEPOSITARY</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IN CONNECTION WITH THE EXCHANGE OF A PORTION OF A</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TEMPORARY GLOBAL SECURITY OR TO OBTAIN INTEREST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PAYABLE PRIOR TO THE EXCHANGE DATE</w:t>
      </w:r>
    </w:p>
    <w:p>
      <w:pPr>
        <w:spacing w:after="0" w:line="1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CERTIFICATE</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CYBIN INC.</w:t>
      </w:r>
    </w:p>
    <w:p>
      <w:pPr>
        <w:spacing w:after="0" w:line="21" w:lineRule="exact"/>
        <w:rPr>
          <w:sz w:val="20"/>
          <w:szCs w:val="20"/>
          <w:color w:val="auto"/>
        </w:rPr>
      </w:pPr>
    </w:p>
    <w:p>
      <w:pPr>
        <w:ind w:left="4128"/>
        <w:spacing w:after="0"/>
        <w:rPr>
          <w:sz w:val="20"/>
          <w:szCs w:val="20"/>
          <w:color w:val="auto"/>
        </w:rPr>
      </w:pPr>
      <w:r>
        <w:rPr>
          <w:rFonts w:ascii="Times New Roman" w:cs="Times New Roman" w:eastAsia="Times New Roman" w:hAnsi="Times New Roman"/>
          <w:sz w:val="18"/>
          <w:szCs w:val="18"/>
          <w:color w:val="auto"/>
        </w:rPr>
        <w:t>_____% Notes due _________________</w:t>
      </w:r>
    </w:p>
    <w:p>
      <w:pPr>
        <w:spacing w:after="0" w:line="165" w:lineRule="exact"/>
        <w:rPr>
          <w:sz w:val="20"/>
          <w:szCs w:val="20"/>
          <w:color w:val="auto"/>
        </w:rPr>
      </w:pPr>
    </w:p>
    <w:p>
      <w:pPr>
        <w:jc w:val="both"/>
        <w:ind w:left="8" w:firstLine="554"/>
        <w:spacing w:after="0" w:line="248"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 attached hereto, as of the date hereof, U.S. $__________ principal amount of the above-captioned Securities (i) is owned by any person(s) that</w:t>
      </w:r>
    </w:p>
    <w:p>
      <w:pPr>
        <w:spacing w:after="0" w:line="2"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8"/>
          <w:szCs w:val="18"/>
          <w:color w:val="auto"/>
        </w:rPr>
        <w:t>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w:t>
      </w:r>
    </w:p>
    <w:p>
      <w:pPr>
        <w:spacing w:after="0" w:line="8" w:lineRule="exact"/>
        <w:rPr>
          <w:sz w:val="20"/>
          <w:szCs w:val="20"/>
          <w:color w:val="auto"/>
        </w:rPr>
      </w:pPr>
    </w:p>
    <w:p>
      <w:pPr>
        <w:jc w:val="both"/>
        <w:ind w:left="8" w:hanging="8"/>
        <w:spacing w:after="0" w:line="245" w:lineRule="auto"/>
        <w:tabs>
          <w:tab w:leader="none" w:pos="31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358" w:lineRule="exact"/>
        <w:rPr>
          <w:sz w:val="20"/>
          <w:szCs w:val="20"/>
          <w:color w:val="auto"/>
        </w:rPr>
      </w:pPr>
    </w:p>
    <w:p>
      <w:pPr>
        <w:jc w:val="both"/>
        <w:ind w:left="8" w:right="20" w:firstLine="554"/>
        <w:spacing w:after="0" w:line="279"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19" w:lineRule="exact"/>
        <w:rPr>
          <w:sz w:val="20"/>
          <w:szCs w:val="20"/>
          <w:color w:val="auto"/>
        </w:rPr>
      </w:pPr>
    </w:p>
    <w:p>
      <w:pPr>
        <w:jc w:val="both"/>
        <w:ind w:left="8" w:firstLine="554"/>
        <w:spacing w:after="0" w:line="250"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4" w:right="319" w:bottom="1440" w:gutter="0" w:footer="0" w:header="0"/>
        </w:sectPr>
      </w:pPr>
    </w:p>
    <w:bookmarkStart w:id="139" w:name="page140"/>
    <w:bookmarkEnd w:id="139"/>
    <w:p>
      <w:pPr>
        <w:jc w:val="both"/>
        <w:ind w:left="8" w:firstLine="554"/>
        <w:spacing w:after="0" w:line="260"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[To be dated as of (i) the Exchange Date or</w:t>
      </w:r>
    </w:p>
    <w:p>
      <w:pPr>
        <w:spacing w:after="0" w:line="1" w:lineRule="exact"/>
        <w:rPr>
          <w:sz w:val="20"/>
          <w:szCs w:val="20"/>
          <w:color w:val="auto"/>
        </w:rPr>
      </w:pPr>
    </w:p>
    <w:p>
      <w:pPr>
        <w:ind w:left="8" w:right="7680" w:hanging="8"/>
        <w:spacing w:after="0" w:line="256" w:lineRule="auto"/>
        <w:tabs>
          <w:tab w:leader="none" w:pos="27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Interest Payment Date occurring prior to the Exchange Date, as applicable]</w:t>
      </w:r>
    </w:p>
    <w:p>
      <w:pPr>
        <w:spacing w:after="0" w:line="14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[INSERT NAME OF DEPOSITARY]</w:t>
      </w:r>
    </w:p>
    <w:p>
      <w:pPr>
        <w:spacing w:after="0" w:line="19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-108585</wp:posOffset>
            </wp:positionV>
            <wp:extent cx="32169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jc w:val="center"/>
        <w:ind w:left="34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22225</wp:posOffset>
            </wp:positionV>
            <wp:extent cx="32169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3216910" cy="762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-101600</wp:posOffset>
            </wp:positionV>
            <wp:extent cx="32169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3216910" cy="7620"/>
                    </a:xfrm>
                    <a:prstGeom prst="rect">
                      <a:avLst/>
                    </a:prstGeom>
                    <a:noFill/>
                  </pic:spPr>
                </pic:pic>
              </a:graphicData>
            </a:graphic>
          </wp:anchor>
        </w:drawing>
      </w:r>
    </w:p>
    <w:p>
      <w:pPr>
        <w:spacing w:after="0" w:line="3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115" w:right="319" w:bottom="1440" w:gutter="0" w:footer="0" w:header="0"/>
        </w:sectPr>
      </w:pPr>
    </w:p>
    <w:bookmarkStart w:id="140" w:name="page141"/>
    <w:bookmarkEnd w:id="140"/>
    <w:p>
      <w:pPr>
        <w:ind w:left="978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2325"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72325" cy="24765"/>
                    </a:xfrm>
                    <a:prstGeom prst="rect">
                      <a:avLst/>
                    </a:prstGeom>
                    <a:noFill/>
                  </pic:spPr>
                </pic:pic>
              </a:graphicData>
            </a:graphic>
          </wp:anchor>
        </w:drawing>
        <w:t>EX-FILING FEES</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F-10</w:t>
      </w:r>
    </w:p>
    <w:p>
      <w:pPr>
        <w:spacing w:after="0" w:line="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(Form Type)</w:t>
      </w:r>
    </w:p>
    <w:p>
      <w:pPr>
        <w:spacing w:after="0" w:line="1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u w:val="single" w:color="auto"/>
          <w:color w:val="auto"/>
        </w:rPr>
        <w:t>CYBIN INC.</w:t>
      </w:r>
    </w:p>
    <w:p>
      <w:pPr>
        <w:spacing w:after="0" w:line="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194"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1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Proposed</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Calculation</w:t>
            </w:r>
          </w:p>
        </w:tc>
        <w:tc>
          <w:tcPr>
            <w:tcW w:w="1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320" w:type="dxa"/>
            <w:vAlign w:val="bottom"/>
          </w:tcPr>
          <w:p>
            <w:pPr>
              <w:spacing w:after="0"/>
              <w:rPr>
                <w:sz w:val="16"/>
                <w:szCs w:val="16"/>
                <w:color w:val="auto"/>
              </w:rPr>
            </w:pPr>
          </w:p>
        </w:tc>
        <w:tc>
          <w:tcPr>
            <w:tcW w:w="1520" w:type="dxa"/>
            <w:vAlign w:val="bottom"/>
            <w:vMerge w:val="restart"/>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jc w:val="center"/>
              <w:ind w:right="23"/>
              <w:spacing w:after="0" w:line="157" w:lineRule="exact"/>
              <w:rPr>
                <w:sz w:val="20"/>
                <w:szCs w:val="20"/>
                <w:color w:val="auto"/>
              </w:rPr>
            </w:pPr>
            <w:r>
              <w:rPr>
                <w:rFonts w:ascii="Times New Roman" w:cs="Times New Roman" w:eastAsia="Times New Roman" w:hAnsi="Times New Roman"/>
                <w:sz w:val="15"/>
                <w:szCs w:val="15"/>
                <w:b w:val="1"/>
                <w:bCs w:val="1"/>
                <w:color w:val="auto"/>
              </w:rPr>
              <w:t>or Carry</w:t>
            </w:r>
          </w:p>
        </w:tc>
        <w:tc>
          <w:tcPr>
            <w:tcW w:w="132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rPr>
              <w:t>Offering</w:t>
            </w:r>
          </w:p>
        </w:tc>
        <w:tc>
          <w:tcPr>
            <w:tcW w:w="3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108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rPr>
              <w:t>Forward</w:t>
            </w:r>
          </w:p>
        </w:tc>
        <w:tc>
          <w:tcPr>
            <w:tcW w:w="1320" w:type="dxa"/>
            <w:vAlign w:val="bottom"/>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320" w:type="dxa"/>
            <w:vAlign w:val="bottom"/>
          </w:tcPr>
          <w:p>
            <w:pPr>
              <w:spacing w:after="0"/>
              <w:rPr>
                <w:sz w:val="16"/>
                <w:szCs w:val="16"/>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Amount of</w:t>
            </w: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Security Type</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Class Title</w:t>
            </w:r>
          </w:p>
        </w:tc>
        <w:tc>
          <w:tcPr>
            <w:tcW w:w="10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1320" w:type="dxa"/>
            <w:vAlign w:val="bottom"/>
            <w:tcBorders>
              <w:bottom w:val="single" w:sz="8" w:color="auto"/>
            </w:tcBorders>
          </w:tcPr>
          <w:p>
            <w:pPr>
              <w:jc w:val="center"/>
              <w:ind w:right="143"/>
              <w:spacing w:after="0" w:line="230" w:lineRule="exact"/>
              <w:rPr>
                <w:sz w:val="20"/>
                <w:szCs w:val="20"/>
                <w:color w:val="auto"/>
              </w:rPr>
            </w:pPr>
            <w:r>
              <w:rPr>
                <w:rFonts w:ascii="Times New Roman" w:cs="Times New Roman" w:eastAsia="Times New Roman" w:hAnsi="Times New Roman"/>
                <w:sz w:val="15"/>
                <w:szCs w:val="15"/>
                <w:b w:val="1"/>
                <w:bCs w:val="1"/>
                <w:color w:val="auto"/>
                <w:w w:val="91"/>
              </w:rPr>
              <w:t>Registered</w:t>
            </w:r>
            <w:r>
              <w:rPr>
                <w:rFonts w:ascii="Times New Roman" w:cs="Times New Roman" w:eastAsia="Times New Roman" w:hAnsi="Times New Roman"/>
                <w:sz w:val="25"/>
                <w:szCs w:val="25"/>
                <w:b w:val="1"/>
                <w:bCs w:val="1"/>
                <w:color w:val="auto"/>
                <w:w w:val="91"/>
                <w:vertAlign w:val="superscript"/>
              </w:rPr>
              <w:t>(1)(3)</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Per Unit</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43"/>
              <w:spacing w:after="0" w:line="230" w:lineRule="exact"/>
              <w:rPr>
                <w:sz w:val="20"/>
                <w:szCs w:val="20"/>
                <w:color w:val="auto"/>
              </w:rPr>
            </w:pPr>
            <w:r>
              <w:rPr>
                <w:rFonts w:ascii="Times New Roman" w:cs="Times New Roman" w:eastAsia="Times New Roman" w:hAnsi="Times New Roman"/>
                <w:sz w:val="15"/>
                <w:szCs w:val="15"/>
                <w:b w:val="1"/>
                <w:bCs w:val="1"/>
                <w:color w:val="auto"/>
                <w:w w:val="94"/>
              </w:rPr>
              <w:t>Offering Price</w:t>
            </w:r>
            <w:r>
              <w:rPr>
                <w:rFonts w:ascii="Times New Roman" w:cs="Times New Roman" w:eastAsia="Times New Roman" w:hAnsi="Times New Roman"/>
                <w:sz w:val="25"/>
                <w:szCs w:val="25"/>
                <w:b w:val="1"/>
                <w:bCs w:val="1"/>
                <w:color w:val="auto"/>
                <w:w w:val="94"/>
                <w:vertAlign w:val="superscript"/>
              </w:rPr>
              <w:t>(1)(2)</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Fee Rate</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43"/>
              <w:spacing w:after="0" w:line="230" w:lineRule="exact"/>
              <w:rPr>
                <w:sz w:val="20"/>
                <w:szCs w:val="20"/>
                <w:color w:val="auto"/>
              </w:rPr>
            </w:pPr>
            <w:r>
              <w:rPr>
                <w:rFonts w:ascii="Times New Roman" w:cs="Times New Roman" w:eastAsia="Times New Roman" w:hAnsi="Times New Roman"/>
                <w:sz w:val="15"/>
                <w:szCs w:val="15"/>
                <w:b w:val="1"/>
                <w:bCs w:val="1"/>
                <w:color w:val="auto"/>
              </w:rPr>
              <w:t>Registration Fee</w:t>
            </w:r>
            <w:r>
              <w:rPr>
                <w:rFonts w:ascii="Times New Roman" w:cs="Times New Roman" w:eastAsia="Times New Roman" w:hAnsi="Times New Roman"/>
                <w:sz w:val="25"/>
                <w:szCs w:val="25"/>
                <w:b w:val="1"/>
                <w:bCs w:val="1"/>
                <w:color w:val="auto"/>
                <w:vertAlign w:val="superscript"/>
              </w:rPr>
              <w:t>(1)(3)</w:t>
            </w:r>
          </w:p>
        </w:tc>
        <w:tc>
          <w:tcPr>
            <w:tcW w:w="0" w:type="dxa"/>
            <w:vAlign w:val="bottom"/>
          </w:tcPr>
          <w:p>
            <w:pPr>
              <w:spacing w:after="0"/>
              <w:rPr>
                <w:sz w:val="1"/>
                <w:szCs w:val="1"/>
                <w:color w:val="auto"/>
              </w:rPr>
            </w:pPr>
          </w:p>
        </w:tc>
      </w:tr>
      <w:tr>
        <w:trPr>
          <w:trHeight w:val="176"/>
        </w:trPr>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Newly Registered Securities</w:t>
            </w:r>
          </w:p>
        </w:tc>
        <w:tc>
          <w:tcPr>
            <w:tcW w:w="1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E6EFFF"/>
          </w:tcPr>
          <w:p>
            <w:pPr>
              <w:spacing w:after="0"/>
              <w:rPr>
                <w:sz w:val="14"/>
                <w:szCs w:val="14"/>
                <w:color w:val="auto"/>
              </w:rPr>
            </w:pPr>
          </w:p>
        </w:tc>
        <w:tc>
          <w:tcPr>
            <w:tcW w:w="1120" w:type="dxa"/>
            <w:vAlign w:val="bottom"/>
            <w:shd w:val="clear" w:color="auto" w:fill="E6EFFF"/>
          </w:tcPr>
          <w:p>
            <w:pPr>
              <w:spacing w:after="0"/>
              <w:rPr>
                <w:sz w:val="14"/>
                <w:szCs w:val="14"/>
                <w:color w:val="auto"/>
              </w:rPr>
            </w:pPr>
          </w:p>
        </w:tc>
        <w:tc>
          <w:tcPr>
            <w:tcW w:w="920" w:type="dxa"/>
            <w:vAlign w:val="bottom"/>
            <w:shd w:val="clear" w:color="auto" w:fill="E6EFFF"/>
          </w:tcPr>
          <w:p>
            <w:pPr>
              <w:jc w:val="center"/>
              <w:ind w:right="23"/>
              <w:spacing w:after="0" w:line="161" w:lineRule="exact"/>
              <w:rPr>
                <w:sz w:val="20"/>
                <w:szCs w:val="20"/>
                <w:color w:val="auto"/>
              </w:rPr>
            </w:pPr>
            <w:r>
              <w:rPr>
                <w:rFonts w:ascii="Times New Roman" w:cs="Times New Roman" w:eastAsia="Times New Roman" w:hAnsi="Times New Roman"/>
                <w:sz w:val="15"/>
                <w:szCs w:val="15"/>
                <w:color w:val="auto"/>
              </w:rPr>
              <w:t>Common</w:t>
            </w:r>
          </w:p>
        </w:tc>
        <w:tc>
          <w:tcPr>
            <w:tcW w:w="1080" w:type="dxa"/>
            <w:vAlign w:val="bottom"/>
            <w:shd w:val="clear" w:color="auto" w:fill="E6EFFF"/>
          </w:tcPr>
          <w:p>
            <w:pPr>
              <w:spacing w:after="0"/>
              <w:rPr>
                <w:sz w:val="14"/>
                <w:szCs w:val="14"/>
                <w:color w:val="auto"/>
              </w:rPr>
            </w:pPr>
          </w:p>
        </w:tc>
        <w:tc>
          <w:tcPr>
            <w:tcW w:w="1320" w:type="dxa"/>
            <w:vAlign w:val="bottom"/>
            <w:shd w:val="clear" w:color="auto" w:fill="E6EFFF"/>
          </w:tcPr>
          <w:p>
            <w:pPr>
              <w:spacing w:after="0"/>
              <w:rPr>
                <w:sz w:val="14"/>
                <w:szCs w:val="14"/>
                <w:color w:val="auto"/>
              </w:rPr>
            </w:pPr>
          </w:p>
        </w:tc>
        <w:tc>
          <w:tcPr>
            <w:tcW w:w="1080" w:type="dxa"/>
            <w:vAlign w:val="bottom"/>
            <w:shd w:val="clear" w:color="auto" w:fill="E6EFFF"/>
          </w:tcPr>
          <w:p>
            <w:pPr>
              <w:spacing w:after="0"/>
              <w:rPr>
                <w:sz w:val="14"/>
                <w:szCs w:val="14"/>
                <w:color w:val="auto"/>
              </w:rPr>
            </w:pPr>
          </w:p>
        </w:tc>
        <w:tc>
          <w:tcPr>
            <w:tcW w:w="320" w:type="dxa"/>
            <w:vAlign w:val="bottom"/>
            <w:shd w:val="clear" w:color="auto" w:fill="E6EFFF"/>
          </w:tcPr>
          <w:p>
            <w:pPr>
              <w:spacing w:after="0"/>
              <w:rPr>
                <w:sz w:val="14"/>
                <w:szCs w:val="14"/>
                <w:color w:val="auto"/>
              </w:rPr>
            </w:pPr>
          </w:p>
        </w:tc>
        <w:tc>
          <w:tcPr>
            <w:tcW w:w="1520" w:type="dxa"/>
            <w:vAlign w:val="bottom"/>
            <w:shd w:val="clear" w:color="auto" w:fill="E6EFFF"/>
          </w:tcPr>
          <w:p>
            <w:pPr>
              <w:spacing w:after="0"/>
              <w:rPr>
                <w:sz w:val="14"/>
                <w:szCs w:val="14"/>
                <w:color w:val="auto"/>
              </w:rPr>
            </w:pPr>
          </w:p>
        </w:tc>
        <w:tc>
          <w:tcPr>
            <w:tcW w:w="240" w:type="dxa"/>
            <w:vAlign w:val="bottom"/>
            <w:shd w:val="clear" w:color="auto" w:fill="E6EFFF"/>
          </w:tcPr>
          <w:p>
            <w:pPr>
              <w:spacing w:after="0"/>
              <w:rPr>
                <w:sz w:val="14"/>
                <w:szCs w:val="14"/>
                <w:color w:val="auto"/>
              </w:rPr>
            </w:pPr>
          </w:p>
        </w:tc>
        <w:tc>
          <w:tcPr>
            <w:tcW w:w="980" w:type="dxa"/>
            <w:vAlign w:val="bottom"/>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180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E6EFFF"/>
          </w:tcPr>
          <w:p>
            <w:pPr>
              <w:spacing w:after="0"/>
              <w:rPr>
                <w:sz w:val="16"/>
                <w:szCs w:val="16"/>
                <w:color w:val="auto"/>
              </w:rPr>
            </w:pPr>
          </w:p>
        </w:tc>
        <w:tc>
          <w:tcPr>
            <w:tcW w:w="1120" w:type="dxa"/>
            <w:vAlign w:val="bottom"/>
            <w:shd w:val="clear" w:color="auto" w:fill="E6EFFF"/>
          </w:tcPr>
          <w:p>
            <w:pPr>
              <w:spacing w:after="0"/>
              <w:rPr>
                <w:sz w:val="16"/>
                <w:szCs w:val="16"/>
                <w:color w:val="auto"/>
              </w:rPr>
            </w:pPr>
          </w:p>
        </w:tc>
        <w:tc>
          <w:tcPr>
            <w:tcW w:w="920" w:type="dxa"/>
            <w:vAlign w:val="bottom"/>
            <w:shd w:val="clear" w:color="auto" w:fill="E6EFFF"/>
          </w:tcPr>
          <w:p>
            <w:pPr>
              <w:jc w:val="center"/>
              <w:ind w:right="3"/>
              <w:spacing w:after="0"/>
              <w:rPr>
                <w:sz w:val="20"/>
                <w:szCs w:val="20"/>
                <w:color w:val="auto"/>
              </w:rPr>
            </w:pPr>
            <w:r>
              <w:rPr>
                <w:rFonts w:ascii="Times New Roman" w:cs="Times New Roman" w:eastAsia="Times New Roman" w:hAnsi="Times New Roman"/>
                <w:sz w:val="15"/>
                <w:szCs w:val="15"/>
                <w:color w:val="auto"/>
              </w:rPr>
              <w:t>Shares,</w:t>
            </w:r>
          </w:p>
        </w:tc>
        <w:tc>
          <w:tcPr>
            <w:tcW w:w="1080" w:type="dxa"/>
            <w:vAlign w:val="bottom"/>
            <w:shd w:val="clear" w:color="auto" w:fill="E6EFFF"/>
          </w:tcPr>
          <w:p>
            <w:pPr>
              <w:spacing w:after="0"/>
              <w:rPr>
                <w:sz w:val="16"/>
                <w:szCs w:val="16"/>
                <w:color w:val="auto"/>
              </w:rPr>
            </w:pPr>
          </w:p>
        </w:tc>
        <w:tc>
          <w:tcPr>
            <w:tcW w:w="1320" w:type="dxa"/>
            <w:vAlign w:val="bottom"/>
            <w:shd w:val="clear" w:color="auto" w:fill="E6EFFF"/>
          </w:tcPr>
          <w:p>
            <w:pPr>
              <w:spacing w:after="0"/>
              <w:rPr>
                <w:sz w:val="16"/>
                <w:szCs w:val="16"/>
                <w:color w:val="auto"/>
              </w:rPr>
            </w:pPr>
          </w:p>
        </w:tc>
        <w:tc>
          <w:tcPr>
            <w:tcW w:w="108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152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80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0" w:type="dxa"/>
            <w:vAlign w:val="bottom"/>
            <w:vMerge w:val="restart"/>
            <w:shd w:val="clear" w:color="auto" w:fill="E6EFFF"/>
          </w:tcPr>
          <w:p>
            <w:pPr>
              <w:ind w:left="60"/>
              <w:spacing w:after="0"/>
              <w:rPr>
                <w:sz w:val="20"/>
                <w:szCs w:val="20"/>
                <w:color w:val="auto"/>
              </w:rPr>
            </w:pPr>
            <w:r>
              <w:rPr>
                <w:rFonts w:ascii="Times New Roman" w:cs="Times New Roman" w:eastAsia="Times New Roman" w:hAnsi="Times New Roman"/>
                <w:sz w:val="15"/>
                <w:szCs w:val="15"/>
                <w:color w:val="auto"/>
              </w:rPr>
              <w:t>Fees to</w:t>
            </w:r>
          </w:p>
        </w:tc>
        <w:tc>
          <w:tcPr>
            <w:tcW w:w="1120" w:type="dxa"/>
            <w:vAlign w:val="bottom"/>
            <w:shd w:val="clear" w:color="auto" w:fill="E6EFFF"/>
          </w:tcPr>
          <w:p>
            <w:pPr>
              <w:jc w:val="center"/>
              <w:ind w:right="123"/>
              <w:spacing w:after="0"/>
              <w:rPr>
                <w:sz w:val="20"/>
                <w:szCs w:val="20"/>
                <w:color w:val="auto"/>
              </w:rPr>
            </w:pPr>
            <w:r>
              <w:rPr>
                <w:rFonts w:ascii="Times New Roman" w:cs="Times New Roman" w:eastAsia="Times New Roman" w:hAnsi="Times New Roman"/>
                <w:sz w:val="15"/>
                <w:szCs w:val="15"/>
                <w:color w:val="auto"/>
              </w:rPr>
              <w:t>Unallocated</w:t>
            </w:r>
          </w:p>
        </w:tc>
        <w:tc>
          <w:tcPr>
            <w:tcW w:w="920" w:type="dxa"/>
            <w:vAlign w:val="bottom"/>
            <w:shd w:val="clear" w:color="auto" w:fill="E6EFFF"/>
          </w:tcPr>
          <w:p>
            <w:pPr>
              <w:jc w:val="center"/>
              <w:ind w:right="23"/>
              <w:spacing w:after="0"/>
              <w:rPr>
                <w:sz w:val="20"/>
                <w:szCs w:val="20"/>
                <w:color w:val="auto"/>
              </w:rPr>
            </w:pPr>
            <w:r>
              <w:rPr>
                <w:rFonts w:ascii="Times New Roman" w:cs="Times New Roman" w:eastAsia="Times New Roman" w:hAnsi="Times New Roman"/>
                <w:sz w:val="15"/>
                <w:szCs w:val="15"/>
                <w:color w:val="auto"/>
                <w:w w:val="98"/>
              </w:rPr>
              <w:t>Warrants,</w:t>
            </w:r>
          </w:p>
        </w:tc>
        <w:tc>
          <w:tcPr>
            <w:tcW w:w="1080" w:type="dxa"/>
            <w:vAlign w:val="bottom"/>
            <w:shd w:val="clear" w:color="auto" w:fill="E6EFFF"/>
          </w:tcPr>
          <w:p>
            <w:pPr>
              <w:spacing w:after="0"/>
              <w:rPr>
                <w:sz w:val="16"/>
                <w:szCs w:val="16"/>
                <w:color w:val="auto"/>
              </w:rPr>
            </w:pPr>
          </w:p>
        </w:tc>
        <w:tc>
          <w:tcPr>
            <w:tcW w:w="1320" w:type="dxa"/>
            <w:vAlign w:val="bottom"/>
            <w:shd w:val="clear" w:color="auto" w:fill="E6EFFF"/>
          </w:tcPr>
          <w:p>
            <w:pPr>
              <w:spacing w:after="0"/>
              <w:rPr>
                <w:sz w:val="16"/>
                <w:szCs w:val="16"/>
                <w:color w:val="auto"/>
              </w:rPr>
            </w:pPr>
          </w:p>
        </w:tc>
        <w:tc>
          <w:tcPr>
            <w:tcW w:w="108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152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80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720" w:type="dxa"/>
            <w:vAlign w:val="bottom"/>
            <w:vMerge w:val="continue"/>
            <w:shd w:val="clear" w:color="auto" w:fill="E6EFFF"/>
          </w:tcPr>
          <w:p>
            <w:pPr>
              <w:spacing w:after="0"/>
              <w:rPr>
                <w:sz w:val="8"/>
                <w:szCs w:val="8"/>
                <w:color w:val="auto"/>
              </w:rPr>
            </w:pPr>
          </w:p>
        </w:tc>
        <w:tc>
          <w:tcPr>
            <w:tcW w:w="1120" w:type="dxa"/>
            <w:vAlign w:val="bottom"/>
            <w:vMerge w:val="restart"/>
            <w:shd w:val="clear" w:color="auto" w:fill="E6EFFF"/>
          </w:tcPr>
          <w:p>
            <w:pPr>
              <w:jc w:val="center"/>
              <w:ind w:right="103"/>
              <w:spacing w:after="0"/>
              <w:rPr>
                <w:sz w:val="20"/>
                <w:szCs w:val="20"/>
                <w:color w:val="auto"/>
              </w:rPr>
            </w:pPr>
            <w:r>
              <w:rPr>
                <w:rFonts w:ascii="Times New Roman" w:cs="Times New Roman" w:eastAsia="Times New Roman" w:hAnsi="Times New Roman"/>
                <w:sz w:val="15"/>
                <w:szCs w:val="15"/>
                <w:color w:val="auto"/>
              </w:rPr>
              <w:t>(Universal)</w:t>
            </w:r>
          </w:p>
        </w:tc>
        <w:tc>
          <w:tcPr>
            <w:tcW w:w="920" w:type="dxa"/>
            <w:vAlign w:val="bottom"/>
            <w:vMerge w:val="restart"/>
            <w:shd w:val="clear" w:color="auto" w:fill="E6EFFF"/>
          </w:tcPr>
          <w:p>
            <w:pPr>
              <w:jc w:val="center"/>
              <w:ind w:right="23"/>
              <w:spacing w:after="0"/>
              <w:rPr>
                <w:sz w:val="20"/>
                <w:szCs w:val="20"/>
                <w:color w:val="auto"/>
              </w:rPr>
            </w:pPr>
            <w:r>
              <w:rPr>
                <w:rFonts w:ascii="Times New Roman" w:cs="Times New Roman" w:eastAsia="Times New Roman" w:hAnsi="Times New Roman"/>
                <w:sz w:val="15"/>
                <w:szCs w:val="15"/>
                <w:color w:val="auto"/>
              </w:rPr>
              <w:t>Units, Debt</w:t>
            </w:r>
          </w:p>
        </w:tc>
        <w:tc>
          <w:tcPr>
            <w:tcW w:w="1080" w:type="dxa"/>
            <w:vAlign w:val="bottom"/>
            <w:vMerge w:val="restart"/>
            <w:shd w:val="clear" w:color="auto" w:fill="E6EFFF"/>
          </w:tcPr>
          <w:p>
            <w:pPr>
              <w:ind w:left="120"/>
              <w:spacing w:after="0"/>
              <w:rPr>
                <w:sz w:val="20"/>
                <w:szCs w:val="20"/>
                <w:color w:val="auto"/>
              </w:rPr>
            </w:pPr>
            <w:r>
              <w:rPr>
                <w:rFonts w:ascii="Times New Roman" w:cs="Times New Roman" w:eastAsia="Times New Roman" w:hAnsi="Times New Roman"/>
                <w:sz w:val="15"/>
                <w:szCs w:val="15"/>
                <w:color w:val="auto"/>
              </w:rPr>
              <w:t>Rule 457(o) $</w:t>
            </w:r>
          </w:p>
        </w:tc>
        <w:tc>
          <w:tcPr>
            <w:tcW w:w="1320" w:type="dxa"/>
            <w:vAlign w:val="bottom"/>
            <w:vMerge w:val="restart"/>
            <w:shd w:val="clear" w:color="auto" w:fill="E6EFFF"/>
          </w:tcPr>
          <w:p>
            <w:pPr>
              <w:jc w:val="right"/>
              <w:ind w:right="103"/>
              <w:spacing w:after="0"/>
              <w:rPr>
                <w:sz w:val="20"/>
                <w:szCs w:val="20"/>
                <w:color w:val="auto"/>
              </w:rPr>
            </w:pPr>
            <w:r>
              <w:rPr>
                <w:rFonts w:ascii="Times New Roman" w:cs="Times New Roman" w:eastAsia="Times New Roman" w:hAnsi="Times New Roman"/>
                <w:sz w:val="15"/>
                <w:szCs w:val="15"/>
                <w:color w:val="auto"/>
              </w:rPr>
              <w:t>181,641,445</w:t>
            </w:r>
          </w:p>
        </w:tc>
        <w:tc>
          <w:tcPr>
            <w:tcW w:w="10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vMerge w:val="restart"/>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vMerge w:val="restart"/>
            <w:shd w:val="clear" w:color="auto" w:fill="E6EFFF"/>
          </w:tcPr>
          <w:p>
            <w:pPr>
              <w:jc w:val="right"/>
              <w:ind w:right="23"/>
              <w:spacing w:after="0"/>
              <w:rPr>
                <w:sz w:val="20"/>
                <w:szCs w:val="20"/>
                <w:color w:val="auto"/>
              </w:rPr>
            </w:pPr>
            <w:r>
              <w:rPr>
                <w:rFonts w:ascii="Times New Roman" w:cs="Times New Roman" w:eastAsia="Times New Roman" w:hAnsi="Times New Roman"/>
                <w:sz w:val="15"/>
                <w:szCs w:val="15"/>
                <w:color w:val="auto"/>
              </w:rPr>
              <w:t>181,641,445</w:t>
            </w:r>
          </w:p>
        </w:tc>
        <w:tc>
          <w:tcPr>
            <w:tcW w:w="240" w:type="dxa"/>
            <w:vAlign w:val="bottom"/>
            <w:vMerge w:val="restart"/>
            <w:shd w:val="clear" w:color="auto" w:fill="E6EF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shd w:val="clear" w:color="auto" w:fill="E6EFFF"/>
          </w:tcPr>
          <w:p>
            <w:pPr>
              <w:ind w:left="100"/>
              <w:spacing w:after="0"/>
              <w:rPr>
                <w:sz w:val="20"/>
                <w:szCs w:val="20"/>
                <w:color w:val="auto"/>
              </w:rPr>
            </w:pPr>
            <w:r>
              <w:rPr>
                <w:rFonts w:ascii="Times New Roman" w:cs="Times New Roman" w:eastAsia="Times New Roman" w:hAnsi="Times New Roman"/>
                <w:sz w:val="15"/>
                <w:szCs w:val="15"/>
                <w:color w:val="auto"/>
              </w:rPr>
              <w:t>0.00014760</w:t>
            </w:r>
          </w:p>
        </w:tc>
        <w:tc>
          <w:tcPr>
            <w:tcW w:w="160" w:type="dxa"/>
            <w:vAlign w:val="bottom"/>
            <w:vMerge w:val="restart"/>
            <w:shd w:val="clear" w:color="auto" w:fill="E6EF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vMerge w:val="restart"/>
            <w:shd w:val="clear" w:color="auto" w:fill="E6EFFF"/>
          </w:tcPr>
          <w:p>
            <w:pPr>
              <w:jc w:val="right"/>
              <w:ind w:right="103"/>
              <w:spacing w:after="0"/>
              <w:rPr>
                <w:sz w:val="20"/>
                <w:szCs w:val="20"/>
                <w:color w:val="auto"/>
              </w:rPr>
            </w:pPr>
            <w:r>
              <w:rPr>
                <w:rFonts w:ascii="Times New Roman" w:cs="Times New Roman" w:eastAsia="Times New Roman" w:hAnsi="Times New Roman"/>
                <w:sz w:val="15"/>
                <w:szCs w:val="15"/>
                <w:color w:val="auto"/>
              </w:rPr>
              <w:t>26,811</w:t>
            </w:r>
          </w:p>
        </w:tc>
        <w:tc>
          <w:tcPr>
            <w:tcW w:w="0" w:type="dxa"/>
            <w:vAlign w:val="bottom"/>
          </w:tcPr>
          <w:p>
            <w:pPr>
              <w:spacing w:after="0"/>
              <w:rPr>
                <w:sz w:val="1"/>
                <w:szCs w:val="1"/>
                <w:color w:val="auto"/>
              </w:rPr>
            </w:pPr>
          </w:p>
        </w:tc>
      </w:tr>
      <w:tr>
        <w:trPr>
          <w:trHeight w:val="92"/>
        </w:trPr>
        <w:tc>
          <w:tcPr>
            <w:tcW w:w="720" w:type="dxa"/>
            <w:vAlign w:val="bottom"/>
            <w:vMerge w:val="restart"/>
            <w:shd w:val="clear" w:color="auto" w:fill="E6EFFF"/>
          </w:tcPr>
          <w:p>
            <w:pPr>
              <w:ind w:left="40"/>
              <w:spacing w:after="0"/>
              <w:rPr>
                <w:sz w:val="20"/>
                <w:szCs w:val="20"/>
                <w:color w:val="auto"/>
              </w:rPr>
            </w:pPr>
            <w:r>
              <w:rPr>
                <w:rFonts w:ascii="Times New Roman" w:cs="Times New Roman" w:eastAsia="Times New Roman" w:hAnsi="Times New Roman"/>
                <w:sz w:val="15"/>
                <w:szCs w:val="15"/>
                <w:color w:val="auto"/>
              </w:rPr>
              <w:t>be Paid</w:t>
            </w:r>
          </w:p>
        </w:tc>
        <w:tc>
          <w:tcPr>
            <w:tcW w:w="1120" w:type="dxa"/>
            <w:vAlign w:val="bottom"/>
            <w:vMerge w:val="continue"/>
            <w:shd w:val="clear" w:color="auto" w:fill="E6EFFF"/>
          </w:tcPr>
          <w:p>
            <w:pPr>
              <w:spacing w:after="0"/>
              <w:rPr>
                <w:sz w:val="8"/>
                <w:szCs w:val="8"/>
                <w:color w:val="auto"/>
              </w:rPr>
            </w:pPr>
          </w:p>
        </w:tc>
        <w:tc>
          <w:tcPr>
            <w:tcW w:w="920" w:type="dxa"/>
            <w:vAlign w:val="bottom"/>
            <w:vMerge w:val="continue"/>
            <w:shd w:val="clear" w:color="auto" w:fill="E6EFFF"/>
          </w:tcPr>
          <w:p>
            <w:pPr>
              <w:spacing w:after="0"/>
              <w:rPr>
                <w:sz w:val="8"/>
                <w:szCs w:val="8"/>
                <w:color w:val="auto"/>
              </w:rPr>
            </w:pPr>
          </w:p>
        </w:tc>
        <w:tc>
          <w:tcPr>
            <w:tcW w:w="1080" w:type="dxa"/>
            <w:vAlign w:val="bottom"/>
            <w:vMerge w:val="continue"/>
            <w:shd w:val="clear" w:color="auto" w:fill="E6EFFF"/>
          </w:tcPr>
          <w:p>
            <w:pPr>
              <w:spacing w:after="0"/>
              <w:rPr>
                <w:sz w:val="8"/>
                <w:szCs w:val="8"/>
                <w:color w:val="auto"/>
              </w:rPr>
            </w:pPr>
          </w:p>
        </w:tc>
        <w:tc>
          <w:tcPr>
            <w:tcW w:w="1320" w:type="dxa"/>
            <w:vAlign w:val="bottom"/>
            <w:vMerge w:val="continue"/>
            <w:shd w:val="clear" w:color="auto" w:fill="E6EFFF"/>
          </w:tcPr>
          <w:p>
            <w:pPr>
              <w:spacing w:after="0"/>
              <w:rPr>
                <w:sz w:val="8"/>
                <w:szCs w:val="8"/>
                <w:color w:val="auto"/>
              </w:rPr>
            </w:pPr>
          </w:p>
        </w:tc>
        <w:tc>
          <w:tcPr>
            <w:tcW w:w="1080" w:type="dxa"/>
            <w:vAlign w:val="bottom"/>
            <w:vMerge w:val="continue"/>
            <w:shd w:val="clear" w:color="auto" w:fill="E6EFFF"/>
          </w:tcPr>
          <w:p>
            <w:pPr>
              <w:spacing w:after="0"/>
              <w:rPr>
                <w:sz w:val="8"/>
                <w:szCs w:val="8"/>
                <w:color w:val="auto"/>
              </w:rPr>
            </w:pPr>
          </w:p>
        </w:tc>
        <w:tc>
          <w:tcPr>
            <w:tcW w:w="320" w:type="dxa"/>
            <w:vAlign w:val="bottom"/>
            <w:vMerge w:val="continue"/>
            <w:shd w:val="clear" w:color="auto" w:fill="E6EFFF"/>
          </w:tcPr>
          <w:p>
            <w:pPr>
              <w:spacing w:after="0"/>
              <w:rPr>
                <w:sz w:val="8"/>
                <w:szCs w:val="8"/>
                <w:color w:val="auto"/>
              </w:rPr>
            </w:pPr>
          </w:p>
        </w:tc>
        <w:tc>
          <w:tcPr>
            <w:tcW w:w="1520" w:type="dxa"/>
            <w:vAlign w:val="bottom"/>
            <w:vMerge w:val="continue"/>
            <w:shd w:val="clear" w:color="auto" w:fill="E6EFFF"/>
          </w:tcPr>
          <w:p>
            <w:pPr>
              <w:spacing w:after="0"/>
              <w:rPr>
                <w:sz w:val="8"/>
                <w:szCs w:val="8"/>
                <w:color w:val="auto"/>
              </w:rPr>
            </w:pPr>
          </w:p>
        </w:tc>
        <w:tc>
          <w:tcPr>
            <w:tcW w:w="240" w:type="dxa"/>
            <w:vAlign w:val="bottom"/>
            <w:vMerge w:val="continue"/>
            <w:shd w:val="clear" w:color="auto" w:fill="E6EFFF"/>
          </w:tcPr>
          <w:p>
            <w:pPr>
              <w:spacing w:after="0"/>
              <w:rPr>
                <w:sz w:val="8"/>
                <w:szCs w:val="8"/>
                <w:color w:val="auto"/>
              </w:rPr>
            </w:pPr>
          </w:p>
        </w:tc>
        <w:tc>
          <w:tcPr>
            <w:tcW w:w="980" w:type="dxa"/>
            <w:vAlign w:val="bottom"/>
            <w:vMerge w:val="continue"/>
            <w:shd w:val="clear" w:color="auto" w:fill="E6EFFF"/>
          </w:tcPr>
          <w:p>
            <w:pPr>
              <w:spacing w:after="0"/>
              <w:rPr>
                <w:sz w:val="8"/>
                <w:szCs w:val="8"/>
                <w:color w:val="auto"/>
              </w:rPr>
            </w:pPr>
          </w:p>
        </w:tc>
        <w:tc>
          <w:tcPr>
            <w:tcW w:w="160" w:type="dxa"/>
            <w:vAlign w:val="bottom"/>
            <w:vMerge w:val="continue"/>
            <w:shd w:val="clear" w:color="auto" w:fill="E6EFFF"/>
          </w:tcPr>
          <w:p>
            <w:pPr>
              <w:spacing w:after="0"/>
              <w:rPr>
                <w:sz w:val="8"/>
                <w:szCs w:val="8"/>
                <w:color w:val="auto"/>
              </w:rPr>
            </w:pPr>
          </w:p>
        </w:tc>
        <w:tc>
          <w:tcPr>
            <w:tcW w:w="1800" w:type="dxa"/>
            <w:vAlign w:val="bottom"/>
            <w:vMerge w:val="continue"/>
            <w:shd w:val="clear" w:color="auto" w:fill="E6EF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20" w:type="dxa"/>
            <w:vAlign w:val="bottom"/>
            <w:vMerge w:val="continue"/>
            <w:shd w:val="clear" w:color="auto" w:fill="E6EFFF"/>
          </w:tcPr>
          <w:p>
            <w:pPr>
              <w:spacing w:after="0"/>
              <w:rPr>
                <w:sz w:val="9"/>
                <w:szCs w:val="9"/>
                <w:color w:val="auto"/>
              </w:rPr>
            </w:pPr>
          </w:p>
        </w:tc>
        <w:tc>
          <w:tcPr>
            <w:tcW w:w="1120" w:type="dxa"/>
            <w:vAlign w:val="bottom"/>
            <w:vMerge w:val="restart"/>
            <w:shd w:val="clear" w:color="auto" w:fill="E6EFFF"/>
          </w:tcPr>
          <w:p>
            <w:pPr>
              <w:jc w:val="center"/>
              <w:ind w:right="123"/>
              <w:spacing w:after="0"/>
              <w:rPr>
                <w:sz w:val="20"/>
                <w:szCs w:val="20"/>
                <w:color w:val="auto"/>
              </w:rPr>
            </w:pPr>
            <w:r>
              <w:rPr>
                <w:rFonts w:ascii="Times New Roman" w:cs="Times New Roman" w:eastAsia="Times New Roman" w:hAnsi="Times New Roman"/>
                <w:sz w:val="15"/>
                <w:szCs w:val="15"/>
                <w:color w:val="auto"/>
              </w:rPr>
              <w:t>Shelf</w:t>
            </w:r>
          </w:p>
        </w:tc>
        <w:tc>
          <w:tcPr>
            <w:tcW w:w="920" w:type="dxa"/>
            <w:vAlign w:val="bottom"/>
            <w:vMerge w:val="restart"/>
            <w:shd w:val="clear" w:color="auto" w:fill="E6EFFF"/>
          </w:tcPr>
          <w:p>
            <w:pPr>
              <w:jc w:val="center"/>
              <w:ind w:right="3"/>
              <w:spacing w:after="0"/>
              <w:rPr>
                <w:sz w:val="20"/>
                <w:szCs w:val="20"/>
                <w:color w:val="auto"/>
              </w:rPr>
            </w:pPr>
            <w:r>
              <w:rPr>
                <w:rFonts w:ascii="Times New Roman" w:cs="Times New Roman" w:eastAsia="Times New Roman" w:hAnsi="Times New Roman"/>
                <w:sz w:val="15"/>
                <w:szCs w:val="15"/>
                <w:color w:val="auto"/>
              </w:rPr>
              <w:t>Securities</w:t>
            </w:r>
          </w:p>
        </w:tc>
        <w:tc>
          <w:tcPr>
            <w:tcW w:w="1080" w:type="dxa"/>
            <w:vAlign w:val="bottom"/>
            <w:shd w:val="clear" w:color="auto" w:fill="E6EFFF"/>
          </w:tcPr>
          <w:p>
            <w:pPr>
              <w:spacing w:after="0"/>
              <w:rPr>
                <w:sz w:val="9"/>
                <w:szCs w:val="9"/>
                <w:color w:val="auto"/>
              </w:rPr>
            </w:pPr>
          </w:p>
        </w:tc>
        <w:tc>
          <w:tcPr>
            <w:tcW w:w="1320" w:type="dxa"/>
            <w:vAlign w:val="bottom"/>
            <w:shd w:val="clear" w:color="auto" w:fill="E6EFFF"/>
          </w:tcPr>
          <w:p>
            <w:pPr>
              <w:spacing w:after="0"/>
              <w:rPr>
                <w:sz w:val="9"/>
                <w:szCs w:val="9"/>
                <w:color w:val="auto"/>
              </w:rPr>
            </w:pPr>
          </w:p>
        </w:tc>
        <w:tc>
          <w:tcPr>
            <w:tcW w:w="1080" w:type="dxa"/>
            <w:vAlign w:val="bottom"/>
            <w:shd w:val="clear" w:color="auto" w:fill="E6EFFF"/>
          </w:tcPr>
          <w:p>
            <w:pPr>
              <w:spacing w:after="0"/>
              <w:rPr>
                <w:sz w:val="9"/>
                <w:szCs w:val="9"/>
                <w:color w:val="auto"/>
              </w:rPr>
            </w:pPr>
          </w:p>
        </w:tc>
        <w:tc>
          <w:tcPr>
            <w:tcW w:w="320" w:type="dxa"/>
            <w:vAlign w:val="bottom"/>
            <w:shd w:val="clear" w:color="auto" w:fill="E6EFFF"/>
          </w:tcPr>
          <w:p>
            <w:pPr>
              <w:spacing w:after="0"/>
              <w:rPr>
                <w:sz w:val="9"/>
                <w:szCs w:val="9"/>
                <w:color w:val="auto"/>
              </w:rPr>
            </w:pPr>
          </w:p>
        </w:tc>
        <w:tc>
          <w:tcPr>
            <w:tcW w:w="1520" w:type="dxa"/>
            <w:vAlign w:val="bottom"/>
            <w:shd w:val="clear" w:color="auto" w:fill="E6EFFF"/>
          </w:tcPr>
          <w:p>
            <w:pPr>
              <w:spacing w:after="0"/>
              <w:rPr>
                <w:sz w:val="9"/>
                <w:szCs w:val="9"/>
                <w:color w:val="auto"/>
              </w:rPr>
            </w:pPr>
          </w:p>
        </w:tc>
        <w:tc>
          <w:tcPr>
            <w:tcW w:w="240" w:type="dxa"/>
            <w:vAlign w:val="bottom"/>
            <w:shd w:val="clear" w:color="auto" w:fill="E6EFFF"/>
          </w:tcPr>
          <w:p>
            <w:pPr>
              <w:spacing w:after="0"/>
              <w:rPr>
                <w:sz w:val="9"/>
                <w:szCs w:val="9"/>
                <w:color w:val="auto"/>
              </w:rPr>
            </w:pPr>
          </w:p>
        </w:tc>
        <w:tc>
          <w:tcPr>
            <w:tcW w:w="980" w:type="dxa"/>
            <w:vAlign w:val="bottom"/>
            <w:shd w:val="clear" w:color="auto" w:fill="E6EFFF"/>
          </w:tcPr>
          <w:p>
            <w:pPr>
              <w:spacing w:after="0"/>
              <w:rPr>
                <w:sz w:val="9"/>
                <w:szCs w:val="9"/>
                <w:color w:val="auto"/>
              </w:rPr>
            </w:pPr>
          </w:p>
        </w:tc>
        <w:tc>
          <w:tcPr>
            <w:tcW w:w="160" w:type="dxa"/>
            <w:vAlign w:val="bottom"/>
            <w:shd w:val="clear" w:color="auto" w:fill="E6EFFF"/>
          </w:tcPr>
          <w:p>
            <w:pPr>
              <w:spacing w:after="0"/>
              <w:rPr>
                <w:sz w:val="9"/>
                <w:szCs w:val="9"/>
                <w:color w:val="auto"/>
              </w:rPr>
            </w:pPr>
          </w:p>
        </w:tc>
        <w:tc>
          <w:tcPr>
            <w:tcW w:w="1800" w:type="dxa"/>
            <w:vAlign w:val="bottom"/>
            <w:shd w:val="clear" w:color="auto" w:fill="E6EFFF"/>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720" w:type="dxa"/>
            <w:vAlign w:val="bottom"/>
            <w:shd w:val="clear" w:color="auto" w:fill="E6EFFF"/>
          </w:tcPr>
          <w:p>
            <w:pPr>
              <w:spacing w:after="0"/>
              <w:rPr>
                <w:sz w:val="6"/>
                <w:szCs w:val="6"/>
                <w:color w:val="auto"/>
              </w:rPr>
            </w:pPr>
          </w:p>
        </w:tc>
        <w:tc>
          <w:tcPr>
            <w:tcW w:w="1120" w:type="dxa"/>
            <w:vAlign w:val="bottom"/>
            <w:vMerge w:val="continue"/>
            <w:shd w:val="clear" w:color="auto" w:fill="E6EFFF"/>
          </w:tcPr>
          <w:p>
            <w:pPr>
              <w:spacing w:after="0"/>
              <w:rPr>
                <w:sz w:val="6"/>
                <w:szCs w:val="6"/>
                <w:color w:val="auto"/>
              </w:rPr>
            </w:pPr>
          </w:p>
        </w:tc>
        <w:tc>
          <w:tcPr>
            <w:tcW w:w="920" w:type="dxa"/>
            <w:vAlign w:val="bottom"/>
            <w:vMerge w:val="continue"/>
            <w:shd w:val="clear" w:color="auto" w:fill="E6EFFF"/>
          </w:tcPr>
          <w:p>
            <w:pPr>
              <w:spacing w:after="0"/>
              <w:rPr>
                <w:sz w:val="6"/>
                <w:szCs w:val="6"/>
                <w:color w:val="auto"/>
              </w:rPr>
            </w:pPr>
          </w:p>
        </w:tc>
        <w:tc>
          <w:tcPr>
            <w:tcW w:w="1080" w:type="dxa"/>
            <w:vAlign w:val="bottom"/>
            <w:shd w:val="clear" w:color="auto" w:fill="E6EFFF"/>
          </w:tcPr>
          <w:p>
            <w:pPr>
              <w:spacing w:after="0"/>
              <w:rPr>
                <w:sz w:val="6"/>
                <w:szCs w:val="6"/>
                <w:color w:val="auto"/>
              </w:rPr>
            </w:pPr>
          </w:p>
        </w:tc>
        <w:tc>
          <w:tcPr>
            <w:tcW w:w="1320" w:type="dxa"/>
            <w:vAlign w:val="bottom"/>
            <w:shd w:val="clear" w:color="auto" w:fill="E6EFFF"/>
          </w:tcPr>
          <w:p>
            <w:pPr>
              <w:spacing w:after="0"/>
              <w:rPr>
                <w:sz w:val="6"/>
                <w:szCs w:val="6"/>
                <w:color w:val="auto"/>
              </w:rPr>
            </w:pPr>
          </w:p>
        </w:tc>
        <w:tc>
          <w:tcPr>
            <w:tcW w:w="1080" w:type="dxa"/>
            <w:vAlign w:val="bottom"/>
            <w:shd w:val="clear" w:color="auto" w:fill="E6EFFF"/>
          </w:tcPr>
          <w:p>
            <w:pPr>
              <w:spacing w:after="0"/>
              <w:rPr>
                <w:sz w:val="6"/>
                <w:szCs w:val="6"/>
                <w:color w:val="auto"/>
              </w:rPr>
            </w:pPr>
          </w:p>
        </w:tc>
        <w:tc>
          <w:tcPr>
            <w:tcW w:w="320" w:type="dxa"/>
            <w:vAlign w:val="bottom"/>
            <w:shd w:val="clear" w:color="auto" w:fill="E6EFFF"/>
          </w:tcPr>
          <w:p>
            <w:pPr>
              <w:spacing w:after="0"/>
              <w:rPr>
                <w:sz w:val="6"/>
                <w:szCs w:val="6"/>
                <w:color w:val="auto"/>
              </w:rPr>
            </w:pPr>
          </w:p>
        </w:tc>
        <w:tc>
          <w:tcPr>
            <w:tcW w:w="1520" w:type="dxa"/>
            <w:vAlign w:val="bottom"/>
            <w:shd w:val="clear" w:color="auto" w:fill="E6EFFF"/>
          </w:tcPr>
          <w:p>
            <w:pPr>
              <w:spacing w:after="0"/>
              <w:rPr>
                <w:sz w:val="6"/>
                <w:szCs w:val="6"/>
                <w:color w:val="auto"/>
              </w:rPr>
            </w:pPr>
          </w:p>
        </w:tc>
        <w:tc>
          <w:tcPr>
            <w:tcW w:w="240" w:type="dxa"/>
            <w:vAlign w:val="bottom"/>
            <w:shd w:val="clear" w:color="auto" w:fill="E6EFFF"/>
          </w:tcPr>
          <w:p>
            <w:pPr>
              <w:spacing w:after="0"/>
              <w:rPr>
                <w:sz w:val="6"/>
                <w:szCs w:val="6"/>
                <w:color w:val="auto"/>
              </w:rPr>
            </w:pPr>
          </w:p>
        </w:tc>
        <w:tc>
          <w:tcPr>
            <w:tcW w:w="980" w:type="dxa"/>
            <w:vAlign w:val="bottom"/>
            <w:shd w:val="clear" w:color="auto" w:fill="E6EFFF"/>
          </w:tcPr>
          <w:p>
            <w:pPr>
              <w:spacing w:after="0"/>
              <w:rPr>
                <w:sz w:val="6"/>
                <w:szCs w:val="6"/>
                <w:color w:val="auto"/>
              </w:rPr>
            </w:pPr>
          </w:p>
        </w:tc>
        <w:tc>
          <w:tcPr>
            <w:tcW w:w="160" w:type="dxa"/>
            <w:vAlign w:val="bottom"/>
            <w:shd w:val="clear" w:color="auto" w:fill="E6EFFF"/>
          </w:tcPr>
          <w:p>
            <w:pPr>
              <w:spacing w:after="0"/>
              <w:rPr>
                <w:sz w:val="6"/>
                <w:szCs w:val="6"/>
                <w:color w:val="auto"/>
              </w:rPr>
            </w:pPr>
          </w:p>
        </w:tc>
        <w:tc>
          <w:tcPr>
            <w:tcW w:w="1800" w:type="dxa"/>
            <w:vAlign w:val="bottom"/>
            <w:shd w:val="clear" w:color="auto" w:fill="E6EFFF"/>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E6EFFF"/>
          </w:tcPr>
          <w:p>
            <w:pPr>
              <w:spacing w:after="0"/>
              <w:rPr>
                <w:sz w:val="16"/>
                <w:szCs w:val="16"/>
                <w:color w:val="auto"/>
              </w:rPr>
            </w:pPr>
          </w:p>
        </w:tc>
        <w:tc>
          <w:tcPr>
            <w:tcW w:w="1120" w:type="dxa"/>
            <w:vAlign w:val="bottom"/>
            <w:shd w:val="clear" w:color="auto" w:fill="E6EFFF"/>
          </w:tcPr>
          <w:p>
            <w:pPr>
              <w:spacing w:after="0"/>
              <w:rPr>
                <w:sz w:val="16"/>
                <w:szCs w:val="16"/>
                <w:color w:val="auto"/>
              </w:rPr>
            </w:pPr>
          </w:p>
        </w:tc>
        <w:tc>
          <w:tcPr>
            <w:tcW w:w="920" w:type="dxa"/>
            <w:vAlign w:val="bottom"/>
            <w:shd w:val="clear" w:color="auto" w:fill="E6EFFF"/>
          </w:tcPr>
          <w:p>
            <w:pPr>
              <w:jc w:val="center"/>
              <w:ind w:right="23"/>
              <w:spacing w:after="0"/>
              <w:rPr>
                <w:sz w:val="20"/>
                <w:szCs w:val="20"/>
                <w:color w:val="auto"/>
              </w:rPr>
            </w:pPr>
            <w:r>
              <w:rPr>
                <w:rFonts w:ascii="Times New Roman" w:cs="Times New Roman" w:eastAsia="Times New Roman" w:hAnsi="Times New Roman"/>
                <w:sz w:val="15"/>
                <w:szCs w:val="15"/>
                <w:color w:val="auto"/>
              </w:rPr>
              <w:t>Subscription</w:t>
            </w:r>
          </w:p>
        </w:tc>
        <w:tc>
          <w:tcPr>
            <w:tcW w:w="1080" w:type="dxa"/>
            <w:vAlign w:val="bottom"/>
            <w:shd w:val="clear" w:color="auto" w:fill="E6EFFF"/>
          </w:tcPr>
          <w:p>
            <w:pPr>
              <w:spacing w:after="0"/>
              <w:rPr>
                <w:sz w:val="16"/>
                <w:szCs w:val="16"/>
                <w:color w:val="auto"/>
              </w:rPr>
            </w:pPr>
          </w:p>
        </w:tc>
        <w:tc>
          <w:tcPr>
            <w:tcW w:w="1320" w:type="dxa"/>
            <w:vAlign w:val="bottom"/>
            <w:shd w:val="clear" w:color="auto" w:fill="E6EFFF"/>
          </w:tcPr>
          <w:p>
            <w:pPr>
              <w:spacing w:after="0"/>
              <w:rPr>
                <w:sz w:val="16"/>
                <w:szCs w:val="16"/>
                <w:color w:val="auto"/>
              </w:rPr>
            </w:pPr>
          </w:p>
        </w:tc>
        <w:tc>
          <w:tcPr>
            <w:tcW w:w="1080" w:type="dxa"/>
            <w:vAlign w:val="bottom"/>
            <w:shd w:val="clear" w:color="auto" w:fill="E6EFFF"/>
          </w:tcPr>
          <w:p>
            <w:pPr>
              <w:spacing w:after="0"/>
              <w:rPr>
                <w:sz w:val="16"/>
                <w:szCs w:val="16"/>
                <w:color w:val="auto"/>
              </w:rPr>
            </w:pPr>
          </w:p>
        </w:tc>
        <w:tc>
          <w:tcPr>
            <w:tcW w:w="320" w:type="dxa"/>
            <w:vAlign w:val="bottom"/>
            <w:shd w:val="clear" w:color="auto" w:fill="E6EFFF"/>
          </w:tcPr>
          <w:p>
            <w:pPr>
              <w:spacing w:after="0"/>
              <w:rPr>
                <w:sz w:val="16"/>
                <w:szCs w:val="16"/>
                <w:color w:val="auto"/>
              </w:rPr>
            </w:pPr>
          </w:p>
        </w:tc>
        <w:tc>
          <w:tcPr>
            <w:tcW w:w="152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80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Borders>
              <w:bottom w:val="single" w:sz="8" w:color="auto"/>
            </w:tcBorders>
            <w:shd w:val="clear" w:color="auto" w:fill="E6EFFF"/>
          </w:tcPr>
          <w:p>
            <w:pPr>
              <w:spacing w:after="0"/>
              <w:rPr>
                <w:sz w:val="17"/>
                <w:szCs w:val="17"/>
                <w:color w:val="auto"/>
              </w:rPr>
            </w:pPr>
          </w:p>
        </w:tc>
        <w:tc>
          <w:tcPr>
            <w:tcW w:w="1120" w:type="dxa"/>
            <w:vAlign w:val="bottom"/>
            <w:tcBorders>
              <w:bottom w:val="single" w:sz="8" w:color="auto"/>
            </w:tcBorders>
            <w:shd w:val="clear" w:color="auto" w:fill="E6EFFF"/>
          </w:tcPr>
          <w:p>
            <w:pPr>
              <w:spacing w:after="0"/>
              <w:rPr>
                <w:sz w:val="17"/>
                <w:szCs w:val="17"/>
                <w:color w:val="auto"/>
              </w:rPr>
            </w:pPr>
          </w:p>
        </w:tc>
        <w:tc>
          <w:tcPr>
            <w:tcW w:w="920" w:type="dxa"/>
            <w:vAlign w:val="bottom"/>
            <w:tcBorders>
              <w:bottom w:val="single" w:sz="8" w:color="auto"/>
            </w:tcBorders>
            <w:shd w:val="clear" w:color="auto" w:fill="E6EFFF"/>
          </w:tcPr>
          <w:p>
            <w:pPr>
              <w:jc w:val="center"/>
              <w:ind w:right="43"/>
              <w:spacing w:after="0"/>
              <w:rPr>
                <w:sz w:val="20"/>
                <w:szCs w:val="20"/>
                <w:color w:val="auto"/>
              </w:rPr>
            </w:pPr>
            <w:r>
              <w:rPr>
                <w:rFonts w:ascii="Times New Roman" w:cs="Times New Roman" w:eastAsia="Times New Roman" w:hAnsi="Times New Roman"/>
                <w:sz w:val="15"/>
                <w:szCs w:val="15"/>
                <w:color w:val="auto"/>
              </w:rPr>
              <w:t>Receipts</w:t>
            </w:r>
          </w:p>
        </w:tc>
        <w:tc>
          <w:tcPr>
            <w:tcW w:w="1080" w:type="dxa"/>
            <w:vAlign w:val="bottom"/>
            <w:tcBorders>
              <w:bottom w:val="single" w:sz="8" w:color="auto"/>
            </w:tcBorders>
            <w:shd w:val="clear" w:color="auto" w:fill="E6EFFF"/>
          </w:tcPr>
          <w:p>
            <w:pPr>
              <w:spacing w:after="0"/>
              <w:rPr>
                <w:sz w:val="17"/>
                <w:szCs w:val="17"/>
                <w:color w:val="auto"/>
              </w:rPr>
            </w:pPr>
          </w:p>
        </w:tc>
        <w:tc>
          <w:tcPr>
            <w:tcW w:w="1320" w:type="dxa"/>
            <w:vAlign w:val="bottom"/>
            <w:tcBorders>
              <w:bottom w:val="single" w:sz="8" w:color="auto"/>
            </w:tcBorders>
            <w:shd w:val="clear" w:color="auto" w:fill="E6EFFF"/>
          </w:tcPr>
          <w:p>
            <w:pPr>
              <w:spacing w:after="0"/>
              <w:rPr>
                <w:sz w:val="17"/>
                <w:szCs w:val="17"/>
                <w:color w:val="auto"/>
              </w:rPr>
            </w:pPr>
          </w:p>
        </w:tc>
        <w:tc>
          <w:tcPr>
            <w:tcW w:w="1080" w:type="dxa"/>
            <w:vAlign w:val="bottom"/>
            <w:tcBorders>
              <w:bottom w:val="single" w:sz="8" w:color="auto"/>
            </w:tcBorders>
            <w:shd w:val="clear" w:color="auto" w:fill="E6EFFF"/>
          </w:tcPr>
          <w:p>
            <w:pPr>
              <w:spacing w:after="0"/>
              <w:rPr>
                <w:sz w:val="17"/>
                <w:szCs w:val="17"/>
                <w:color w:val="auto"/>
              </w:rPr>
            </w:pPr>
          </w:p>
        </w:tc>
        <w:tc>
          <w:tcPr>
            <w:tcW w:w="320" w:type="dxa"/>
            <w:vAlign w:val="bottom"/>
            <w:tcBorders>
              <w:bottom w:val="single" w:sz="8" w:color="auto"/>
            </w:tcBorders>
            <w:shd w:val="clear" w:color="auto" w:fill="E6EFFF"/>
          </w:tcPr>
          <w:p>
            <w:pPr>
              <w:spacing w:after="0"/>
              <w:rPr>
                <w:sz w:val="17"/>
                <w:szCs w:val="17"/>
                <w:color w:val="auto"/>
              </w:rPr>
            </w:pPr>
          </w:p>
        </w:tc>
        <w:tc>
          <w:tcPr>
            <w:tcW w:w="1520" w:type="dxa"/>
            <w:vAlign w:val="bottom"/>
            <w:tcBorders>
              <w:bottom w:val="single" w:sz="8" w:color="auto"/>
            </w:tcBorders>
            <w:shd w:val="clear" w:color="auto" w:fill="E6EFFF"/>
          </w:tcPr>
          <w:p>
            <w:pPr>
              <w:spacing w:after="0"/>
              <w:rPr>
                <w:sz w:val="17"/>
                <w:szCs w:val="17"/>
                <w:color w:val="auto"/>
              </w:rPr>
            </w:pPr>
          </w:p>
        </w:tc>
        <w:tc>
          <w:tcPr>
            <w:tcW w:w="240" w:type="dxa"/>
            <w:vAlign w:val="bottom"/>
            <w:tcBorders>
              <w:bottom w:val="single" w:sz="8" w:color="auto"/>
            </w:tcBorders>
            <w:shd w:val="clear" w:color="auto" w:fill="E6EFFF"/>
          </w:tcPr>
          <w:p>
            <w:pPr>
              <w:spacing w:after="0"/>
              <w:rPr>
                <w:sz w:val="17"/>
                <w:szCs w:val="17"/>
                <w:color w:val="auto"/>
              </w:rPr>
            </w:pPr>
          </w:p>
        </w:tc>
        <w:tc>
          <w:tcPr>
            <w:tcW w:w="980" w:type="dxa"/>
            <w:vAlign w:val="bottom"/>
            <w:tcBorders>
              <w:bottom w:val="single" w:sz="8" w:color="auto"/>
            </w:tcBorders>
            <w:shd w:val="clear" w:color="auto" w:fill="E6EFFF"/>
          </w:tcPr>
          <w:p>
            <w:pPr>
              <w:spacing w:after="0"/>
              <w:rPr>
                <w:sz w:val="17"/>
                <w:szCs w:val="17"/>
                <w:color w:val="auto"/>
              </w:rPr>
            </w:pPr>
          </w:p>
        </w:tc>
        <w:tc>
          <w:tcPr>
            <w:tcW w:w="160" w:type="dxa"/>
            <w:vAlign w:val="bottom"/>
            <w:tcBorders>
              <w:bottom w:val="single" w:sz="8" w:color="auto"/>
            </w:tcBorders>
            <w:shd w:val="clear" w:color="auto" w:fill="E6EFFF"/>
          </w:tcPr>
          <w:p>
            <w:pPr>
              <w:spacing w:after="0"/>
              <w:rPr>
                <w:sz w:val="17"/>
                <w:szCs w:val="17"/>
                <w:color w:val="auto"/>
              </w:rPr>
            </w:pPr>
          </w:p>
        </w:tc>
        <w:tc>
          <w:tcPr>
            <w:tcW w:w="1800" w:type="dxa"/>
            <w:vAlign w:val="bottom"/>
            <w:tcBorders>
              <w:bottom w:val="single" w:sz="8" w:color="auto"/>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0" w:type="dxa"/>
            <w:vAlign w:val="bottom"/>
            <w:shd w:val="clear" w:color="auto" w:fill="E6EFFF"/>
          </w:tcPr>
          <w:p>
            <w:pPr>
              <w:spacing w:after="0"/>
              <w:rPr>
                <w:sz w:val="16"/>
                <w:szCs w:val="16"/>
                <w:color w:val="auto"/>
              </w:rPr>
            </w:pPr>
          </w:p>
        </w:tc>
        <w:tc>
          <w:tcPr>
            <w:tcW w:w="204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5"/>
                <w:szCs w:val="15"/>
                <w:b w:val="1"/>
                <w:bCs w:val="1"/>
                <w:color w:val="auto"/>
              </w:rPr>
              <w:t>Total Offering Amounts</w:t>
            </w:r>
          </w:p>
        </w:tc>
        <w:tc>
          <w:tcPr>
            <w:tcW w:w="1080" w:type="dxa"/>
            <w:vAlign w:val="bottom"/>
            <w:shd w:val="clear" w:color="auto" w:fill="E6EFFF"/>
          </w:tcPr>
          <w:p>
            <w:pPr>
              <w:spacing w:after="0"/>
              <w:rPr>
                <w:sz w:val="16"/>
                <w:szCs w:val="16"/>
                <w:color w:val="auto"/>
              </w:rPr>
            </w:pPr>
          </w:p>
        </w:tc>
        <w:tc>
          <w:tcPr>
            <w:tcW w:w="1320" w:type="dxa"/>
            <w:vAlign w:val="bottom"/>
            <w:shd w:val="clear" w:color="auto" w:fill="E6EFFF"/>
          </w:tcPr>
          <w:p>
            <w:pPr>
              <w:spacing w:after="0"/>
              <w:rPr>
                <w:sz w:val="16"/>
                <w:szCs w:val="16"/>
                <w:color w:val="auto"/>
              </w:rPr>
            </w:pPr>
          </w:p>
        </w:tc>
        <w:tc>
          <w:tcPr>
            <w:tcW w:w="1080" w:type="dxa"/>
            <w:vAlign w:val="bottom"/>
            <w:shd w:val="clear" w:color="auto" w:fill="E6EFFF"/>
          </w:tcPr>
          <w:p>
            <w:pPr>
              <w:spacing w:after="0"/>
              <w:rPr>
                <w:sz w:val="16"/>
                <w:szCs w:val="16"/>
                <w:color w:val="auto"/>
              </w:rPr>
            </w:pPr>
          </w:p>
        </w:tc>
        <w:tc>
          <w:tcPr>
            <w:tcW w:w="3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E6EFFF"/>
          </w:tcPr>
          <w:p>
            <w:pPr>
              <w:jc w:val="right"/>
              <w:ind w:right="23"/>
              <w:spacing w:after="0"/>
              <w:rPr>
                <w:sz w:val="20"/>
                <w:szCs w:val="20"/>
                <w:color w:val="auto"/>
              </w:rPr>
            </w:pPr>
            <w:r>
              <w:rPr>
                <w:rFonts w:ascii="Times New Roman" w:cs="Times New Roman" w:eastAsia="Times New Roman" w:hAnsi="Times New Roman"/>
                <w:sz w:val="15"/>
                <w:szCs w:val="15"/>
                <w:color w:val="auto"/>
              </w:rPr>
              <w:t>181,641,445</w:t>
            </w:r>
          </w:p>
        </w:tc>
        <w:tc>
          <w:tcPr>
            <w:tcW w:w="24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160" w:type="dxa"/>
            <w:vAlign w:val="bottom"/>
            <w:tcBorders>
              <w:bottom w:val="single" w:sz="8" w:color="auto"/>
            </w:tcBorders>
            <w:shd w:val="clear" w:color="auto" w:fill="E6EF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tcBorders>
            <w:shd w:val="clear" w:color="auto" w:fill="E6EFFF"/>
          </w:tcPr>
          <w:p>
            <w:pPr>
              <w:jc w:val="right"/>
              <w:ind w:right="103"/>
              <w:spacing w:after="0"/>
              <w:rPr>
                <w:sz w:val="20"/>
                <w:szCs w:val="20"/>
                <w:color w:val="auto"/>
              </w:rPr>
            </w:pPr>
            <w:r>
              <w:rPr>
                <w:rFonts w:ascii="Times New Roman" w:cs="Times New Roman" w:eastAsia="Times New Roman" w:hAnsi="Times New Roman"/>
                <w:sz w:val="15"/>
                <w:szCs w:val="15"/>
                <w:color w:val="auto"/>
              </w:rPr>
              <w:t>26,811</w:t>
            </w:r>
          </w:p>
        </w:tc>
        <w:tc>
          <w:tcPr>
            <w:tcW w:w="0" w:type="dxa"/>
            <w:vAlign w:val="bottom"/>
          </w:tcPr>
          <w:p>
            <w:pPr>
              <w:spacing w:after="0"/>
              <w:rPr>
                <w:sz w:val="1"/>
                <w:szCs w:val="1"/>
                <w:color w:val="auto"/>
              </w:rPr>
            </w:pPr>
          </w:p>
        </w:tc>
      </w:tr>
      <w:tr>
        <w:trPr>
          <w:trHeight w:val="176"/>
        </w:trPr>
        <w:tc>
          <w:tcPr>
            <w:tcW w:w="720" w:type="dxa"/>
            <w:vAlign w:val="bottom"/>
            <w:tcBorders>
              <w:bottom w:val="single" w:sz="8" w:color="E6EFFF"/>
            </w:tcBorders>
          </w:tcPr>
          <w:p>
            <w:pPr>
              <w:spacing w:after="0"/>
              <w:rPr>
                <w:sz w:val="15"/>
                <w:szCs w:val="15"/>
                <w:color w:val="auto"/>
              </w:rPr>
            </w:pPr>
          </w:p>
        </w:tc>
        <w:tc>
          <w:tcPr>
            <w:tcW w:w="2040" w:type="dxa"/>
            <w:vAlign w:val="bottom"/>
            <w:tcBorders>
              <w:bottom w:val="single" w:sz="8" w:color="E6EF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Fees Previously Paid</w:t>
            </w:r>
          </w:p>
        </w:tc>
        <w:tc>
          <w:tcPr>
            <w:tcW w:w="1080" w:type="dxa"/>
            <w:vAlign w:val="bottom"/>
            <w:tcBorders>
              <w:bottom w:val="single" w:sz="8" w:color="E6EFFF"/>
            </w:tcBorders>
          </w:tcPr>
          <w:p>
            <w:pPr>
              <w:spacing w:after="0"/>
              <w:rPr>
                <w:sz w:val="15"/>
                <w:szCs w:val="15"/>
                <w:color w:val="auto"/>
              </w:rPr>
            </w:pPr>
          </w:p>
        </w:tc>
        <w:tc>
          <w:tcPr>
            <w:tcW w:w="1320" w:type="dxa"/>
            <w:vAlign w:val="bottom"/>
            <w:tcBorders>
              <w:bottom w:val="single" w:sz="8" w:color="E6EFFF"/>
            </w:tcBorders>
          </w:tcPr>
          <w:p>
            <w:pPr>
              <w:spacing w:after="0"/>
              <w:rPr>
                <w:sz w:val="15"/>
                <w:szCs w:val="15"/>
                <w:color w:val="auto"/>
              </w:rPr>
            </w:pPr>
          </w:p>
        </w:tc>
        <w:tc>
          <w:tcPr>
            <w:tcW w:w="1080" w:type="dxa"/>
            <w:vAlign w:val="bottom"/>
            <w:tcBorders>
              <w:bottom w:val="single" w:sz="8" w:color="E6EFFF"/>
            </w:tcBorders>
          </w:tcPr>
          <w:p>
            <w:pPr>
              <w:spacing w:after="0"/>
              <w:rPr>
                <w:sz w:val="15"/>
                <w:szCs w:val="15"/>
                <w:color w:val="auto"/>
              </w:rPr>
            </w:pPr>
          </w:p>
        </w:tc>
        <w:tc>
          <w:tcPr>
            <w:tcW w:w="320" w:type="dxa"/>
            <w:vAlign w:val="bottom"/>
            <w:tcBorders>
              <w:bottom w:val="single" w:sz="8" w:color="E6EFFF"/>
            </w:tcBorders>
          </w:tcPr>
          <w:p>
            <w:pPr>
              <w:spacing w:after="0"/>
              <w:rPr>
                <w:sz w:val="15"/>
                <w:szCs w:val="15"/>
                <w:color w:val="auto"/>
              </w:rPr>
            </w:pPr>
          </w:p>
        </w:tc>
        <w:tc>
          <w:tcPr>
            <w:tcW w:w="1520" w:type="dxa"/>
            <w:vAlign w:val="bottom"/>
            <w:tcBorders>
              <w:bottom w:val="single" w:sz="8" w:color="E6EFFF"/>
            </w:tcBorders>
          </w:tcPr>
          <w:p>
            <w:pPr>
              <w:spacing w:after="0"/>
              <w:rPr>
                <w:sz w:val="15"/>
                <w:szCs w:val="15"/>
                <w:color w:val="auto"/>
              </w:rPr>
            </w:pPr>
          </w:p>
        </w:tc>
        <w:tc>
          <w:tcPr>
            <w:tcW w:w="240" w:type="dxa"/>
            <w:vAlign w:val="bottom"/>
            <w:tcBorders>
              <w:bottom w:val="single" w:sz="8" w:color="E6EFFF"/>
            </w:tcBorders>
          </w:tcPr>
          <w:p>
            <w:pPr>
              <w:spacing w:after="0"/>
              <w:rPr>
                <w:sz w:val="15"/>
                <w:szCs w:val="15"/>
                <w:color w:val="auto"/>
              </w:rPr>
            </w:pPr>
          </w:p>
        </w:tc>
        <w:tc>
          <w:tcPr>
            <w:tcW w:w="980" w:type="dxa"/>
            <w:vAlign w:val="bottom"/>
            <w:tcBorders>
              <w:bottom w:val="single" w:sz="8" w:color="E6EFFF"/>
            </w:tcBorders>
          </w:tcPr>
          <w:p>
            <w:pPr>
              <w:spacing w:after="0"/>
              <w:rPr>
                <w:sz w:val="15"/>
                <w:szCs w:val="15"/>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76"/>
        </w:trPr>
        <w:tc>
          <w:tcPr>
            <w:tcW w:w="72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20"/>
                <w:szCs w:val="20"/>
                <w:color w:val="auto"/>
              </w:rPr>
            </w:pPr>
            <w:r>
              <w:rPr>
                <w:rFonts w:ascii="Times New Roman" w:cs="Times New Roman" w:eastAsia="Times New Roman" w:hAnsi="Times New Roman"/>
                <w:sz w:val="15"/>
                <w:szCs w:val="15"/>
                <w:b w:val="1"/>
                <w:bCs w:val="1"/>
                <w:color w:val="auto"/>
              </w:rPr>
              <w:t>Total Fee Offsets</w:t>
            </w:r>
          </w:p>
        </w:tc>
        <w:tc>
          <w:tcPr>
            <w:tcW w:w="92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1320" w:type="dxa"/>
            <w:vAlign w:val="bottom"/>
            <w:shd w:val="clear" w:color="auto" w:fill="E6EFFF"/>
          </w:tcPr>
          <w:p>
            <w:pPr>
              <w:spacing w:after="0"/>
              <w:rPr>
                <w:sz w:val="15"/>
                <w:szCs w:val="15"/>
                <w:color w:val="auto"/>
              </w:rPr>
            </w:pPr>
          </w:p>
        </w:tc>
        <w:tc>
          <w:tcPr>
            <w:tcW w:w="1080" w:type="dxa"/>
            <w:vAlign w:val="bottom"/>
            <w:shd w:val="clear" w:color="auto" w:fill="E6EFFF"/>
          </w:tcPr>
          <w:p>
            <w:pPr>
              <w:spacing w:after="0"/>
              <w:rPr>
                <w:sz w:val="15"/>
                <w:szCs w:val="15"/>
                <w:color w:val="auto"/>
              </w:rPr>
            </w:pPr>
          </w:p>
        </w:tc>
        <w:tc>
          <w:tcPr>
            <w:tcW w:w="320" w:type="dxa"/>
            <w:vAlign w:val="bottom"/>
            <w:shd w:val="clear" w:color="auto" w:fill="E6EFFF"/>
          </w:tcPr>
          <w:p>
            <w:pPr>
              <w:spacing w:after="0"/>
              <w:rPr>
                <w:sz w:val="15"/>
                <w:szCs w:val="15"/>
                <w:color w:val="auto"/>
              </w:rPr>
            </w:pPr>
          </w:p>
        </w:tc>
        <w:tc>
          <w:tcPr>
            <w:tcW w:w="1520" w:type="dxa"/>
            <w:vAlign w:val="bottom"/>
            <w:shd w:val="clear" w:color="auto" w:fill="E6EFFF"/>
          </w:tcPr>
          <w:p>
            <w:pPr>
              <w:spacing w:after="0"/>
              <w:rPr>
                <w:sz w:val="15"/>
                <w:szCs w:val="15"/>
                <w:color w:val="auto"/>
              </w:rPr>
            </w:pPr>
          </w:p>
        </w:tc>
        <w:tc>
          <w:tcPr>
            <w:tcW w:w="24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160" w:type="dxa"/>
            <w:vAlign w:val="bottom"/>
            <w:tcBorders>
              <w:bottom w:val="single" w:sz="8" w:color="auto"/>
            </w:tcBorders>
            <w:shd w:val="clear" w:color="auto" w:fill="E6EF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tcBorders>
            <w:shd w:val="clear" w:color="auto" w:fill="E6EFFF"/>
          </w:tcPr>
          <w:p>
            <w:pPr>
              <w:jc w:val="right"/>
              <w:ind w:right="103"/>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Fee Due</w:t>
            </w:r>
          </w:p>
        </w:tc>
        <w:tc>
          <w:tcPr>
            <w:tcW w:w="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26,811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368" w:hanging="368"/>
        <w:spacing w:after="0" w:line="244" w:lineRule="auto"/>
        <w:tabs>
          <w:tab w:leader="none" w:pos="398"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$300,503,343 (converted from CAD$400,000,000 at an exchange rate of CAD$1.00 = $1.3311, which was the daily average exchange rate reported by the Bank of Canada on December 21, 2023).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common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w:t>
      </w:r>
    </w:p>
    <w:p>
      <w:pPr>
        <w:spacing w:after="0" w:line="1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p>
      <w:pPr>
        <w:sectPr>
          <w:pgSz w:w="11900" w:h="16838" w:orient="portrait"/>
          <w:cols w:equalWidth="0" w:num="1">
            <w:col w:w="11268"/>
          </w:cols>
          <w:pgMar w:left="312" w:top="332" w:right="319" w:bottom="1440" w:gutter="0" w:footer="0" w:header="0"/>
        </w:sectPr>
      </w:pPr>
    </w:p>
    <w:bookmarkStart w:id="141" w:name="page142"/>
    <w:bookmarkEnd w:id="141"/>
    <w:p>
      <w:pPr>
        <w:ind w:left="408" w:hanging="408"/>
        <w:spacing w:after="0"/>
        <w:tabs>
          <w:tab w:leader="none" w:pos="408"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Estimated solely for the purpose of calculating the amount of the registration fee pursuant to Rule 457(o) of the Securities Act.</w:t>
      </w:r>
    </w:p>
    <w:p>
      <w:pPr>
        <w:spacing w:after="0" w:line="186" w:lineRule="exact"/>
        <w:rPr>
          <w:rFonts w:ascii="Times New Roman" w:cs="Times New Roman" w:eastAsia="Times New Roman" w:hAnsi="Times New Roman"/>
          <w:sz w:val="18"/>
          <w:szCs w:val="18"/>
          <w:color w:val="231F20"/>
        </w:rPr>
      </w:pPr>
    </w:p>
    <w:p>
      <w:pPr>
        <w:jc w:val="both"/>
        <w:ind w:left="368" w:hanging="368"/>
        <w:spacing w:after="0" w:line="248" w:lineRule="auto"/>
        <w:tabs>
          <w:tab w:leader="none" w:pos="398"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This Registration Statement relates to an aggregate of US$300,503,343 of securities (converted from CAD$400,000,000 at an exchange rate of CAD$1.00 = $1.3311, which was the daily average exchange rate reported by the Bank of Canada on December 21, 2023), including, pursuant to Rule 429 under the Securities Act, US$118,861,898 (converted from CAD$160,000,000 at an exchange rate of CAD$1.00 = $1.3461, which was the daily average exchange rate reported by the Bank of Canada on August 14, 2023) of securities that were previously registered under the Registrant's Registration Statement on Form F-10 (File No. 333-272706), initially filed on June 16, 2023, as amended on August 17, 2023 and which became effective on August 17, 2023.</w:t>
      </w:r>
    </w:p>
    <w:p>
      <w:pPr>
        <w:spacing w:after="0" w:line="1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7232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72325" cy="41910"/>
                    </a:xfrm>
                    <a:prstGeom prst="rect">
                      <a:avLst/>
                    </a:prstGeom>
                    <a:noFill/>
                  </pic:spPr>
                </pic:pic>
              </a:graphicData>
            </a:graphic>
          </wp:anchor>
        </w:drawing>
      </w:r>
    </w:p>
    <w:sectPr>
      <w:pgSz w:w="11900" w:h="16838" w:orient="portrait"/>
      <w:cols w:equalWidth="0" w:num="1">
        <w:col w:w="11268"/>
      </w:cols>
      <w:pgMar w:left="312" w:top="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upperLetter"/>
      <w:start w:val="1"/>
    </w:lvl>
  </w:abstractNum>
  <w:abstractNum w:abstractNumId="1">
    <w:nsid w:val="38437FDB"/>
    <w:multiLevelType w:val="hybridMultilevel"/>
    <w:lvl w:ilvl="0">
      <w:lvlJc w:val="left"/>
      <w:lvlText w:val="%1."/>
      <w:numFmt w:val="decimal"/>
      <w:start w:val="3"/>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13"/>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bullet"/>
      <w:start w:val="1"/>
    </w:lvl>
  </w:abstractNum>
  <w:abstractNum w:abstractNumId="9">
    <w:nsid w:val="79A1DEAA"/>
    <w:multiLevelType w:val="hybridMultilevel"/>
    <w:lvl w:ilvl="0">
      <w:lvlJc w:val="left"/>
      <w:lvlText w:val="3"/>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6"/>
      <w:numFmt w:val="bullet"/>
      <w:start w:val="1"/>
    </w:lvl>
  </w:abstractNum>
  <w:abstractNum w:abstractNumId="12">
    <w:nsid w:val="70C6A529"/>
    <w:multiLevelType w:val="hybridMultilevel"/>
    <w:lvl w:ilvl="0">
      <w:lvlJc w:val="left"/>
      <w:lvlText w:val="7"/>
      <w:numFmt w:val="bullet"/>
      <w:start w:val="1"/>
    </w:lvl>
  </w:abstractNum>
  <w:abstractNum w:abstractNumId="13">
    <w:nsid w:val="520EEDD1"/>
    <w:multiLevelType w:val="hybridMultilevel"/>
    <w:lvl w:ilvl="0">
      <w:lvlJc w:val="left"/>
      <w:lvlText w:val="8"/>
      <w:numFmt w:val="bullet"/>
      <w:start w:val="1"/>
    </w:lvl>
  </w:abstractNum>
  <w:abstractNum w:abstractNumId="14">
    <w:nsid w:val="374A3FE6"/>
    <w:multiLevelType w:val="hybridMultilevel"/>
    <w:lvl w:ilvl="0">
      <w:lvlJc w:val="left"/>
      <w:lvlText w:val="(%1)"/>
      <w:numFmt w:val="lowerLetter"/>
      <w:start w:val="2"/>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10"/>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1)"/>
      <w:numFmt w:val="lowerRoman"/>
      <w:start w:val="1"/>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1)"/>
      <w:numFmt w:val="decimal"/>
      <w:start w:val="5"/>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5"/>
    </w:lvl>
  </w:abstractNum>
  <w:abstractNum w:abstractNumId="25">
    <w:nsid w:val="15B5AF5C"/>
    <w:multiLevelType w:val="hybridMultilevel"/>
    <w:lvl w:ilvl="0">
      <w:lvlJc w:val="left"/>
      <w:lvlText w:val="(%1)"/>
      <w:numFmt w:val="decimal"/>
      <w:start w:val="1"/>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1"/>
      <w:numFmt w:val="lowerLetter"/>
      <w:start w:val="1"/>
    </w:lvl>
    <w:lvl w:ilvl="1">
      <w:lvlJc w:val="left"/>
      <w:lvlText w:val="(%2)"/>
      <w:numFmt w:val="lowerRoman"/>
      <w:start w:val="1"/>
    </w:lvl>
  </w:abstractNum>
  <w:abstractNum w:abstractNumId="28">
    <w:nsid w:val="10233C99"/>
    <w:multiLevelType w:val="hybridMultilevel"/>
    <w:lvl w:ilvl="0">
      <w:lvlJc w:val="left"/>
      <w:lvlText w:val="(%1)"/>
      <w:numFmt w:val="lowerLetter"/>
      <w:start w:val="2"/>
    </w:lvl>
    <w:lvl w:ilvl="1">
      <w:lvlJc w:val="left"/>
      <w:lvlText w:val="%2"/>
      <w:numFmt w:val="lowerRoman"/>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2"/>
    </w:lvl>
  </w:abstractNum>
  <w:abstractNum w:abstractNumId="31">
    <w:nsid w:val="7E0C57B1"/>
    <w:multiLevelType w:val="hybridMultilevel"/>
    <w:lvl w:ilvl="0">
      <w:lvlJc w:val="left"/>
      <w:lvlText w:val="(%1)"/>
      <w:numFmt w:val="decimal"/>
      <w:start w:val="10"/>
    </w:lvl>
  </w:abstractNum>
  <w:abstractNum w:abstractNumId="32">
    <w:nsid w:val="77AE35EB"/>
    <w:multiLevelType w:val="hybridMultilevel"/>
    <w:lvl w:ilvl="0">
      <w:lvlJc w:val="left"/>
      <w:lvlText w:val="(%1)"/>
      <w:numFmt w:val="decimal"/>
      <w:start w:val="20"/>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Letter"/>
      <w:start w:val="4"/>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decimal"/>
      <w:start w:val="1"/>
    </w:lvl>
  </w:abstractNum>
  <w:abstractNum w:abstractNumId="37">
    <w:nsid w:val="25A70BF7"/>
    <w:multiLevelType w:val="hybridMultilevel"/>
    <w:lvl w:ilvl="0">
      <w:lvlJc w:val="left"/>
      <w:lvlText w:val="%1"/>
      <w:numFmt w:val="lowerLetter"/>
      <w:start w:val="1"/>
    </w:lvl>
    <w:lvl w:ilvl="1">
      <w:lvlJc w:val="left"/>
      <w:lvlText w:val="(%2)"/>
      <w:numFmt w:val="lowerLetter"/>
      <w:start w:val="2"/>
    </w:lvl>
  </w:abstractNum>
  <w:abstractNum w:abstractNumId="38">
    <w:nsid w:val="1DBABF00"/>
    <w:multiLevelType w:val="hybridMultilevel"/>
    <w:lvl w:ilvl="0">
      <w:lvlJc w:val="left"/>
      <w:lvlText w:val="(%1)"/>
      <w:numFmt w:val="lowerLetter"/>
      <w:start w:val="9"/>
    </w:lvl>
    <w:lvl w:ilvl="1">
      <w:lvlJc w:val="left"/>
      <w:lvlText w:val="%2"/>
      <w:numFmt w:val="lowerLetter"/>
      <w:start w:val="1"/>
    </w:lvl>
  </w:abstractNum>
  <w:abstractNum w:abstractNumId="39">
    <w:nsid w:val="4AD084E9"/>
    <w:multiLevelType w:val="hybridMultilevel"/>
    <w:lvl w:ilvl="0">
      <w:lvlJc w:val="left"/>
      <w:lvlText w:val="(%1)"/>
      <w:numFmt w:val="lowerLetter"/>
      <w:start w:val="1"/>
    </w:lvl>
  </w:abstractNum>
  <w:abstractNum w:abstractNumId="40">
    <w:nsid w:val="1F48EAA1"/>
    <w:multiLevelType w:val="hybridMultilevel"/>
    <w:lvl w:ilvl="0">
      <w:lvlJc w:val="left"/>
      <w:lvlText w:val="(%1)"/>
      <w:numFmt w:val="lowerLetter"/>
      <w:start w:val="4"/>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Roman"/>
      <w:start w:val="1"/>
    </w:lvl>
  </w:abstractNum>
  <w:abstractNum w:abstractNumId="45">
    <w:nsid w:val="15014ACB"/>
    <w:multiLevelType w:val="hybridMultilevel"/>
    <w:lvl w:ilvl="0">
      <w:lvlJc w:val="left"/>
      <w:lvlText w:val="(%1)"/>
      <w:numFmt w:val="decimal"/>
      <w:start w:val="2"/>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1"/>
    </w:lvl>
    <w:lvl w:ilvl="1">
      <w:lvlJc w:val="left"/>
      <w:lvlText w:val="(%2)"/>
      <w:numFmt w:val="lowerLetter"/>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2"/>
    </w:lvl>
  </w:abstractNum>
  <w:abstractNum w:abstractNumId="50">
    <w:nsid w:val="42C296BD"/>
    <w:multiLevelType w:val="hybridMultilevel"/>
    <w:lvl w:ilvl="0">
      <w:lvlJc w:val="left"/>
      <w:lvlText w:val="(%1)"/>
      <w:numFmt w:val="lowerRoman"/>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3"/>
    </w:lvl>
  </w:abstractNum>
  <w:abstractNum w:abstractNumId="53">
    <w:nsid w:val="661E3F1E"/>
    <w:multiLevelType w:val="hybridMultilevel"/>
    <w:lvl w:ilvl="0">
      <w:lvlJc w:val="left"/>
      <w:lvlText w:val="(%1)"/>
      <w:numFmt w:val="decimal"/>
      <w:start w:val="5"/>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8">
    <w:nsid w:val="613EFDC5"/>
    <w:multiLevelType w:val="hybridMultilevel"/>
    <w:lvl w:ilvl="0">
      <w:lvlJc w:val="left"/>
      <w:lvlText w:val="(%1)"/>
      <w:numFmt w:val="lowerLetter"/>
      <w:start w:val="4"/>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9"/>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3"/>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4"/>
    </w:lvl>
  </w:abstractNum>
  <w:abstractNum w:abstractNumId="65">
    <w:nsid w:val="3B0FD379"/>
    <w:multiLevelType w:val="hybridMultilevel"/>
    <w:lvl w:ilvl="0">
      <w:lvlJc w:val="left"/>
      <w:lvlText w:val="(%1)"/>
      <w:numFmt w:val="decimal"/>
      <w:start w:val="1"/>
    </w:lvl>
    <w:lvl w:ilvl="1">
      <w:lvlJc w:val="left"/>
      <w:lvlText w:val="(%2)"/>
      <w:numFmt w:val="lowerRoman"/>
      <w:start w:val="1"/>
    </w:lvl>
  </w:abstractNum>
  <w:abstractNum w:abstractNumId="66">
    <w:nsid w:val="68EB2F63"/>
    <w:multiLevelType w:val="hybridMultilevel"/>
    <w:lvl w:ilvl="0">
      <w:lvlJc w:val="left"/>
      <w:lvlText w:val="(%1)"/>
      <w:numFmt w:val="decimal"/>
      <w:start w:val="5"/>
    </w:lvl>
  </w:abstractNum>
  <w:abstractNum w:abstractNumId="67">
    <w:nsid w:val="4962813B"/>
    <w:multiLevelType w:val="hybridMultilevel"/>
    <w:lvl w:ilvl="0">
      <w:lvlJc w:val="left"/>
      <w:lvlText w:val="(%1)"/>
      <w:numFmt w:val="decimal"/>
      <w:start w:val="6"/>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3"/>
    </w:lvl>
  </w:abstractNum>
  <w:abstractNum w:abstractNumId="70">
    <w:nsid w:val="14330624"/>
    <w:multiLevelType w:val="hybridMultilevel"/>
    <w:lvl w:ilvl="0">
      <w:lvlJc w:val="left"/>
      <w:lvlText w:val="(%1)"/>
      <w:numFmt w:val="lowerRoman"/>
      <w:start w:val="4"/>
    </w:lvl>
  </w:abstractNum>
  <w:abstractNum w:abstractNumId="71">
    <w:nsid w:val="7FFFCA11"/>
    <w:multiLevelType w:val="hybridMultilevel"/>
    <w:lvl w:ilvl="0">
      <w:lvlJc w:val="left"/>
      <w:lvlText w:val="(%1)"/>
      <w:numFmt w:val="lowerRoman"/>
      <w:start w:val="1"/>
    </w:lvl>
  </w:abstractNum>
  <w:abstractNum w:abstractNumId="72">
    <w:nsid w:val="1A27709E"/>
    <w:multiLevelType w:val="hybridMultilevel"/>
    <w:lvl w:ilvl="0">
      <w:lvlJc w:val="left"/>
      <w:lvlText w:val="(%1)"/>
      <w:numFmt w:val="lowerRoman"/>
      <w:start w:val="4"/>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9"/>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2"/>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4"/>
    </w:lvl>
  </w:abstractNum>
  <w:abstractNum w:abstractNumId="82">
    <w:nsid w:val="1716703B"/>
    <w:multiLevelType w:val="hybridMultilevel"/>
    <w:lvl w:ilvl="0">
      <w:lvlJc w:val="left"/>
      <w:lvlText w:val="(%1)"/>
      <w:numFmt w:val="decimal"/>
      <w:start w:val="5"/>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2"/>
    </w:lvl>
  </w:abstractNum>
  <w:abstractNum w:abstractNumId="87">
    <w:nsid w:val="2DF6D648"/>
    <w:multiLevelType w:val="hybridMultilevel"/>
    <w:lvl w:ilvl="0">
      <w:lvlJc w:val="left"/>
      <w:lvlText w:val="(%1)"/>
      <w:numFmt w:val="decimal"/>
      <w:start w:val="8"/>
    </w:lvl>
  </w:abstractNum>
  <w:abstractNum w:abstractNumId="88">
    <w:nsid w:val="46B7D447"/>
    <w:multiLevelType w:val="hybridMultilevel"/>
    <w:lvl w:ilvl="0">
      <w:lvlJc w:val="left"/>
      <w:lvlText w:val="(%1)"/>
      <w:numFmt w:val="lowerRoman"/>
      <w:start w:val="1"/>
    </w:lvl>
  </w:abstractNum>
  <w:abstractNum w:abstractNumId="89">
    <w:nsid w:val="4A2AC315"/>
    <w:multiLevelType w:val="hybridMultilevel"/>
    <w:lvl w:ilvl="0">
      <w:lvlJc w:val="left"/>
      <w:lvlText w:val="(%1)"/>
      <w:numFmt w:val="upperLetter"/>
      <w:start w:val="2"/>
    </w:lvl>
  </w:abstractNum>
  <w:abstractNum w:abstractNumId="90">
    <w:nsid w:val="39EE015C"/>
    <w:multiLevelType w:val="hybridMultilevel"/>
    <w:lvl w:ilvl="0">
      <w:lvlJc w:val="left"/>
      <w:lvlText w:val="(%1)"/>
      <w:numFmt w:val="lowerRoman"/>
      <w:start w:val="2"/>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2" Type="http://schemas.openxmlformats.org/officeDocument/2006/relationships/image" Target="media/image114.png"/><Relationship Id="rId124" Type="http://schemas.openxmlformats.org/officeDocument/2006/relationships/image" Target="media/image115.png"/><Relationship Id="rId126" Type="http://schemas.openxmlformats.org/officeDocument/2006/relationships/image" Target="media/image116.png"/><Relationship Id="rId128" Type="http://schemas.openxmlformats.org/officeDocument/2006/relationships/image" Target="media/image117.png"/><Relationship Id="rId130" Type="http://schemas.openxmlformats.org/officeDocument/2006/relationships/image" Target="media/image118.png"/><Relationship Id="rId132" Type="http://schemas.openxmlformats.org/officeDocument/2006/relationships/image" Target="media/image119.png"/><Relationship Id="rId134" Type="http://schemas.openxmlformats.org/officeDocument/2006/relationships/image" Target="media/image120.png"/><Relationship Id="rId136" Type="http://schemas.openxmlformats.org/officeDocument/2006/relationships/image" Target="media/image121.png"/><Relationship Id="rId138" Type="http://schemas.openxmlformats.org/officeDocument/2006/relationships/image" Target="media/image122.png"/><Relationship Id="rId140" Type="http://schemas.openxmlformats.org/officeDocument/2006/relationships/image" Target="media/image123.png"/><Relationship Id="rId142" Type="http://schemas.openxmlformats.org/officeDocument/2006/relationships/image" Target="media/image124.png"/><Relationship Id="rId144"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jpeg"/><Relationship Id="rId168" Type="http://schemas.openxmlformats.org/officeDocument/2006/relationships/image" Target="media/image148.jpeg"/><Relationship Id="rId169" Type="http://schemas.openxmlformats.org/officeDocument/2006/relationships/image" Target="media/image149.png"/><Relationship Id="rId170" Type="http://schemas.openxmlformats.org/officeDocument/2006/relationships/image" Target="media/image150.jpe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121" Type="http://schemas.openxmlformats.org/officeDocument/2006/relationships/hyperlink" Target="http://www.sec.gov/Archives/edgar/data/1833141/000183314123000004/annualinformationformaif-c.htm" TargetMode="External"/><Relationship Id="rId123" Type="http://schemas.openxmlformats.org/officeDocument/2006/relationships/hyperlink" Target="http://www.sec.gov/ix?doc=/Archives/edgar/data/0001833141/000183314123000004/cybn-20230331.htm" TargetMode="External"/><Relationship Id="rId125" Type="http://schemas.openxmlformats.org/officeDocument/2006/relationships/hyperlink" Target="http://www.sec.gov/Archives/edgar/data/1833141/000183314123000004/cybin-mdaxq4x23xmarch312023.htm" TargetMode="External"/><Relationship Id="rId127" Type="http://schemas.openxmlformats.org/officeDocument/2006/relationships/hyperlink" Target="http://www.sec.gov/Archives/edgar/data/1833141/000183314123000017/cybinincfs-q2x2024.htm" TargetMode="External"/><Relationship Id="rId129" Type="http://schemas.openxmlformats.org/officeDocument/2006/relationships/hyperlink" Target="http://www.sec.gov/Archives/edgar/data/1833141/000183314123000017/cybin-mdaxq2x24xseptember3.htm" TargetMode="External"/><Relationship Id="rId131" Type="http://schemas.openxmlformats.org/officeDocument/2006/relationships/hyperlink" Target="http://www.sec.gov/Archives/edgar/data/1833141/000183314123000013/cybin-informationcircularx.htm" TargetMode="External"/><Relationship Id="rId133" Type="http://schemas.openxmlformats.org/officeDocument/2006/relationships/hyperlink" Target="http://www.sec.gov/Archives/edgar/data/1833141/000183314123000018/cybn-draftmaterialchangere.htm" TargetMode="External"/><Relationship Id="rId135" Type="http://schemas.openxmlformats.org/officeDocument/2006/relationships/hyperlink" Target="http://www.sec.gov/Archives/edgar/data/1833141/000183314123000015/materialchangereport-cybin.htm" TargetMode="External"/><Relationship Id="rId137" Type="http://schemas.openxmlformats.org/officeDocument/2006/relationships/hyperlink" Target="http://www.sec.gov/Archives/edgar/data/1833141/000183314123000012/materialchangereportdateds.htm" TargetMode="External"/><Relationship Id="rId139" Type="http://schemas.openxmlformats.org/officeDocument/2006/relationships/hyperlink" Target="http://www.sec.gov/Archives/edgar/data/1833141/000183314123000011/cybn-materialchangereporta.htm" TargetMode="External"/><Relationship Id="rId141" Type="http://schemas.openxmlformats.org/officeDocument/2006/relationships/hyperlink" Target="http://www.sec.gov/Archives/edgar/data/1833141/000183314123000007/cybn-materialchangereporta.htm" TargetMode="External"/><Relationship Id="rId143" Type="http://schemas.openxmlformats.org/officeDocument/2006/relationships/hyperlink" Target="http://www.sec.gov/Archives/edgar/data/1833141/000162828023020480/cybn-materialchangereportj.htm" TargetMode="External"/><Relationship Id="rId145" Type="http://schemas.openxmlformats.org/officeDocument/2006/relationships/hyperlink" Target="http://www.sec.gov/Archives/edgar/data/1833141/000183314123000016/cybin-businessacquisi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2023-12-29T16:14:59Z</dcterms:created>
  <dcterms:modified xsi:type="dcterms:W3CDTF">2023-12-29T16:14:59Z</dcterms:modified>
</cp:coreProperties>
</file>