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the month of </w:t>
      </w:r>
      <w:r>
        <w:rPr>
          <w:rFonts w:ascii="Times New Roman" w:cs="Times New Roman" w:eastAsia="Times New Roman" w:hAnsi="Times New Roman"/>
          <w:sz w:val="22"/>
          <w:szCs w:val="22"/>
          <w:b w:val="1"/>
          <w:bCs w:val="1"/>
          <w:u w:val="single" w:color="auto"/>
          <w:color w:val="auto"/>
        </w:rPr>
        <w:t>October, 2026</w:t>
      </w:r>
      <w:r>
        <w:rPr>
          <w:rFonts w:ascii="Times New Roman" w:cs="Times New Roman" w:eastAsia="Times New Roman" w:hAnsi="Times New Roman"/>
          <w:sz w:val="22"/>
          <w:szCs w:val="22"/>
          <w:color w:val="auto"/>
        </w:rPr>
        <w:t>.</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u w:val="single" w:color="auto"/>
          <w:color w:val="auto"/>
        </w:rPr>
        <w:t>001-40673</w:t>
      </w:r>
    </w:p>
    <w:p>
      <w:pPr>
        <w:spacing w:after="0" w:line="200" w:lineRule="exact"/>
        <w:rPr>
          <w:sz w:val="24"/>
          <w:szCs w:val="24"/>
          <w:color w:val="auto"/>
        </w:rPr>
      </w:pPr>
    </w:p>
    <w:p>
      <w:pPr>
        <w:spacing w:after="0" w:line="2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u w:val="single" w:color="auto"/>
          <w:color w:val="auto"/>
        </w:rPr>
        <w:t>Helus Pharma Inc.</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(Exact Name of Registrant as Specified in Charter)</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100 King Street West, Suite 5600, Toronto, Ontario, M5X 1C9</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142" w:lineRule="exact"/>
        <w:rPr>
          <w:sz w:val="24"/>
          <w:szCs w:val="24"/>
          <w:color w:val="auto"/>
        </w:rPr>
      </w:pPr>
    </w:p>
    <w:p>
      <w:pPr>
        <w:ind w:right="179"/>
        <w:spacing w:after="0" w:line="285"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files or will file annual reports under cover Form 20-F or Form 40-F. Form 20-F □ Form 40-F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41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170" w:lineRule="exact"/>
        <w:rPr>
          <w:sz w:val="20"/>
          <w:szCs w:val="20"/>
          <w:color w:val="auto"/>
        </w:rPr>
      </w:pPr>
    </w:p>
    <w:p>
      <w:pPr>
        <w:ind w:firstLine="648"/>
        <w:spacing w:after="0" w:line="28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Exhibit 99.1 of this Form 6-K of Helus Pharma Inc. (formerly, "Cybin Inc.") (the "Company") is hereby incorporated by reference into the Registration Statement on Form F-10 (</w:t>
      </w:r>
      <w:hyperlink r:id="rId10">
        <w:r>
          <w:rPr>
            <w:rFonts w:ascii="Times New Roman" w:cs="Times New Roman" w:eastAsia="Times New Roman" w:hAnsi="Times New Roman"/>
            <w:sz w:val="21"/>
            <w:szCs w:val="21"/>
            <w:u w:val="single" w:color="auto"/>
            <w:color w:val="0000EE"/>
          </w:rPr>
          <w:t>File No. 333-292294</w:t>
        </w:r>
      </w:hyperlink>
      <w:r>
        <w:rPr>
          <w:rFonts w:ascii="Times New Roman" w:cs="Times New Roman" w:eastAsia="Times New Roman" w:hAnsi="Times New Roman"/>
          <w:sz w:val="21"/>
          <w:szCs w:val="21"/>
          <w:color w:val="auto"/>
        </w:rPr>
        <w:t>) of the Company, as amended or supplemented.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7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HELUS PHARMA INC.</w:t>
            </w:r>
          </w:p>
        </w:tc>
        <w:tc>
          <w:tcPr>
            <w:tcW w:w="40" w:type="dxa"/>
            <w:vAlign w:val="bottom"/>
          </w:tcPr>
          <w:p>
            <w:pPr>
              <w:spacing w:after="0"/>
              <w:rPr>
                <w:sz w:val="19"/>
                <w:szCs w:val="19"/>
                <w:color w:val="auto"/>
              </w:rPr>
            </w:pPr>
          </w:p>
        </w:tc>
      </w:tr>
      <w:tr>
        <w:trPr>
          <w:trHeight w:val="234"/>
        </w:trPr>
        <w:tc>
          <w:tcPr>
            <w:tcW w:w="5520" w:type="dxa"/>
            <w:vAlign w:val="bottom"/>
          </w:tcPr>
          <w:p>
            <w:pPr>
              <w:spacing w:after="0"/>
              <w:rPr>
                <w:sz w:val="20"/>
                <w:szCs w:val="20"/>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c>
          <w:tcPr>
            <w:tcW w:w="40" w:type="dxa"/>
            <w:vAlign w:val="bottom"/>
          </w:tcPr>
          <w:p>
            <w:pPr>
              <w:spacing w:after="0"/>
              <w:rPr>
                <w:sz w:val="20"/>
                <w:szCs w:val="20"/>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c>
          <w:tcPr>
            <w:tcW w:w="40" w:type="dxa"/>
            <w:vAlign w:val="bottom"/>
          </w:tcPr>
          <w:p>
            <w:pPr>
              <w:spacing w:after="0"/>
              <w:rPr>
                <w:sz w:val="24"/>
                <w:szCs w:val="24"/>
                <w:color w:val="auto"/>
              </w:rPr>
            </w:pPr>
          </w:p>
        </w:tc>
      </w:tr>
      <w:tr>
        <w:trPr>
          <w:trHeight w:val="191"/>
        </w:trPr>
        <w:tc>
          <w:tcPr>
            <w:tcW w:w="552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Greg Cavers</w:t>
            </w:r>
          </w:p>
        </w:tc>
        <w:tc>
          <w:tcPr>
            <w:tcW w:w="40" w:type="dxa"/>
            <w:vAlign w:val="bottom"/>
          </w:tcPr>
          <w:p>
            <w:pPr>
              <w:spacing w:after="0"/>
              <w:rPr>
                <w:sz w:val="16"/>
                <w:szCs w:val="16"/>
                <w:color w:val="auto"/>
              </w:rPr>
            </w:pPr>
          </w:p>
        </w:tc>
      </w:tr>
      <w:tr>
        <w:trPr>
          <w:trHeight w:val="234"/>
        </w:trPr>
        <w:tc>
          <w:tcPr>
            <w:tcW w:w="5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5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552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510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3" w:name="page4"/>
    <w:bookmarkEnd w:id="3"/>
    <w:p>
      <w:pPr>
        <w:jc w:val="right"/>
        <w:ind w:right="3679"/>
        <w:spacing w:after="0"/>
        <w:rPr>
          <w:sz w:val="20"/>
          <w:szCs w:val="20"/>
          <w:color w:val="auto"/>
        </w:rPr>
      </w:pPr>
      <w:r>
        <w:rPr>
          <w:rFonts w:ascii="Times New Roman" w:cs="Times New Roman" w:eastAsia="Times New Roman" w:hAnsi="Times New Roman"/>
          <w:sz w:val="22"/>
          <w:szCs w:val="22"/>
          <w:b w:val="1"/>
          <w:bCs w:val="1"/>
          <w:u w:val="single" w:color="auto"/>
          <w:color w:val="auto"/>
        </w:rPr>
        <w:t>EXHIBIT INDEX</w:t>
      </w:r>
    </w:p>
    <w:p>
      <w:pPr>
        <w:spacing w:after="0" w:line="17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News Release dated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2891155</wp:posOffset>
            </wp:positionH>
            <wp:positionV relativeFrom="page">
              <wp:posOffset>226060</wp:posOffset>
            </wp:positionV>
            <wp:extent cx="1774190" cy="874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74190" cy="874395"/>
                    </a:xfrm>
                    <a:prstGeom prst="rect">
                      <a:avLst/>
                    </a:prstGeom>
                    <a:noFill/>
                  </pic:spPr>
                </pic:pic>
              </a:graphicData>
            </a:graphic>
          </wp:anchor>
        </w:drawing>
      </w:r>
    </w:p>
    <w:p>
      <w:pPr>
        <w:spacing w:after="0" w:line="253" w:lineRule="exact"/>
        <w:rPr>
          <w:sz w:val="20"/>
          <w:szCs w:val="20"/>
          <w:color w:val="auto"/>
        </w:rPr>
      </w:pPr>
    </w:p>
    <w:p>
      <w:pPr>
        <w:jc w:val="center"/>
        <w:ind w:left="340" w:right="2000"/>
        <w:spacing w:after="0" w:line="267" w:lineRule="auto"/>
        <w:rPr>
          <w:sz w:val="20"/>
          <w:szCs w:val="20"/>
          <w:color w:val="auto"/>
        </w:rPr>
      </w:pPr>
      <w:r>
        <w:rPr>
          <w:rFonts w:ascii="Times New Roman" w:cs="Times New Roman" w:eastAsia="Times New Roman" w:hAnsi="Times New Roman"/>
          <w:sz w:val="25"/>
          <w:szCs w:val="25"/>
          <w:b w:val="1"/>
          <w:bCs w:val="1"/>
          <w:color w:val="auto"/>
        </w:rPr>
        <w:t>Helus Pharma Announces Co-Founders' Transition from Executive Leadership as Company Advances Toward Next Stage of Development</w:t>
      </w:r>
    </w:p>
    <w:p>
      <w:pPr>
        <w:spacing w:after="0" w:line="10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i w:val="1"/>
          <w:iCs w:val="1"/>
          <w:color w:val="auto"/>
        </w:rPr>
        <w:t>Co-founders to step down from executive roles and continue to serve on the Board of</w:t>
      </w:r>
    </w:p>
    <w:p>
      <w:pPr>
        <w:spacing w:after="0" w:line="1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i w:val="1"/>
          <w:iCs w:val="1"/>
          <w:color w:val="auto"/>
        </w:rPr>
        <w:t>Directors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Helus Pharma board member, Mark Lawson, appointed as new independent Chair of the Board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of Directors, effective immediately</w:t>
      </w:r>
    </w:p>
    <w:p>
      <w:pPr>
        <w:spacing w:after="0" w:line="1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This news release constitutes a "designated news release" for the purpose of the Company's prospectus supplement dated December 30, 2025, to its short form base shelf prospectus dated September 17, 2025, as amended on December 19, 2025.</w:t>
      </w:r>
    </w:p>
    <w:p>
      <w:pPr>
        <w:spacing w:after="0" w:line="1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NEW YORK &amp; TORONTO </w:t>
      </w:r>
      <w:r>
        <w:rPr>
          <w:rFonts w:ascii="Times New Roman" w:cs="Times New Roman" w:eastAsia="Times New Roman" w:hAnsi="Times New Roman"/>
          <w:sz w:val="22"/>
          <w:szCs w:val="22"/>
          <w:color w:val="auto"/>
        </w:rPr>
        <w:t>- October 27, 2026 - Helus Pharma Inc. (Nasdaq: HELP) (Cboe CA: HELP) (the "Company"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"Helus Pharma"), a clinical-stage pharmaceutical company committed to improving the treatment landscape in mental health through the development of novel serotonergic agonists ("NSAs"), today announced that co-founders Eric So and Paul Glavine have stepped down from their respective executive and consulting roles while continuing to serve as members of Helus Pharma's Board of Directors.</w:t>
      </w:r>
    </w:p>
    <w:p>
      <w:pPr>
        <w:spacing w:after="0" w:line="1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transition reflects the Company's evolution into its next stage of growth and the co-founders' full confidence in the Company's leadership and strategic direction. Having established the foundation for the Company's product pipeline, programs and objectives, the co-founders believe that Helus Pharma is well positioned to advance its programs under its current executive leadership. Mr. So has served as the Company's President and Executive Chairman since incorporation and had previously acted as Interim Chief Executive Officer. Mr. Glavine has served as the Company's Chief Growth Officer since 2021 and had previously served as Chief Operating Officer and Chief Executive Officer.</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today also announced the appointment of Mark Lawson as independent Chair of the Board of Directors, effective immediately. Mr. Lawson is a private equity and investment banking executive with over 20 years of experience and has served as a member of Helus Pharma's Board of Directors since November 2020. Mr. Lawson currently serves as Chair of the Audit Committee and a member of the Compensation Committee and 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59" w:lineRule="auto"/>
        <w:rPr>
          <w:sz w:val="20"/>
          <w:szCs w:val="20"/>
          <w:color w:val="auto"/>
        </w:rPr>
      </w:pPr>
      <w:r>
        <w:rPr>
          <w:rFonts w:ascii="Times New Roman" w:cs="Times New Roman" w:eastAsia="Times New Roman" w:hAnsi="Times New Roman"/>
          <w:sz w:val="22"/>
          <w:szCs w:val="22"/>
          <w:color w:val="auto"/>
        </w:rPr>
        <w:t>The Company also announced that the Board of Directors has named Eric So as Chairman Emeritus, an honorary title reflecting Mr. So's contribution to the Company and the Board of Directors.</w:t>
      </w:r>
    </w:p>
    <w:p>
      <w:pPr>
        <w:spacing w:after="0" w:line="1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"Helus Pharma has reached an important stage in its development, and we believe the Company is well positioned to advance its programs through the next phase of growth," said Eric So and Paul Glavine in a joint statement. "We have complete confidence in our recently appointed CEO, Michael Halstead, our Board of Directors and the rest of our experienced leadership and scientific team, and in their ability to execute on the Company's strategic priorities and advance its lead programs through commercialization. We believe Helus Pharma is at the right point in its growth trajectory for this transition, and we look forward to continuing to support the Company's execution and growth in our capacity as members of the Board of Directors."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 am honored by the Board's confidence in appointing me as Chair of the Board and have great confidence in the Company's leadership, pipeline and future," said Mark Lawson. "We have an experienced leadership team and I look forward to working with the Board and management in executing against the upcoming HLP003 and HLP004 clinical, regulatory, and commercial milestones," concluded Mr. Lawson.</w:t>
      </w:r>
    </w:p>
    <w:p>
      <w:pPr>
        <w:spacing w:after="0" w:line="1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 want to thank Eric and Paul for the confidence they have shown in me and for their continued support of the Company and the broader leadership team," said Michael Halstead, Chief Executive Officer of Helus Pharma. "Their contributions have established a strong foundation for the Company, its programs and its mission to make important new mental health treatments available to people in need. As we continue to execute against upcoming milestones, their continued involvement at the Board level will be invaluable."</w:t>
      </w:r>
    </w:p>
    <w:p>
      <w:pPr>
        <w:spacing w:after="0" w:line="13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Company continues to anticipate reporting topline data from its Phase 3 APPROACH pivotal study of HLP003 in major depressive disorder in Q4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Helus Pharma</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Helus Pharma is a clinical-stage pharmaceutical company committed to improving the treatment landscape in mental health through the development of NSAs,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spacing w:after="0" w:line="1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1"/>
          <w:szCs w:val="21"/>
          <w:color w:val="auto"/>
        </w:rPr>
        <w:t>The Company operates in Canada, the United States, the United Kingdom, and Ireland. For Company updates and to learn more</w:t>
      </w:r>
    </w:p>
    <w:p>
      <w:pPr>
        <w:spacing w:after="0" w:line="31"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22"/>
          <w:szCs w:val="22"/>
          <w:color w:val="auto"/>
        </w:rPr>
        <w:t>about Helus Pharma, visit www.helus.com or follow the team on X, LinkedIn, YouTube and Instagram. Helus Pharma</w:t>
      </w:r>
      <w:r>
        <w:rPr>
          <w:rFonts w:ascii="Times New Roman" w:cs="Times New Roman" w:eastAsia="Times New Roman" w:hAnsi="Times New Roman"/>
          <w:sz w:val="35"/>
          <w:szCs w:val="35"/>
          <w:color w:val="auto"/>
          <w:vertAlign w:val="superscript"/>
        </w:rPr>
        <w:t>TM</w:t>
      </w:r>
      <w:r>
        <w:rPr>
          <w:rFonts w:ascii="Times New Roman" w:cs="Times New Roman" w:eastAsia="Times New Roman" w:hAnsi="Times New Roman"/>
          <w:sz w:val="22"/>
          <w:szCs w:val="22"/>
          <w:color w:val="auto"/>
        </w:rPr>
        <w:t xml:space="preserve"> is a trademark of Helus Pharma Corp.</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Notes and Forward-Looking Statements</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co-founders' expectation that current executive leadership can advance the Company's programs, execute on the Company's strategic priorities and lead the Company's programs through commercialization, including clinical, regulatory, and commercial milestones; the co-founders' continued involvement as directors and the value of their contributions; the Company's target to report topline data from its Phase 3 APPROACH pivotal study of HLP003 in major depressive disorder in Q4 2026; and the Company's plans to engineer proprietary drug discovery platforms, innovative drug delivery systems, novel formulation approaches and treatment regimens for mental health conditions.</w:t>
      </w:r>
    </w:p>
    <w:p>
      <w:pPr>
        <w:spacing w:after="0" w:line="14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Any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2026, and the Company's annual information form for the year ended March 31, 2026,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Neither Cboe Canada, nor the Nasdaq Global Market stock exchange, has approved or disapproved the contents of this news release and are not responsible for the adequacy and accuracy of the contents herein.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Matthew Beck</w:t>
      </w:r>
    </w:p>
    <w:p>
      <w:pPr>
        <w:spacing w:after="0" w:line="230" w:lineRule="auto"/>
        <w:rPr>
          <w:sz w:val="20"/>
          <w:szCs w:val="20"/>
          <w:color w:val="auto"/>
        </w:rPr>
      </w:pPr>
      <w:r>
        <w:rPr>
          <w:rFonts w:ascii="Times New Roman" w:cs="Times New Roman" w:eastAsia="Times New Roman" w:hAnsi="Times New Roman"/>
          <w:sz w:val="22"/>
          <w:szCs w:val="22"/>
          <w:color w:val="auto"/>
        </w:rPr>
        <w:t>astr partners</w:t>
      </w:r>
    </w:p>
    <w:p>
      <w:pPr>
        <w:spacing w:after="0" w:line="231" w:lineRule="auto"/>
        <w:rPr>
          <w:sz w:val="20"/>
          <w:szCs w:val="20"/>
          <w:color w:val="auto"/>
        </w:rPr>
      </w:pPr>
      <w:r>
        <w:rPr>
          <w:rFonts w:ascii="Times New Roman" w:cs="Times New Roman" w:eastAsia="Times New Roman" w:hAnsi="Times New Roman"/>
          <w:sz w:val="22"/>
          <w:szCs w:val="22"/>
          <w:color w:val="auto"/>
        </w:rPr>
        <w:t>Managing Partner</w:t>
      </w:r>
    </w:p>
    <w:p>
      <w:pPr>
        <w:ind w:right="8380" w:firstLine="8"/>
        <w:spacing w:after="0" w:line="258"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415-1750 </w:t>
      </w:r>
      <w:r>
        <w:rPr>
          <w:rFonts w:ascii="Times New Roman" w:cs="Times New Roman" w:eastAsia="Times New Roman" w:hAnsi="Times New Roman"/>
          <w:sz w:val="21"/>
          <w:szCs w:val="21"/>
          <w:u w:val="single" w:color="auto"/>
          <w:color w:val="467886"/>
        </w:rPr>
        <w:t>Matthew.beck@astrpartners.com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Greg Cavers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30" w:lineRule="auto"/>
        <w:rPr>
          <w:sz w:val="20"/>
          <w:szCs w:val="20"/>
          <w:color w:val="auto"/>
        </w:rPr>
      </w:pPr>
      <w:r>
        <w:rPr>
          <w:rFonts w:ascii="Times New Roman" w:cs="Times New Roman" w:eastAsia="Times New Roman" w:hAnsi="Times New Roman"/>
          <w:sz w:val="22"/>
          <w:szCs w:val="22"/>
          <w:color w:val="auto"/>
        </w:rPr>
        <w:t>Helus Pharma</w:t>
      </w:r>
    </w:p>
    <w:p>
      <w:pPr>
        <w:spacing w:after="0" w:line="231" w:lineRule="auto"/>
        <w:rPr>
          <w:sz w:val="20"/>
          <w:szCs w:val="20"/>
          <w:color w:val="auto"/>
        </w:rPr>
      </w:pPr>
      <w:r>
        <w:rPr>
          <w:rFonts w:ascii="Times New Roman" w:cs="Times New Roman" w:eastAsia="Times New Roman" w:hAnsi="Times New Roman"/>
          <w:sz w:val="22"/>
          <w:szCs w:val="22"/>
          <w:color w:val="auto"/>
        </w:rPr>
        <w:t>1-866-292-4601 x715</w:t>
      </w:r>
    </w:p>
    <w:p>
      <w:pPr>
        <w:spacing w:after="0"/>
        <w:rPr>
          <w:sz w:val="20"/>
          <w:szCs w:val="20"/>
          <w:color w:val="auto"/>
        </w:rPr>
      </w:pPr>
      <w:r>
        <w:rPr>
          <w:rFonts w:ascii="Times New Roman" w:cs="Times New Roman" w:eastAsia="Times New Roman" w:hAnsi="Times New Roman"/>
          <w:sz w:val="22"/>
          <w:szCs w:val="22"/>
          <w:color w:val="auto"/>
        </w:rPr>
        <w:t>irteam@helus.com - or - media@helus.com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Charlotte Wray</w:t>
      </w:r>
    </w:p>
    <w:p>
      <w:pPr>
        <w:spacing w:after="0" w:line="230" w:lineRule="auto"/>
        <w:rPr>
          <w:sz w:val="20"/>
          <w:szCs w:val="20"/>
          <w:color w:val="auto"/>
        </w:rPr>
      </w:pPr>
      <w:r>
        <w:rPr>
          <w:rFonts w:ascii="Times New Roman" w:cs="Times New Roman" w:eastAsia="Times New Roman" w:hAnsi="Times New Roman"/>
          <w:sz w:val="22"/>
          <w:szCs w:val="22"/>
          <w:color w:val="auto"/>
        </w:rPr>
        <w:t>CEO</w:t>
      </w:r>
    </w:p>
    <w:p>
      <w:pPr>
        <w:spacing w:after="0" w:line="231" w:lineRule="auto"/>
        <w:rPr>
          <w:sz w:val="20"/>
          <w:szCs w:val="20"/>
          <w:color w:val="auto"/>
        </w:rPr>
      </w:pPr>
      <w:r>
        <w:rPr>
          <w:rFonts w:ascii="Times New Roman" w:cs="Times New Roman" w:eastAsia="Times New Roman" w:hAnsi="Times New Roman"/>
          <w:sz w:val="22"/>
          <w:szCs w:val="22"/>
          <w:color w:val="auto"/>
        </w:rPr>
        <w:t>RXMD</w:t>
      </w:r>
    </w:p>
    <w:p>
      <w:pPr>
        <w:jc w:val="center"/>
        <w:ind w:right="932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247-3405 </w:t>
      </w:r>
      <w:r>
        <w:rPr>
          <w:rFonts w:ascii="Times New Roman" w:cs="Times New Roman" w:eastAsia="Times New Roman" w:hAnsi="Times New Roman"/>
          <w:sz w:val="21"/>
          <w:szCs w:val="21"/>
          <w:u w:val="single" w:color="auto"/>
          <w:color w:val="467886"/>
        </w:rPr>
        <w:t>cwray@rxmedyn.com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7"/>
    </w:lvl>
  </w:abstractNum>
  <w:abstractNum w:abstractNumId="1">
    <w:nsid w:val="66334873"/>
    <w:multiLevelType w:val="hybridMultilevel"/>
    <w:lvl w:ilvl="0">
      <w:lvlJc w:val="left"/>
      <w:lvlText w:val="(%1)"/>
      <w:numFmt w:val="decimal"/>
      <w:start w:val="64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jpe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0" Type="http://schemas.openxmlformats.org/officeDocument/2006/relationships/hyperlink" Target="http://www.sec.gov/Archives/edgar/data/1833141/000106299325017416/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2026-10-27T11:03:18Z</dcterms:created>
  <dcterms:modified xsi:type="dcterms:W3CDTF">2026-10-27T11:03:18Z</dcterms:modified>
</cp:coreProperties>
</file>