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March, 2024.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20, 2024</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99.1</w:t>
            </w:r>
          </w:p>
        </w:tc>
        <w:tc>
          <w:tcPr>
            <w:tcW w:w="26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Cybin Announcement Press Release</w:t>
            </w:r>
          </w:p>
        </w:tc>
      </w:tr>
      <w:tr>
        <w:trPr>
          <w:trHeight w:val="236"/>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99.2</w:t>
            </w:r>
          </w:p>
        </w:tc>
        <w:tc>
          <w:tcPr>
            <w:tcW w:w="20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Cybin Closing Press Release</w:t>
            </w:r>
          </w:p>
        </w:tc>
        <w:tc>
          <w:tcPr>
            <w:tcW w:w="540" w:type="dxa"/>
            <w:vAlign w:val="bottom"/>
          </w:tcPr>
          <w:p>
            <w:pPr>
              <w:spacing w:after="0"/>
              <w:rPr>
                <w:sz w:val="20"/>
                <w:szCs w:val="20"/>
                <w:color w:val="auto"/>
              </w:rPr>
            </w:pPr>
          </w:p>
        </w:tc>
      </w:tr>
    </w:tbl>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Announces Oversubscribed Private Placement of U.S. $150 Million</w:t>
      </w:r>
    </w:p>
    <w:p>
      <w:pPr>
        <w:spacing w:after="0" w:line="289" w:lineRule="exact"/>
        <w:rPr>
          <w:sz w:val="20"/>
          <w:szCs w:val="20"/>
          <w:color w:val="auto"/>
        </w:rPr>
      </w:pPr>
    </w:p>
    <w:p>
      <w:pPr>
        <w:jc w:val="center"/>
        <w:spacing w:after="0" w:line="268" w:lineRule="auto"/>
        <w:rPr>
          <w:sz w:val="20"/>
          <w:szCs w:val="20"/>
          <w:color w:val="auto"/>
        </w:rPr>
      </w:pPr>
      <w:r>
        <w:rPr>
          <w:rFonts w:ascii="Calibri" w:cs="Calibri" w:eastAsia="Calibri" w:hAnsi="Calibri"/>
          <w:sz w:val="22"/>
          <w:szCs w:val="22"/>
          <w:b w:val="1"/>
          <w:bCs w:val="1"/>
          <w:color w:val="auto"/>
        </w:rPr>
        <w:t>THIS NEWS RELEASE IS INTENDED FOR DISTRIBUTION IN CANADA ONLY AND IS NOT INTENDED FOR DISTRIBUTION TO UNITED STATES NEWSWIRE SERVICES OR FOR DISSEMINATION IN THE UNITED STATES.</w:t>
      </w:r>
    </w:p>
    <w:p>
      <w:pPr>
        <w:spacing w:after="0" w:line="200" w:lineRule="exact"/>
        <w:rPr>
          <w:sz w:val="20"/>
          <w:szCs w:val="20"/>
          <w:color w:val="auto"/>
        </w:rPr>
      </w:pPr>
    </w:p>
    <w:p>
      <w:pPr>
        <w:spacing w:after="0" w:line="326" w:lineRule="exact"/>
        <w:rPr>
          <w:sz w:val="20"/>
          <w:szCs w:val="20"/>
          <w:color w:val="auto"/>
        </w:rPr>
      </w:pPr>
    </w:p>
    <w:p>
      <w:pPr>
        <w:jc w:val="both"/>
        <w:spacing w:after="0" w:line="280"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March 13, 2024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next-generation psychedelic-based treatment options, is pleased to announce a proposed private placement (the “</w:t>
      </w:r>
      <w:r>
        <w:rPr>
          <w:rFonts w:ascii="Arial" w:cs="Arial" w:eastAsia="Arial" w:hAnsi="Arial"/>
          <w:sz w:val="20"/>
          <w:szCs w:val="20"/>
          <w:b w:val="1"/>
          <w:bCs w:val="1"/>
          <w:color w:val="auto"/>
        </w:rPr>
        <w:t>Private</w:t>
      </w:r>
      <w:r>
        <w:rPr>
          <w:rFonts w:ascii="Arial" w:cs="Arial" w:eastAsia="Arial" w:hAnsi="Arial"/>
          <w:sz w:val="20"/>
          <w:szCs w:val="20"/>
          <w:color w:val="auto"/>
        </w:rPr>
        <w:t xml:space="preserve"> </w:t>
      </w:r>
      <w:r>
        <w:rPr>
          <w:rFonts w:ascii="Arial" w:cs="Arial" w:eastAsia="Arial" w:hAnsi="Arial"/>
          <w:sz w:val="20"/>
          <w:szCs w:val="20"/>
          <w:b w:val="1"/>
          <w:bCs w:val="1"/>
          <w:color w:val="auto"/>
        </w:rPr>
        <w:t>Placement</w:t>
      </w:r>
      <w:r>
        <w:rPr>
          <w:rFonts w:ascii="Arial" w:cs="Arial" w:eastAsia="Arial" w:hAnsi="Arial"/>
          <w:sz w:val="20"/>
          <w:szCs w:val="20"/>
          <w:color w:val="auto"/>
        </w:rPr>
        <w:t>”) of 348,837,210 common shares in the capital of the Company (the “</w:t>
      </w:r>
      <w:r>
        <w:rPr>
          <w:rFonts w:ascii="Arial" w:cs="Arial" w:eastAsia="Arial" w:hAnsi="Arial"/>
          <w:sz w:val="20"/>
          <w:szCs w:val="20"/>
          <w:b w:val="1"/>
          <w:bCs w:val="1"/>
          <w:color w:val="auto"/>
        </w:rPr>
        <w:t>Common Shares</w:t>
      </w:r>
      <w:r>
        <w:rPr>
          <w:rFonts w:ascii="Arial" w:cs="Arial" w:eastAsia="Arial" w:hAnsi="Arial"/>
          <w:sz w:val="20"/>
          <w:szCs w:val="20"/>
          <w:color w:val="auto"/>
        </w:rPr>
        <w:t>”) at a price of U.S.$0.43 per</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Share representing a premium of approximately 17% to the 10-day volume weighted average trading price on the NYSE American exchange. Aggregate gross proceeds from the Private Placement are expected to be U.S.$150,000,000 before deducting fees and expenses of the offering.</w:t>
      </w:r>
    </w:p>
    <w:p>
      <w:pPr>
        <w:spacing w:after="0" w:line="203"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The oversubscribed Private Placement is being led by Deep Track Capital and includes participation from RA Capital Management, Avidity Partners, Acorn Bioventures, Altium Capital, Logos Capital, Octagon Capital, Rosalind Advisors, Sphera Healthcare and other institutional investors.</w:t>
      </w:r>
    </w:p>
    <w:p>
      <w:pPr>
        <w:spacing w:after="0" w:line="20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net proceeds of the Private Placement are expected to be used for certain Phase 3 drug development activities for CYB003, working capital and general corporate purposes. CYB003, is a proprietary deuterated psilocybin analog in development for the potential treatment of Major Depressive Disorder (“</w:t>
      </w:r>
      <w:r>
        <w:rPr>
          <w:rFonts w:ascii="Arial" w:cs="Arial" w:eastAsia="Arial" w:hAnsi="Arial"/>
          <w:sz w:val="19"/>
          <w:szCs w:val="19"/>
          <w:b w:val="1"/>
          <w:bCs w:val="1"/>
          <w:color w:val="auto"/>
        </w:rPr>
        <w:t>MDD</w:t>
      </w:r>
      <w:r>
        <w:rPr>
          <w:rFonts w:ascii="Arial" w:cs="Arial" w:eastAsia="Arial" w:hAnsi="Arial"/>
          <w:sz w:val="19"/>
          <w:szCs w:val="19"/>
          <w:color w:val="auto"/>
        </w:rPr>
        <w:t>”). If approved by the U.S. Food and Drug Administration (the “</w:t>
      </w:r>
      <w:r>
        <w:rPr>
          <w:rFonts w:ascii="Arial" w:cs="Arial" w:eastAsia="Arial" w:hAnsi="Arial"/>
          <w:sz w:val="19"/>
          <w:szCs w:val="19"/>
          <w:b w:val="1"/>
          <w:bCs w:val="1"/>
          <w:color w:val="auto"/>
        </w:rPr>
        <w:t>FDA</w:t>
      </w:r>
      <w:r>
        <w:rPr>
          <w:rFonts w:ascii="Arial" w:cs="Arial" w:eastAsia="Arial" w:hAnsi="Arial"/>
          <w:sz w:val="19"/>
          <w:szCs w:val="19"/>
          <w:color w:val="auto"/>
        </w:rPr>
        <w:t>”), CYB003 would be the first known adjunctive psychedelic-based therapeutic for the treatment of MDD.</w:t>
      </w:r>
    </w:p>
    <w:p>
      <w:pPr>
        <w:spacing w:after="0" w:line="196"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Bloom Burton Securities Inc. is acting as the Lead Agent for the Private Placement, which also includes Haywood Securities Inc. The Private Placement is expected to close on or about March 19, 2024, subject to all necessary regulatory and stock exchange approvals, including the approval of the Cboe Canada and the NYSE American LLC.</w:t>
      </w:r>
    </w:p>
    <w:p>
      <w:pPr>
        <w:sectPr>
          <w:pgSz w:w="11900" w:h="16838" w:orient="portrait"/>
          <w:cols w:equalWidth="0" w:num="1">
            <w:col w:w="11240"/>
          </w:cols>
          <w:pgMar w:left="320" w:top="1440" w:right="339" w:bottom="1440" w:gutter="0" w:footer="0" w:header="0"/>
        </w:sectPr>
      </w:pPr>
    </w:p>
    <w:bookmarkStart w:id="4" w:name="page5"/>
    <w:bookmarkEnd w:id="4"/>
    <w:p>
      <w:pPr>
        <w:spacing w:after="0" w:line="231"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In the United States, the Common Shares will be offered on a private placement basis pursuant to exemptions from the registration requirements of the United States Securities Act of 1933, as amended (the "</w:t>
      </w:r>
      <w:r>
        <w:rPr>
          <w:rFonts w:ascii="Arial" w:cs="Arial" w:eastAsia="Arial" w:hAnsi="Arial"/>
          <w:sz w:val="20"/>
          <w:szCs w:val="20"/>
          <w:b w:val="1"/>
          <w:bCs w:val="1"/>
          <w:color w:val="auto"/>
        </w:rPr>
        <w:t>U.S. Securities Act</w:t>
      </w:r>
      <w:r>
        <w:rPr>
          <w:rFonts w:ascii="Arial" w:cs="Arial" w:eastAsia="Arial" w:hAnsi="Arial"/>
          <w:sz w:val="20"/>
          <w:szCs w:val="20"/>
          <w:color w:val="auto"/>
        </w:rPr>
        <w:t>"). The Company has agreed to use commercially reasonable efforts to either: (a) subject to the issuance of a receipt in Canada for an amendment to the Corporation’s short form base shelf prospectus dated August 17, 2023, as amended on December 22, 2023 (the “</w:t>
      </w:r>
      <w:r>
        <w:rPr>
          <w:rFonts w:ascii="Arial" w:cs="Arial" w:eastAsia="Arial" w:hAnsi="Arial"/>
          <w:sz w:val="20"/>
          <w:szCs w:val="20"/>
          <w:b w:val="1"/>
          <w:bCs w:val="1"/>
          <w:color w:val="auto"/>
        </w:rPr>
        <w:t>Base Shelf Prospectus</w:t>
      </w:r>
      <w:r>
        <w:rPr>
          <w:rFonts w:ascii="Arial" w:cs="Arial" w:eastAsia="Arial" w:hAnsi="Arial"/>
          <w:sz w:val="20"/>
          <w:szCs w:val="20"/>
          <w:color w:val="auto"/>
        </w:rPr>
        <w:t>”) and (i) prepare, file with, and have declared effective, by the United States Securities and Exchange Commission (“</w:t>
      </w:r>
      <w:r>
        <w:rPr>
          <w:rFonts w:ascii="Arial" w:cs="Arial" w:eastAsia="Arial" w:hAnsi="Arial"/>
          <w:sz w:val="20"/>
          <w:szCs w:val="20"/>
          <w:b w:val="1"/>
          <w:bCs w:val="1"/>
          <w:color w:val="auto"/>
        </w:rPr>
        <w:t>SEC</w:t>
      </w:r>
      <w:r>
        <w:rPr>
          <w:rFonts w:ascii="Arial" w:cs="Arial" w:eastAsia="Arial" w:hAnsi="Arial"/>
          <w:sz w:val="20"/>
          <w:szCs w:val="20"/>
          <w:color w:val="auto"/>
        </w:rPr>
        <w:t>”) an amendment to its registration statement on Form F-10 (File No. 333-276333) containing the foregoing amendment to the Base Shelf Prospectus and (ii) file a prospectus supplement to the Base Shelf Prospectus with the Ontario Securities Commission and with the SEC pursuant to General Instruction II.L of Form F-10 or (b) file a registration statement on such other form as may be available to the Company, in either case qualifying the resale of the Common Shares issued in the Private Placement by certain purchasers resident in the United States.</w:t>
      </w:r>
    </w:p>
    <w:p>
      <w:pPr>
        <w:spacing w:after="0" w:line="202"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No securities regulatory authority has either approved or disapproved of the contents of this news release. This news release shall not constitute an offer to sell or the solicitation of an offer to buy nor shall there be any sale of the securities in the United States or any jurisdiction in which such offer, solicitation or sale would be unlawful prior to registration or qualification under the securities laws of any such jurisdiction. This news release is not an offer to sell or the solicitation of an offer to buy the securities in the United States or in any jurisdiction in which such offer, solicitation or sale would be unlawful prior to qualification or registration under the securities laws of such jurisdiction. The securities being offered have not been registered under the U.S. Securities Act, and such securities may not be offered or sold within the United States or to, or for the account or benefit of, U.S. persons absent registration or an applicable exemption from U.S. registration requirements and applicable U.S. state securities laws.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15"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more about Cybin, visit www.cybin.com or follow the team on X, LinkedIn, YouTube and Instagram.</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72"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sale of any Common Shares pursuant to the Private Placement, the closing of the Private Placement, the use of the net proceeds from the Private Placement, and the Company’s plans to engineer proprietary drug discovery platforms, innovative drug delivery systems, novel formulation approaches and treatment regimens for mental health conditions.</w:t>
      </w:r>
    </w:p>
    <w:p>
      <w:pPr>
        <w:spacing w:after="0" w:line="221"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nine month periods ended December 31, 2023, and the Company’s annual information</w:t>
      </w:r>
    </w:p>
    <w:p>
      <w:pPr>
        <w:spacing w:after="0" w:line="1"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form for the year ended March 31, 2023, which are available under the Company's profile on www.sedarplus.com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18"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Cybin makes no medical, treatment or health benefit claims about Cybin’s proposed products. The FDA, Health Canada or other similar regulatory authorities have not evaluated claims</w:t>
      </w:r>
    </w:p>
    <w:p>
      <w:pPr>
        <w:sectPr>
          <w:pgSz w:w="11900" w:h="16838" w:orient="portrait"/>
          <w:cols w:equalWidth="0" w:num="1">
            <w:col w:w="11240"/>
          </w:cols>
          <w:pgMar w:left="320" w:top="1427" w:right="339" w:bottom="1440" w:gutter="0" w:footer="0" w:header="0"/>
        </w:sectPr>
      </w:pPr>
    </w:p>
    <w:bookmarkStart w:id="6" w:name="page7"/>
    <w:bookmarkEnd w:id="6"/>
    <w:p>
      <w:pPr>
        <w:jc w:val="both"/>
        <w:spacing w:after="0" w:line="280" w:lineRule="auto"/>
        <w:rPr>
          <w:sz w:val="20"/>
          <w:szCs w:val="20"/>
          <w:color w:val="auto"/>
        </w:rPr>
      </w:pPr>
      <w:r>
        <w:rPr>
          <w:rFonts w:ascii="Arial" w:cs="Arial" w:eastAsia="Arial" w:hAnsi="Arial"/>
          <w:sz w:val="20"/>
          <w:szCs w:val="20"/>
          <w:color w:val="auto"/>
        </w:rPr>
        <w:t>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14" w:lineRule="exact"/>
        <w:rPr>
          <w:sz w:val="20"/>
          <w:szCs w:val="20"/>
          <w:color w:val="auto"/>
        </w:rPr>
      </w:pPr>
    </w:p>
    <w:p>
      <w:pPr>
        <w:jc w:val="both"/>
        <w:ind w:right="20"/>
        <w:spacing w:after="0" w:line="273" w:lineRule="auto"/>
        <w:rPr>
          <w:sz w:val="20"/>
          <w:szCs w:val="20"/>
          <w:color w:val="auto"/>
        </w:rPr>
      </w:pPr>
      <w:r>
        <w:rPr>
          <w:rFonts w:ascii="Arial" w:cs="Arial" w:eastAsia="Arial" w:hAnsi="Arial"/>
          <w:sz w:val="20"/>
          <w:szCs w:val="20"/>
          <w:i w:val="1"/>
          <w:iCs w:val="1"/>
          <w:color w:val="auto"/>
        </w:rPr>
        <w:t>Neither the Cboe Canada nor the NYSE American LLC stock exchange have approved or disapproved the contents of this news release and are not responsible for the adequacy and accuracy of the contents herein.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irteam@cybin.com – or – media@cybin.com</w:t>
      </w:r>
    </w:p>
    <w:p>
      <w:pPr>
        <w:sectPr>
          <w:pgSz w:w="11900" w:h="16838" w:orient="portrait"/>
          <w:cols w:equalWidth="0" w:num="1">
            <w:col w:w="11240"/>
          </w:cols>
          <w:pgMar w:left="320" w:top="1427"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911860</wp:posOffset>
            </wp:positionV>
            <wp:extent cx="1765935" cy="1028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Announces Closing of the Oversubscribed Private Placement of U.S. $150 Million</w:t>
      </w:r>
    </w:p>
    <w:p>
      <w:pPr>
        <w:spacing w:after="0" w:line="289" w:lineRule="exact"/>
        <w:rPr>
          <w:sz w:val="20"/>
          <w:szCs w:val="20"/>
          <w:color w:val="auto"/>
        </w:rPr>
      </w:pPr>
    </w:p>
    <w:p>
      <w:pPr>
        <w:jc w:val="center"/>
        <w:spacing w:after="0" w:line="268" w:lineRule="auto"/>
        <w:rPr>
          <w:sz w:val="20"/>
          <w:szCs w:val="20"/>
          <w:color w:val="auto"/>
        </w:rPr>
      </w:pPr>
      <w:r>
        <w:rPr>
          <w:rFonts w:ascii="Calibri" w:cs="Calibri" w:eastAsia="Calibri" w:hAnsi="Calibri"/>
          <w:sz w:val="22"/>
          <w:szCs w:val="22"/>
          <w:b w:val="1"/>
          <w:bCs w:val="1"/>
          <w:color w:val="auto"/>
        </w:rPr>
        <w:t>THIS NEWS RELEASE IS INTENDED FOR DISTRIBUTION IN CANADA ONLY AND IS NOT INTENDED FOR DISTRIBUTION TO UNITED STATES NEWSWIRE SERVICES OR FOR DISSEMINATION IN THE UNITED STATES.</w:t>
      </w:r>
    </w:p>
    <w:p>
      <w:pPr>
        <w:spacing w:after="0" w:line="242" w:lineRule="exact"/>
        <w:rPr>
          <w:sz w:val="20"/>
          <w:szCs w:val="20"/>
          <w:color w:val="auto"/>
        </w:rPr>
      </w:pPr>
    </w:p>
    <w:p>
      <w:pPr>
        <w:jc w:val="both"/>
        <w:spacing w:after="0" w:line="280"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March 19, 2024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next-generation psychedelic-based treatment options, is pleased to announce the closing of the Company’s previously announced private placement (the “</w:t>
      </w:r>
      <w:r>
        <w:rPr>
          <w:rFonts w:ascii="Arial" w:cs="Arial" w:eastAsia="Arial" w:hAnsi="Arial"/>
          <w:sz w:val="20"/>
          <w:szCs w:val="20"/>
          <w:b w:val="1"/>
          <w:bCs w:val="1"/>
          <w:color w:val="auto"/>
        </w:rPr>
        <w:t>Private Placement</w:t>
      </w:r>
      <w:r>
        <w:rPr>
          <w:rFonts w:ascii="Arial" w:cs="Arial" w:eastAsia="Arial" w:hAnsi="Arial"/>
          <w:sz w:val="20"/>
          <w:szCs w:val="20"/>
          <w:color w:val="auto"/>
        </w:rPr>
        <w:t>”) of 348,837,210 common shares in the capital of the Company (the “</w:t>
      </w:r>
      <w:r>
        <w:rPr>
          <w:rFonts w:ascii="Arial" w:cs="Arial" w:eastAsia="Arial" w:hAnsi="Arial"/>
          <w:sz w:val="20"/>
          <w:szCs w:val="20"/>
          <w:b w:val="1"/>
          <w:bCs w:val="1"/>
          <w:color w:val="auto"/>
        </w:rPr>
        <w:t>Common Shares</w:t>
      </w:r>
      <w:r>
        <w:rPr>
          <w:rFonts w:ascii="Arial" w:cs="Arial" w:eastAsia="Arial" w:hAnsi="Arial"/>
          <w:sz w:val="20"/>
          <w:szCs w:val="20"/>
          <w:color w:val="auto"/>
        </w:rPr>
        <w:t>”) at a price of U.S.$0.43 per Common Share. Aggregate gross proceeds from the Private Placement were U.S.$150,000,000 before deducting fees and expenses of the offering.</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The oversubscribed Private Placement was led by Deep Track Capital and included participation from RA Capital Management, Avidity Partners, Acorn Bioventures, Altium Capital, Logos Capital, Octagon Capital, Rosalind Advisors, Sphera Healthcare and other institutional investors.</w:t>
      </w:r>
    </w:p>
    <w:p>
      <w:pPr>
        <w:spacing w:after="0" w:line="192"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The net proceeds of the Private Placement are expected to be used for certain Phase 3 drug development activities for CYB003, working capital and general corporate purposes. CYB003, is a proprietary deuterated psilocybin analog in development for the potential treatment of Major Depressive Disorder (“</w:t>
      </w:r>
      <w:r>
        <w:rPr>
          <w:rFonts w:ascii="Arial" w:cs="Arial" w:eastAsia="Arial" w:hAnsi="Arial"/>
          <w:sz w:val="19"/>
          <w:szCs w:val="19"/>
          <w:b w:val="1"/>
          <w:bCs w:val="1"/>
          <w:color w:val="auto"/>
        </w:rPr>
        <w:t>MDD</w:t>
      </w:r>
      <w:r>
        <w:rPr>
          <w:rFonts w:ascii="Arial" w:cs="Arial" w:eastAsia="Arial" w:hAnsi="Arial"/>
          <w:sz w:val="19"/>
          <w:szCs w:val="19"/>
          <w:color w:val="auto"/>
        </w:rPr>
        <w:t>”). If approved by the U.S. Food and Drug Administration (the “</w:t>
      </w:r>
      <w:r>
        <w:rPr>
          <w:rFonts w:ascii="Arial" w:cs="Arial" w:eastAsia="Arial" w:hAnsi="Arial"/>
          <w:sz w:val="19"/>
          <w:szCs w:val="19"/>
          <w:b w:val="1"/>
          <w:bCs w:val="1"/>
          <w:color w:val="auto"/>
        </w:rPr>
        <w:t>FDA</w:t>
      </w:r>
      <w:r>
        <w:rPr>
          <w:rFonts w:ascii="Arial" w:cs="Arial" w:eastAsia="Arial" w:hAnsi="Arial"/>
          <w:sz w:val="19"/>
          <w:szCs w:val="19"/>
          <w:color w:val="auto"/>
        </w:rPr>
        <w:t>”), CYB003 would be the first known adjunctive psychedelic-based therapeutic for the treatment of MDD.</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Bloom Burton Securities Inc. acted as the Lead Agent for the Private Placement, which also included Haywood Securities Inc.</w:t>
      </w:r>
    </w:p>
    <w:p>
      <w:pPr>
        <w:spacing w:after="0" w:line="283"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“We are extremely grateful for this infusion of capital, which will enable us to continue advancing our next-generation psychedelic development programs,” stated Doug Drysdale, Chief Executive Officer of Cybin. “We are especially encouraged by the level of interest and support</w:t>
      </w:r>
    </w:p>
    <w:p>
      <w:pPr>
        <w:sectPr>
          <w:pgSz w:w="11900" w:h="16838" w:orient="portrait"/>
          <w:cols w:equalWidth="0" w:num="1">
            <w:col w:w="11240"/>
          </w:cols>
          <w:pgMar w:left="320" w:top="1440" w:right="339" w:bottom="1440" w:gutter="0" w:footer="0" w:header="0"/>
        </w:sectPr>
      </w:pPr>
    </w:p>
    <w:bookmarkStart w:id="8" w:name="page9"/>
    <w:bookmarkEnd w:id="8"/>
    <w:p>
      <w:pPr>
        <w:jc w:val="both"/>
        <w:spacing w:after="0" w:line="314" w:lineRule="auto"/>
        <w:rPr>
          <w:sz w:val="20"/>
          <w:szCs w:val="20"/>
          <w:color w:val="auto"/>
        </w:rPr>
      </w:pPr>
      <w:r>
        <w:rPr>
          <w:rFonts w:ascii="Arial" w:cs="Arial" w:eastAsia="Arial" w:hAnsi="Arial"/>
          <w:sz w:val="20"/>
          <w:szCs w:val="20"/>
          <w:color w:val="auto"/>
        </w:rPr>
        <w:t>from a high-quality syndicate of investors – all of which validates our clinical findings to date and the promise of addressing the unmet need across mental health disorders.”</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In the United States, the Common Shares were offered on a private placement basis pursuant to exemptions from the registration requirements of the United States Securities Act of 1933, as amended (the "</w:t>
      </w:r>
      <w:r>
        <w:rPr>
          <w:rFonts w:ascii="Arial" w:cs="Arial" w:eastAsia="Arial" w:hAnsi="Arial"/>
          <w:sz w:val="20"/>
          <w:szCs w:val="20"/>
          <w:b w:val="1"/>
          <w:bCs w:val="1"/>
          <w:color w:val="auto"/>
        </w:rPr>
        <w:t>U.S. Securities Act</w:t>
      </w:r>
      <w:r>
        <w:rPr>
          <w:rFonts w:ascii="Arial" w:cs="Arial" w:eastAsia="Arial" w:hAnsi="Arial"/>
          <w:sz w:val="20"/>
          <w:szCs w:val="20"/>
          <w:color w:val="auto"/>
        </w:rPr>
        <w:t>"). The Company has agreed to use commercially reasonable efforts to either: (a) subject to the issuance of a receipt in Canada for an amendment to the Corporation’s short form base shelf prospectus dated August 17, 2023, as amended on December 22, 2023 (the “</w:t>
      </w:r>
      <w:r>
        <w:rPr>
          <w:rFonts w:ascii="Arial" w:cs="Arial" w:eastAsia="Arial" w:hAnsi="Arial"/>
          <w:sz w:val="20"/>
          <w:szCs w:val="20"/>
          <w:b w:val="1"/>
          <w:bCs w:val="1"/>
          <w:color w:val="auto"/>
        </w:rPr>
        <w:t>Base Shelf Prospectus</w:t>
      </w:r>
      <w:r>
        <w:rPr>
          <w:rFonts w:ascii="Arial" w:cs="Arial" w:eastAsia="Arial" w:hAnsi="Arial"/>
          <w:sz w:val="20"/>
          <w:szCs w:val="20"/>
          <w:color w:val="auto"/>
        </w:rPr>
        <w:t>”) and (i) prepare, file with, and have declared effective, by the United States Securities and Exchange Commission (“</w:t>
      </w:r>
      <w:r>
        <w:rPr>
          <w:rFonts w:ascii="Arial" w:cs="Arial" w:eastAsia="Arial" w:hAnsi="Arial"/>
          <w:sz w:val="20"/>
          <w:szCs w:val="20"/>
          <w:b w:val="1"/>
          <w:bCs w:val="1"/>
          <w:color w:val="auto"/>
        </w:rPr>
        <w:t>SEC</w:t>
      </w:r>
      <w:r>
        <w:rPr>
          <w:rFonts w:ascii="Arial" w:cs="Arial" w:eastAsia="Arial" w:hAnsi="Arial"/>
          <w:sz w:val="20"/>
          <w:szCs w:val="20"/>
          <w:color w:val="auto"/>
        </w:rPr>
        <w:t>”) an amendment to its registration statement on Form F-10 (File No. 333-276333) containing the foregoing amendment to the Base Shelf Prospectus, and (ii) file a prospectus supplement to the Base Shelf Prospectus with the Ontario Securities Commission and with the SEC pursuant to General Instruction II.L of Form F-10 or (b) file a registration statement on such other form as may be available to the Company, in either case qualifying the resale of the Common Shares issued in the Private Placement by certain non-Canadian purchasers.</w:t>
      </w:r>
    </w:p>
    <w:p>
      <w:pPr>
        <w:spacing w:after="0" w:line="20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No securities regulatory authority has either approved or disapproved of the contents of this news release. This news release is not an offer to sell or the solicitation of an offer to buy the securities in the United States or in any jurisdiction in which such offer, solicitation or sale would be unlawful prior to qualification or registration under the securities laws of such jurisdiction. The securities being offered have not been registered under the U.S. Securities Act, and such securities may not be offered or sold within the United States or to, or for the account or benefit of, U.S. persons absent registration or an applicable exemption from U.S. registration requirements and applicable U.S. state securities laws.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01" w:lineRule="exact"/>
        <w:rPr>
          <w:sz w:val="20"/>
          <w:szCs w:val="20"/>
          <w:color w:val="auto"/>
        </w:rPr>
      </w:pPr>
    </w:p>
    <w:p>
      <w:pPr>
        <w:jc w:val="both"/>
        <w:ind w:right="20"/>
        <w:spacing w:after="0" w:line="290"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ectPr>
          <w:pgSz w:w="11900" w:h="16838" w:orient="portrait"/>
          <w:cols w:equalWidth="0" w:num="1">
            <w:col w:w="11240"/>
          </w:cols>
          <w:pgMar w:left="320" w:top="1427" w:right="339" w:bottom="1440" w:gutter="0" w:footer="0" w:header="0"/>
        </w:sectPr>
      </w:pPr>
    </w:p>
    <w:bookmarkStart w:id="9" w:name="page10"/>
    <w:bookmarkEnd w:id="9"/>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5"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use of the net proceeds from the Private Placement, and the Company’s plans to engineer proprietary drug discovery platforms, innovative drug delivery systems, novel formulation approaches and treatment regimens for mental health conditions.</w:t>
      </w:r>
    </w:p>
    <w:p>
      <w:pPr>
        <w:spacing w:after="0" w:line="208"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nine month periods ended December 31, 2023, and the Company’s annual information</w:t>
      </w:r>
    </w:p>
    <w:p>
      <w:pPr>
        <w:spacing w:after="0" w:line="1"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form for the year ended March 31, 2023, which are available under the Company's profile on www.sedarplus.com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18"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Cybin makes no medical, treatment or health benefit claims about Cybin’s proposed products. The FDA,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w:t>
      </w:r>
    </w:p>
    <w:p>
      <w:pPr>
        <w:sectPr>
          <w:pgSz w:w="11900" w:h="16838" w:orient="portrait"/>
          <w:cols w:equalWidth="0" w:num="1">
            <w:col w:w="11240"/>
          </w:cols>
          <w:pgMar w:left="320" w:top="1440" w:right="339" w:bottom="1440" w:gutter="0" w:footer="0" w:header="0"/>
        </w:sectPr>
      </w:pPr>
    </w:p>
    <w:bookmarkStart w:id="10" w:name="page11"/>
    <w:bookmarkEnd w:id="10"/>
    <w:p>
      <w:pPr>
        <w:jc w:val="both"/>
        <w:spacing w:after="0" w:line="282" w:lineRule="auto"/>
        <w:rPr>
          <w:sz w:val="20"/>
          <w:szCs w:val="20"/>
          <w:color w:val="auto"/>
        </w:rPr>
      </w:pPr>
      <w:r>
        <w:rPr>
          <w:rFonts w:ascii="Arial" w:cs="Arial" w:eastAsia="Arial" w:hAnsi="Arial"/>
          <w:sz w:val="20"/>
          <w:szCs w:val="20"/>
          <w:color w:val="auto"/>
        </w:rPr>
        <w:t>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15" w:lineRule="exact"/>
        <w:rPr>
          <w:sz w:val="20"/>
          <w:szCs w:val="20"/>
          <w:color w:val="auto"/>
        </w:rPr>
      </w:pPr>
    </w:p>
    <w:p>
      <w:pPr>
        <w:jc w:val="both"/>
        <w:ind w:right="20"/>
        <w:spacing w:after="0" w:line="273" w:lineRule="auto"/>
        <w:rPr>
          <w:sz w:val="20"/>
          <w:szCs w:val="20"/>
          <w:color w:val="auto"/>
        </w:rPr>
      </w:pPr>
      <w:r>
        <w:rPr>
          <w:rFonts w:ascii="Arial" w:cs="Arial" w:eastAsia="Arial" w:hAnsi="Arial"/>
          <w:sz w:val="20"/>
          <w:szCs w:val="20"/>
          <w:i w:val="1"/>
          <w:iCs w:val="1"/>
          <w:color w:val="auto"/>
        </w:rPr>
        <w:t>Neither the Cboe Canada nor the NYSE American LLC stock exchange have approved or disapproved the contents of this news release and are not responsible for the adequacy and accuracy of the contents herein.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irteam@cybin.com – or – media@cybin.com</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2024-03-20T14:17:45Z</dcterms:created>
  <dcterms:modified xsi:type="dcterms:W3CDTF">2024-03-20T14:17:45Z</dcterms:modified>
</cp:coreProperties>
</file>