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June 3,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911860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Cybin Announces Additional Adelia Milestone Achievements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3,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biotechnology company focused on progressing Psychedelics to Therapeutics™, is pleased to announce that Adelia Therapeutics Inc. (“</w:t>
      </w:r>
      <w:r>
        <w:rPr>
          <w:rFonts w:ascii="Arial" w:cs="Arial" w:eastAsia="Arial" w:hAnsi="Arial"/>
          <w:sz w:val="20"/>
          <w:szCs w:val="20"/>
          <w:b w:val="1"/>
          <w:bCs w:val="1"/>
          <w:color w:val="auto"/>
        </w:rPr>
        <w:t>Adelia</w:t>
      </w:r>
      <w:r>
        <w:rPr>
          <w:rFonts w:ascii="Arial" w:cs="Arial" w:eastAsia="Arial" w:hAnsi="Arial"/>
          <w:sz w:val="20"/>
          <w:szCs w:val="20"/>
          <w:color w:val="auto"/>
        </w:rPr>
        <w:t>”), a wholly-controlled subsidiary of Cybin, has achieved the milestones identified as Y2, Q2 (i), (vi), Y2, Q3 (ii), Year 2 Q4 (i) and Year 3 Q1 (i), (ii), (iii) as contemplated by the terms of a contribution agreement dated December 4, 2020 (the “</w:t>
      </w:r>
      <w:r>
        <w:rPr>
          <w:rFonts w:ascii="Arial" w:cs="Arial" w:eastAsia="Arial" w:hAnsi="Arial"/>
          <w:sz w:val="20"/>
          <w:szCs w:val="20"/>
          <w:b w:val="1"/>
          <w:bCs w:val="1"/>
          <w:color w:val="auto"/>
        </w:rPr>
        <w:t>Transaction Agreement</w:t>
      </w:r>
      <w:r>
        <w:rPr>
          <w:rFonts w:ascii="Arial" w:cs="Arial" w:eastAsia="Arial" w:hAnsi="Arial"/>
          <w:sz w:val="20"/>
          <w:szCs w:val="20"/>
          <w:color w:val="auto"/>
        </w:rPr>
        <w:t>”) among Cybin, Cybin Corp., Cybin US Holdings Inc. (the “</w:t>
      </w:r>
      <w:r>
        <w:rPr>
          <w:rFonts w:ascii="Arial" w:cs="Arial" w:eastAsia="Arial" w:hAnsi="Arial"/>
          <w:sz w:val="20"/>
          <w:szCs w:val="20"/>
          <w:b w:val="1"/>
          <w:bCs w:val="1"/>
          <w:color w:val="auto"/>
        </w:rPr>
        <w:t>Acquiror</w:t>
      </w:r>
      <w:r>
        <w:rPr>
          <w:rFonts w:ascii="Arial" w:cs="Arial" w:eastAsia="Arial" w:hAnsi="Arial"/>
          <w:sz w:val="20"/>
          <w:szCs w:val="20"/>
          <w:color w:val="auto"/>
        </w:rPr>
        <w:t>”), a wholly-controlled subsidiary of Cybin, and all of the previous shareholders of Adelia (the “</w:t>
      </w:r>
      <w:r>
        <w:rPr>
          <w:rFonts w:ascii="Arial" w:cs="Arial" w:eastAsia="Arial" w:hAnsi="Arial"/>
          <w:sz w:val="20"/>
          <w:szCs w:val="20"/>
          <w:b w:val="1"/>
          <w:bCs w:val="1"/>
          <w:color w:val="auto"/>
        </w:rPr>
        <w:t>Adelia Shareholders</w:t>
      </w:r>
      <w:r>
        <w:rPr>
          <w:rFonts w:ascii="Arial" w:cs="Arial" w:eastAsia="Arial" w:hAnsi="Arial"/>
          <w:sz w:val="20"/>
          <w:szCs w:val="20"/>
          <w:color w:val="auto"/>
        </w:rPr>
        <w:t>”).</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Pursuant to the terms of the Transaction Agreement, Class B common shares in the capital of the Acquiror (the “</w:t>
      </w:r>
      <w:r>
        <w:rPr>
          <w:rFonts w:ascii="Arial" w:cs="Arial" w:eastAsia="Arial" w:hAnsi="Arial"/>
          <w:sz w:val="20"/>
          <w:szCs w:val="20"/>
          <w:b w:val="1"/>
          <w:bCs w:val="1"/>
          <w:color w:val="auto"/>
        </w:rPr>
        <w:t>Class B</w:t>
      </w:r>
      <w:r>
        <w:rPr>
          <w:rFonts w:ascii="Arial" w:cs="Arial" w:eastAsia="Arial" w:hAnsi="Arial"/>
          <w:sz w:val="20"/>
          <w:szCs w:val="20"/>
          <w:color w:val="auto"/>
        </w:rPr>
        <w:t xml:space="preserve"> </w:t>
      </w:r>
      <w:r>
        <w:rPr>
          <w:rFonts w:ascii="Arial" w:cs="Arial" w:eastAsia="Arial" w:hAnsi="Arial"/>
          <w:sz w:val="20"/>
          <w:szCs w:val="20"/>
          <w:b w:val="1"/>
          <w:bCs w:val="1"/>
          <w:color w:val="auto"/>
        </w:rPr>
        <w:t>Shares</w:t>
      </w:r>
      <w:r>
        <w:rPr>
          <w:rFonts w:ascii="Arial" w:cs="Arial" w:eastAsia="Arial" w:hAnsi="Arial"/>
          <w:sz w:val="20"/>
          <w:szCs w:val="20"/>
          <w:color w:val="auto"/>
        </w:rPr>
        <w:t>”) shall be issued to the Adelia Shareholders, in satisfaction of the $2,033,309.79 (approximately US$1,616,431.98) due</w:t>
      </w:r>
      <w:r>
        <w:rPr>
          <w:rFonts w:ascii="Arial" w:cs="Arial" w:eastAsia="Arial" w:hAnsi="Arial"/>
          <w:sz w:val="20"/>
          <w:szCs w:val="20"/>
          <w:b w:val="1"/>
          <w:bCs w:val="1"/>
          <w:color w:val="auto"/>
        </w:rPr>
        <w:t xml:space="preserve"> </w:t>
      </w:r>
      <w:r>
        <w:rPr>
          <w:rFonts w:ascii="Arial" w:cs="Arial" w:eastAsia="Arial" w:hAnsi="Arial"/>
          <w:sz w:val="20"/>
          <w:szCs w:val="20"/>
          <w:color w:val="auto"/>
        </w:rPr>
        <w:t>to them on meeting a portion of the relevant milestones, at an effective issue price determined in accordance with the Transaction Agreement and applicable securities law. The Class B Shares issued by the Acquiror to the Adelia Shareholders are exchangeable for common shares in the capital of Cybin (the “</w:t>
      </w:r>
      <w:r>
        <w:rPr>
          <w:rFonts w:ascii="Arial" w:cs="Arial" w:eastAsia="Arial" w:hAnsi="Arial"/>
          <w:sz w:val="20"/>
          <w:szCs w:val="20"/>
          <w:b w:val="1"/>
          <w:bCs w:val="1"/>
          <w:color w:val="auto"/>
        </w:rPr>
        <w:t>Cybin Shares</w:t>
      </w:r>
      <w:r>
        <w:rPr>
          <w:rFonts w:ascii="Arial" w:cs="Arial" w:eastAsia="Arial" w:hAnsi="Arial"/>
          <w:sz w:val="20"/>
          <w:szCs w:val="20"/>
          <w:color w:val="auto"/>
        </w:rPr>
        <w:t>”) on a 10 Cybin Shares for 1 Class B Share basis, at the option of the holder thereof, subject to customary adjustments. No Class B Shares were exchangeable prior to December 14, 2021, and not more than: (i) 33 1/3% of the Class B Shares will be exchangeable prior to December 14, 2022; (ii) 66 2/3% of the Class B Shares will be exchangeable prior to December 14, 2023; and (iii) thereafter, 100% of the Class B Shares will be exchangeable.</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Additional information related to the transaction is available in the Transaction Agreement, which is filed under Cybin’s profile on SEDAR (</w:t>
      </w:r>
      <w:r>
        <w:rPr>
          <w:rFonts w:ascii="Arial" w:cs="Arial" w:eastAsia="Arial" w:hAnsi="Arial"/>
          <w:sz w:val="20"/>
          <w:szCs w:val="20"/>
          <w:u w:val="single" w:color="auto"/>
          <w:color w:val="0563C1"/>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Cybin is a leading ethical biotechnology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and Ireland. The Company is focused on progressing Psychedelics to Therapeutics™ by engineering proprietary drug discovery platforms, innovative drug delivery systems, novel formulation approaches and treatment regimens for mental health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Adelia</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Adelia is a wholly-controlled subsidiary of the Company, that aims to develop medicinal psychedelics with improved dosing efficacy and therapeutic indices to address unmet medical needs. Adelia’s primary focus is on the development of treatment regimens consisting of proprietary psychedelic molecules and related clinical protocols. This proprietary development strategy is based on chemical modifications to the known and well understood tryptamine derivatives that significantly modify their pharmacokinetic properties without changing their therapeutic potential. These proprietary approaches seek to minimize inter-patient variability by better controlling drug metabolism without loss of efficacy that together have been shown to produce more predictable and favorable patient outcomes.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Adelia’s proprietary development strategy and development of medicinal psychedelics with improved dosing efficacy and therapeutic indices to address unmet medical needs.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six months ended December 31, 2021 and the Company's listing statement dated November 9, 2020, which are available under the Company's profile on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563C1"/>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w:t>
      </w:r>
    </w:p>
    <w:p>
      <w:pPr>
        <w:sectPr>
          <w:pgSz w:w="11900" w:h="16838" w:orient="portrait"/>
          <w:cols w:equalWidth="0" w:num="1">
            <w:col w:w="11240"/>
          </w:cols>
          <w:pgMar w:left="320" w:top="1412" w:right="339" w:bottom="144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20"/>
          <w:szCs w:val="20"/>
          <w:color w:val="auto"/>
        </w:rPr>
        <w:t>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Unless otherwise indicated, all dollar amounts in this news release are expressed in Canadian dollars.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2022-06-06T09:53:35Z</dcterms:created>
  <dcterms:modified xsi:type="dcterms:W3CDTF">2022-06-06T09:53:35Z</dcterms:modified>
</cp:coreProperties>
</file>