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15,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Initiates Phase 2 Proof-of-Concept Study of CYB004 in Generalized Anxiety Disorder</w:t>
      </w:r>
    </w:p>
    <w:p>
      <w:pPr>
        <w:spacing w:after="0" w:line="282"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Anxiety disorders are the most prevalent mental health disorders globally</w:t>
      </w:r>
      <w:r>
        <w:rPr>
          <w:rFonts w:ascii="Arial" w:cs="Arial" w:eastAsia="Arial" w:hAnsi="Arial"/>
          <w:sz w:val="24"/>
          <w:szCs w:val="24"/>
          <w:i w:val="1"/>
          <w:iCs w:val="1"/>
          <w:color w:val="auto"/>
          <w:vertAlign w:val="superscript"/>
        </w:rPr>
        <w:t>1</w:t>
      </w:r>
      <w:r>
        <w:rPr>
          <w:rFonts w:ascii="Arial" w:cs="Arial" w:eastAsia="Arial" w:hAnsi="Arial"/>
          <w:sz w:val="19"/>
          <w:szCs w:val="19"/>
          <w:i w:val="1"/>
          <w:iCs w:val="1"/>
          <w:color w:val="auto"/>
        </w:rPr>
        <w:t>, contributing to over 28 million disability-adjusted life</w:t>
      </w:r>
    </w:p>
    <w:p>
      <w:pPr>
        <w:spacing w:after="0" w:line="12" w:lineRule="exact"/>
        <w:rPr>
          <w:rFonts w:ascii="Arial" w:cs="Arial" w:eastAsia="Arial" w:hAnsi="Arial"/>
          <w:sz w:val="19"/>
          <w:szCs w:val="19"/>
          <w:i w:val="1"/>
          <w:iCs w:val="1"/>
          <w:color w:val="auto"/>
        </w:rPr>
      </w:pPr>
    </w:p>
    <w:p>
      <w:pPr>
        <w:ind w:left="48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years (“DALYs”)</w:t>
      </w:r>
      <w:r>
        <w:rPr>
          <w:rFonts w:ascii="Arial" w:cs="Arial" w:eastAsia="Arial" w:hAnsi="Arial"/>
          <w:sz w:val="25"/>
          <w:szCs w:val="25"/>
          <w:i w:val="1"/>
          <w:iCs w:val="1"/>
          <w:color w:val="auto"/>
          <w:vertAlign w:val="superscript"/>
        </w:rPr>
        <w:t>2</w:t>
      </w:r>
      <w:r>
        <w:rPr>
          <w:rFonts w:ascii="Arial" w:cs="Arial" w:eastAsia="Arial" w:hAnsi="Arial"/>
          <w:sz w:val="20"/>
          <w:szCs w:val="20"/>
          <w:i w:val="1"/>
          <w:iCs w:val="1"/>
          <w:color w:val="auto"/>
        </w:rPr>
        <w:t xml:space="preserve"> -</w:t>
      </w:r>
    </w:p>
    <w:p>
      <w:pPr>
        <w:spacing w:after="0" w:line="194" w:lineRule="exact"/>
        <w:rPr>
          <w:rFonts w:ascii="Arial" w:cs="Arial" w:eastAsia="Arial" w:hAnsi="Arial"/>
          <w:sz w:val="19"/>
          <w:szCs w:val="19"/>
          <w:i w:val="1"/>
          <w:iCs w:val="1"/>
          <w:color w:val="auto"/>
        </w:rPr>
      </w:pPr>
    </w:p>
    <w:p>
      <w:pPr>
        <w:ind w:left="680" w:hanging="114"/>
        <w:spacing w:after="0"/>
        <w:tabs>
          <w:tab w:leader="none" w:pos="68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Highly scalable intermittent treatment for Generalized Anxiety Disorder (“GAD”) with an expected treatment time of</w:t>
      </w:r>
    </w:p>
    <w:p>
      <w:pPr>
        <w:spacing w:after="0" w:line="40" w:lineRule="exact"/>
        <w:rPr>
          <w:rFonts w:ascii="Arial" w:cs="Arial" w:eastAsia="Arial" w:hAnsi="Arial"/>
          <w:sz w:val="20"/>
          <w:szCs w:val="20"/>
          <w:i w:val="1"/>
          <w:iCs w:val="1"/>
          <w:color w:val="auto"/>
        </w:rPr>
      </w:pPr>
    </w:p>
    <w:p>
      <w:pPr>
        <w:ind w:left="32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approximately 90-minutes from a single administration -</w:t>
      </w:r>
    </w:p>
    <w:p>
      <w:pPr>
        <w:spacing w:after="0" w:line="269" w:lineRule="exact"/>
        <w:rPr>
          <w:rFonts w:ascii="Arial" w:cs="Arial" w:eastAsia="Arial" w:hAnsi="Arial"/>
          <w:sz w:val="20"/>
          <w:szCs w:val="20"/>
          <w:i w:val="1"/>
          <w:iCs w:val="1"/>
          <w:color w:val="auto"/>
        </w:rPr>
      </w:pPr>
    </w:p>
    <w:p>
      <w:pPr>
        <w:ind w:left="320" w:hanging="123"/>
        <w:spacing w:after="0"/>
        <w:tabs>
          <w:tab w:leader="none" w:pos="3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Proprietary deuterated dimethyltryptamine (“DMT”) molecule with U.S. composition of matter patent granted with protection</w:t>
      </w:r>
    </w:p>
    <w:p>
      <w:pPr>
        <w:spacing w:after="0" w:line="40" w:lineRule="exact"/>
        <w:rPr>
          <w:rFonts w:ascii="Arial" w:cs="Arial" w:eastAsia="Arial" w:hAnsi="Arial"/>
          <w:sz w:val="20"/>
          <w:szCs w:val="20"/>
          <w:i w:val="1"/>
          <w:iCs w:val="1"/>
          <w:color w:val="auto"/>
        </w:rPr>
      </w:pPr>
    </w:p>
    <w:p>
      <w:pPr>
        <w:ind w:left="45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expected through 2041 -</w:t>
      </w:r>
    </w:p>
    <w:p>
      <w:pPr>
        <w:spacing w:after="0" w:line="269" w:lineRule="exact"/>
        <w:rPr>
          <w:rFonts w:ascii="Arial" w:cs="Arial" w:eastAsia="Arial" w:hAnsi="Arial"/>
          <w:sz w:val="20"/>
          <w:szCs w:val="20"/>
          <w:i w:val="1"/>
          <w:iCs w:val="1"/>
          <w:color w:val="auto"/>
        </w:rPr>
      </w:pPr>
    </w:p>
    <w:p>
      <w:pPr>
        <w:ind w:left="3020" w:hanging="126"/>
        <w:spacing w:after="0"/>
        <w:tabs>
          <w:tab w:leader="none" w:pos="30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Topline Phase 2 safety and efficacy data expected Q4 2024 -</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15,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the initiation of a Phase 2 proof-of-concept study of CYB004, its proprietary DMT molecule in development for the treatment of GAD. In January 2024, the U.S. Food and Drug Administration (“FDA”) cleared Cybin’s Investigational New Drug application for CYB004.</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“Initiation of the Phase 2 study of CYB004 for GAD is an exciting step forward for our deuterated DMT program,” said Doug Drysdale, Chief Executive Officer of Cybin. “One of our most important goals is to achieve a scalable, short-duration psychedelic experience for the patient, in the hopes of potentially disrupting negative, ruminative thought patterns. We are building on foundational investigative work from our Phase 2a trial of intravenous SPL026 (DMT) which showed preliminary evidence of effectiveness treating anxiety with rapid onset of antidepressant effects and reduction in anxiety scores.”</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“This week, we also announced three important catalysts for our other novel psychedelic molecule, CYB003 for the adjunctive treatment of Major Depressive Disorder: (1) we had a positive End-of-Phase 2 meeting with the FDA, gaining alignment on our Phase 3 program design; (2) CYB003 was granted Breakthrough Therapy Designation by the FDA; and (3) we shared positive four-month durability data which support a pivotal Phase 3 multinational study in mid-2024. With two lead clinical programs progressing rapidly, we are committed to leading the way to address the challenges of mental healthcare today,” concluded Drysdale.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Phase 2 Program Outline</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CYB004-002 Phase 2 study is a randomized, double-blind study which will evaluate the safety and efficacy of CYB004 in participants with GAD, with concomitant antidepressant/anxiolytic treatment and co-morbid depression allowed.</w:t>
      </w:r>
    </w:p>
    <w:p>
      <w:pPr>
        <w:spacing w:after="0" w:line="222"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study will recruit approximately 36 participants, who will be randomized in a double-blind manner, into 2 groups: the first group will receive two IM doses of CYB004, three weeks apart, while the second group will receive two low-dose control administrations.</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study will enroll participants with moderate to severe GAD and a score of ≥10 on the GAD-7 anxiety scale.</w:t>
      </w:r>
    </w:p>
    <w:p>
      <w:pPr>
        <w:spacing w:after="0" w:line="17"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Participants will be followed for a period of three months, with an optional additional assessment at six months.</w:t>
      </w:r>
    </w:p>
    <w:p>
      <w:pPr>
        <w:spacing w:after="0" w:line="52" w:lineRule="exact"/>
        <w:rPr>
          <w:rFonts w:ascii="Times New Roman" w:cs="Times New Roman" w:eastAsia="Times New Roman" w:hAnsi="Times New Roman"/>
          <w:sz w:val="20"/>
          <w:szCs w:val="20"/>
          <w:color w:val="auto"/>
        </w:rPr>
      </w:pPr>
    </w:p>
    <w:p>
      <w:pPr>
        <w:ind w:left="660" w:hanging="328"/>
        <w:spacing w:after="0" w:line="265"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primary endpoint is a change in the Hamilton Anxiety Rating Scale (“HAM-A”) score from baseline at six weeks following the second dose.</w:t>
      </w:r>
    </w:p>
    <w:p>
      <w:pPr>
        <w:spacing w:after="0" w:line="20" w:lineRule="exact"/>
        <w:rPr>
          <w:rFonts w:ascii="Times New Roman" w:cs="Times New Roman" w:eastAsia="Times New Roman" w:hAnsi="Times New Roman"/>
          <w:sz w:val="22"/>
          <w:szCs w:val="22"/>
          <w:color w:val="auto"/>
        </w:rPr>
      </w:pPr>
    </w:p>
    <w:p>
      <w:pPr>
        <w:ind w:left="660" w:hanging="328"/>
        <w:spacing w:after="0" w:line="265"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Other endpoints include the Montgomery-Asberg Depression Rating scale depression assessment, safety assessments, MEQ30 (psychedelic experience assessment) and EQ-5D-5L (quality of life assessment).</w:t>
      </w:r>
    </w:p>
    <w:p>
      <w:pPr>
        <w:spacing w:after="0" w:line="20" w:lineRule="exact"/>
        <w:rPr>
          <w:rFonts w:ascii="Times New Roman" w:cs="Times New Roman" w:eastAsia="Times New Roman" w:hAnsi="Times New Roman"/>
          <w:sz w:val="22"/>
          <w:szCs w:val="22"/>
          <w:color w:val="auto"/>
        </w:rPr>
      </w:pPr>
    </w:p>
    <w:p>
      <w:pPr>
        <w:ind w:left="660" w:hanging="328"/>
        <w:spacing w:after="0" w:line="265"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Results from this study are expected to provide proof of concept for CYB004’s efficacy in GAD, the time to onset of effects, as well as durability of effects to six months.</w:t>
      </w:r>
    </w:p>
    <w:p>
      <w:pPr>
        <w:spacing w:after="0" w:line="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Topline safety and efficacy data from this Phase 2 CYB004-002 study are expected in Q4 2024.</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Unmet Medical Need in Generalized Anxiety Disorder</w:t>
      </w:r>
    </w:p>
    <w:p>
      <w:pPr>
        <w:spacing w:after="0" w:line="2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Anxiety disorders affect over 40 million adults in the United States each year.</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In the U.S., GAD is the most common anxiety disorder seen in primary care, with a 12-month prevalence of 2.9%.</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Despite the use of existing therapies, 50% of patients with GAD do not respond to first line treatment with antidepressants such as SSRIs and SNRIs</w:t>
      </w:r>
      <w:r>
        <w:rPr>
          <w:rFonts w:ascii="Arial" w:cs="Arial" w:eastAsia="Arial" w:hAnsi="Arial"/>
          <w:sz w:val="25"/>
          <w:szCs w:val="25"/>
          <w:color w:val="auto"/>
          <w:vertAlign w:val="superscript"/>
        </w:rPr>
        <w:t>4</w:t>
      </w:r>
      <w:r>
        <w:rPr>
          <w:rFonts w:ascii="Arial" w:cs="Arial" w:eastAsia="Arial" w:hAnsi="Arial"/>
          <w:sz w:val="20"/>
          <w:szCs w:val="20"/>
          <w:color w:val="auto"/>
        </w:rPr>
        <w:t>, highlighting a large treatment gap and urgent need for improved therapeutic options.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Sources</w:t>
      </w:r>
    </w:p>
    <w:p>
      <w:pPr>
        <w:spacing w:after="0" w:line="43" w:lineRule="exact"/>
        <w:rPr>
          <w:sz w:val="20"/>
          <w:szCs w:val="20"/>
          <w:color w:val="auto"/>
        </w:rPr>
      </w:pPr>
    </w:p>
    <w:p>
      <w:pPr>
        <w:ind w:left="640" w:hanging="326"/>
        <w:spacing w:after="0" w:line="288" w:lineRule="auto"/>
        <w:tabs>
          <w:tab w:leader="none" w:pos="630" w:val="left"/>
        </w:tabs>
        <w:numPr>
          <w:ilvl w:val="0"/>
          <w:numId w:val="3"/>
        </w:numPr>
        <w:rPr>
          <w:rFonts w:ascii="Arial" w:cs="Arial" w:eastAsia="Arial" w:hAnsi="Arial"/>
          <w:sz w:val="19"/>
          <w:szCs w:val="19"/>
          <w:color w:val="040A2C"/>
        </w:rPr>
      </w:pPr>
      <w:r>
        <w:rPr>
          <w:rFonts w:ascii="Arial" w:cs="Arial" w:eastAsia="Arial" w:hAnsi="Arial"/>
          <w:sz w:val="19"/>
          <w:szCs w:val="19"/>
          <w:color w:val="auto"/>
        </w:rPr>
        <w:t xml:space="preserve">Stein, D. J., Scott, K. M., de Jonge, P., &amp; Kessler, R. C. (2017). Epidemiology of anxiety disorders: from surveys to nosology and back. </w:t>
      </w:r>
      <w:r>
        <w:rPr>
          <w:rFonts w:ascii="Arial" w:cs="Arial" w:eastAsia="Arial" w:hAnsi="Arial"/>
          <w:sz w:val="19"/>
          <w:szCs w:val="19"/>
          <w:i w:val="1"/>
          <w:iCs w:val="1"/>
          <w:color w:val="auto"/>
        </w:rPr>
        <w:t>Dialogues in clinical neuroscience</w:t>
      </w:r>
      <w:r>
        <w:rPr>
          <w:rFonts w:ascii="Arial" w:cs="Arial" w:eastAsia="Arial" w:hAnsi="Arial"/>
          <w:sz w:val="19"/>
          <w:szCs w:val="19"/>
          <w:color w:val="auto"/>
        </w:rPr>
        <w:t xml:space="preserve">, 19(2), 127–136. </w:t>
      </w:r>
      <w:r>
        <w:rPr>
          <w:rFonts w:ascii="Arial" w:cs="Arial" w:eastAsia="Arial" w:hAnsi="Arial"/>
          <w:sz w:val="19"/>
          <w:szCs w:val="19"/>
          <w:color w:val="040A2C"/>
        </w:rPr>
        <w:t>https://doi.org/10.31887/DCNS.2017.19.2/dstein</w:t>
      </w:r>
    </w:p>
    <w:p>
      <w:pPr>
        <w:spacing w:after="0" w:line="1" w:lineRule="exact"/>
        <w:rPr>
          <w:rFonts w:ascii="Arial" w:cs="Arial" w:eastAsia="Arial" w:hAnsi="Arial"/>
          <w:sz w:val="19"/>
          <w:szCs w:val="19"/>
          <w:color w:val="040A2C"/>
        </w:rPr>
      </w:pPr>
    </w:p>
    <w:p>
      <w:pPr>
        <w:jc w:val="both"/>
        <w:ind w:left="640" w:hanging="326"/>
        <w:spacing w:after="0" w:line="273" w:lineRule="auto"/>
        <w:tabs>
          <w:tab w:leader="none" w:pos="63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Yang X., Fang Y., Chen H., Zhang T., Yin X., Man J., Yang L., Lu M. (2021). Global, regional and national burden of anxiety disorders from 1990 to 2019: results from the Global Burden of Disease Study 2019. </w:t>
      </w:r>
      <w:r>
        <w:rPr>
          <w:rFonts w:ascii="Arial" w:cs="Arial" w:eastAsia="Arial" w:hAnsi="Arial"/>
          <w:sz w:val="20"/>
          <w:szCs w:val="20"/>
          <w:i w:val="1"/>
          <w:iCs w:val="1"/>
          <w:color w:val="auto"/>
        </w:rPr>
        <w:t>Epidemiology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Psychiatric Sciences </w:t>
      </w:r>
      <w:r>
        <w:rPr>
          <w:rFonts w:ascii="Arial" w:cs="Arial" w:eastAsia="Arial" w:hAnsi="Arial"/>
          <w:sz w:val="20"/>
          <w:szCs w:val="20"/>
          <w:color w:val="auto"/>
        </w:rPr>
        <w:t>30, e36, 1–11.</w:t>
      </w:r>
    </w:p>
    <w:p>
      <w:pPr>
        <w:spacing w:after="0" w:line="2" w:lineRule="exact"/>
        <w:rPr>
          <w:rFonts w:ascii="Arial" w:cs="Arial" w:eastAsia="Arial" w:hAnsi="Arial"/>
          <w:sz w:val="20"/>
          <w:szCs w:val="20"/>
          <w:color w:val="auto"/>
        </w:rPr>
      </w:pPr>
    </w:p>
    <w:p>
      <w:pPr>
        <w:ind w:left="620" w:hanging="306"/>
        <w:spacing w:after="0"/>
        <w:tabs>
          <w:tab w:leader="none" w:pos="620" w:val="left"/>
        </w:tabs>
        <w:numPr>
          <w:ilvl w:val="0"/>
          <w:numId w:val="3"/>
        </w:numPr>
        <w:rPr>
          <w:rFonts w:ascii="Arial" w:cs="Arial" w:eastAsia="Arial" w:hAnsi="Arial"/>
          <w:sz w:val="20"/>
          <w:szCs w:val="20"/>
          <w:color w:val="040A2C"/>
        </w:rPr>
      </w:pPr>
      <w:r>
        <w:rPr>
          <w:rFonts w:ascii="Arial" w:cs="Arial" w:eastAsia="Arial" w:hAnsi="Arial"/>
          <w:sz w:val="20"/>
          <w:szCs w:val="20"/>
          <w:color w:val="040A2C"/>
        </w:rPr>
        <w:t>https://adaa.org/understanding-anxiety/facts-statistics</w:t>
      </w:r>
    </w:p>
    <w:p>
      <w:pPr>
        <w:spacing w:after="0" w:line="35" w:lineRule="exact"/>
        <w:rPr>
          <w:rFonts w:ascii="Arial" w:cs="Arial" w:eastAsia="Arial" w:hAnsi="Arial"/>
          <w:sz w:val="20"/>
          <w:szCs w:val="20"/>
          <w:color w:val="040A2C"/>
        </w:rPr>
      </w:pPr>
    </w:p>
    <w:p>
      <w:pPr>
        <w:ind w:left="640" w:hanging="326"/>
        <w:spacing w:after="0" w:line="300" w:lineRule="auto"/>
        <w:tabs>
          <w:tab w:leader="none" w:pos="630" w:val="left"/>
        </w:tabs>
        <w:numPr>
          <w:ilvl w:val="0"/>
          <w:numId w:val="3"/>
        </w:numPr>
        <w:rPr>
          <w:rFonts w:ascii="Arial" w:cs="Arial" w:eastAsia="Arial" w:hAnsi="Arial"/>
          <w:sz w:val="20"/>
          <w:szCs w:val="20"/>
          <w:color w:val="040A2C"/>
        </w:rPr>
      </w:pPr>
      <w:r>
        <w:rPr>
          <w:rFonts w:ascii="Arial" w:cs="Arial" w:eastAsia="Arial" w:hAnsi="Arial"/>
          <w:sz w:val="20"/>
          <w:szCs w:val="20"/>
          <w:color w:val="auto"/>
        </w:rPr>
        <w:t xml:space="preserve">Ansara E. D. (2020). Management of treatment-resistant generalized anxiety disorder. The mental health clinician, 10(6), 326–334. </w:t>
      </w:r>
      <w:r>
        <w:rPr>
          <w:rFonts w:ascii="Arial" w:cs="Arial" w:eastAsia="Arial" w:hAnsi="Arial"/>
          <w:sz w:val="20"/>
          <w:szCs w:val="20"/>
          <w:color w:val="040A2C"/>
        </w:rPr>
        <w:t>https://doi.org/10.9740/mhc.2020.11.326</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planned clinical trials and program strategy for CYB004; anticipated release of topline safety and efficacy from the Phase 2 CYB004-002 study in Q4 2024; the potential of CYB004 to be a scalable treatment that can be delivered in a short period of time; and the Company’s proprietary drug discovery platforms, innovative drug delivery systems, novel formulation approaches and treatment regimens for mental health disorders.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7" w:name="page8"/>
    <w:bookmarkEnd w:id="7"/>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2024-03-15T14:22:07Z</dcterms:created>
  <dcterms:modified xsi:type="dcterms:W3CDTF">2024-03-15T14:22:07Z</dcterms:modified>
</cp:coreProperties>
</file>