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November 14,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to Present 12-Month Phase 2 Data for CYB003 in Major Depressive Disorder on November 18, 2024</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Company to host conference call and webcast at 8:00 a.m. ET on Monday, November 18, 2024 -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Presentation will also include discussion of its recently initiated Phase 3 PARADIGM program for CYB003 -</w:t>
      </w:r>
    </w:p>
    <w:p>
      <w:pPr>
        <w:spacing w:after="0" w:line="28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November 14,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platform company committed to revolutionizing mental healthcare by developing new and innovative next-generation treatment options, today announced that it will host a conference call and webcast on Monday, November 18, 2024 at 8:00 a.m. ET.</w:t>
      </w:r>
    </w:p>
    <w:p>
      <w:pPr>
        <w:spacing w:after="0" w:line="19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The event will be hosted by Cybin’s Chief Executive Officer, Doug Drysdale, and Cybin’s Chief Medical Officer, Amir Inamdar, and will include presentation of 12-month efficacy and safety data from the Company’s Phase 2 study of CYB003 in Major Depressive Disorder and an overview of the design of its recently initiated Phase 3 PARADIGM</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program in CYB003. A Q&amp;A session for the investment community will follow the prepared remarks.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Details: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80" w:type="dxa"/>
            <w:vAlign w:val="bottom"/>
          </w:tcPr>
          <w:p>
            <w:pPr>
              <w:spacing w:after="0"/>
              <w:rPr>
                <w:sz w:val="20"/>
                <w:szCs w:val="20"/>
                <w:color w:val="auto"/>
              </w:rPr>
            </w:pPr>
            <w:r>
              <w:rPr>
                <w:rFonts w:ascii="Arial" w:cs="Arial" w:eastAsia="Arial" w:hAnsi="Arial"/>
                <w:sz w:val="20"/>
                <w:szCs w:val="20"/>
                <w:color w:val="auto"/>
              </w:rPr>
              <w:t>Date:</w:t>
            </w:r>
          </w:p>
        </w:tc>
        <w:tc>
          <w:tcPr>
            <w:tcW w:w="5560" w:type="dxa"/>
            <w:vAlign w:val="bottom"/>
            <w:gridSpan w:val="3"/>
          </w:tcPr>
          <w:p>
            <w:pPr>
              <w:ind w:left="200"/>
              <w:spacing w:after="0"/>
              <w:rPr>
                <w:sz w:val="20"/>
                <w:szCs w:val="20"/>
                <w:color w:val="auto"/>
              </w:rPr>
            </w:pPr>
            <w:r>
              <w:rPr>
                <w:rFonts w:ascii="Arial" w:cs="Arial" w:eastAsia="Arial" w:hAnsi="Arial"/>
                <w:sz w:val="20"/>
                <w:szCs w:val="20"/>
                <w:color w:val="auto"/>
              </w:rPr>
              <w:t>Monday, November 18, 2024</w:t>
            </w:r>
          </w:p>
        </w:tc>
      </w:tr>
      <w:tr>
        <w:trPr>
          <w:trHeight w:val="526"/>
        </w:trPr>
        <w:tc>
          <w:tcPr>
            <w:tcW w:w="980" w:type="dxa"/>
            <w:vAlign w:val="bottom"/>
          </w:tcPr>
          <w:p>
            <w:pPr>
              <w:spacing w:after="0"/>
              <w:rPr>
                <w:sz w:val="20"/>
                <w:szCs w:val="20"/>
                <w:color w:val="auto"/>
              </w:rPr>
            </w:pPr>
            <w:r>
              <w:rPr>
                <w:rFonts w:ascii="Arial" w:cs="Arial" w:eastAsia="Arial" w:hAnsi="Arial"/>
                <w:sz w:val="20"/>
                <w:szCs w:val="20"/>
                <w:color w:val="auto"/>
              </w:rPr>
              <w:t>Time:</w:t>
            </w:r>
          </w:p>
        </w:tc>
        <w:tc>
          <w:tcPr>
            <w:tcW w:w="5560" w:type="dxa"/>
            <w:vAlign w:val="bottom"/>
            <w:gridSpan w:val="3"/>
          </w:tcPr>
          <w:p>
            <w:pPr>
              <w:ind w:left="220"/>
              <w:spacing w:after="0"/>
              <w:rPr>
                <w:sz w:val="20"/>
                <w:szCs w:val="20"/>
                <w:color w:val="auto"/>
              </w:rPr>
            </w:pPr>
            <w:r>
              <w:rPr>
                <w:rFonts w:ascii="Arial" w:cs="Arial" w:eastAsia="Arial" w:hAnsi="Arial"/>
                <w:sz w:val="20"/>
                <w:szCs w:val="20"/>
                <w:color w:val="auto"/>
              </w:rPr>
              <w:t>8:00 a.m. ET.</w:t>
            </w:r>
          </w:p>
        </w:tc>
      </w:tr>
      <w:tr>
        <w:trPr>
          <w:trHeight w:val="540"/>
        </w:trPr>
        <w:tc>
          <w:tcPr>
            <w:tcW w:w="980" w:type="dxa"/>
            <w:vAlign w:val="bottom"/>
          </w:tcPr>
          <w:p>
            <w:pPr>
              <w:spacing w:after="0"/>
              <w:rPr>
                <w:sz w:val="20"/>
                <w:szCs w:val="20"/>
                <w:color w:val="auto"/>
              </w:rPr>
            </w:pPr>
            <w:r>
              <w:rPr>
                <w:rFonts w:ascii="Arial" w:cs="Arial" w:eastAsia="Arial" w:hAnsi="Arial"/>
                <w:sz w:val="20"/>
                <w:szCs w:val="20"/>
                <w:color w:val="auto"/>
              </w:rPr>
              <w:t>Dial-in:</w:t>
            </w:r>
          </w:p>
        </w:tc>
        <w:tc>
          <w:tcPr>
            <w:tcW w:w="5560" w:type="dxa"/>
            <w:vAlign w:val="bottom"/>
            <w:gridSpan w:val="3"/>
          </w:tcPr>
          <w:p>
            <w:pPr>
              <w:ind w:left="140"/>
              <w:spacing w:after="0"/>
              <w:rPr>
                <w:sz w:val="20"/>
                <w:szCs w:val="20"/>
                <w:color w:val="auto"/>
              </w:rPr>
            </w:pPr>
            <w:r>
              <w:rPr>
                <w:rFonts w:ascii="Arial" w:cs="Arial" w:eastAsia="Arial" w:hAnsi="Arial"/>
                <w:sz w:val="20"/>
                <w:szCs w:val="20"/>
                <w:color w:val="auto"/>
                <w:w w:val="98"/>
              </w:rPr>
              <w:t>800-579-2543 (U.S. Toll-Free) or 785-424-1789 (International)</w:t>
            </w:r>
          </w:p>
        </w:tc>
      </w:tr>
      <w:tr>
        <w:trPr>
          <w:trHeight w:val="500"/>
        </w:trPr>
        <w:tc>
          <w:tcPr>
            <w:tcW w:w="6540" w:type="dxa"/>
            <w:vAlign w:val="bottom"/>
            <w:gridSpan w:val="4"/>
          </w:tcPr>
          <w:p>
            <w:pPr>
              <w:spacing w:after="0"/>
              <w:rPr>
                <w:sz w:val="20"/>
                <w:szCs w:val="20"/>
                <w:color w:val="auto"/>
              </w:rPr>
            </w:pPr>
            <w:r>
              <w:rPr>
                <w:rFonts w:ascii="Arial" w:cs="Arial" w:eastAsia="Arial" w:hAnsi="Arial"/>
                <w:sz w:val="20"/>
                <w:szCs w:val="20"/>
                <w:color w:val="auto"/>
              </w:rPr>
              <w:t>Conference ID: CYBN1118</w:t>
            </w:r>
          </w:p>
        </w:tc>
      </w:tr>
      <w:tr>
        <w:trPr>
          <w:trHeight w:val="462"/>
        </w:trPr>
        <w:tc>
          <w:tcPr>
            <w:tcW w:w="980" w:type="dxa"/>
            <w:vAlign w:val="bottom"/>
          </w:tcPr>
          <w:p>
            <w:pPr>
              <w:spacing w:after="0"/>
              <w:rPr>
                <w:sz w:val="20"/>
                <w:szCs w:val="20"/>
                <w:color w:val="auto"/>
              </w:rPr>
            </w:pPr>
            <w:r>
              <w:rPr>
                <w:rFonts w:ascii="Arial" w:cs="Arial" w:eastAsia="Arial" w:hAnsi="Arial"/>
                <w:sz w:val="20"/>
                <w:szCs w:val="20"/>
                <w:color w:val="auto"/>
              </w:rPr>
              <w:t>Webcast:</w:t>
            </w:r>
          </w:p>
        </w:tc>
        <w:tc>
          <w:tcPr>
            <w:tcW w:w="5560" w:type="dxa"/>
            <w:vAlign w:val="bottom"/>
            <w:gridSpan w:val="3"/>
          </w:tcPr>
          <w:p>
            <w:pPr>
              <w:ind w:left="340"/>
              <w:spacing w:after="0"/>
              <w:rPr>
                <w:sz w:val="20"/>
                <w:szCs w:val="20"/>
                <w:color w:val="auto"/>
              </w:rPr>
            </w:pPr>
            <w:r>
              <w:rPr>
                <w:rFonts w:ascii="Arial" w:cs="Arial" w:eastAsia="Arial" w:hAnsi="Arial"/>
                <w:sz w:val="20"/>
                <w:szCs w:val="20"/>
                <w:color w:val="auto"/>
              </w:rPr>
              <w:t xml:space="preserve">Register for the webcast </w:t>
            </w:r>
            <w:r>
              <w:rPr>
                <w:rFonts w:ascii="Arial" w:cs="Arial" w:eastAsia="Arial" w:hAnsi="Arial"/>
                <w:sz w:val="20"/>
                <w:szCs w:val="20"/>
                <w:color w:val="0000FF"/>
              </w:rPr>
              <w:t>here</w:t>
            </w:r>
          </w:p>
        </w:tc>
      </w:tr>
      <w:tr>
        <w:trPr>
          <w:trHeight w:val="20"/>
        </w:trPr>
        <w:tc>
          <w:tcPr>
            <w:tcW w:w="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 xml:space="preserve">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industry leading proof-of-concept data, Cybin is working to change the mental health treatment landscape through the introduction of intermittent treatments that provide long lasting results. The Company is currently developing CYB003, a proprietary deuterated psilocin program, in Phase 3 development for the adjunctive treatment of major depressive disorder and CYB004, a proprietary deuterated N, N-dimethyltryptamine program in a Phase 2 study for generalized anxiety disorder. The company also has a research pipeline of investigational, 5-HT-receptor focused compounds.</w:t>
      </w: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present 12-month efficacy and safety results from its Phase 2 study of CYB003; provide an overview of the design of its PARADIGM program; and the Company’s plans to engineer proprietary drug discovery platforms, innovative drug delivery systems, novel formulation approaches and treatment regimens for mental health disorders.</w:t>
      </w:r>
    </w:p>
    <w:p>
      <w:pPr>
        <w:spacing w:after="0" w:line="22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a pandemic on the Company's operations; fluctuations in general macroeconomic conditions; fluctuations in securities markets; expectations regarding the size of</w:t>
      </w:r>
    </w:p>
    <w:p>
      <w:pPr>
        <w:sectPr>
          <w:pgSz w:w="11900" w:h="16838" w:orient="portrait"/>
          <w:cols w:equalWidth="0" w:num="1">
            <w:col w:w="11240"/>
          </w:cols>
          <w:pgMar w:left="320" w:top="1427" w:right="339" w:bottom="1440" w:gutter="0" w:footer="0" w:header="0"/>
        </w:sectPr>
      </w:pPr>
    </w:p>
    <w:bookmarkStart w:id="5" w:name="page6"/>
    <w:bookmarkEnd w:id="5"/>
    <w:p>
      <w:pPr>
        <w:jc w:val="both"/>
        <w:spacing w:after="0" w:line="293" w:lineRule="auto"/>
        <w:rPr>
          <w:sz w:val="20"/>
          <w:szCs w:val="20"/>
          <w:color w:val="auto"/>
        </w:rPr>
      </w:pPr>
      <w:r>
        <w:rPr>
          <w:rFonts w:ascii="Arial" w:cs="Arial" w:eastAsia="Arial" w:hAnsi="Arial"/>
          <w:sz w:val="19"/>
          <w:szCs w:val="19"/>
          <w:color w:val="auto"/>
        </w:rPr>
        <w:t xml:space="preserve">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six month periods ended September 30, 2024 and the Company’s annual information form for the year ended March 31, 2024,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01" w:lineRule="exact"/>
        <w:rPr>
          <w:sz w:val="20"/>
          <w:szCs w:val="20"/>
          <w:color w:val="auto"/>
        </w:rPr>
      </w:pPr>
    </w:p>
    <w:p>
      <w:pPr>
        <w:jc w:val="both"/>
        <w:ind w:right="20"/>
        <w:spacing w:after="0" w:line="314"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2024-11-14T09:21:45Z</dcterms:created>
  <dcterms:modified xsi:type="dcterms:W3CDTF">2024-11-14T09:21:45Z</dcterms:modified>
</cp:coreProperties>
</file>