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333-259994</w:t>
      </w:r>
    </w:p>
    <w:p>
      <w:pPr>
        <w:spacing w:after="0" w:line="188" w:lineRule="exact"/>
        <w:rPr>
          <w:sz w:val="24"/>
          <w:szCs w:val="24"/>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This prospectus supplement (the "Prospectus Supplement"), together with the short form base shelf prospectus dated July 5, 2021 to which it relates, as amended or supplemented (the "Base Shelf Prospectus"), and each document deemed to be incorporated by reference into this Prospectus Supplement and the Base Shelf Prospectus, as amended or supplemented (collectively, the "Prospectus"), constitutes a public offering of these securities only in those jurisdictions where they may be lawfully offered for sale and only by persons permitted to sell such securities. No securities regulatory authority has expressed 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charge from the Secretary of Cybin Inc. at 100 King Street West, Suite 5600, Toronto, Ontario M5X 1C9, telephone 1-866-292-4601, and are also available electronically at www.sedar.com and www.sec.gov/edgar.</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July 5, 2021)</w:t>
      </w:r>
    </w:p>
    <w:p>
      <w:pPr>
        <w:spacing w:after="0" w:line="195" w:lineRule="exact"/>
        <w:rPr>
          <w:sz w:val="24"/>
          <w:szCs w:val="24"/>
          <w:color w:val="auto"/>
        </w:rPr>
      </w:pPr>
    </w:p>
    <w:p>
      <w:pPr>
        <w:spacing w:after="0"/>
        <w:tabs>
          <w:tab w:leader="none" w:pos="10120" w:val="left"/>
        </w:tabs>
        <w:rPr>
          <w:sz w:val="20"/>
          <w:szCs w:val="20"/>
          <w:color w:val="auto"/>
        </w:rPr>
      </w:pPr>
      <w:r>
        <w:rPr>
          <w:rFonts w:ascii="Arial" w:cs="Arial" w:eastAsia="Arial" w:hAnsi="Arial"/>
          <w:sz w:val="18"/>
          <w:szCs w:val="18"/>
          <w:i w:val="1"/>
          <w:iCs w:val="1"/>
          <w:color w:val="auto"/>
        </w:rPr>
        <w:t>New Issue</w:t>
      </w:r>
      <w:r>
        <w:rPr>
          <w:sz w:val="20"/>
          <w:szCs w:val="20"/>
          <w:color w:val="auto"/>
        </w:rPr>
        <w:tab/>
      </w:r>
      <w:r>
        <w:rPr>
          <w:rFonts w:ascii="Arial" w:cs="Arial" w:eastAsia="Arial" w:hAnsi="Arial"/>
          <w:sz w:val="16"/>
          <w:szCs w:val="16"/>
          <w:color w:val="auto"/>
        </w:rPr>
        <w:t>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151765</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U.S.$35,000,000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Shares</w:t>
      </w:r>
    </w:p>
    <w:p>
      <w:pPr>
        <w:spacing w:after="0" w:line="206" w:lineRule="exact"/>
        <w:rPr>
          <w:sz w:val="24"/>
          <w:szCs w:val="24"/>
          <w:color w:val="auto"/>
        </w:rPr>
      </w:pPr>
    </w:p>
    <w:p>
      <w:pPr>
        <w:jc w:val="both"/>
        <w:spacing w:after="0" w:line="239" w:lineRule="auto"/>
        <w:rPr>
          <w:sz w:val="20"/>
          <w:szCs w:val="20"/>
          <w:color w:val="auto"/>
        </w:rPr>
      </w:pPr>
      <w:r>
        <w:rPr>
          <w:rFonts w:ascii="Arial" w:cs="Arial" w:eastAsia="Arial" w:hAnsi="Arial"/>
          <w:sz w:val="22"/>
          <w:szCs w:val="22"/>
          <w:color w:val="auto"/>
        </w:rPr>
        <w:t>Cybin Inc.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is hereby qualifying the distribution (the "</w:t>
      </w:r>
      <w:r>
        <w:rPr>
          <w:rFonts w:ascii="Arial" w:cs="Arial" w:eastAsia="Arial" w:hAnsi="Arial"/>
          <w:sz w:val="22"/>
          <w:szCs w:val="22"/>
          <w:b w:val="1"/>
          <w:bCs w:val="1"/>
          <w:color w:val="auto"/>
        </w:rPr>
        <w:t>Offering</w:t>
      </w:r>
      <w:r>
        <w:rPr>
          <w:rFonts w:ascii="Arial" w:cs="Arial" w:eastAsia="Arial" w:hAnsi="Arial"/>
          <w:sz w:val="22"/>
          <w:szCs w:val="22"/>
          <w:color w:val="auto"/>
        </w:rPr>
        <w:t>") of common shares in the capital of the Corporation (the "</w:t>
      </w:r>
      <w:r>
        <w:rPr>
          <w:rFonts w:ascii="Arial" w:cs="Arial" w:eastAsia="Arial" w:hAnsi="Arial"/>
          <w:sz w:val="22"/>
          <w:szCs w:val="22"/>
          <w:b w:val="1"/>
          <w:bCs w:val="1"/>
          <w:color w:val="auto"/>
        </w:rPr>
        <w:t>Common Shares</w:t>
      </w:r>
      <w:r>
        <w:rPr>
          <w:rFonts w:ascii="Arial" w:cs="Arial" w:eastAsia="Arial" w:hAnsi="Arial"/>
          <w:sz w:val="22"/>
          <w:szCs w:val="22"/>
          <w:color w:val="auto"/>
        </w:rPr>
        <w:t xml:space="preserve">"), having an aggregate sale price of up to U.S.$35,000,000 (or the equivalent in United States dollars determined using the daily exchange rate posted by the Bank of Canada on the date the Common Shares are sold), see </w:t>
      </w:r>
      <w:r>
        <w:rPr>
          <w:rFonts w:ascii="Arial" w:cs="Arial" w:eastAsia="Arial" w:hAnsi="Arial"/>
          <w:sz w:val="22"/>
          <w:szCs w:val="22"/>
          <w:i w:val="1"/>
          <w:iCs w:val="1"/>
          <w:color w:val="auto"/>
        </w:rPr>
        <w:t>"Plan of Distribution"</w:t>
      </w:r>
      <w:r>
        <w:rPr>
          <w:rFonts w:ascii="Arial" w:cs="Arial" w:eastAsia="Arial" w:hAnsi="Arial"/>
          <w:sz w:val="22"/>
          <w:szCs w:val="22"/>
          <w:color w:val="auto"/>
        </w:rPr>
        <w:t xml:space="preserve"> and </w:t>
      </w:r>
      <w:r>
        <w:rPr>
          <w:rFonts w:ascii="Arial" w:cs="Arial" w:eastAsia="Arial" w:hAnsi="Arial"/>
          <w:sz w:val="22"/>
          <w:szCs w:val="22"/>
          <w:i w:val="1"/>
          <w:iCs w:val="1"/>
          <w:color w:val="auto"/>
        </w:rPr>
        <w:t>"Description of the Common Shares".</w:t>
      </w:r>
    </w:p>
    <w:p>
      <w:pPr>
        <w:spacing w:after="0" w:line="180" w:lineRule="exact"/>
        <w:rPr>
          <w:sz w:val="24"/>
          <w:szCs w:val="24"/>
          <w:color w:val="auto"/>
        </w:rPr>
      </w:pPr>
    </w:p>
    <w:p>
      <w:pPr>
        <w:jc w:val="both"/>
        <w:spacing w:after="0" w:line="239" w:lineRule="auto"/>
        <w:rPr>
          <w:sz w:val="20"/>
          <w:szCs w:val="20"/>
          <w:color w:val="auto"/>
        </w:rPr>
      </w:pPr>
      <w:r>
        <w:rPr>
          <w:rFonts w:ascii="Arial" w:cs="Arial" w:eastAsia="Arial" w:hAnsi="Arial"/>
          <w:sz w:val="22"/>
          <w:szCs w:val="22"/>
          <w:color w:val="auto"/>
        </w:rPr>
        <w:t>The issued and outstanding Common Shares are listed in Canada on the Neo Exchange Inc. ("</w:t>
      </w:r>
      <w:r>
        <w:rPr>
          <w:rFonts w:ascii="Arial" w:cs="Arial" w:eastAsia="Arial" w:hAnsi="Arial"/>
          <w:sz w:val="22"/>
          <w:szCs w:val="22"/>
          <w:b w:val="1"/>
          <w:bCs w:val="1"/>
          <w:color w:val="auto"/>
        </w:rPr>
        <w:t>NEO</w:t>
      </w:r>
      <w:r>
        <w:rPr>
          <w:rFonts w:ascii="Arial" w:cs="Arial" w:eastAsia="Arial" w:hAnsi="Arial"/>
          <w:sz w:val="22"/>
          <w:szCs w:val="22"/>
          <w:color w:val="auto"/>
        </w:rPr>
        <w:t>") and in the United States on the NYSE American LLC ("</w:t>
      </w:r>
      <w:r>
        <w:rPr>
          <w:rFonts w:ascii="Arial" w:cs="Arial" w:eastAsia="Arial" w:hAnsi="Arial"/>
          <w:sz w:val="22"/>
          <w:szCs w:val="22"/>
          <w:b w:val="1"/>
          <w:bCs w:val="1"/>
          <w:color w:val="auto"/>
        </w:rPr>
        <w:t>NYSE American</w:t>
      </w:r>
      <w:r>
        <w:rPr>
          <w:rFonts w:ascii="Arial" w:cs="Arial" w:eastAsia="Arial" w:hAnsi="Arial"/>
          <w:sz w:val="22"/>
          <w:szCs w:val="22"/>
          <w:color w:val="auto"/>
        </w:rPr>
        <w:t>"), in each case under the trading symbol "CYBN". On August 5, 2022, the last trading day prior to the filing of this Prospectus Supplement, the closing prices of the Common Shares listed on the NEO and NYSE American were $0.95 and U.S.$0.73, respectively.</w:t>
      </w:r>
    </w:p>
    <w:p>
      <w:pPr>
        <w:spacing w:after="0" w:line="180" w:lineRule="exact"/>
        <w:rPr>
          <w:sz w:val="24"/>
          <w:szCs w:val="24"/>
          <w:color w:val="auto"/>
        </w:rPr>
      </w:pPr>
    </w:p>
    <w:p>
      <w:pPr>
        <w:jc w:val="both"/>
        <w:spacing w:after="0" w:line="271" w:lineRule="auto"/>
        <w:rPr>
          <w:sz w:val="20"/>
          <w:szCs w:val="20"/>
          <w:color w:val="auto"/>
        </w:rPr>
      </w:pPr>
      <w:r>
        <w:rPr>
          <w:rFonts w:ascii="Arial" w:cs="Arial" w:eastAsia="Arial" w:hAnsi="Arial"/>
          <w:sz w:val="19"/>
          <w:szCs w:val="19"/>
          <w:color w:val="auto"/>
        </w:rPr>
        <w:t>The Corporation has entered into an "at-the-market equity" distribution agreement dated August 8, 2022 (the "</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with Cantor Fitzgerald Canada Corporation (the "</w:t>
      </w:r>
      <w:r>
        <w:rPr>
          <w:rFonts w:ascii="Arial" w:cs="Arial" w:eastAsia="Arial" w:hAnsi="Arial"/>
          <w:sz w:val="19"/>
          <w:szCs w:val="19"/>
          <w:b w:val="1"/>
          <w:bCs w:val="1"/>
          <w:color w:val="auto"/>
        </w:rPr>
        <w:t>Canadian Agent</w:t>
      </w:r>
      <w:r>
        <w:rPr>
          <w:rFonts w:ascii="Arial" w:cs="Arial" w:eastAsia="Arial" w:hAnsi="Arial"/>
          <w:sz w:val="19"/>
          <w:szCs w:val="19"/>
          <w:color w:val="auto"/>
        </w:rPr>
        <w:t>") and Cantor Fitzgerald &amp; Co. (the "</w:t>
      </w:r>
      <w:r>
        <w:rPr>
          <w:rFonts w:ascii="Arial" w:cs="Arial" w:eastAsia="Arial" w:hAnsi="Arial"/>
          <w:sz w:val="19"/>
          <w:szCs w:val="19"/>
          <w:b w:val="1"/>
          <w:bCs w:val="1"/>
          <w:color w:val="auto"/>
        </w:rPr>
        <w:t>US Agent</w:t>
      </w:r>
      <w:r>
        <w:rPr>
          <w:rFonts w:ascii="Arial" w:cs="Arial" w:eastAsia="Arial" w:hAnsi="Arial"/>
          <w:sz w:val="19"/>
          <w:szCs w:val="19"/>
          <w:color w:val="auto"/>
        </w:rPr>
        <w:t>", together with the Canadian Agent, the "</w:t>
      </w:r>
      <w:r>
        <w:rPr>
          <w:rFonts w:ascii="Arial" w:cs="Arial" w:eastAsia="Arial" w:hAnsi="Arial"/>
          <w:sz w:val="19"/>
          <w:szCs w:val="19"/>
          <w:b w:val="1"/>
          <w:bCs w:val="1"/>
          <w:color w:val="auto"/>
        </w:rPr>
        <w:t>Agents</w:t>
      </w:r>
      <w:r>
        <w:rPr>
          <w:rFonts w:ascii="Arial" w:cs="Arial" w:eastAsia="Arial" w:hAnsi="Arial"/>
          <w:sz w:val="19"/>
          <w:szCs w:val="19"/>
          <w:color w:val="auto"/>
        </w:rPr>
        <w:t>") pursuant to which the Corporation may distribute Common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through the Agents, as agents, in accordance with the terms of the Distribution Agreement, see "</w:t>
      </w:r>
      <w:r>
        <w:rPr>
          <w:rFonts w:ascii="Arial" w:cs="Arial" w:eastAsia="Arial" w:hAnsi="Arial"/>
          <w:sz w:val="19"/>
          <w:szCs w:val="19"/>
          <w:i w:val="1"/>
          <w:iCs w:val="1"/>
          <w:color w:val="auto"/>
        </w:rPr>
        <w:t>Plan of</w:t>
      </w:r>
      <w:r>
        <w:rPr>
          <w:rFonts w:ascii="Arial" w:cs="Arial" w:eastAsia="Arial" w:hAnsi="Arial"/>
          <w:sz w:val="19"/>
          <w:szCs w:val="19"/>
          <w:color w:val="auto"/>
        </w:rPr>
        <w:t xml:space="preserve"> </w:t>
      </w:r>
      <w:r>
        <w:rPr>
          <w:rFonts w:ascii="Arial" w:cs="Arial" w:eastAsia="Arial" w:hAnsi="Arial"/>
          <w:sz w:val="19"/>
          <w:szCs w:val="19"/>
          <w:i w:val="1"/>
          <w:iCs w:val="1"/>
          <w:color w:val="auto"/>
        </w:rPr>
        <w:t>Distribution</w:t>
      </w:r>
      <w:r>
        <w:rPr>
          <w:rFonts w:ascii="Arial" w:cs="Arial" w:eastAsia="Arial" w:hAnsi="Arial"/>
          <w:sz w:val="19"/>
          <w:szCs w:val="19"/>
          <w:color w:val="auto"/>
        </w:rPr>
        <w:t>". Sales of Common Shares, if any, under the Prospectus are anticipated to be made in transactions that are deemed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"at-the-market distributions" as defined in National Instrument 44-102 -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w:t>
      </w:r>
      <w:r>
        <w:rPr>
          <w:rFonts w:ascii="Arial" w:cs="Arial" w:eastAsia="Arial" w:hAnsi="Arial"/>
          <w:sz w:val="19"/>
          <w:szCs w:val="19"/>
          <w:b w:val="1"/>
          <w:bCs w:val="1"/>
          <w:color w:val="auto"/>
        </w:rPr>
        <w:t>NI 44-102</w:t>
      </w:r>
      <w:r>
        <w:rPr>
          <w:rFonts w:ascii="Arial" w:cs="Arial" w:eastAsia="Arial" w:hAnsi="Arial"/>
          <w:sz w:val="19"/>
          <w:szCs w:val="19"/>
          <w:color w:val="auto"/>
        </w:rPr>
        <w:t>") and an "at-the-market offering" as defined in Rule 415(a)(4) under the United States Securities Act of 1933, as amended (the "</w:t>
      </w:r>
      <w:r>
        <w:rPr>
          <w:rFonts w:ascii="Arial" w:cs="Arial" w:eastAsia="Arial" w:hAnsi="Arial"/>
          <w:sz w:val="19"/>
          <w:szCs w:val="19"/>
          <w:b w:val="1"/>
          <w:bCs w:val="1"/>
          <w:color w:val="auto"/>
        </w:rPr>
        <w:t>U.S. Securities</w:t>
      </w:r>
      <w:r>
        <w:rPr>
          <w:rFonts w:ascii="Arial" w:cs="Arial" w:eastAsia="Arial" w:hAnsi="Arial"/>
          <w:sz w:val="19"/>
          <w:szCs w:val="19"/>
          <w:color w:val="auto"/>
        </w:rPr>
        <w:t xml:space="preserve"> </w:t>
      </w:r>
      <w:r>
        <w:rPr>
          <w:rFonts w:ascii="Arial" w:cs="Arial" w:eastAsia="Arial" w:hAnsi="Arial"/>
          <w:sz w:val="19"/>
          <w:szCs w:val="19"/>
          <w:b w:val="1"/>
          <w:bCs w:val="1"/>
          <w:color w:val="auto"/>
        </w:rPr>
        <w:t>Act</w:t>
      </w:r>
      <w:r>
        <w:rPr>
          <w:rFonts w:ascii="Arial" w:cs="Arial" w:eastAsia="Arial" w:hAnsi="Arial"/>
          <w:sz w:val="19"/>
          <w:szCs w:val="19"/>
          <w:color w:val="auto"/>
        </w:rPr>
        <w:t>"), in privately negotiated transactions and/or any other method permitted by applicable law including sales made directly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NEO by the Canadian Agent, and on NYSE American by the US Agent, or any other recognized marketplace upon which the Common Shares are listed or quoted or where the Common Shares are traded in Canada or the United States. The Common Shares will be distributed at the market prices prevailing at the time of the sale. As a result, prices at which Common Shares are sold may vary as between purchasers and during the period of any distribution. </w:t>
      </w:r>
      <w:r>
        <w:rPr>
          <w:rFonts w:ascii="Arial" w:cs="Arial" w:eastAsia="Arial" w:hAnsi="Arial"/>
          <w:sz w:val="19"/>
          <w:szCs w:val="19"/>
          <w:b w:val="1"/>
          <w:bCs w:val="1"/>
          <w:color w:val="auto"/>
        </w:rPr>
        <w:t>There is no minimum amount of funds that</w:t>
      </w:r>
      <w:r>
        <w:rPr>
          <w:rFonts w:ascii="Arial" w:cs="Arial" w:eastAsia="Arial" w:hAnsi="Arial"/>
          <w:sz w:val="19"/>
          <w:szCs w:val="19"/>
          <w:color w:val="auto"/>
        </w:rPr>
        <w:t xml:space="preserve"> </w:t>
      </w:r>
      <w:r>
        <w:rPr>
          <w:rFonts w:ascii="Arial" w:cs="Arial" w:eastAsia="Arial" w:hAnsi="Arial"/>
          <w:sz w:val="19"/>
          <w:szCs w:val="19"/>
          <w:b w:val="1"/>
          <w:bCs w:val="1"/>
          <w:color w:val="auto"/>
        </w:rPr>
        <w:t>must be raised under the Offering. This means that the Offering may terminate after raising only a portion of the Offering amount set out above, or none at all. 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 See "</w:t>
      </w:r>
      <w:r>
        <w:rPr>
          <w:rFonts w:ascii="Arial" w:cs="Arial" w:eastAsia="Arial" w:hAnsi="Arial"/>
          <w:sz w:val="19"/>
          <w:szCs w:val="19"/>
          <w:b w:val="1"/>
          <w:bCs w:val="1"/>
          <w:i w:val="1"/>
          <w:iCs w:val="1"/>
          <w:color w:val="auto"/>
        </w:rPr>
        <w:t>Plan of Distribution</w:t>
      </w:r>
      <w:r>
        <w:rPr>
          <w:rFonts w:ascii="Arial" w:cs="Arial" w:eastAsia="Arial" w:hAnsi="Arial"/>
          <w:sz w:val="19"/>
          <w:szCs w:val="1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jc w:val="both"/>
        <w:spacing w:after="0" w:line="258" w:lineRule="auto"/>
        <w:rPr>
          <w:sz w:val="20"/>
          <w:szCs w:val="20"/>
          <w:color w:val="auto"/>
        </w:rPr>
      </w:pPr>
      <w:r>
        <w:rPr>
          <w:rFonts w:ascii="Arial" w:cs="Arial" w:eastAsia="Arial" w:hAnsi="Arial"/>
          <w:sz w:val="21"/>
          <w:szCs w:val="21"/>
          <w:color w:val="auto"/>
        </w:rPr>
        <w:t>The Offering is being made concurrently in Canada under the terms of the Prospectus and in the United States under the Corporation's Registration Statement on Form F-10 (File No. 333-259994)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filed with the United States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of which this Prospectus Supplement forms a part.</w:t>
      </w:r>
    </w:p>
    <w:p>
      <w:pPr>
        <w:spacing w:after="0" w:line="16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will pay the Agents compensation for their services in acting as agent in connection with the sale of Common Shares pursuant to the Distribution Agreement equal to 3% of the gross sale price per Common Share sold (the "</w:t>
      </w:r>
      <w:r>
        <w:rPr>
          <w:rFonts w:ascii="Arial" w:cs="Arial" w:eastAsia="Arial" w:hAnsi="Arial"/>
          <w:sz w:val="19"/>
          <w:szCs w:val="19"/>
          <w:b w:val="1"/>
          <w:bCs w:val="1"/>
          <w:color w:val="auto"/>
        </w:rPr>
        <w:t>Commission</w:t>
      </w:r>
      <w:r>
        <w:rPr>
          <w:rFonts w:ascii="Arial" w:cs="Arial" w:eastAsia="Arial" w:hAnsi="Arial"/>
          <w:sz w:val="19"/>
          <w:szCs w:val="19"/>
          <w:color w:val="auto"/>
        </w:rPr>
        <w:t>").</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Common Shares distributed hereunder on the NEO and NYSE American has authorized the listing of the Common Shares to be offered in the Offering. Listing will be subject to the Corporation fulfilling all listing requirements of the NEO and NYSE American.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An investment in the Common Shares is highly speculative and involves significant risks that you should consider before purchasing Common Shares. See the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xml:space="preserve"> section in this Prospectus Supplement, including in the documents incorporated by reference</w:t>
      </w:r>
      <w:r>
        <w:rPr>
          <w:rFonts w:ascii="Arial" w:cs="Arial" w:eastAsia="Arial" w:hAnsi="Arial"/>
          <w:sz w:val="22"/>
          <w:szCs w:val="22"/>
          <w:color w:val="auto"/>
        </w:rPr>
        <w:t>.</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 xml:space="preserve">The net proceeds that the Corporation will receive from sales of the Common Shares will vary depending on the number of shares actually sold and the offering price for such shares, but will not exceed U.S.$33,950,000 in the aggregate. See </w:t>
      </w:r>
      <w:r>
        <w:rPr>
          <w:rFonts w:ascii="Arial" w:cs="Arial" w:eastAsia="Arial" w:hAnsi="Arial"/>
          <w:sz w:val="21"/>
          <w:szCs w:val="21"/>
          <w:i w:val="1"/>
          <w:iCs w:val="1"/>
          <w:color w:val="auto"/>
        </w:rPr>
        <w:t>"Use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Proceeds" </w:t>
      </w:r>
      <w:r>
        <w:rPr>
          <w:rFonts w:ascii="Arial" w:cs="Arial" w:eastAsia="Arial" w:hAnsi="Arial"/>
          <w:sz w:val="21"/>
          <w:szCs w:val="21"/>
          <w:color w:val="auto"/>
        </w:rPr>
        <w:t>for how the net proceeds, if any, from sales under this Prospectus Supplement will be used.</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Common Shares.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Purchasers of Common Shares should be aware that the acquisition of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Arial" w:cs="Arial" w:eastAsia="Arial" w:hAnsi="Arial"/>
          <w:sz w:val="19"/>
          <w:szCs w:val="19"/>
          <w:b w:val="1"/>
          <w:bCs w:val="1"/>
          <w:i w:val="1"/>
          <w:iCs w:val="1"/>
          <w:color w:val="auto"/>
        </w:rPr>
        <w:t>"Certain Canadian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Tax Considerations" </w:t>
      </w:r>
      <w:r>
        <w:rPr>
          <w:rFonts w:ascii="Arial" w:cs="Arial" w:eastAsia="Arial" w:hAnsi="Arial"/>
          <w:sz w:val="19"/>
          <w:szCs w:val="19"/>
          <w:b w:val="1"/>
          <w:bCs w:val="1"/>
          <w:color w:val="auto"/>
        </w:rPr>
        <w:t>and</w:t>
      </w:r>
      <w:r>
        <w:rPr>
          <w:rFonts w:ascii="Arial" w:cs="Arial" w:eastAsia="Arial" w:hAnsi="Arial"/>
          <w:sz w:val="19"/>
          <w:szCs w:val="19"/>
          <w:b w:val="1"/>
          <w:bCs w:val="1"/>
          <w:i w:val="1"/>
          <w:iCs w:val="1"/>
          <w:color w:val="auto"/>
        </w:rPr>
        <w:t xml:space="preserve"> "Certain United States Federal Income Tax Considerations"</w:t>
      </w:r>
      <w:r>
        <w:rPr>
          <w:rFonts w:ascii="Arial" w:cs="Arial" w:eastAsia="Arial" w:hAnsi="Arial"/>
          <w:sz w:val="19"/>
          <w:szCs w:val="19"/>
          <w:b w:val="1"/>
          <w:bCs w:val="1"/>
          <w:color w:val="auto"/>
        </w:rPr>
        <w:t>.</w:t>
      </w:r>
    </w:p>
    <w:p>
      <w:pPr>
        <w:spacing w:after="0" w:line="14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The enforcement by investors of civil liabilities under United States federal securities laws may be affected adversely by the fact that the Corporation is incorporated under the laws of Canada, certain of the officers and directors are not residents of the United States, that some or all of the Agents or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Arial" w:cs="Arial" w:eastAsia="Arial" w:hAnsi="Arial"/>
          <w:sz w:val="19"/>
          <w:szCs w:val="19"/>
          <w:b w:val="1"/>
          <w:bCs w:val="1"/>
          <w:i w:val="1"/>
          <w:iCs w:val="1"/>
          <w:color w:val="auto"/>
        </w:rPr>
        <w:t>"Enforcement of Civil Liabilities"</w:t>
      </w:r>
      <w:r>
        <w:rPr>
          <w:rFonts w:ascii="Arial" w:cs="Arial" w:eastAsia="Arial" w:hAnsi="Arial"/>
          <w:sz w:val="19"/>
          <w:szCs w:val="19"/>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both"/>
        <w:spacing w:after="0" w:line="239" w:lineRule="auto"/>
        <w:rPr>
          <w:sz w:val="20"/>
          <w:szCs w:val="20"/>
          <w:color w:val="auto"/>
        </w:rPr>
      </w:pPr>
      <w:r>
        <w:rPr>
          <w:rFonts w:ascii="Arial" w:cs="Arial" w:eastAsia="Arial" w:hAnsi="Arial"/>
          <w:sz w:val="22"/>
          <w:szCs w:val="22"/>
          <w:b w:val="1"/>
          <w:bCs w:val="1"/>
          <w:color w:val="auto"/>
        </w:rPr>
        <w:t>NEITHER THE SEC NOR ANY STATE SECURITIES COMMISSION OR REGULATOR HAS APPROVED OR DISAPPROVED THE COMMON SHARES NOR PASSED UPON THE ACCURACY OR ADEQUACY OF THE PROSPECTUS AND THIS PROSPECTUS SUPPLEMENT. ANY REPRESENTATION TO THE CONTRARY IS A CRIMINAL OFFENCE.</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In 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sales agents, the Agents will not engage in any prohibited transactions to stabilize or maintain the price of the Common Shares. Neither the Agents nor any person or company acting jointly or in concert with either of the Agents may, in connection with the distribution, enter into any transaction that is intended to stabilize or maintain the market price of the Common Shares distributed under this Prospectus Supplement, including selling an aggregate number or principal amount of Common Shares that would result in the Agents creating an over-allocation position in the Common Shares.</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Each of Douglas Drysdale, Michael Palfreyman, Alex Nivorozhkin and Brett Greene</w:t>
      </w:r>
      <w:r>
        <w:rPr>
          <w:rFonts w:ascii="Arial" w:cs="Arial" w:eastAsia="Arial" w:hAnsi="Arial"/>
          <w:sz w:val="19"/>
          <w:szCs w:val="19"/>
          <w:b w:val="1"/>
          <w:bCs w:val="1"/>
          <w:color w:val="auto"/>
        </w:rPr>
        <w:t>,</w:t>
      </w:r>
      <w:r>
        <w:rPr>
          <w:rFonts w:ascii="Arial" w:cs="Arial" w:eastAsia="Arial" w:hAnsi="Arial"/>
          <w:sz w:val="19"/>
          <w:szCs w:val="19"/>
          <w:color w:val="auto"/>
        </w:rPr>
        <w:t xml:space="preserve">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indicated, references to "Canadian dollars" or "$" are to the currency of Canada. Certain totals, subtotals and percentages may not precisely reconcile due to rounding.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Cantor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19"/>
            <w:shd w:val="clear" w:color="auto" w:fill="EEEEEE"/>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 SUPPLEMENT</w:t>
              </w:r>
            </w:hyperlink>
          </w:p>
        </w:tc>
        <w:tc>
          <w:tcPr>
            <w:tcW w:w="340" w:type="dxa"/>
            <w:vAlign w:val="bottom"/>
            <w:gridSpan w:val="2"/>
            <w:shd w:val="clear" w:color="auto" w:fill="EEEEEE"/>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S-1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INFORMATION</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DOCUMENTS INCORPORATED BY REFERENCE</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DOCUMENTS FILED AS PART OF THE REGISTRATION STATEMENT</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ADDITIONAL INFORMATION</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THE CORPORATION</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THE COMMON SHARES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CONSOLIDATED CAPITALIZATION</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TRADING PRICE AND VOLUME</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PRIOR SALES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CERTAIN CANADIAN INCOME TAX CONSIDERATIONS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CERTAIN UNITED STATES FEDERAL INCOME TAX CONSIDERATIONS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AUDITORS, TRANSFER AGENT AND REGISTRAR</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EXEMPTIONS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900" w:type="dxa"/>
            <w:vAlign w:val="bottom"/>
            <w:gridSpan w:val="19"/>
            <w:shd w:val="clear" w:color="auto" w:fill="EEEEEE"/>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ENFORCEMENT OF CIVIL LIABILITIES</w:t>
              </w:r>
            </w:hyperlink>
          </w:p>
        </w:tc>
        <w:tc>
          <w:tcPr>
            <w:tcW w:w="340" w:type="dxa"/>
            <w:vAlign w:val="bottom"/>
            <w:gridSpan w:val="2"/>
            <w:shd w:val="clear" w:color="auto" w:fill="EEEEEE"/>
          </w:tcPr>
          <w:p>
            <w:pPr>
              <w:jc w:val="right"/>
              <w:spacing w:after="0" w:line="17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Base Shelf Prospectus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4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20" w:type="dxa"/>
            <w:vAlign w:val="bottom"/>
            <w:gridSpan w:val="6"/>
            <w:shd w:val="clear" w:color="auto" w:fill="EEEEEE"/>
          </w:tcPr>
          <w:p>
            <w:pPr>
              <w:spacing w:after="0" w:line="17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GENERAL MATTERS</w:t>
              </w:r>
            </w:hyperlink>
          </w:p>
        </w:tc>
        <w:tc>
          <w:tcPr>
            <w:tcW w:w="8840" w:type="dxa"/>
            <w:vAlign w:val="bottom"/>
            <w:gridSpan w:val="13"/>
            <w:shd w:val="clear" w:color="auto" w:fill="EEEEEE"/>
          </w:tcPr>
          <w:p>
            <w:pPr>
              <w:spacing w:after="0"/>
              <w:rPr>
                <w:sz w:val="15"/>
                <w:szCs w:val="15"/>
                <w:color w:val="auto"/>
              </w:rPr>
            </w:pPr>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1"/>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5900" w:type="dxa"/>
            <w:vAlign w:val="bottom"/>
            <w:gridSpan w:val="18"/>
            <w:vMerge w:val="restart"/>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CAUTIONARY NOTE REGARDING FORWARD-LOOKING INFORMATION</w:t>
              </w:r>
            </w:hyperlink>
          </w:p>
        </w:tc>
        <w:tc>
          <w:tcPr>
            <w:tcW w:w="4660" w:type="dxa"/>
            <w:vAlign w:val="bottom"/>
            <w:vMerge w:val="restart"/>
          </w:tcPr>
          <w:p>
            <w:pPr>
              <w:spacing w:after="0"/>
              <w:rPr>
                <w:sz w:val="5"/>
                <w:szCs w:val="5"/>
                <w:color w:val="auto"/>
              </w:rPr>
            </w:pPr>
          </w:p>
        </w:tc>
        <w:tc>
          <w:tcPr>
            <w:tcW w:w="620" w:type="dxa"/>
            <w:vAlign w:val="bottom"/>
            <w:gridSpan w:val="3"/>
            <w:vMerge w:val="restart"/>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900" w:type="dxa"/>
            <w:vAlign w:val="bottom"/>
            <w:gridSpan w:val="18"/>
            <w:vMerge w:val="continue"/>
          </w:tcPr>
          <w:p>
            <w:pPr>
              <w:spacing w:after="0"/>
              <w:rPr>
                <w:sz w:val="17"/>
                <w:szCs w:val="17"/>
                <w:color w:val="auto"/>
              </w:rPr>
            </w:pPr>
          </w:p>
        </w:tc>
        <w:tc>
          <w:tcPr>
            <w:tcW w:w="4660" w:type="dxa"/>
            <w:vAlign w:val="bottom"/>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560" w:type="dxa"/>
            <w:vAlign w:val="bottom"/>
            <w:gridSpan w:val="19"/>
            <w:shd w:val="clear" w:color="auto" w:fill="EEEEEE"/>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EXEMPTION</w:t>
              </w:r>
            </w:hyperlink>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0560" w:type="dxa"/>
            <w:vAlign w:val="bottom"/>
            <w:gridSpan w:val="19"/>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TRADEMARKS AND SERVICE MARKS</w:t>
              </w:r>
            </w:hyperlink>
          </w:p>
        </w:tc>
        <w:tc>
          <w:tcPr>
            <w:tcW w:w="620" w:type="dxa"/>
            <w:vAlign w:val="bottom"/>
            <w:gridSpan w:val="3"/>
            <w:vMerge w:val="restart"/>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4</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560" w:type="dxa"/>
            <w:vAlign w:val="bottom"/>
            <w:gridSpan w:val="19"/>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560" w:type="dxa"/>
            <w:vAlign w:val="bottom"/>
            <w:gridSpan w:val="19"/>
            <w:shd w:val="clear" w:color="auto" w:fill="EEEEEE"/>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MARKETING MATERIALS</w:t>
              </w:r>
            </w:hyperlink>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60" w:type="dxa"/>
            <w:vAlign w:val="bottom"/>
            <w:gridSpan w:val="11"/>
            <w:vMerge w:val="restart"/>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MARKET AND INDUSTRY DATA</w:t>
              </w:r>
            </w:hyperlink>
          </w:p>
        </w:tc>
        <w:tc>
          <w:tcPr>
            <w:tcW w:w="7900" w:type="dxa"/>
            <w:vAlign w:val="bottom"/>
            <w:gridSpan w:val="8"/>
            <w:vMerge w:val="restart"/>
          </w:tcPr>
          <w:p>
            <w:pPr>
              <w:spacing w:after="0"/>
              <w:rPr>
                <w:sz w:val="5"/>
                <w:szCs w:val="5"/>
                <w:color w:val="auto"/>
              </w:rPr>
            </w:pPr>
          </w:p>
        </w:tc>
        <w:tc>
          <w:tcPr>
            <w:tcW w:w="620" w:type="dxa"/>
            <w:vAlign w:val="bottom"/>
            <w:gridSpan w:val="3"/>
            <w:vMerge w:val="restart"/>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4</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660" w:type="dxa"/>
            <w:vAlign w:val="bottom"/>
            <w:gridSpan w:val="11"/>
            <w:vMerge w:val="continue"/>
          </w:tcPr>
          <w:p>
            <w:pPr>
              <w:spacing w:after="0"/>
              <w:rPr>
                <w:sz w:val="17"/>
                <w:szCs w:val="17"/>
                <w:color w:val="auto"/>
              </w:rPr>
            </w:pPr>
          </w:p>
        </w:tc>
        <w:tc>
          <w:tcPr>
            <w:tcW w:w="7900" w:type="dxa"/>
            <w:vAlign w:val="bottom"/>
            <w:gridSpan w:val="8"/>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920" w:type="dxa"/>
            <w:vAlign w:val="bottom"/>
            <w:gridSpan w:val="14"/>
            <w:shd w:val="clear" w:color="auto" w:fill="EEEEEE"/>
          </w:tcPr>
          <w:p>
            <w:pPr>
              <w:spacing w:after="0" w:line="17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DOCUMENTS INCORPORATED BY REFERENCE</w:t>
              </w:r>
            </w:hyperlink>
          </w:p>
        </w:tc>
        <w:tc>
          <w:tcPr>
            <w:tcW w:w="6640" w:type="dxa"/>
            <w:vAlign w:val="bottom"/>
            <w:gridSpan w:val="5"/>
            <w:shd w:val="clear" w:color="auto" w:fill="EEEEEE"/>
          </w:tcPr>
          <w:p>
            <w:pPr>
              <w:spacing w:after="0"/>
              <w:rPr>
                <w:sz w:val="15"/>
                <w:szCs w:val="15"/>
                <w:color w:val="auto"/>
              </w:rPr>
            </w:pPr>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920" w:type="dxa"/>
            <w:vAlign w:val="bottom"/>
            <w:gridSpan w:val="14"/>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THE CORPORATION</w:t>
              </w:r>
            </w:hyperlink>
          </w:p>
        </w:tc>
        <w:tc>
          <w:tcPr>
            <w:tcW w:w="6640" w:type="dxa"/>
            <w:vAlign w:val="bottom"/>
            <w:gridSpan w:val="5"/>
            <w:vMerge w:val="restart"/>
          </w:tcPr>
          <w:p>
            <w:pPr>
              <w:spacing w:after="0"/>
              <w:rPr>
                <w:sz w:val="5"/>
                <w:szCs w:val="5"/>
                <w:color w:val="auto"/>
              </w:rPr>
            </w:pPr>
          </w:p>
        </w:tc>
        <w:tc>
          <w:tcPr>
            <w:tcW w:w="620" w:type="dxa"/>
            <w:vAlign w:val="bottom"/>
            <w:gridSpan w:val="3"/>
            <w:vMerge w:val="restart"/>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6</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gridSpan w:val="14"/>
            <w:vMerge w:val="continue"/>
          </w:tcPr>
          <w:p>
            <w:pPr>
              <w:spacing w:after="0"/>
              <w:rPr>
                <w:sz w:val="17"/>
                <w:szCs w:val="17"/>
                <w:color w:val="auto"/>
              </w:rPr>
            </w:pPr>
          </w:p>
        </w:tc>
        <w:tc>
          <w:tcPr>
            <w:tcW w:w="6640" w:type="dxa"/>
            <w:vAlign w:val="bottom"/>
            <w:gridSpan w:val="5"/>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560" w:type="dxa"/>
            <w:vAlign w:val="bottom"/>
            <w:gridSpan w:val="19"/>
            <w:shd w:val="clear" w:color="auto" w:fill="EEEEEE"/>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REGULATORY OVERVIEW</w:t>
              </w:r>
            </w:hyperlink>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120" w:type="dxa"/>
            <w:vAlign w:val="bottom"/>
            <w:gridSpan w:val="8"/>
            <w:vMerge w:val="restart"/>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COMPLIANCE PROGRAM</w:t>
              </w:r>
            </w:hyperlink>
          </w:p>
        </w:tc>
        <w:tc>
          <w:tcPr>
            <w:tcW w:w="60" w:type="dxa"/>
            <w:vAlign w:val="bottom"/>
            <w:gridSpan w:val="2"/>
            <w:vMerge w:val="restart"/>
          </w:tcPr>
          <w:p>
            <w:pPr>
              <w:spacing w:after="0"/>
              <w:rPr>
                <w:sz w:val="5"/>
                <w:szCs w:val="5"/>
                <w:color w:val="auto"/>
              </w:rPr>
            </w:pPr>
          </w:p>
        </w:tc>
        <w:tc>
          <w:tcPr>
            <w:tcW w:w="8380" w:type="dxa"/>
            <w:vAlign w:val="bottom"/>
            <w:gridSpan w:val="9"/>
            <w:vMerge w:val="restart"/>
          </w:tcPr>
          <w:p>
            <w:pPr>
              <w:spacing w:after="0"/>
              <w:rPr>
                <w:sz w:val="5"/>
                <w:szCs w:val="5"/>
                <w:color w:val="auto"/>
              </w:rPr>
            </w:pPr>
          </w:p>
        </w:tc>
        <w:tc>
          <w:tcPr>
            <w:tcW w:w="440" w:type="dxa"/>
            <w:vAlign w:val="bottom"/>
            <w:vMerge w:val="restart"/>
          </w:tcPr>
          <w:p>
            <w:pPr>
              <w:spacing w:after="0"/>
              <w:rPr>
                <w:sz w:val="5"/>
                <w:szCs w:val="5"/>
                <w:color w:val="auto"/>
              </w:rPr>
            </w:pPr>
          </w:p>
        </w:tc>
        <w:tc>
          <w:tcPr>
            <w:tcW w:w="180" w:type="dxa"/>
            <w:vAlign w:val="bottom"/>
            <w:gridSpan w:val="2"/>
            <w:vMerge w:val="restart"/>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23</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8"/>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8380" w:type="dxa"/>
            <w:vAlign w:val="bottom"/>
            <w:gridSpan w:val="9"/>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80" w:type="dxa"/>
            <w:vAlign w:val="bottom"/>
            <w:tcBorders>
              <w:bottom w:val="single" w:sz="8" w:color="0000EE"/>
            </w:tcBorders>
            <w:gridSpan w:val="2"/>
            <w:vMerge w:val="continu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880" w:type="dxa"/>
            <w:vAlign w:val="bottom"/>
            <w:gridSpan w:val="12"/>
            <w:shd w:val="clear" w:color="auto" w:fill="EEEEEE"/>
          </w:tcPr>
          <w:p>
            <w:pPr>
              <w:spacing w:after="0" w:line="17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CONSOLIDATED CAPITALIZATION</w:t>
              </w:r>
            </w:hyperlink>
          </w:p>
        </w:tc>
        <w:tc>
          <w:tcPr>
            <w:tcW w:w="7680" w:type="dxa"/>
            <w:vAlign w:val="bottom"/>
            <w:gridSpan w:val="7"/>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gridSpan w:val="3"/>
            <w:shd w:val="clear" w:color="auto" w:fill="EEEEEE"/>
          </w:tcPr>
          <w:p>
            <w:pPr>
              <w:jc w:val="right"/>
              <w:ind w:right="60"/>
              <w:spacing w:after="0" w:line="17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68"/>
        </w:trPr>
        <w:tc>
          <w:tcPr>
            <w:tcW w:w="2880" w:type="dxa"/>
            <w:vAlign w:val="bottom"/>
            <w:tcBorders>
              <w:top w:val="single" w:sz="8" w:color="0000EE"/>
            </w:tcBorders>
            <w:gridSpan w:val="12"/>
            <w:vMerge w:val="restart"/>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7680" w:type="dxa"/>
            <w:vAlign w:val="bottom"/>
            <w:tcBorders>
              <w:top w:val="single" w:sz="8" w:color="EEEEEE"/>
            </w:tcBorders>
            <w:gridSpan w:val="7"/>
            <w:vMerge w:val="restart"/>
          </w:tcPr>
          <w:p>
            <w:pPr>
              <w:spacing w:after="0"/>
              <w:rPr>
                <w:sz w:val="5"/>
                <w:szCs w:val="5"/>
                <w:color w:val="auto"/>
              </w:rPr>
            </w:pPr>
          </w:p>
        </w:tc>
        <w:tc>
          <w:tcPr>
            <w:tcW w:w="440" w:type="dxa"/>
            <w:vAlign w:val="bottom"/>
            <w:tcBorders>
              <w:top w:val="single" w:sz="8" w:color="EEEEEE"/>
            </w:tcBorders>
            <w:vMerge w:val="restart"/>
          </w:tcPr>
          <w:p>
            <w:pPr>
              <w:spacing w:after="0"/>
              <w:rPr>
                <w:sz w:val="5"/>
                <w:szCs w:val="5"/>
                <w:color w:val="auto"/>
              </w:rPr>
            </w:pPr>
          </w:p>
        </w:tc>
        <w:tc>
          <w:tcPr>
            <w:tcW w:w="180" w:type="dxa"/>
            <w:vAlign w:val="bottom"/>
            <w:tcBorders>
              <w:top w:val="single" w:sz="8" w:color="0000EE"/>
            </w:tcBorders>
            <w:gridSpan w:val="2"/>
            <w:vMerge w:val="restart"/>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24</w:t>
              </w:r>
            </w:hyperlink>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880" w:type="dxa"/>
            <w:vAlign w:val="bottom"/>
            <w:gridSpan w:val="12"/>
            <w:vMerge w:val="continue"/>
          </w:tcPr>
          <w:p>
            <w:pPr>
              <w:spacing w:after="0"/>
              <w:rPr>
                <w:sz w:val="17"/>
                <w:szCs w:val="17"/>
                <w:color w:val="auto"/>
              </w:rPr>
            </w:pPr>
          </w:p>
        </w:tc>
        <w:tc>
          <w:tcPr>
            <w:tcW w:w="7680" w:type="dxa"/>
            <w:vAlign w:val="bottom"/>
            <w:gridSpan w:val="7"/>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560" w:type="dxa"/>
            <w:vAlign w:val="bottom"/>
            <w:gridSpan w:val="19"/>
            <w:shd w:val="clear" w:color="auto" w:fill="EEEEEE"/>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DIVIDEND POLICY</w:t>
              </w:r>
            </w:hyperlink>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1"/>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4340" w:type="dxa"/>
            <w:vAlign w:val="bottom"/>
            <w:gridSpan w:val="16"/>
            <w:vMerge w:val="restart"/>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DESCRIPTION OF SECURITIES BEING DISTRIBUTED</w:t>
              </w:r>
            </w:hyperlink>
          </w:p>
        </w:tc>
        <w:tc>
          <w:tcPr>
            <w:tcW w:w="6220" w:type="dxa"/>
            <w:vAlign w:val="bottom"/>
            <w:gridSpan w:val="3"/>
            <w:vMerge w:val="restart"/>
          </w:tcPr>
          <w:p>
            <w:pPr>
              <w:spacing w:after="0"/>
              <w:rPr>
                <w:sz w:val="5"/>
                <w:szCs w:val="5"/>
                <w:color w:val="auto"/>
              </w:rPr>
            </w:pPr>
          </w:p>
        </w:tc>
        <w:tc>
          <w:tcPr>
            <w:tcW w:w="440" w:type="dxa"/>
            <w:vAlign w:val="bottom"/>
            <w:vMerge w:val="restart"/>
          </w:tcPr>
          <w:p>
            <w:pPr>
              <w:spacing w:after="0"/>
              <w:rPr>
                <w:sz w:val="5"/>
                <w:szCs w:val="5"/>
                <w:color w:val="auto"/>
              </w:rPr>
            </w:pPr>
          </w:p>
        </w:tc>
        <w:tc>
          <w:tcPr>
            <w:tcW w:w="180" w:type="dxa"/>
            <w:vAlign w:val="bottom"/>
            <w:gridSpan w:val="2"/>
            <w:vMerge w:val="restart"/>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26</w:t>
              </w:r>
            </w:hyperlink>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0000EE"/>
            </w:tcBorders>
            <w:gridSpan w:val="16"/>
            <w:vMerge w:val="continue"/>
          </w:tcPr>
          <w:p>
            <w:pPr>
              <w:spacing w:after="0"/>
              <w:rPr>
                <w:sz w:val="17"/>
                <w:szCs w:val="17"/>
                <w:color w:val="auto"/>
              </w:rPr>
            </w:pPr>
          </w:p>
        </w:tc>
        <w:tc>
          <w:tcPr>
            <w:tcW w:w="6220" w:type="dxa"/>
            <w:vAlign w:val="bottom"/>
            <w:gridSpan w:val="3"/>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80" w:type="dxa"/>
            <w:vAlign w:val="bottom"/>
            <w:tcBorders>
              <w:bottom w:val="single" w:sz="8" w:color="0000EE"/>
            </w:tcBorders>
            <w:gridSpan w:val="2"/>
            <w:vMerge w:val="continu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60" w:type="dxa"/>
            <w:vAlign w:val="bottom"/>
            <w:gridSpan w:val="7"/>
            <w:shd w:val="clear" w:color="auto" w:fill="EEEEEE"/>
          </w:tcPr>
          <w:p>
            <w:pPr>
              <w:spacing w:after="0" w:line="176"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PLAN OF DISTRIBUTION</w:t>
              </w:r>
            </w:hyperlink>
          </w:p>
        </w:tc>
        <w:tc>
          <w:tcPr>
            <w:tcW w:w="8500" w:type="dxa"/>
            <w:vAlign w:val="bottom"/>
            <w:gridSpan w:val="12"/>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40" w:type="dxa"/>
            <w:vAlign w:val="bottom"/>
            <w:gridSpan w:val="3"/>
            <w:shd w:val="clear" w:color="auto" w:fill="EEEEEE"/>
          </w:tcPr>
          <w:p>
            <w:pPr>
              <w:jc w:val="right"/>
              <w:ind w:right="60"/>
              <w:spacing w:after="0" w:line="17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88"/>
        </w:trPr>
        <w:tc>
          <w:tcPr>
            <w:tcW w:w="1040" w:type="dxa"/>
            <w:vAlign w:val="bottom"/>
            <w:tcBorders>
              <w:top w:val="single" w:sz="8" w:color="0000EE"/>
            </w:tcBorders>
            <w:shd w:val="clear" w:color="auto" w:fill="EEEEEE"/>
          </w:tcPr>
          <w:p>
            <w:pPr>
              <w:spacing w:after="0"/>
              <w:rPr>
                <w:sz w:val="7"/>
                <w:szCs w:val="7"/>
                <w:color w:val="auto"/>
              </w:rPr>
            </w:pPr>
          </w:p>
        </w:tc>
        <w:tc>
          <w:tcPr>
            <w:tcW w:w="220" w:type="dxa"/>
            <w:vAlign w:val="bottom"/>
            <w:tcBorders>
              <w:top w:val="single" w:sz="8" w:color="0000EE"/>
            </w:tcBorders>
            <w:shd w:val="clear" w:color="auto" w:fill="EEEEEE"/>
          </w:tcPr>
          <w:p>
            <w:pPr>
              <w:spacing w:after="0"/>
              <w:rPr>
                <w:sz w:val="7"/>
                <w:szCs w:val="7"/>
                <w:color w:val="auto"/>
              </w:rPr>
            </w:pPr>
          </w:p>
        </w:tc>
        <w:tc>
          <w:tcPr>
            <w:tcW w:w="200" w:type="dxa"/>
            <w:vAlign w:val="bottom"/>
            <w:tcBorders>
              <w:top w:val="single" w:sz="8" w:color="0000EE"/>
            </w:tcBorders>
            <w:shd w:val="clear" w:color="auto" w:fill="EEEEEE"/>
          </w:tcPr>
          <w:p>
            <w:pPr>
              <w:spacing w:after="0"/>
              <w:rPr>
                <w:sz w:val="7"/>
                <w:szCs w:val="7"/>
                <w:color w:val="auto"/>
              </w:rPr>
            </w:pPr>
          </w:p>
        </w:tc>
        <w:tc>
          <w:tcPr>
            <w:tcW w:w="120" w:type="dxa"/>
            <w:vAlign w:val="bottom"/>
            <w:tcBorders>
              <w:top w:val="single" w:sz="8" w:color="0000EE"/>
            </w:tcBorders>
            <w:shd w:val="clear" w:color="auto" w:fill="EEEEEE"/>
          </w:tcPr>
          <w:p>
            <w:pPr>
              <w:spacing w:after="0"/>
              <w:rPr>
                <w:sz w:val="7"/>
                <w:szCs w:val="7"/>
                <w:color w:val="auto"/>
              </w:rPr>
            </w:pPr>
          </w:p>
        </w:tc>
        <w:tc>
          <w:tcPr>
            <w:tcW w:w="80" w:type="dxa"/>
            <w:vAlign w:val="bottom"/>
            <w:tcBorders>
              <w:top w:val="single" w:sz="8" w:color="0000EE"/>
            </w:tcBorders>
            <w:shd w:val="clear" w:color="auto" w:fill="EEEEEE"/>
          </w:tcPr>
          <w:p>
            <w:pPr>
              <w:spacing w:after="0"/>
              <w:rPr>
                <w:sz w:val="7"/>
                <w:szCs w:val="7"/>
                <w:color w:val="auto"/>
              </w:rPr>
            </w:pPr>
          </w:p>
        </w:tc>
        <w:tc>
          <w:tcPr>
            <w:tcW w:w="60" w:type="dxa"/>
            <w:vAlign w:val="bottom"/>
            <w:tcBorders>
              <w:top w:val="single" w:sz="8" w:color="0000EE"/>
            </w:tcBorders>
            <w:shd w:val="clear" w:color="auto" w:fill="EEEEEE"/>
          </w:tcPr>
          <w:p>
            <w:pPr>
              <w:spacing w:after="0"/>
              <w:rPr>
                <w:sz w:val="7"/>
                <w:szCs w:val="7"/>
                <w:color w:val="auto"/>
              </w:rPr>
            </w:pPr>
          </w:p>
        </w:tc>
        <w:tc>
          <w:tcPr>
            <w:tcW w:w="340" w:type="dxa"/>
            <w:vAlign w:val="bottom"/>
            <w:tcBorders>
              <w:top w:val="single" w:sz="8" w:color="0000EE"/>
            </w:tcBorders>
            <w:shd w:val="clear" w:color="auto" w:fill="EEEEEE"/>
          </w:tcPr>
          <w:p>
            <w:pPr>
              <w:spacing w:after="0"/>
              <w:rPr>
                <w:sz w:val="7"/>
                <w:szCs w:val="7"/>
                <w:color w:val="auto"/>
              </w:rPr>
            </w:pPr>
          </w:p>
        </w:tc>
        <w:tc>
          <w:tcPr>
            <w:tcW w:w="60" w:type="dxa"/>
            <w:vAlign w:val="bottom"/>
            <w:tcBorders>
              <w:top w:val="single" w:sz="8" w:color="EEEEEE"/>
            </w:tcBorders>
            <w:shd w:val="clear" w:color="auto" w:fill="EEEEEE"/>
          </w:tcPr>
          <w:p>
            <w:pPr>
              <w:spacing w:after="0"/>
              <w:rPr>
                <w:sz w:val="7"/>
                <w:szCs w:val="7"/>
                <w:color w:val="auto"/>
              </w:rPr>
            </w:pPr>
          </w:p>
        </w:tc>
        <w:tc>
          <w:tcPr>
            <w:tcW w:w="20" w:type="dxa"/>
            <w:vAlign w:val="bottom"/>
            <w:tcBorders>
              <w:top w:val="single" w:sz="8" w:color="EEEEEE"/>
            </w:tcBorders>
            <w:shd w:val="clear" w:color="auto" w:fill="EEEEEE"/>
          </w:tcPr>
          <w:p>
            <w:pPr>
              <w:spacing w:after="0"/>
              <w:rPr>
                <w:sz w:val="7"/>
                <w:szCs w:val="7"/>
                <w:color w:val="auto"/>
              </w:rPr>
            </w:pPr>
          </w:p>
        </w:tc>
        <w:tc>
          <w:tcPr>
            <w:tcW w:w="40" w:type="dxa"/>
            <w:vAlign w:val="bottom"/>
            <w:tcBorders>
              <w:top w:val="single" w:sz="8" w:color="EEEEEE"/>
            </w:tcBorders>
            <w:shd w:val="clear" w:color="auto" w:fill="EEEEEE"/>
          </w:tcPr>
          <w:p>
            <w:pPr>
              <w:spacing w:after="0"/>
              <w:rPr>
                <w:sz w:val="7"/>
                <w:szCs w:val="7"/>
                <w:color w:val="auto"/>
              </w:rPr>
            </w:pPr>
          </w:p>
        </w:tc>
        <w:tc>
          <w:tcPr>
            <w:tcW w:w="480" w:type="dxa"/>
            <w:vAlign w:val="bottom"/>
            <w:tcBorders>
              <w:top w:val="single" w:sz="8" w:color="EEEEEE"/>
            </w:tcBorders>
            <w:shd w:val="clear" w:color="auto" w:fill="EEEEEE"/>
          </w:tcPr>
          <w:p>
            <w:pPr>
              <w:spacing w:after="0"/>
              <w:rPr>
                <w:sz w:val="7"/>
                <w:szCs w:val="7"/>
                <w:color w:val="auto"/>
              </w:rPr>
            </w:pPr>
          </w:p>
        </w:tc>
        <w:tc>
          <w:tcPr>
            <w:tcW w:w="220" w:type="dxa"/>
            <w:vAlign w:val="bottom"/>
            <w:tcBorders>
              <w:top w:val="single" w:sz="8" w:color="EEEEEE"/>
            </w:tcBorders>
            <w:shd w:val="clear" w:color="auto" w:fill="EEEEEE"/>
          </w:tcPr>
          <w:p>
            <w:pPr>
              <w:spacing w:after="0"/>
              <w:rPr>
                <w:sz w:val="7"/>
                <w:szCs w:val="7"/>
                <w:color w:val="auto"/>
              </w:rPr>
            </w:pPr>
          </w:p>
        </w:tc>
        <w:tc>
          <w:tcPr>
            <w:tcW w:w="260" w:type="dxa"/>
            <w:vAlign w:val="bottom"/>
            <w:tcBorders>
              <w:top w:val="single" w:sz="8" w:color="EEEEEE"/>
            </w:tcBorders>
            <w:shd w:val="clear" w:color="auto" w:fill="EEEEEE"/>
          </w:tcPr>
          <w:p>
            <w:pPr>
              <w:spacing w:after="0"/>
              <w:rPr>
                <w:sz w:val="7"/>
                <w:szCs w:val="7"/>
                <w:color w:val="auto"/>
              </w:rPr>
            </w:pPr>
          </w:p>
        </w:tc>
        <w:tc>
          <w:tcPr>
            <w:tcW w:w="780" w:type="dxa"/>
            <w:vAlign w:val="bottom"/>
            <w:tcBorders>
              <w:top w:val="single" w:sz="8" w:color="EEEEEE"/>
            </w:tcBorders>
            <w:shd w:val="clear" w:color="auto" w:fill="EEEEEE"/>
          </w:tcPr>
          <w:p>
            <w:pPr>
              <w:spacing w:after="0"/>
              <w:rPr>
                <w:sz w:val="7"/>
                <w:szCs w:val="7"/>
                <w:color w:val="auto"/>
              </w:rPr>
            </w:pPr>
          </w:p>
        </w:tc>
        <w:tc>
          <w:tcPr>
            <w:tcW w:w="140" w:type="dxa"/>
            <w:vAlign w:val="bottom"/>
            <w:tcBorders>
              <w:top w:val="single" w:sz="8" w:color="EEEEEE"/>
            </w:tcBorders>
            <w:shd w:val="clear" w:color="auto" w:fill="EEEEEE"/>
          </w:tcPr>
          <w:p>
            <w:pPr>
              <w:spacing w:after="0"/>
              <w:rPr>
                <w:sz w:val="7"/>
                <w:szCs w:val="7"/>
                <w:color w:val="auto"/>
              </w:rPr>
            </w:pPr>
          </w:p>
        </w:tc>
        <w:tc>
          <w:tcPr>
            <w:tcW w:w="280" w:type="dxa"/>
            <w:vAlign w:val="bottom"/>
            <w:tcBorders>
              <w:top w:val="single" w:sz="8" w:color="EEEEEE"/>
            </w:tcBorders>
            <w:shd w:val="clear" w:color="auto" w:fill="EEEEEE"/>
          </w:tcPr>
          <w:p>
            <w:pPr>
              <w:spacing w:after="0"/>
              <w:rPr>
                <w:sz w:val="7"/>
                <w:szCs w:val="7"/>
                <w:color w:val="auto"/>
              </w:rPr>
            </w:pPr>
          </w:p>
        </w:tc>
        <w:tc>
          <w:tcPr>
            <w:tcW w:w="20" w:type="dxa"/>
            <w:vAlign w:val="bottom"/>
            <w:tcBorders>
              <w:top w:val="single" w:sz="8" w:color="EEEEEE"/>
            </w:tcBorders>
            <w:shd w:val="clear" w:color="auto" w:fill="EEEEEE"/>
          </w:tcPr>
          <w:p>
            <w:pPr>
              <w:spacing w:after="0"/>
              <w:rPr>
                <w:sz w:val="7"/>
                <w:szCs w:val="7"/>
                <w:color w:val="auto"/>
              </w:rPr>
            </w:pPr>
          </w:p>
        </w:tc>
        <w:tc>
          <w:tcPr>
            <w:tcW w:w="1540" w:type="dxa"/>
            <w:vAlign w:val="bottom"/>
            <w:tcBorders>
              <w:top w:val="single" w:sz="8" w:color="EEEEEE"/>
            </w:tcBorders>
            <w:shd w:val="clear" w:color="auto" w:fill="EEEEEE"/>
          </w:tcPr>
          <w:p>
            <w:pPr>
              <w:spacing w:after="0"/>
              <w:rPr>
                <w:sz w:val="7"/>
                <w:szCs w:val="7"/>
                <w:color w:val="auto"/>
              </w:rPr>
            </w:pPr>
          </w:p>
        </w:tc>
        <w:tc>
          <w:tcPr>
            <w:tcW w:w="4660" w:type="dxa"/>
            <w:vAlign w:val="bottom"/>
            <w:tcBorders>
              <w:top w:val="single" w:sz="8" w:color="EEEEEE"/>
            </w:tcBorders>
            <w:shd w:val="clear" w:color="auto" w:fill="EEEEEE"/>
          </w:tcPr>
          <w:p>
            <w:pPr>
              <w:spacing w:after="0"/>
              <w:rPr>
                <w:sz w:val="7"/>
                <w:szCs w:val="7"/>
                <w:color w:val="auto"/>
              </w:rPr>
            </w:pPr>
          </w:p>
        </w:tc>
        <w:tc>
          <w:tcPr>
            <w:tcW w:w="440" w:type="dxa"/>
            <w:vAlign w:val="bottom"/>
            <w:tcBorders>
              <w:top w:val="single" w:sz="8" w:color="EEEEEE"/>
            </w:tcBorders>
            <w:shd w:val="clear" w:color="auto" w:fill="EEEEEE"/>
          </w:tcPr>
          <w:p>
            <w:pPr>
              <w:spacing w:after="0"/>
              <w:rPr>
                <w:sz w:val="7"/>
                <w:szCs w:val="7"/>
                <w:color w:val="auto"/>
              </w:rPr>
            </w:pPr>
          </w:p>
        </w:tc>
        <w:tc>
          <w:tcPr>
            <w:tcW w:w="100" w:type="dxa"/>
            <w:vAlign w:val="bottom"/>
            <w:tcBorders>
              <w:top w:val="single" w:sz="8" w:color="0000EE"/>
            </w:tcBorders>
            <w:shd w:val="clear" w:color="auto" w:fill="EEEEEE"/>
          </w:tcPr>
          <w:p>
            <w:pPr>
              <w:spacing w:after="0"/>
              <w:rPr>
                <w:sz w:val="7"/>
                <w:szCs w:val="7"/>
                <w:color w:val="auto"/>
              </w:rPr>
            </w:pPr>
          </w:p>
        </w:tc>
        <w:tc>
          <w:tcPr>
            <w:tcW w:w="80" w:type="dxa"/>
            <w:vAlign w:val="bottom"/>
            <w:tcBorders>
              <w:top w:val="single" w:sz="8" w:color="0000EE"/>
            </w:tcBorders>
            <w:shd w:val="clear" w:color="auto" w:fill="EEEEEE"/>
          </w:tcPr>
          <w:p>
            <w:pPr>
              <w:spacing w:after="0"/>
              <w:rPr>
                <w:sz w:val="7"/>
                <w:szCs w:val="7"/>
                <w:color w:val="auto"/>
              </w:rPr>
            </w:pPr>
          </w:p>
        </w:tc>
        <w:tc>
          <w:tcPr>
            <w:tcW w:w="60" w:type="dxa"/>
            <w:vAlign w:val="bottom"/>
            <w:tcBorders>
              <w:top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7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RISK FACTORS</w:t>
              </w:r>
            </w:hyperlink>
          </w:p>
        </w:tc>
        <w:tc>
          <w:tcPr>
            <w:tcW w:w="930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31</w:t>
              </w:r>
            </w:hyperlink>
          </w:p>
        </w:tc>
        <w:tc>
          <w:tcPr>
            <w:tcW w:w="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60" w:type="dxa"/>
            <w:vAlign w:val="bottom"/>
            <w:gridSpan w:val="17"/>
            <w:shd w:val="clear" w:color="auto" w:fill="EEEEEE"/>
          </w:tcPr>
          <w:p>
            <w:pPr>
              <w:spacing w:after="0" w:line="17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CERTAIN FEDERAL INCOME TAX CONSIDERATIONS</w:t>
              </w:r>
            </w:hyperlink>
          </w:p>
        </w:tc>
        <w:tc>
          <w:tcPr>
            <w:tcW w:w="6200" w:type="dxa"/>
            <w:vAlign w:val="bottom"/>
            <w:gridSpan w:val="2"/>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240" w:type="dxa"/>
            <w:vAlign w:val="bottom"/>
            <w:gridSpan w:val="3"/>
            <w:shd w:val="clear" w:color="auto" w:fill="EEEEEE"/>
          </w:tcPr>
          <w:p>
            <w:pPr>
              <w:jc w:val="right"/>
              <w:ind w:right="60"/>
              <w:spacing w:after="0" w:line="17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67"/>
        </w:trPr>
        <w:tc>
          <w:tcPr>
            <w:tcW w:w="4360" w:type="dxa"/>
            <w:vAlign w:val="bottom"/>
            <w:tcBorders>
              <w:top w:val="single" w:sz="8" w:color="0000EE"/>
            </w:tcBorders>
            <w:gridSpan w:val="17"/>
            <w:vMerge w:val="restart"/>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6200" w:type="dxa"/>
            <w:vAlign w:val="bottom"/>
            <w:tcBorders>
              <w:top w:val="single" w:sz="8" w:color="EEEEEE"/>
            </w:tcBorders>
            <w:gridSpan w:val="2"/>
            <w:vMerge w:val="restart"/>
          </w:tcPr>
          <w:p>
            <w:pPr>
              <w:spacing w:after="0"/>
              <w:rPr>
                <w:sz w:val="5"/>
                <w:szCs w:val="5"/>
                <w:color w:val="auto"/>
              </w:rPr>
            </w:pPr>
          </w:p>
        </w:tc>
        <w:tc>
          <w:tcPr>
            <w:tcW w:w="440" w:type="dxa"/>
            <w:vAlign w:val="bottom"/>
            <w:tcBorders>
              <w:top w:val="single" w:sz="8" w:color="EEEEEE"/>
            </w:tcBorders>
            <w:vMerge w:val="restart"/>
          </w:tcPr>
          <w:p>
            <w:pPr>
              <w:spacing w:after="0"/>
              <w:rPr>
                <w:sz w:val="5"/>
                <w:szCs w:val="5"/>
                <w:color w:val="auto"/>
              </w:rPr>
            </w:pPr>
          </w:p>
        </w:tc>
        <w:tc>
          <w:tcPr>
            <w:tcW w:w="180" w:type="dxa"/>
            <w:vAlign w:val="bottom"/>
            <w:tcBorders>
              <w:top w:val="single" w:sz="8" w:color="0000EE"/>
            </w:tcBorders>
            <w:gridSpan w:val="2"/>
            <w:vMerge w:val="restart"/>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36</w:t>
              </w:r>
            </w:hyperlink>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60" w:type="dxa"/>
            <w:vAlign w:val="bottom"/>
            <w:gridSpan w:val="17"/>
            <w:vMerge w:val="continue"/>
          </w:tcPr>
          <w:p>
            <w:pPr>
              <w:spacing w:after="0"/>
              <w:rPr>
                <w:sz w:val="17"/>
                <w:szCs w:val="17"/>
                <w:color w:val="auto"/>
              </w:rPr>
            </w:pPr>
          </w:p>
        </w:tc>
        <w:tc>
          <w:tcPr>
            <w:tcW w:w="620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EEEEEE"/>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560" w:type="dxa"/>
            <w:vAlign w:val="bottom"/>
            <w:gridSpan w:val="19"/>
            <w:shd w:val="clear" w:color="auto" w:fill="EEEEEE"/>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AUDITORS, TRANSFER AGENT AND REGISTRAR</w:t>
              </w:r>
            </w:hyperlink>
          </w:p>
        </w:tc>
        <w:tc>
          <w:tcPr>
            <w:tcW w:w="680" w:type="dxa"/>
            <w:vAlign w:val="bottom"/>
            <w:gridSpan w:val="4"/>
            <w:shd w:val="clear" w:color="auto" w:fill="EEEEEE"/>
          </w:tcPr>
          <w:p>
            <w:pPr>
              <w:jc w:val="right"/>
              <w:ind w:right="6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1"/>
        </w:trPr>
        <w:tc>
          <w:tcPr>
            <w:tcW w:w="10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540" w:type="dxa"/>
            <w:vAlign w:val="bottom"/>
            <w:tcBorders>
              <w:top w:val="single" w:sz="8" w:color="EEEEEE"/>
            </w:tcBorders>
            <w:shd w:val="clear" w:color="auto" w:fill="EEEEEE"/>
          </w:tcPr>
          <w:p>
            <w:pPr>
              <w:spacing w:after="0" w:line="20" w:lineRule="exact"/>
              <w:rPr>
                <w:sz w:val="1"/>
                <w:szCs w:val="1"/>
                <w:color w:val="auto"/>
              </w:rPr>
            </w:pPr>
          </w:p>
        </w:tc>
        <w:tc>
          <w:tcPr>
            <w:tcW w:w="46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ABOUT THIS PROSPECTUS SUPPLEMENT</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document consists of two parts. The first part is this Prospectus Supplement, which describes certain terms of the Common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Agents have not, authorized anyone to provide investors with different or additional information. The Corporation is not, and the Agents are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you invest, you should carefully read this Prospectus Supplement, the accompanying Base Shelf Prospectus and all information incorporated by reference herein and therein. These documents contain information you should consider when making your investment decision.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July 5, 2021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and each of the other commissions in the Canadian Qualifying Jurisdictions is deemed to have issued a receipt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Base Shelf Prospectus also forms part of the Registration Statement that the Corporation filed with the SEC on October 1, 2021 under the U.S. Securities Act utilizing the MJDS. The Registration Statement became effective under the U.S. Securities Act on October 8, 2021. The Registration Statement includes the Base Shelf Prospectus with certain modifications and deletions permitted by Form F-10 and the rules and regulations of the SEC. This Prospectus Supplement is being filed by the Corporation with the SEC in accordance with General Instruction II.L of Form F-10.</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836"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w:t>
      </w:r>
      <w:r>
        <w:rPr>
          <w:rFonts w:ascii="Arial" w:cs="Arial" w:eastAsia="Arial" w:hAnsi="Arial"/>
          <w:sz w:val="19"/>
          <w:szCs w:val="19"/>
          <w:color w:val="auto"/>
        </w:rPr>
        <w:t xml:space="preserve"> </w:t>
      </w:r>
      <w:r>
        <w:rPr>
          <w:rFonts w:ascii="Arial" w:cs="Arial" w:eastAsia="Arial" w:hAnsi="Arial"/>
          <w:sz w:val="19"/>
          <w:szCs w:val="19"/>
          <w:i w:val="1"/>
          <w:iCs w:val="1"/>
          <w:color w:val="auto"/>
        </w:rPr>
        <w:t>Proceeds"</w:t>
      </w:r>
      <w:r>
        <w:rPr>
          <w:rFonts w:ascii="Arial" w:cs="Arial" w:eastAsia="Arial" w:hAnsi="Arial"/>
          <w:sz w:val="19"/>
          <w:szCs w:val="19"/>
          <w:color w:val="auto"/>
        </w:rPr>
        <w:t>; novel coronavirus "COVID-19"; limited operating history; achieving publicly announced milestones; speculative</w:t>
      </w:r>
      <w:r>
        <w:rPr>
          <w:rFonts w:ascii="Arial" w:cs="Arial" w:eastAsia="Arial" w:hAnsi="Arial"/>
          <w:sz w:val="19"/>
          <w:szCs w:val="19"/>
          <w:i w:val="1"/>
          <w:iCs w:val="1"/>
          <w:color w:val="auto"/>
        </w:rPr>
        <w:t xml:space="preserve"> </w:t>
      </w:r>
      <w:r>
        <w:rPr>
          <w:rFonts w:ascii="Arial" w:cs="Arial" w:eastAsia="Arial" w:hAnsi="Arial"/>
          <w:sz w:val="19"/>
          <w:szCs w:val="19"/>
          <w:color w:val="auto"/>
        </w:rPr>
        <w:t>nature of investment risk; early stage of the industry and product development; regulatory risks and uncertainties;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Common Shares is highly speculative; completion of the Offering; negative operating cash flow and going concern; discretion in the use of proceeds; potential dilution; trading market; significant sales of Common Shares; positive return not guaranteed.</w:t>
      </w:r>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660" w:hanging="331"/>
        <w:spacing w:after="0" w:line="239"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duration of COVID-19 and the extent of its economic and social impact;</w:t>
      </w:r>
    </w:p>
    <w:p>
      <w:pPr>
        <w:ind w:left="660" w:hanging="331"/>
        <w:spacing w:after="0" w:line="230"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80" w:hanging="351"/>
        <w:spacing w:after="0"/>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right="20" w:hanging="331"/>
        <w:spacing w:after="0" w:line="236"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left="680" w:hanging="351"/>
        <w:spacing w:after="0"/>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spacing w:after="0" w:line="8"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Canada, the United Kingdom,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80" w:lineRule="exact"/>
        <w:rPr>
          <w:sz w:val="20"/>
          <w:szCs w:val="20"/>
          <w:color w:val="auto"/>
        </w:rPr>
      </w:pPr>
    </w:p>
    <w:p>
      <w:pPr>
        <w:ind w:left="520" w:hanging="256"/>
        <w:spacing w:after="0" w:line="256"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20, 2022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2022;</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2022, together with the auditor's report thereon;</w:t>
      </w:r>
    </w:p>
    <w:p>
      <w:pPr>
        <w:spacing w:after="0" w:line="174" w:lineRule="exact"/>
        <w:rPr>
          <w:rFonts w:ascii="Arial" w:cs="Arial" w:eastAsia="Arial" w:hAnsi="Arial"/>
          <w:sz w:val="22"/>
          <w:szCs w:val="22"/>
          <w:color w:val="auto"/>
        </w:rPr>
      </w:pPr>
    </w:p>
    <w:p>
      <w:pPr>
        <w:ind w:left="540" w:hanging="276"/>
        <w:spacing w:after="0"/>
        <w:tabs>
          <w:tab w:leader="none" w:pos="540" w:val="left"/>
        </w:tabs>
        <w:numPr>
          <w:ilvl w:val="0"/>
          <w:numId w:val="3"/>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left="520" w:hanging="256"/>
        <w:spacing w:after="0" w:line="251"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Corporation's unaudited interim condensed consolidated financial statements for the three months ended June 30, 2022, and related notes thereto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management's discussion and analysis for the three ended June 30, 2022 (the "</w:t>
      </w:r>
      <w:r>
        <w:rPr>
          <w:rFonts w:ascii="Arial" w:cs="Arial" w:eastAsia="Arial" w:hAnsi="Arial"/>
          <w:sz w:val="22"/>
          <w:szCs w:val="22"/>
          <w:b w:val="1"/>
          <w:bCs w:val="1"/>
          <w:color w:val="auto"/>
        </w:rPr>
        <w:t>Interim MD&amp;A</w:t>
      </w:r>
      <w:r>
        <w:rPr>
          <w:rFonts w:ascii="Arial" w:cs="Arial" w:eastAsia="Arial" w:hAnsi="Arial"/>
          <w:sz w:val="22"/>
          <w:szCs w:val="22"/>
          <w:color w:val="auto"/>
        </w:rPr>
        <w:t>"); and</w:t>
      </w:r>
    </w:p>
    <w:p>
      <w:pPr>
        <w:spacing w:after="0" w:line="212"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to be held on August 15, 2022.</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Any document of the type referred to in Section 11.1 of Form 44-101F1 - Short Form Prospectus Distributions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if the Corporation disseminates a news release in respect of previously undisclosed information that, in the Corporation's determination, constitutes a "material fact" (as such term is defined under applicable Canadian securities laws), the Corporation will identify such news release as a "designated news release" for the purposes of the Prospectus in writing on the face page of the version of such news release that the Corporation files on SEDAR (any such news release, a "</w:t>
      </w:r>
      <w:r>
        <w:rPr>
          <w:rFonts w:ascii="Arial" w:cs="Arial" w:eastAsia="Arial" w:hAnsi="Arial"/>
          <w:sz w:val="19"/>
          <w:szCs w:val="19"/>
          <w:b w:val="1"/>
          <w:bCs w:val="1"/>
          <w:color w:val="auto"/>
        </w:rPr>
        <w:t>Designated News Release</w:t>
      </w:r>
      <w:r>
        <w:rPr>
          <w:rFonts w:ascii="Arial" w:cs="Arial" w:eastAsia="Arial" w:hAnsi="Arial"/>
          <w:sz w:val="19"/>
          <w:szCs w:val="19"/>
          <w:color w:val="auto"/>
        </w:rPr>
        <w:t>"), and any such Designated News Release shall be deemed to be incorporated by reference into the Prospectus only for the purposes of the Offering. These documents will be available through the internet on the Corporation's SEDAR profile, which can be accessed at www.sedar.com. In addition, any other report on Form 6-K or 40-F or the exhibits thereto filed or furnished, as applicable, by the Corporation with the SEC,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and prior to the termination or completion of the Offering shall be deemed to be incorporated by reference as exhibits to the Registration Statement of which this Prospectus Supplement and accompanying Base Shelf Prospectus forms a part, but in the case of any report on Form 6-K, only if and to the extent expressly so provided in any such report. The Corporation's current reports on Form 6-K and annual reports on Form 40-F are available on EDGAR at www.sec.gov.</w:t>
      </w:r>
    </w:p>
    <w:p>
      <w:pPr>
        <w:spacing w:after="0" w:line="39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Agents have provided or otherwise authorized any other person to provide investors with information other than that contained or incorporated by reference in this Prospectus Supplement or accompanying Base Shelf Prospectus, and neither the Corporation nor the Agents take any responsibility for other information that others may give you. If an investor is provided with different or inconsistent information, he or she should not rely on 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to the documents specified in this Prospectus Supplement and in the accompanying Base Shelf Prospectus under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 the following documents have been or will be filed with the SEC as part of the Registration Statement: (i) the Distribution Agreement; (ii) powers of attorney from certain of the Corporation's directors and officers (included on the signature page of the Registration Statement); (iii) the consent of Zeifmans LLP; and (iv) the consent of the Corporation's Canadian counsel, Aird &amp; Berlis LLP.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filed with the SEC the Registration Statement under the U.S. Securities Act with respect to the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www.sec.gov. Reference is also made to the Registration Statement and the exhibits thereto for further information with respect to the Corporation, the Offering and the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34"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you in deciding whether to invest in the Common Shares. You should read the entire Prospectus, including the section entitled "Risk Factors", the applicable Prospectus Supplement, and the documents incorporated by reference herein, including the Annual Information Form, before making such decision.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Corporation has historically had two business segments: (a) Serenity Life Sciences Inc. and Cybin US Holdings Inc. ("</w:t>
      </w:r>
      <w:r>
        <w:rPr>
          <w:rFonts w:ascii="Arial" w:cs="Arial" w:eastAsia="Arial" w:hAnsi="Arial"/>
          <w:sz w:val="19"/>
          <w:szCs w:val="19"/>
          <w:b w:val="1"/>
          <w:bCs w:val="1"/>
          <w:color w:val="auto"/>
        </w:rPr>
        <w:t>Cybin</w:t>
      </w:r>
      <w:r>
        <w:rPr>
          <w:rFonts w:ascii="Arial" w:cs="Arial" w:eastAsia="Arial" w:hAnsi="Arial"/>
          <w:sz w:val="19"/>
          <w:szCs w:val="19"/>
          <w:color w:val="auto"/>
        </w:rPr>
        <w:t xml:space="preserve"> </w:t>
      </w:r>
      <w:r>
        <w:rPr>
          <w:rFonts w:ascii="Arial" w:cs="Arial" w:eastAsia="Arial" w:hAnsi="Arial"/>
          <w:sz w:val="19"/>
          <w:szCs w:val="19"/>
          <w:b w:val="1"/>
          <w:bCs w:val="1"/>
          <w:color w:val="auto"/>
        </w:rPr>
        <w:t>U.S.</w:t>
      </w:r>
      <w:r>
        <w:rPr>
          <w:rFonts w:ascii="Arial" w:cs="Arial" w:eastAsia="Arial" w:hAnsi="Arial"/>
          <w:sz w:val="19"/>
          <w:szCs w:val="19"/>
          <w:color w:val="auto"/>
        </w:rPr>
        <w:t>") that focus on the research and development of psychedelic pharmaceutical products; and (b) Natures Journey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Natures Journey</w:t>
      </w:r>
      <w:r>
        <w:rPr>
          <w:rFonts w:ascii="Arial" w:cs="Arial" w:eastAsia="Arial" w:hAnsi="Arial"/>
          <w:sz w:val="19"/>
          <w:szCs w:val="19"/>
          <w:color w:val="auto"/>
        </w:rPr>
        <w:t>") that focused on consumer mental wellness, including non-psychedelic nutraceutical products (the "</w:t>
      </w:r>
      <w:r>
        <w:rPr>
          <w:rFonts w:ascii="Arial" w:cs="Arial" w:eastAsia="Arial" w:hAnsi="Arial"/>
          <w:sz w:val="19"/>
          <w:szCs w:val="19"/>
          <w:b w:val="1"/>
          <w:bCs w:val="1"/>
          <w:color w:val="auto"/>
        </w:rPr>
        <w:t>Product</w:t>
      </w:r>
      <w:r>
        <w:rPr>
          <w:rFonts w:ascii="Arial" w:cs="Arial" w:eastAsia="Arial" w:hAnsi="Arial"/>
          <w:sz w:val="19"/>
          <w:szCs w:val="19"/>
          <w:color w:val="auto"/>
        </w:rPr>
        <w:t xml:space="preserve"> </w:t>
      </w:r>
      <w:r>
        <w:rPr>
          <w:rFonts w:ascii="Arial" w:cs="Arial" w:eastAsia="Arial" w:hAnsi="Arial"/>
          <w:sz w:val="19"/>
          <w:szCs w:val="19"/>
          <w:b w:val="1"/>
          <w:bCs w:val="1"/>
          <w:color w:val="auto"/>
        </w:rPr>
        <w:t>Line</w:t>
      </w:r>
      <w:r>
        <w:rPr>
          <w:rFonts w:ascii="Arial" w:cs="Arial" w:eastAsia="Arial" w:hAnsi="Arial"/>
          <w:sz w:val="19"/>
          <w:szCs w:val="19"/>
          <w:color w:val="auto"/>
        </w:rPr>
        <w:t>") and consumer mental wellness. In November 2021, the Corporation decided to not proceed with the Natures Journey</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segment in order to prioritize its research and development of psychedelic pharmaceutical products.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Psychedelics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Corporation is conducting research and development of psychedelic therapeutics that aim to address unmet mental health conditions by leveraging proprietary drug discovery platforms, novel formulation approaches, innovative drug delivery systems, and optimized treatment regimens. This comprehensive strategy is predicated on structural modifications of known and well understood tryptamine derivatives to improve their pharmacokinetic properties without altering their respective pharmacology.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Across the various research and development programs, the Corporation is researching and developing a wide array of novel,</w:t>
      </w:r>
    </w:p>
    <w:p>
      <w:pPr>
        <w:spacing w:after="0" w:line="48" w:lineRule="exact"/>
        <w:rPr>
          <w:sz w:val="20"/>
          <w:szCs w:val="20"/>
          <w:color w:val="auto"/>
        </w:rPr>
      </w:pPr>
    </w:p>
    <w:p>
      <w:pPr>
        <w:jc w:val="both"/>
        <w:spacing w:after="0" w:line="285" w:lineRule="auto"/>
        <w:rPr>
          <w:rFonts w:ascii="Arial" w:cs="Arial" w:eastAsia="Arial" w:hAnsi="Arial"/>
          <w:sz w:val="22"/>
          <w:szCs w:val="22"/>
          <w:color w:val="auto"/>
        </w:rPr>
      </w:pPr>
      <w:r>
        <w:rPr>
          <w:rFonts w:ascii="Arial" w:cs="Arial" w:eastAsia="Arial" w:hAnsi="Arial"/>
          <w:sz w:val="22"/>
          <w:szCs w:val="22"/>
          <w:color w:val="auto"/>
        </w:rPr>
        <w:t>synthetic psychedelic API intended to be delivered through innovative drug delivery systems including sublingual films,</w:t>
      </w:r>
      <w:hyperlink w:anchor="page11">
        <w:r>
          <w:rPr>
            <w:rFonts w:ascii="Arial" w:cs="Arial" w:eastAsia="Arial" w:hAnsi="Arial"/>
            <w:sz w:val="35"/>
            <w:szCs w:val="35"/>
            <w:color w:val="auto"/>
            <w:vertAlign w:val="superscript"/>
          </w:rPr>
          <w:t>1</w:t>
        </w:r>
        <w:r>
          <w:rPr>
            <w:rFonts w:ascii="Arial" w:cs="Arial" w:eastAsia="Arial" w:hAnsi="Arial"/>
            <w:sz w:val="22"/>
            <w:szCs w:val="22"/>
            <w:color w:val="auto"/>
          </w:rPr>
          <w:t xml:space="preserve"> </w:t>
        </w:r>
      </w:hyperlink>
      <w:r>
        <w:rPr>
          <w:rFonts w:ascii="Arial" w:cs="Arial" w:eastAsia="Arial" w:hAnsi="Arial"/>
          <w:sz w:val="22"/>
          <w:szCs w:val="22"/>
          <w:color w:val="auto"/>
        </w:rPr>
        <w:t>orally disintegrating tablets ("</w:t>
      </w:r>
      <w:r>
        <w:rPr>
          <w:rFonts w:ascii="Arial" w:cs="Arial" w:eastAsia="Arial" w:hAnsi="Arial"/>
          <w:sz w:val="22"/>
          <w:szCs w:val="22"/>
          <w:b w:val="1"/>
          <w:bCs w:val="1"/>
          <w:color w:val="auto"/>
        </w:rPr>
        <w:t>ODT</w:t>
      </w:r>
      <w:r>
        <w:rPr>
          <w:rFonts w:ascii="Arial" w:cs="Arial" w:eastAsia="Arial" w:hAnsi="Arial"/>
          <w:sz w:val="22"/>
          <w:szCs w:val="22"/>
          <w:color w:val="auto"/>
        </w:rPr>
        <w:t>")</w:t>
      </w:r>
      <w:hyperlink w:anchor="page11">
        <w:r>
          <w:rPr>
            <w:rFonts w:ascii="Arial" w:cs="Arial" w:eastAsia="Arial" w:hAnsi="Arial"/>
            <w:sz w:val="35"/>
            <w:szCs w:val="35"/>
            <w:color w:val="auto"/>
            <w:vertAlign w:val="superscript"/>
          </w:rPr>
          <w:t>2</w:t>
        </w:r>
        <w:r>
          <w:rPr>
            <w:rFonts w:ascii="Arial" w:cs="Arial" w:eastAsia="Arial" w:hAnsi="Arial"/>
            <w:sz w:val="22"/>
            <w:szCs w:val="22"/>
            <w:color w:val="auto"/>
          </w:rPr>
          <w:t xml:space="preserve"> </w:t>
        </w:r>
      </w:hyperlink>
      <w:r>
        <w:rPr>
          <w:rFonts w:ascii="Arial" w:cs="Arial" w:eastAsia="Arial" w:hAnsi="Arial"/>
          <w:sz w:val="22"/>
          <w:szCs w:val="22"/>
          <w:color w:val="auto"/>
        </w:rPr>
        <w:t>and via inhalation.</w:t>
      </w:r>
    </w:p>
    <w:p>
      <w:pPr>
        <w:spacing w:after="0" w:line="3" w:lineRule="exact"/>
        <w:rPr>
          <w:sz w:val="20"/>
          <w:szCs w:val="20"/>
          <w:color w:val="auto"/>
        </w:rPr>
      </w:pPr>
    </w:p>
    <w:p>
      <w:pPr>
        <w:jc w:val="both"/>
        <w:spacing w:after="0" w:line="232" w:lineRule="auto"/>
        <w:rPr>
          <w:rFonts w:ascii="Arial" w:cs="Arial" w:eastAsia="Arial" w:hAnsi="Arial"/>
          <w:sz w:val="22"/>
          <w:szCs w:val="22"/>
          <w:color w:val="auto"/>
        </w:rPr>
      </w:pPr>
      <w:r>
        <w:rPr>
          <w:rFonts w:ascii="Arial" w:cs="Arial" w:eastAsia="Arial" w:hAnsi="Arial"/>
          <w:sz w:val="22"/>
          <w:szCs w:val="22"/>
          <w:color w:val="auto"/>
        </w:rPr>
        <w:t>The Corporation intends to apply for regulatory approval for products targeting major depressive disorder ("</w:t>
      </w:r>
      <w:r>
        <w:rPr>
          <w:rFonts w:ascii="Arial" w:cs="Arial" w:eastAsia="Arial" w:hAnsi="Arial"/>
          <w:sz w:val="22"/>
          <w:szCs w:val="22"/>
          <w:b w:val="1"/>
          <w:bCs w:val="1"/>
          <w:color w:val="auto"/>
        </w:rPr>
        <w:t>MDD</w:t>
      </w:r>
      <w:r>
        <w:rPr>
          <w:rFonts w:ascii="Arial" w:cs="Arial" w:eastAsia="Arial" w:hAnsi="Arial"/>
          <w:sz w:val="22"/>
          <w:szCs w:val="22"/>
          <w:color w:val="auto"/>
        </w:rPr>
        <w:t>"), alcohol use disorder ("</w:t>
      </w:r>
      <w:r>
        <w:rPr>
          <w:rFonts w:ascii="Arial" w:cs="Arial" w:eastAsia="Arial" w:hAnsi="Arial"/>
          <w:sz w:val="22"/>
          <w:szCs w:val="22"/>
          <w:b w:val="1"/>
          <w:bCs w:val="1"/>
          <w:color w:val="auto"/>
        </w:rPr>
        <w:t>AUD</w:t>
      </w:r>
      <w:r>
        <w:rPr>
          <w:rFonts w:ascii="Arial" w:cs="Arial" w:eastAsia="Arial" w:hAnsi="Arial"/>
          <w:sz w:val="22"/>
          <w:szCs w:val="22"/>
          <w:color w:val="auto"/>
        </w:rPr>
        <w:t>") and various anxiety disorders.</w:t>
      </w:r>
      <w:hyperlink w:anchor="page11">
        <w:r>
          <w:rPr>
            <w:rFonts w:ascii="Arial" w:cs="Arial" w:eastAsia="Arial" w:hAnsi="Arial"/>
            <w:sz w:val="35"/>
            <w:szCs w:val="35"/>
            <w:color w:val="auto"/>
            <w:vertAlign w:val="superscript"/>
          </w:rPr>
          <w:t>3</w:t>
        </w:r>
        <w:r>
          <w:rPr>
            <w:rFonts w:ascii="Arial" w:cs="Arial" w:eastAsia="Arial" w:hAnsi="Arial"/>
            <w:sz w:val="22"/>
            <w:szCs w:val="22"/>
            <w:color w:val="auto"/>
          </w:rPr>
          <w:t xml:space="preserve"> </w:t>
        </w:r>
      </w:hyperlink>
      <w:r>
        <w:rPr>
          <w:rFonts w:ascii="Arial" w:cs="Arial" w:eastAsia="Arial" w:hAnsi="Arial"/>
          <w:sz w:val="22"/>
          <w:szCs w:val="22"/>
          <w:color w:val="auto"/>
        </w:rPr>
        <w:t>The Corporation is also developing products that may have the potential to address neuroinflammation.</w:t>
      </w:r>
      <w:hyperlink w:anchor="page11">
        <w:r>
          <w:rPr>
            <w:rFonts w:ascii="Arial" w:cs="Arial" w:eastAsia="Arial" w:hAnsi="Arial"/>
            <w:sz w:val="35"/>
            <w:szCs w:val="35"/>
            <w:color w:val="auto"/>
            <w:vertAlign w:val="superscript"/>
          </w:rPr>
          <w:t>4</w:t>
        </w:r>
      </w:hyperlink>
    </w:p>
    <w:p>
      <w:pPr>
        <w:spacing w:after="0" w:line="3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Non-Psychedelics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November 2021, the Corporation decided to not proceed with the Natures Journey business segment, including the Product Line in order to prioritize its progression of its research and development of psychedelic pharmaceutical products. As of the date hereof, the Corporation has not begun operations nor generated any revenue from the sale of the Product Line and it does not expect any revenues from the Product Line going forward.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Corporation's Annual Information Form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have been no material developments in the business of the Corporation since August 7, 2022, the date of the Corporation's most recently issued Interim Financial Statements and Interim MD&amp;A.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w:t>
      </w:r>
    </w:p>
    <w:p>
      <w:pPr>
        <w:spacing w:after="0" w:line="260" w:lineRule="exact"/>
        <w:rPr>
          <w:sz w:val="20"/>
          <w:szCs w:val="20"/>
          <w:color w:val="auto"/>
        </w:rPr>
      </w:pPr>
    </w:p>
    <w:p>
      <w:pPr>
        <w:jc w:val="both"/>
        <w:ind w:left="20" w:hanging="6"/>
        <w:spacing w:after="0" w:line="245" w:lineRule="auto"/>
        <w:tabs>
          <w:tab w:leader="none" w:pos="197" w:val="left"/>
        </w:tabs>
        <w:numPr>
          <w:ilvl w:val="0"/>
          <w:numId w:val="5"/>
        </w:numPr>
        <w:rPr>
          <w:rFonts w:ascii="Arial" w:cs="Arial" w:eastAsia="Arial" w:hAnsi="Arial"/>
          <w:sz w:val="33"/>
          <w:szCs w:val="33"/>
          <w:color w:val="auto"/>
          <w:vertAlign w:val="superscript"/>
        </w:rPr>
      </w:pPr>
      <w:r>
        <w:rPr>
          <w:rFonts w:ascii="Arial" w:cs="Arial" w:eastAsia="Arial" w:hAnsi="Arial"/>
          <w:sz w:val="20"/>
          <w:szCs w:val="20"/>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The Corporation has contracted with IntelGenx Corp. to develop the pharmaceutically acceptable sublingual film formulation using oral film drug delivery technology in respect of the active pharmaceutical ingredient ("</w:t>
      </w:r>
      <w:r>
        <w:rPr>
          <w:rFonts w:ascii="Arial" w:cs="Arial" w:eastAsia="Arial" w:hAnsi="Arial"/>
          <w:sz w:val="20"/>
          <w:szCs w:val="20"/>
          <w:b w:val="1"/>
          <w:bCs w:val="1"/>
          <w:color w:val="auto"/>
        </w:rPr>
        <w:t>API</w:t>
      </w:r>
      <w:r>
        <w:rPr>
          <w:rFonts w:ascii="Arial" w:cs="Arial" w:eastAsia="Arial" w:hAnsi="Arial"/>
          <w:sz w:val="20"/>
          <w:szCs w:val="20"/>
          <w:color w:val="auto"/>
        </w:rPr>
        <w:t>") psilocybin for each of the four following strengths of such API: 1, 3, 5 and 7 mg. (the "</w:t>
      </w:r>
      <w:r>
        <w:rPr>
          <w:rFonts w:ascii="Arial" w:cs="Arial" w:eastAsia="Arial" w:hAnsi="Arial"/>
          <w:sz w:val="20"/>
          <w:szCs w:val="20"/>
          <w:b w:val="1"/>
          <w:bCs w:val="1"/>
          <w:color w:val="auto"/>
        </w:rPr>
        <w:t>Sublingual Film</w:t>
      </w:r>
      <w:r>
        <w:rPr>
          <w:rFonts w:ascii="Arial" w:cs="Arial" w:eastAsia="Arial" w:hAnsi="Arial"/>
          <w:sz w:val="20"/>
          <w:szCs w:val="20"/>
          <w:color w:val="auto"/>
        </w:rPr>
        <w:t>") formulation of psilocybin. IntelGenx Corp. has produced multiple formulation types, but the final formulation has not been selected. Successful completion of formulation is necessary before clinical trials supplies can be provided to investigators. On November 8, 2021, the Corporation announced that its research into its Deuterated Psilocybin Analog Program has identified a putative orally deliverable drug product that appears to have more desirable characteristics than psilocybin delivered by Sublingual Film. Although the Corporation is still evaluating the Sublingual Film technology, it has prioritized the Deuterated Psilocybin Analog Program over the Sublingual Film technology as a result of the Corporation's positive view of the Deuterated Psilocybin Analog Program research data.</w:t>
      </w:r>
    </w:p>
    <w:p>
      <w:pPr>
        <w:spacing w:after="0" w:line="33" w:lineRule="exact"/>
        <w:rPr>
          <w:sz w:val="20"/>
          <w:szCs w:val="20"/>
          <w:color w:val="auto"/>
        </w:rPr>
      </w:pPr>
    </w:p>
    <w:p>
      <w:pPr>
        <w:jc w:val="both"/>
        <w:ind w:firstLine="8"/>
        <w:spacing w:after="0" w:line="252" w:lineRule="auto"/>
        <w:tabs>
          <w:tab w:leader="none" w:pos="174" w:val="left"/>
        </w:tabs>
        <w:numPr>
          <w:ilvl w:val="0"/>
          <w:numId w:val="6"/>
        </w:numPr>
        <w:rPr>
          <w:rFonts w:ascii="Arial" w:cs="Arial" w:eastAsia="Arial" w:hAnsi="Arial"/>
          <w:sz w:val="31"/>
          <w:szCs w:val="31"/>
          <w:color w:val="auto"/>
          <w:vertAlign w:val="superscript"/>
        </w:rPr>
      </w:pPr>
      <w:r>
        <w:rPr>
          <w:rFonts w:ascii="Arial" w:cs="Arial" w:eastAsia="Arial" w:hAnsi="Arial"/>
          <w:sz w:val="19"/>
          <w:szCs w:val="19"/>
          <w:color w:val="auto"/>
        </w:rPr>
        <w:t>The Corporation is currently applying Catalent Inc.'s proprietary Zydis® ODT technology as a delivery method during the development of our novel deuterated tryptamine. Zydis technology creates a freeze-dried tablet that disperses almost instantly in the mouth without water and is recognized as one of the world's best-performing ODTs. 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31" w:lineRule="exact"/>
        <w:rPr>
          <w:sz w:val="20"/>
          <w:szCs w:val="20"/>
          <w:color w:val="auto"/>
        </w:rPr>
      </w:pPr>
    </w:p>
    <w:p>
      <w:pPr>
        <w:jc w:val="both"/>
        <w:ind w:firstLine="8"/>
        <w:spacing w:after="0" w:line="214" w:lineRule="auto"/>
        <w:tabs>
          <w:tab w:leader="none" w:pos="168" w:val="left"/>
        </w:tabs>
        <w:numPr>
          <w:ilvl w:val="0"/>
          <w:numId w:val="7"/>
        </w:numPr>
        <w:rPr>
          <w:rFonts w:ascii="Arial" w:cs="Arial" w:eastAsia="Arial" w:hAnsi="Arial"/>
          <w:sz w:val="36"/>
          <w:szCs w:val="36"/>
          <w:color w:val="auto"/>
          <w:vertAlign w:val="superscript"/>
        </w:rPr>
      </w:pPr>
      <w:r>
        <w:rPr>
          <w:rFonts w:ascii="Arial" w:cs="Arial" w:eastAsia="Arial" w:hAnsi="Arial"/>
          <w:sz w:val="22"/>
          <w:szCs w:val="22"/>
          <w:color w:val="auto"/>
        </w:rPr>
        <w:t>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33" w:lineRule="exact"/>
        <w:rPr>
          <w:sz w:val="20"/>
          <w:szCs w:val="20"/>
          <w:color w:val="auto"/>
        </w:rPr>
      </w:pPr>
    </w:p>
    <w:p>
      <w:pPr>
        <w:jc w:val="both"/>
        <w:ind w:firstLine="8"/>
        <w:spacing w:after="0" w:line="215" w:lineRule="auto"/>
        <w:tabs>
          <w:tab w:leader="none" w:pos="168" w:val="left"/>
        </w:tabs>
        <w:numPr>
          <w:ilvl w:val="0"/>
          <w:numId w:val="8"/>
        </w:numPr>
        <w:rPr>
          <w:rFonts w:ascii="Arial" w:cs="Arial" w:eastAsia="Arial" w:hAnsi="Arial"/>
          <w:sz w:val="36"/>
          <w:szCs w:val="36"/>
          <w:color w:val="auto"/>
          <w:vertAlign w:val="superscript"/>
        </w:rPr>
      </w:pPr>
      <w:r>
        <w:rPr>
          <w:rFonts w:ascii="Arial" w:cs="Arial" w:eastAsia="Arial" w:hAnsi="Arial"/>
          <w:sz w:val="22"/>
          <w:szCs w:val="22"/>
          <w:color w:val="auto"/>
        </w:rPr>
        <w:t>The material factors and assumption underlying this forward-looking statement is that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124460</wp:posOffset>
            </wp:positionV>
            <wp:extent cx="3686175" cy="3900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617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hanging="314"/>
        <w:spacing w:after="0" w:line="239" w:lineRule="auto"/>
        <w:tabs>
          <w:tab w:leader="none" w:pos="146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shareholders of Adelia Therapeutics Inc. ("</w:t>
      </w:r>
      <w:r>
        <w:rPr>
          <w:rFonts w:ascii="Arial" w:cs="Arial" w:eastAsia="Arial" w:hAnsi="Arial"/>
          <w:sz w:val="22"/>
          <w:szCs w:val="22"/>
          <w:b w:val="1"/>
          <w:bCs w:val="1"/>
          <w:color w:val="auto"/>
        </w:rPr>
        <w:t>Adelia</w:t>
      </w:r>
      <w:r>
        <w:rPr>
          <w:rFonts w:ascii="Arial" w:cs="Arial" w:eastAsia="Arial" w:hAnsi="Arial"/>
          <w:sz w:val="22"/>
          <w:szCs w:val="22"/>
          <w:color w:val="auto"/>
        </w:rPr>
        <w:t>") hold certain non-voting securities of Cybin U.S. issued in connection with the acquisition of Adelia on December 14, 2020 (the "</w:t>
      </w:r>
      <w:r>
        <w:rPr>
          <w:rFonts w:ascii="Arial" w:cs="Arial" w:eastAsia="Arial" w:hAnsi="Arial"/>
          <w:sz w:val="22"/>
          <w:szCs w:val="22"/>
          <w:b w:val="1"/>
          <w:bCs w:val="1"/>
          <w:color w:val="auto"/>
        </w:rPr>
        <w:t>Adelia Transaction</w:t>
      </w:r>
      <w:r>
        <w:rPr>
          <w:rFonts w:ascii="Arial" w:cs="Arial" w:eastAsia="Arial" w:hAnsi="Arial"/>
          <w:sz w:val="22"/>
          <w:szCs w:val="22"/>
          <w:color w:val="auto"/>
        </w:rPr>
        <w:t>"). For additional information in respect of the Adelia Transaction, please see the Corporation's Annual Information Form incorporated by reference in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COMMON SHARES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Corporation is authorized to issue an unlimited number of Common Shares and an unlimited number of preferred shares. As at August 8, 2022, the Corporation had 166,120,171 Common Shares and nil preferred shares issued and outstanding. For a summary of certain material attributes and characteristics of the Common Shares, see </w:t>
      </w:r>
      <w:r>
        <w:rPr>
          <w:rFonts w:ascii="Arial" w:cs="Arial" w:eastAsia="Arial" w:hAnsi="Arial"/>
          <w:sz w:val="22"/>
          <w:szCs w:val="22"/>
          <w:i w:val="1"/>
          <w:iCs w:val="1"/>
          <w:color w:val="auto"/>
        </w:rPr>
        <w:t>"Description of the Securities Being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Distributed - Common Shares" </w:t>
      </w:r>
      <w:r>
        <w:rPr>
          <w:rFonts w:ascii="Arial" w:cs="Arial" w:eastAsia="Arial" w:hAnsi="Arial"/>
          <w:sz w:val="22"/>
          <w:szCs w:val="22"/>
          <w:color w:val="auto"/>
        </w:rPr>
        <w:t>in the Base Shelf Prospectus.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ind w:left="80"/>
        <w:spacing w:after="0" w:line="252" w:lineRule="auto"/>
        <w:rPr>
          <w:sz w:val="20"/>
          <w:szCs w:val="20"/>
          <w:color w:val="auto"/>
        </w:rPr>
      </w:pPr>
      <w:r>
        <w:rPr>
          <w:rFonts w:ascii="Arial" w:cs="Arial" w:eastAsia="Arial" w:hAnsi="Arial"/>
          <w:sz w:val="21"/>
          <w:szCs w:val="21"/>
          <w:color w:val="auto"/>
        </w:rPr>
        <w:t>There have been no material changes in the Corporation's share or loan capitalization on a consolidated basis since the date of the Interim Financial Statements. As a result of the Offering, the shareholder's equity of the Corporation will increase by the amount of the net proceeds of the Offering and the number of issued and outstanding Common Shares will increase by the number of Common Shares actually distributed under the Offering.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net proceeds from the Offering are not determinable in light of the nature of the distribution. The net proceeds of any given distribution of Common Shares through the Agents in an "at-the-market distribution" or "at-the-market offering" will represent the gross proceeds after deducting the applicable compensation payable to the Agents under the Distribution Agreement and the expenses of the distribution. The proceeds actually received by the Corporation will depend on the number of Common Shares actually sold and the offering price of such Common Shares. See </w:t>
      </w:r>
      <w:r>
        <w:rPr>
          <w:rFonts w:ascii="Arial" w:cs="Arial" w:eastAsia="Arial" w:hAnsi="Arial"/>
          <w:sz w:val="21"/>
          <w:szCs w:val="21"/>
          <w:i w:val="1"/>
          <w:iCs w:val="1"/>
          <w:color w:val="auto"/>
        </w:rPr>
        <w:t>"Plan of Distribution"</w:t>
      </w:r>
      <w:r>
        <w:rPr>
          <w:rFonts w:ascii="Arial" w:cs="Arial" w:eastAsia="Arial" w:hAnsi="Arial"/>
          <w:sz w:val="21"/>
          <w:szCs w:val="21"/>
          <w:color w:val="auto"/>
        </w:rPr>
        <w:t>.</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Assuming net proceeds of the maximum of U.S.$33,950,000 on or before the expiry of the Prospectus on August 5, 2023, the Corporation intends to use the net proceeds of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At any given time, the Corporation may be engaged in discussions and activities in respect of potential growth initiatives and other strategic opportunities that are complementary or accretive to the Corporation's business, which may include acquisitions or other investments.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To the extent the Corporation requires additional capital, it may raise funds through debt and equity financing in the future.</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use of the net proceeds of the Offering to fund potential growth initiatives and other strategic opportunities is subject to change due to the influence of many evolving variables, including those as described under </w:t>
      </w:r>
      <w:r>
        <w:rPr>
          <w:rFonts w:ascii="Arial" w:cs="Arial" w:eastAsia="Arial" w:hAnsi="Arial"/>
          <w:sz w:val="22"/>
          <w:szCs w:val="22"/>
          <w:i w:val="1"/>
          <w:iCs w:val="1"/>
          <w:color w:val="auto"/>
        </w:rPr>
        <w:t>"Stage of Development"</w:t>
      </w:r>
      <w:r>
        <w:rPr>
          <w:rFonts w:ascii="Arial" w:cs="Arial" w:eastAsia="Arial" w:hAnsi="Arial"/>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22"/>
          <w:szCs w:val="22"/>
          <w:i w:val="1"/>
          <w:iCs w:val="1"/>
          <w:color w:val="auto"/>
        </w:rPr>
        <w:t>"Cautionary Statement Regarding Forward-Looking</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Statements"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w:t>
      </w:r>
      <w:r>
        <w:rPr>
          <w:rFonts w:ascii="Arial" w:cs="Arial" w:eastAsia="Arial" w:hAnsi="Arial"/>
          <w:sz w:val="22"/>
          <w:szCs w:val="22"/>
          <w:color w:val="auto"/>
        </w:rPr>
        <w: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$120,000,000 in gross proceeds through private placement and prospectus offerings. The Corporation has experienced operating losses and cash outflows from operations since incorporation and will require ongoing financing to continue its research and development activities.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Interim MD&amp;A, to which there has been no material changes since the date of the applicable document.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Corporation has entered into the Distribution Agreement with the Agents under which the Corporation may issue and sell from time to time Common Shares having an aggregate sale price of up to U.S.$35,000,000 (or the equivalent in United States dollars determined using the daily exchange rate posted by the Bank of Canada on the date the Common Shares are sold) in each of the provinces and territories of Canada and in the United States pursuant to placement notices delivered by the Corporation to the Agents from time to time in accordance with the terms of the Distribution Agreement. Sales of Common Shares, if any, will be made in transactions that are deemed to be "at-the-market distributions" as defined in NI 44-102 and an "at-the-market offering" as defined in Rule 415(a)(4) under the U.S. Securities Act, in privately negotiated transactions and/or any other method permitted by applicable law including sales made by the Agents directly on the NEO, NYSE American or any other trading market for the Common Shares in Canada or the United States. Subject to the pricing parameters in a placement notice, the Common Shares will be distributed at the market prices prevailing at the time of the sale. As a result, prices may vary as between purchasers and during the period of distribution. The Corporation cannot predict the number of Common Shares that the Corporation may sell under the Distribution Agreement on the NEO, NYSE American or any other trading market for the Common Shares in Canada, or if any Common Shares will be sold.</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The Agents are not required to sell any specific number or dollar amount of Common Shares, but will use its commercially reasonable efforts to sell the Common Shares pursuant to the terms and conditions of the Distribution Agreement. </w:t>
      </w:r>
      <w:r>
        <w:rPr>
          <w:rFonts w:ascii="Arial" w:cs="Arial" w:eastAsia="Arial" w:hAnsi="Arial"/>
          <w:sz w:val="21"/>
          <w:szCs w:val="21"/>
          <w:b w:val="1"/>
          <w:bCs w:val="1"/>
          <w:color w:val="auto"/>
        </w:rPr>
        <w:t>There is no</w:t>
      </w:r>
      <w:r>
        <w:rPr>
          <w:rFonts w:ascii="Arial" w:cs="Arial" w:eastAsia="Arial" w:hAnsi="Arial"/>
          <w:sz w:val="21"/>
          <w:szCs w:val="21"/>
          <w:color w:val="auto"/>
        </w:rPr>
        <w:t xml:space="preserve"> </w:t>
      </w:r>
      <w:r>
        <w:rPr>
          <w:rFonts w:ascii="Arial" w:cs="Arial" w:eastAsia="Arial" w:hAnsi="Arial"/>
          <w:sz w:val="21"/>
          <w:szCs w:val="21"/>
          <w:b w:val="1"/>
          <w:bCs w:val="1"/>
          <w:color w:val="auto"/>
        </w:rPr>
        <w:t>minimum amount of funds that must be raised under the Offering. This means that the Offering may terminate after only raising a small portion of the offering amount set out above, or none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Agents will offer the Common Shares subject to the terms and conditions of the Distribution Agreement from time to time or as otherwise agreed upon by the Corporation and the Agents. Subject to the terms and conditions of the Distribution Agreement, the Agents will use their commercially reasonable efforts to sell, on the Corporation's behalf, all of the Common Shares requested to be sold by the Corporation. The Corporation may instruct the Agents not to sell Common Shares if the sales cannot be achieved at or above the price designated by the Corporation in a particular placement notice.</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Neither the Corporation nor the Agents may suspend the Offering upon proper notice to the other party. The Corporation and the Agents each have the right, by giving written notice as specified in the Distribution Agreement, to terminate the Distribution Agreement in each party's sole discretion at any time. Pursuant to the Distribution Agreement, the Offering will terminate upon the earliest of (i) the termination of the Distribution Agreement as provided for therein, (ii) the date on which the aggregate gross proceeds from sales of Common Shares pursuant to the Distributions Agreement equal U.S.$35,000,000 and (iii) August 5, 2023.</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will pay the Agents the Commission for their services in acting as agent in connection with the sale of Common Shares pursuant to the Distribution Agreement in an amount equal to 3% of the gross sale price per Common Share sold (the "</w:t>
      </w:r>
      <w:r>
        <w:rPr>
          <w:rFonts w:ascii="Arial" w:cs="Arial" w:eastAsia="Arial" w:hAnsi="Arial"/>
          <w:sz w:val="19"/>
          <w:szCs w:val="19"/>
          <w:b w:val="1"/>
          <w:bCs w:val="1"/>
          <w:color w:val="auto"/>
        </w:rPr>
        <w:t>Commission</w:t>
      </w:r>
      <w:r>
        <w:rPr>
          <w:rFonts w:ascii="Arial" w:cs="Arial" w:eastAsia="Arial" w:hAnsi="Arial"/>
          <w:sz w:val="19"/>
          <w:szCs w:val="19"/>
          <w:color w:val="auto"/>
        </w:rPr>
        <w:t>"). Provided, however, that the Corporation shall not be obligated to pay the Agents any Commission on any sale of Common Shares that it is not possible to settle due to (i) a suspension or material limitation in trading in securities generally on the NEO or NYSE American, (ii) a material disruption in securities settlement or clearance services in Canada or the United States, (iii) failure by the applicable Agent to comply with its obligations under the terms of the Distribution Agreement; or (iv) if the Corporation and the Agents agree, pursuant to the terms of the Distribution Agreement, that no sale of Common shares will take place. The sales proceeds remaining after payment of the Commission and after deducting any expenses payable by the Corporation and any transaction or filing fees imposed by any governmental, regulatory, or self-regulatory organization in connection with the sales, will equal the net proceeds to the Corporation from the sale of such Common Shares.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applicable Agent or Agents will provide written confirmation to the Corporation no later than the opening of the trading day immediately following the trading day on which it has made sales of the Common Shares under the Distribution Agreement. Each confirmation will include the number of Common Shares sold on such day (including the number of Common Shares sold on the NEO and or NYSE American, or on any other marketplace in Canada or the United States), the average price of the Common Shares sold on such day (including the average price of Common Shares sold on NEO, NYSE American or on any other marketplace in Canada or the United States), the gross proceeds, the Commission payable by the Corporation to the Agents with respect to such sales and the net proceeds payable to the Corporation. The Agents will also assist the Corporation with such other periodic reporting as may be reasonably requested by the Corporation with respect to the sales of Common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spacing w:after="0" w:line="236" w:lineRule="auto"/>
        <w:rPr>
          <w:sz w:val="20"/>
          <w:szCs w:val="20"/>
          <w:color w:val="auto"/>
        </w:rPr>
      </w:pPr>
      <w:r>
        <w:rPr>
          <w:rFonts w:ascii="Arial" w:cs="Arial" w:eastAsia="Arial" w:hAnsi="Arial"/>
          <w:sz w:val="22"/>
          <w:szCs w:val="22"/>
          <w:color w:val="auto"/>
        </w:rPr>
        <w:t>The Corporation will disclose the number and average price of the Common Shares sold under this Prospectus Supplement, as well as the gross proceeds, Commission and net proceeds from sales hereunder in the Corporation's annual and interim financial statements and related management discussion &amp; analysis, annual information forms and annual reports on Form 40-F, filed on SEDAR and filed or furnished, as applicable, with the SEC on EDGAR, for any quarters or annual periods in which sales of Common Shares occur.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Settlement for sales of Common Shares will occur, unless otherwise specified in an applicable placement notice, on the second trading day on the applicable exchange following the date on which any sales were made in return for payment of the net proceeds to the Corporation. There is no arrangement for funds to be received in an escrow, trust or similar arrangement. Sales of Common Shares in the United States will be settled through the facilities of The Depository Trust Corporation or by such other means as the Corporation and the Agents may agree upon and sales of Common Shares in Canada will be settled through the facilities of The Canadian Depository for Securities or by such other means as the Corporation and the Agents may agree.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Offering is being made in Canada under the terms of this Prospectus Supplement and concurrently in the United States under the terms of the Corporation's Registration Statement filed with the SEC of which this Prospectus Supplement forms a part. </w:t>
      </w:r>
      <w:r>
        <w:rPr>
          <w:rFonts w:ascii="Arial" w:cs="Arial" w:eastAsia="Arial" w:hAnsi="Arial"/>
          <w:sz w:val="19"/>
          <w:szCs w:val="19"/>
          <w:b w:val="1"/>
          <w:bCs w:val="1"/>
          <w:color w:val="auto"/>
        </w:rPr>
        <w:t>In</w:t>
      </w:r>
      <w:r>
        <w:rPr>
          <w:rFonts w:ascii="Arial" w:cs="Arial" w:eastAsia="Arial" w:hAnsi="Arial"/>
          <w:sz w:val="19"/>
          <w:szCs w:val="19"/>
          <w:color w:val="auto"/>
        </w:rPr>
        <w:t xml:space="preserve"> </w:t>
      </w:r>
      <w:r>
        <w:rPr>
          <w:rFonts w:ascii="Arial" w:cs="Arial" w:eastAsia="Arial" w:hAnsi="Arial"/>
          <w:sz w:val="19"/>
          <w:szCs w:val="19"/>
          <w:b w:val="1"/>
          <w:bCs w:val="1"/>
          <w:color w:val="auto"/>
        </w:rPr>
        <w:t>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has agreed to pay the reasonable fees, disbursements and expenses of counsel to the Agents in connection with the Offering, subject to the terms of the Distribution Agreement and any other agreement in writing between the Corporation and the Agents. No agent, underwriter or dealer involved in the distribution of Common Shares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5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total expenses related to the commencement of the Offering to be paid by the Corporation, excluding the Commission payable to the Agents under the Distribution Agreement, are estimated to be approximately up to U.S.$300,000.</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of the Agents and its affiliates have in the past provided and may in the future provide various investment banking, commercial banking and other financial services for the Corporation and its affiliates, for which services they have received and may in the future receive customary fees. To the extent required by Regulation M, the Agents will not engage in any market making activities involving the Common Shares while the Offering is ongoing under this Prospectus Supplement.</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applied to list the Common Shares offered by this Prospectus Supplement on the NEO and NYSE American has authorized the listing of the Common Shares to be offered in the Offering. Listing will be subject to the Corporation fulfilling all of the listing requirements of the NEO and NYSE American.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Common Shares are listed for trading on the NEO and NYSE American under the symbol "CYBN". The following table sets forth the reported monthly range of high and low prices per Common Share and total monthly volumes traded on the NEO and NYSE American for each of the months indicated during the 12-month period prior to the date of this Prospectus Supplement.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80" w:type="dxa"/>
            <w:vAlign w:val="bottom"/>
          </w:tcPr>
          <w:p>
            <w:pPr>
              <w:ind w:left="80"/>
              <w:spacing w:after="0"/>
              <w:rPr>
                <w:sz w:val="20"/>
                <w:szCs w:val="20"/>
                <w:color w:val="auto"/>
              </w:rPr>
            </w:pPr>
            <w:r>
              <w:rPr>
                <w:rFonts w:ascii="Arial" w:cs="Arial" w:eastAsia="Arial" w:hAnsi="Arial"/>
                <w:sz w:val="18"/>
                <w:szCs w:val="18"/>
                <w:b w:val="1"/>
                <w:bCs w:val="1"/>
                <w:color w:val="auto"/>
              </w:rPr>
              <w:t>NEO Price Range</w:t>
            </w:r>
          </w:p>
        </w:tc>
        <w:tc>
          <w:tcPr>
            <w:tcW w:w="2660" w:type="dxa"/>
            <w:vAlign w:val="bottom"/>
          </w:tcPr>
          <w:p>
            <w:pPr>
              <w:spacing w:after="0"/>
              <w:rPr>
                <w:sz w:val="20"/>
                <w:szCs w:val="20"/>
                <w:color w:val="auto"/>
              </w:rPr>
            </w:pPr>
          </w:p>
        </w:tc>
      </w:tr>
      <w:tr>
        <w:trPr>
          <w:trHeight w:val="595"/>
        </w:trPr>
        <w:tc>
          <w:tcPr>
            <w:tcW w:w="2860" w:type="dxa"/>
            <w:vAlign w:val="bottom"/>
          </w:tcPr>
          <w:p>
            <w:pPr>
              <w:ind w:left="1180"/>
              <w:spacing w:after="0"/>
              <w:rPr>
                <w:sz w:val="20"/>
                <w:szCs w:val="20"/>
                <w:color w:val="auto"/>
              </w:rPr>
            </w:pPr>
            <w:r>
              <w:rPr>
                <w:rFonts w:ascii="Arial" w:cs="Arial" w:eastAsia="Arial" w:hAnsi="Arial"/>
                <w:sz w:val="18"/>
                <w:szCs w:val="18"/>
                <w:b w:val="1"/>
                <w:bCs w:val="1"/>
                <w:color w:val="auto"/>
              </w:rPr>
              <w:t>Month</w:t>
            </w:r>
          </w:p>
        </w:tc>
        <w:tc>
          <w:tcPr>
            <w:tcW w:w="2040" w:type="dxa"/>
            <w:vAlign w:val="bottom"/>
          </w:tcPr>
          <w:p>
            <w:pPr>
              <w:jc w:val="center"/>
              <w:ind w:left="990"/>
              <w:spacing w:after="0"/>
              <w:rPr>
                <w:sz w:val="20"/>
                <w:szCs w:val="20"/>
                <w:color w:val="auto"/>
              </w:rPr>
            </w:pPr>
            <w:r>
              <w:rPr>
                <w:rFonts w:ascii="Arial" w:cs="Arial" w:eastAsia="Arial" w:hAnsi="Arial"/>
                <w:sz w:val="18"/>
                <w:szCs w:val="18"/>
                <w:b w:val="1"/>
                <w:bCs w:val="1"/>
                <w:color w:val="auto"/>
                <w:w w:val="88"/>
              </w:rPr>
              <w:t xml:space="preserve">High </w:t>
            </w:r>
            <w:r>
              <w:rPr>
                <w:rFonts w:ascii="Arial" w:cs="Arial" w:eastAsia="Arial" w:hAnsi="Arial"/>
                <w:sz w:val="18"/>
                <w:szCs w:val="18"/>
                <w:color w:val="auto"/>
                <w:w w:val="88"/>
              </w:rPr>
              <w:t>($)</w:t>
            </w:r>
            <w:r>
              <w:rPr>
                <w:rFonts w:ascii="Arial" w:cs="Arial" w:eastAsia="Arial" w:hAnsi="Arial"/>
                <w:sz w:val="29"/>
                <w:szCs w:val="29"/>
                <w:b w:val="1"/>
                <w:bCs w:val="1"/>
                <w:color w:val="auto"/>
                <w:w w:val="88"/>
                <w:vertAlign w:val="superscript"/>
              </w:rPr>
              <w:t>(1)</w:t>
            </w:r>
          </w:p>
        </w:tc>
        <w:tc>
          <w:tcPr>
            <w:tcW w:w="3680" w:type="dxa"/>
            <w:vAlign w:val="bottom"/>
          </w:tcPr>
          <w:p>
            <w:pPr>
              <w:jc w:val="center"/>
              <w:ind w:left="770"/>
              <w:spacing w:after="0"/>
              <w:rPr>
                <w:sz w:val="20"/>
                <w:szCs w:val="20"/>
                <w:color w:val="auto"/>
              </w:rPr>
            </w:pPr>
            <w:r>
              <w:rPr>
                <w:rFonts w:ascii="Arial" w:cs="Arial" w:eastAsia="Arial" w:hAnsi="Arial"/>
                <w:sz w:val="18"/>
                <w:szCs w:val="18"/>
                <w:b w:val="1"/>
                <w:bCs w:val="1"/>
                <w:color w:val="auto"/>
                <w:w w:val="89"/>
              </w:rPr>
              <w:t xml:space="preserve">Low </w:t>
            </w:r>
            <w:r>
              <w:rPr>
                <w:rFonts w:ascii="Arial" w:cs="Arial" w:eastAsia="Arial" w:hAnsi="Arial"/>
                <w:sz w:val="18"/>
                <w:szCs w:val="18"/>
                <w:color w:val="auto"/>
                <w:w w:val="89"/>
              </w:rPr>
              <w:t>($)</w:t>
            </w:r>
            <w:r>
              <w:rPr>
                <w:rFonts w:ascii="Arial" w:cs="Arial" w:eastAsia="Arial" w:hAnsi="Arial"/>
                <w:sz w:val="29"/>
                <w:szCs w:val="29"/>
                <w:b w:val="1"/>
                <w:bCs w:val="1"/>
                <w:color w:val="auto"/>
                <w:w w:val="89"/>
                <w:vertAlign w:val="superscript"/>
              </w:rPr>
              <w:t>(1)</w:t>
            </w:r>
          </w:p>
        </w:tc>
        <w:tc>
          <w:tcPr>
            <w:tcW w:w="2660" w:type="dxa"/>
            <w:vAlign w:val="bottom"/>
          </w:tcPr>
          <w:p>
            <w:pPr>
              <w:ind w:left="104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93"/>
        </w:trPr>
        <w:tc>
          <w:tcPr>
            <w:tcW w:w="2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60" w:type="dxa"/>
            <w:vAlign w:val="bottom"/>
          </w:tcPr>
          <w:p>
            <w:pPr>
              <w:spacing w:after="0"/>
              <w:rPr>
                <w:sz w:val="8"/>
                <w:szCs w:val="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August 2021</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3.99</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2.15</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90"/>
              </w:rPr>
              <w:t>11,652,282</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September 2021</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3.55</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2.54</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9,933,259</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October 2021</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2.79</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2.24</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5,973,696</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November 2021</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2.94</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1.65</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90"/>
              </w:rPr>
              <w:t>14,160,868</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December 2021</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1.94</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1.35</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6,191,101</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January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1.54</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1.21</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3,636,976</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February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1.46</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1.11</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2,935,312</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March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1.20</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0.95</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3,883,026</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April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1.12</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0.68</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1,784,193</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May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0.54</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0.50</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3,017,959</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June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1.06</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0.67</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2,662,940</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July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0.79</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0.69</w:t>
            </w:r>
          </w:p>
        </w:tc>
        <w:tc>
          <w:tcPr>
            <w:tcW w:w="2660" w:type="dxa"/>
            <w:vAlign w:val="bottom"/>
            <w:shd w:val="clear" w:color="auto" w:fill="E6EFFF"/>
          </w:tcPr>
          <w:p>
            <w:pPr>
              <w:jc w:val="center"/>
              <w:ind w:left="90"/>
              <w:spacing w:after="0"/>
              <w:rPr>
                <w:sz w:val="20"/>
                <w:szCs w:val="20"/>
                <w:color w:val="auto"/>
              </w:rPr>
            </w:pPr>
            <w:r>
              <w:rPr>
                <w:rFonts w:ascii="Arial" w:cs="Arial" w:eastAsia="Arial" w:hAnsi="Arial"/>
                <w:sz w:val="18"/>
                <w:szCs w:val="18"/>
                <w:color w:val="auto"/>
                <w:w w:val="89"/>
              </w:rPr>
              <w:t>1,697,807</w:t>
            </w:r>
          </w:p>
        </w:tc>
      </w:tr>
      <w:tr>
        <w:trPr>
          <w:trHeight w:val="216"/>
        </w:trPr>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860" w:type="dxa"/>
            <w:vAlign w:val="bottom"/>
            <w:shd w:val="clear" w:color="auto" w:fill="E6EFFF"/>
          </w:tcPr>
          <w:p>
            <w:pPr>
              <w:ind w:left="100"/>
              <w:spacing w:after="0"/>
              <w:rPr>
                <w:sz w:val="20"/>
                <w:szCs w:val="20"/>
                <w:color w:val="auto"/>
              </w:rPr>
            </w:pPr>
            <w:r>
              <w:rPr>
                <w:rFonts w:ascii="Arial" w:cs="Arial" w:eastAsia="Arial" w:hAnsi="Arial"/>
                <w:sz w:val="18"/>
                <w:szCs w:val="18"/>
                <w:color w:val="auto"/>
              </w:rPr>
              <w:t>August (1 - 5), 2022</w:t>
            </w:r>
          </w:p>
        </w:tc>
        <w:tc>
          <w:tcPr>
            <w:tcW w:w="2040" w:type="dxa"/>
            <w:vAlign w:val="bottom"/>
            <w:shd w:val="clear" w:color="auto" w:fill="E6EFFF"/>
          </w:tcPr>
          <w:p>
            <w:pPr>
              <w:jc w:val="center"/>
              <w:ind w:left="990"/>
              <w:spacing w:after="0"/>
              <w:rPr>
                <w:sz w:val="20"/>
                <w:szCs w:val="20"/>
                <w:color w:val="auto"/>
              </w:rPr>
            </w:pPr>
            <w:r>
              <w:rPr>
                <w:rFonts w:ascii="Arial" w:cs="Arial" w:eastAsia="Arial" w:hAnsi="Arial"/>
                <w:sz w:val="18"/>
                <w:szCs w:val="18"/>
                <w:color w:val="auto"/>
                <w:w w:val="91"/>
              </w:rPr>
              <w:t>0.95</w:t>
            </w:r>
          </w:p>
        </w:tc>
        <w:tc>
          <w:tcPr>
            <w:tcW w:w="3680" w:type="dxa"/>
            <w:vAlign w:val="bottom"/>
            <w:shd w:val="clear" w:color="auto" w:fill="E6EFFF"/>
          </w:tcPr>
          <w:p>
            <w:pPr>
              <w:jc w:val="center"/>
              <w:ind w:left="770"/>
              <w:spacing w:after="0"/>
              <w:rPr>
                <w:sz w:val="20"/>
                <w:szCs w:val="20"/>
                <w:color w:val="auto"/>
              </w:rPr>
            </w:pPr>
            <w:r>
              <w:rPr>
                <w:rFonts w:ascii="Arial" w:cs="Arial" w:eastAsia="Arial" w:hAnsi="Arial"/>
                <w:sz w:val="18"/>
                <w:szCs w:val="18"/>
                <w:color w:val="auto"/>
                <w:w w:val="85"/>
              </w:rPr>
              <w:t>0.78</w:t>
            </w:r>
          </w:p>
        </w:tc>
        <w:tc>
          <w:tcPr>
            <w:tcW w:w="2660" w:type="dxa"/>
            <w:vAlign w:val="bottom"/>
            <w:shd w:val="clear" w:color="auto" w:fill="E6EFFF"/>
          </w:tcPr>
          <w:p>
            <w:pPr>
              <w:jc w:val="center"/>
              <w:ind w:left="70"/>
              <w:spacing w:after="0"/>
              <w:rPr>
                <w:sz w:val="20"/>
                <w:szCs w:val="20"/>
                <w:color w:val="auto"/>
              </w:rPr>
            </w:pPr>
            <w:r>
              <w:rPr>
                <w:rFonts w:ascii="Arial" w:cs="Arial" w:eastAsia="Arial" w:hAnsi="Arial"/>
                <w:sz w:val="18"/>
                <w:szCs w:val="18"/>
                <w:color w:val="auto"/>
                <w:w w:val="89"/>
              </w:rPr>
              <w:t>744,487</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w:t>
      </w:r>
      <w:r>
        <w:rPr>
          <w:rFonts w:ascii="Arial" w:cs="Arial" w:eastAsia="Arial" w:hAnsi="Arial"/>
          <w:sz w:val="22"/>
          <w:szCs w:val="22"/>
          <w:color w:val="auto"/>
        </w:rPr>
        <w:t>:</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Source: TMX Money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August 5, 2022, being the last day on which the Common Shares traded prior to the date of this Prospectus Supplement, the closing price of the Common Shares as reported on the NEO was $0.95.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40"/>
              <w:spacing w:after="0"/>
              <w:rPr>
                <w:sz w:val="20"/>
                <w:szCs w:val="20"/>
                <w:color w:val="auto"/>
              </w:rPr>
            </w:pPr>
            <w:r>
              <w:rPr>
                <w:rFonts w:ascii="Arial" w:cs="Arial" w:eastAsia="Arial" w:hAnsi="Arial"/>
                <w:sz w:val="18"/>
                <w:szCs w:val="18"/>
                <w:b w:val="1"/>
                <w:bCs w:val="1"/>
                <w:color w:val="auto"/>
              </w:rPr>
              <w:t>NYSE American Price Range</w:t>
            </w:r>
          </w:p>
        </w:tc>
        <w:tc>
          <w:tcPr>
            <w:tcW w:w="2460" w:type="dxa"/>
            <w:vAlign w:val="bottom"/>
          </w:tcPr>
          <w:p>
            <w:pPr>
              <w:spacing w:after="0"/>
              <w:rPr>
                <w:sz w:val="20"/>
                <w:szCs w:val="20"/>
                <w:color w:val="auto"/>
              </w:rPr>
            </w:pPr>
          </w:p>
        </w:tc>
      </w:tr>
      <w:tr>
        <w:trPr>
          <w:trHeight w:val="473"/>
        </w:trPr>
        <w:tc>
          <w:tcPr>
            <w:tcW w:w="3360" w:type="dxa"/>
            <w:vAlign w:val="bottom"/>
            <w:gridSpan w:val="2"/>
          </w:tcPr>
          <w:p>
            <w:pPr>
              <w:ind w:left="1220"/>
              <w:spacing w:after="0"/>
              <w:rPr>
                <w:sz w:val="20"/>
                <w:szCs w:val="20"/>
                <w:color w:val="auto"/>
              </w:rPr>
            </w:pPr>
            <w:r>
              <w:rPr>
                <w:rFonts w:ascii="Arial" w:cs="Arial" w:eastAsia="Arial" w:hAnsi="Arial"/>
                <w:sz w:val="18"/>
                <w:szCs w:val="18"/>
                <w:b w:val="1"/>
                <w:bCs w:val="1"/>
                <w:color w:val="auto"/>
              </w:rPr>
              <w:t>Month</w:t>
            </w:r>
          </w:p>
        </w:tc>
        <w:tc>
          <w:tcPr>
            <w:tcW w:w="2700" w:type="dxa"/>
            <w:vAlign w:val="bottom"/>
            <w:gridSpan w:val="2"/>
          </w:tcPr>
          <w:p>
            <w:pPr>
              <w:ind w:left="60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720" w:type="dxa"/>
            <w:vAlign w:val="bottom"/>
            <w:gridSpan w:val="2"/>
          </w:tcPr>
          <w:p>
            <w:pPr>
              <w:ind w:left="62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460" w:type="dxa"/>
            <w:vAlign w:val="bottom"/>
          </w:tcPr>
          <w:p>
            <w:pPr>
              <w:ind w:left="86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10"/>
        </w:trPr>
        <w:tc>
          <w:tcPr>
            <w:tcW w:w="2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56"/>
        </w:trPr>
        <w:tc>
          <w:tcPr>
            <w:tcW w:w="3360" w:type="dxa"/>
            <w:vAlign w:val="bottom"/>
            <w:gridSpan w:val="2"/>
            <w:shd w:val="clear" w:color="auto" w:fill="E6EFFF"/>
          </w:tcPr>
          <w:p>
            <w:pPr>
              <w:ind w:left="100"/>
              <w:spacing w:after="0" w:line="256" w:lineRule="exact"/>
              <w:rPr>
                <w:sz w:val="20"/>
                <w:szCs w:val="20"/>
                <w:color w:val="auto"/>
              </w:rPr>
            </w:pPr>
            <w:r>
              <w:rPr>
                <w:rFonts w:ascii="Arial" w:cs="Arial" w:eastAsia="Arial" w:hAnsi="Arial"/>
                <w:sz w:val="18"/>
                <w:szCs w:val="18"/>
                <w:color w:val="auto"/>
              </w:rPr>
              <w:t>August 2021</w:t>
            </w:r>
            <w:r>
              <w:rPr>
                <w:rFonts w:ascii="Arial" w:cs="Arial" w:eastAsia="Arial" w:hAnsi="Arial"/>
                <w:sz w:val="29"/>
                <w:szCs w:val="29"/>
                <w:color w:val="auto"/>
                <w:vertAlign w:val="superscript"/>
              </w:rPr>
              <w:t>(2)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3.38</w:t>
            </w:r>
          </w:p>
        </w:tc>
        <w:tc>
          <w:tcPr>
            <w:tcW w:w="380" w:type="dxa"/>
            <w:vAlign w:val="bottom"/>
            <w:shd w:val="clear" w:color="auto" w:fill="E6EFFF"/>
          </w:tcPr>
          <w:p>
            <w:pPr>
              <w:spacing w:after="0"/>
              <w:rPr>
                <w:sz w:val="22"/>
                <w:szCs w:val="22"/>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1.68</w:t>
            </w:r>
          </w:p>
        </w:tc>
        <w:tc>
          <w:tcPr>
            <w:tcW w:w="380" w:type="dxa"/>
            <w:vAlign w:val="bottom"/>
            <w:shd w:val="clear" w:color="auto" w:fill="E6EFFF"/>
          </w:tcPr>
          <w:p>
            <w:pPr>
              <w:spacing w:after="0"/>
              <w:rPr>
                <w:sz w:val="22"/>
                <w:szCs w:val="22"/>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27,050,719</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September 2021</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2.86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1.98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23,267,531</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October 2021</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2.29</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26,186,831</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November 2021</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2.355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1.29</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57,337,568</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December 2021</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1.54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1.05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32,155,939</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January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1.22</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0.82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19,882,525</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February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1.16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0.862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13,843,580</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March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0.95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0.70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14,441,487</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April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0.42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15,659,793</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May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0.71</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0.3903</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14,762,190</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June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0.86</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0.5301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12,694,019</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July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0.65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11,863,781</w:t>
            </w:r>
          </w:p>
        </w:tc>
      </w:tr>
      <w:tr>
        <w:trPr>
          <w:trHeight w:val="216"/>
        </w:trPr>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360" w:type="dxa"/>
            <w:vAlign w:val="bottom"/>
            <w:gridSpan w:val="2"/>
            <w:shd w:val="clear" w:color="auto" w:fill="E6EFFF"/>
          </w:tcPr>
          <w:p>
            <w:pPr>
              <w:ind w:left="100"/>
              <w:spacing w:after="0"/>
              <w:rPr>
                <w:sz w:val="20"/>
                <w:szCs w:val="20"/>
                <w:color w:val="auto"/>
              </w:rPr>
            </w:pPr>
            <w:r>
              <w:rPr>
                <w:rFonts w:ascii="Arial" w:cs="Arial" w:eastAsia="Arial" w:hAnsi="Arial"/>
                <w:sz w:val="18"/>
                <w:szCs w:val="18"/>
                <w:color w:val="auto"/>
              </w:rPr>
              <w:t>August (1 - 5), 2022</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5"/>
              </w:rPr>
              <w:t>0.58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5,173,572</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w:t>
      </w:r>
    </w:p>
    <w:p>
      <w:pPr>
        <w:spacing w:after="0" w:line="4" w:lineRule="exact"/>
        <w:rPr>
          <w:sz w:val="20"/>
          <w:szCs w:val="20"/>
          <w:color w:val="auto"/>
        </w:rPr>
      </w:pPr>
    </w:p>
    <w:p>
      <w:pPr>
        <w:ind w:left="720" w:hanging="352"/>
        <w:spacing w:after="0"/>
        <w:tabs>
          <w:tab w:leader="none" w:pos="7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Source: NYSE American as of the date of this Prospectus Supplement.</w:t>
      </w:r>
    </w:p>
    <w:p>
      <w:pPr>
        <w:jc w:val="both"/>
        <w:ind w:left="660" w:hanging="292"/>
        <w:spacing w:after="0" w:line="234" w:lineRule="auto"/>
        <w:tabs>
          <w:tab w:leader="none" w:pos="721"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Prior to August 5, 2021, the Common Shares were quoted on the OTCQB® Venture Market under the symbol "CLXPF" (the "</w:t>
      </w:r>
      <w:r>
        <w:rPr>
          <w:rFonts w:ascii="Arial" w:cs="Arial" w:eastAsia="Arial" w:hAnsi="Arial"/>
          <w:sz w:val="22"/>
          <w:szCs w:val="22"/>
          <w:b w:val="1"/>
          <w:bCs w:val="1"/>
          <w:color w:val="auto"/>
        </w:rPr>
        <w:t>OTCQB</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The OTCQB quotation ceased when the Common Shares were listed on NYSE American on August 5,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ectPr>
          <w:pgSz w:w="11900" w:h="16838" w:orient="portrait"/>
          <w:cols w:equalWidth="0" w:num="1">
            <w:col w:w="11240"/>
          </w:cols>
          <w:pgMar w:left="320" w:top="364" w:right="339" w:bottom="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51" w:lineRule="auto"/>
        <w:rPr>
          <w:sz w:val="20"/>
          <w:szCs w:val="20"/>
          <w:color w:val="auto"/>
        </w:rPr>
      </w:pPr>
      <w:r>
        <w:rPr>
          <w:rFonts w:ascii="Arial" w:cs="Arial" w:eastAsia="Arial" w:hAnsi="Arial"/>
          <w:sz w:val="22"/>
          <w:szCs w:val="22"/>
          <w:color w:val="auto"/>
        </w:rPr>
        <w:t>On August 5, 2022, being the last day on which the Common Shares traded prior to the date of this Prospectus Supplement, the closing price of the Common Shares as reported on NYSE American was U.S.$0.73.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ectPr>
          <w:pgSz w:w="11900" w:h="16838" w:orient="portrait"/>
          <w:cols w:equalWidth="0" w:num="1">
            <w:col w:w="11240"/>
          </w:cols>
          <w:pgMar w:left="320" w:top="118" w:right="339" w:bottom="1440" w:gutter="0" w:footer="0" w:header="0"/>
        </w:sectPr>
      </w:pPr>
    </w:p>
    <w:p>
      <w:pPr>
        <w:spacing w:after="0" w:line="324"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Date of Issuance</w:t>
      </w:r>
    </w:p>
    <w:p>
      <w:pPr>
        <w:ind w:left="100"/>
        <w:spacing w:after="0" w:line="214" w:lineRule="auto"/>
        <w:rPr>
          <w:sz w:val="20"/>
          <w:szCs w:val="20"/>
          <w:color w:val="auto"/>
        </w:rPr>
      </w:pPr>
      <w:r>
        <w:rPr>
          <w:rFonts w:ascii="Arial" w:cs="Arial" w:eastAsia="Arial" w:hAnsi="Arial"/>
          <w:sz w:val="18"/>
          <w:szCs w:val="18"/>
          <w:color w:val="auto"/>
        </w:rPr>
        <w:t>August 12, 2021</w:t>
      </w:r>
      <w:r>
        <w:rPr>
          <w:rFonts w:ascii="Arial" w:cs="Arial" w:eastAsia="Arial" w:hAnsi="Arial"/>
          <w:sz w:val="29"/>
          <w:szCs w:val="29"/>
          <w:color w:val="auto"/>
          <w:vertAlign w:val="superscript"/>
        </w:rPr>
        <w:t>(1)</w:t>
      </w:r>
    </w:p>
    <w:p>
      <w:pPr>
        <w:ind w:left="100"/>
        <w:spacing w:after="0" w:line="185" w:lineRule="auto"/>
        <w:rPr>
          <w:sz w:val="20"/>
          <w:szCs w:val="20"/>
          <w:color w:val="auto"/>
        </w:rPr>
      </w:pPr>
      <w:r>
        <w:rPr>
          <w:rFonts w:ascii="Arial" w:cs="Arial" w:eastAsia="Arial" w:hAnsi="Arial"/>
          <w:sz w:val="18"/>
          <w:szCs w:val="18"/>
          <w:color w:val="auto"/>
        </w:rPr>
        <w:t>August 12, 2021</w:t>
      </w:r>
      <w:r>
        <w:rPr>
          <w:rFonts w:ascii="Arial" w:cs="Arial" w:eastAsia="Arial" w:hAnsi="Arial"/>
          <w:sz w:val="29"/>
          <w:szCs w:val="29"/>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16, 2021</w:t>
      </w:r>
    </w:p>
    <w:p>
      <w:pPr>
        <w:ind w:left="100"/>
        <w:spacing w:after="0" w:line="191" w:lineRule="auto"/>
        <w:rPr>
          <w:sz w:val="20"/>
          <w:szCs w:val="20"/>
          <w:color w:val="auto"/>
        </w:rPr>
      </w:pPr>
      <w:r>
        <w:rPr>
          <w:rFonts w:ascii="Arial" w:cs="Arial" w:eastAsia="Arial" w:hAnsi="Arial"/>
          <w:sz w:val="18"/>
          <w:szCs w:val="18"/>
          <w:color w:val="auto"/>
        </w:rPr>
        <w:t>August 17, 2021</w:t>
      </w:r>
      <w:r>
        <w:rPr>
          <w:rFonts w:ascii="Arial" w:cs="Arial" w:eastAsia="Arial" w:hAnsi="Arial"/>
          <w:sz w:val="29"/>
          <w:szCs w:val="29"/>
          <w:color w:val="auto"/>
          <w:vertAlign w:val="superscript"/>
        </w:rPr>
        <w:t>(2)</w:t>
      </w:r>
    </w:p>
    <w:p>
      <w:pPr>
        <w:ind w:left="100"/>
        <w:spacing w:after="0"/>
        <w:rPr>
          <w:sz w:val="20"/>
          <w:szCs w:val="20"/>
          <w:color w:val="auto"/>
        </w:rPr>
      </w:pPr>
      <w:r>
        <w:rPr>
          <w:rFonts w:ascii="Arial" w:cs="Arial" w:eastAsia="Arial" w:hAnsi="Arial"/>
          <w:sz w:val="18"/>
          <w:szCs w:val="18"/>
          <w:color w:val="auto"/>
        </w:rPr>
        <w:t>August 18, 2021</w:t>
      </w:r>
    </w:p>
    <w:p>
      <w:pPr>
        <w:ind w:left="100"/>
        <w:spacing w:after="0" w:line="190" w:lineRule="auto"/>
        <w:rPr>
          <w:sz w:val="20"/>
          <w:szCs w:val="20"/>
          <w:color w:val="auto"/>
        </w:rPr>
      </w:pPr>
      <w:r>
        <w:rPr>
          <w:rFonts w:ascii="Arial" w:cs="Arial" w:eastAsia="Arial" w:hAnsi="Arial"/>
          <w:sz w:val="18"/>
          <w:szCs w:val="18"/>
          <w:color w:val="auto"/>
        </w:rPr>
        <w:t>August 31, 2021</w:t>
      </w:r>
      <w:r>
        <w:rPr>
          <w:rFonts w:ascii="Arial" w:cs="Arial" w:eastAsia="Arial" w:hAnsi="Arial"/>
          <w:sz w:val="29"/>
          <w:szCs w:val="29"/>
          <w:color w:val="auto"/>
          <w:vertAlign w:val="superscript"/>
        </w:rPr>
        <w:t>(2)</w:t>
      </w:r>
    </w:p>
    <w:p>
      <w:pPr>
        <w:ind w:left="100"/>
        <w:spacing w:after="0" w:line="185" w:lineRule="auto"/>
        <w:rPr>
          <w:sz w:val="20"/>
          <w:szCs w:val="20"/>
          <w:color w:val="auto"/>
        </w:rPr>
      </w:pPr>
      <w:r>
        <w:rPr>
          <w:rFonts w:ascii="Arial" w:cs="Arial" w:eastAsia="Arial" w:hAnsi="Arial"/>
          <w:sz w:val="18"/>
          <w:szCs w:val="18"/>
          <w:color w:val="auto"/>
        </w:rPr>
        <w:t>September 10, 2021</w:t>
      </w:r>
      <w:r>
        <w:rPr>
          <w:rFonts w:ascii="Arial" w:cs="Arial" w:eastAsia="Arial" w:hAnsi="Arial"/>
          <w:sz w:val="29"/>
          <w:szCs w:val="29"/>
          <w:color w:val="auto"/>
          <w:vertAlign w:val="superscript"/>
        </w:rPr>
        <w:t>(1)</w:t>
      </w:r>
    </w:p>
    <w:p>
      <w:pPr>
        <w:ind w:left="100"/>
        <w:spacing w:after="0" w:line="185" w:lineRule="auto"/>
        <w:rPr>
          <w:sz w:val="20"/>
          <w:szCs w:val="20"/>
          <w:color w:val="auto"/>
        </w:rPr>
      </w:pPr>
      <w:r>
        <w:rPr>
          <w:rFonts w:ascii="Arial" w:cs="Arial" w:eastAsia="Arial" w:hAnsi="Arial"/>
          <w:sz w:val="18"/>
          <w:szCs w:val="18"/>
          <w:color w:val="auto"/>
        </w:rPr>
        <w:t>September 16, 2021</w:t>
      </w:r>
      <w:r>
        <w:rPr>
          <w:rFonts w:ascii="Arial" w:cs="Arial" w:eastAsia="Arial" w:hAnsi="Arial"/>
          <w:sz w:val="29"/>
          <w:szCs w:val="29"/>
          <w:color w:val="auto"/>
          <w:vertAlign w:val="superscript"/>
        </w:rPr>
        <w:t>(3)</w:t>
      </w:r>
    </w:p>
    <w:p>
      <w:pPr>
        <w:ind w:left="100"/>
        <w:spacing w:after="0" w:line="184" w:lineRule="auto"/>
        <w:rPr>
          <w:sz w:val="20"/>
          <w:szCs w:val="20"/>
          <w:color w:val="auto"/>
        </w:rPr>
      </w:pPr>
      <w:r>
        <w:rPr>
          <w:rFonts w:ascii="Arial" w:cs="Arial" w:eastAsia="Arial" w:hAnsi="Arial"/>
          <w:sz w:val="18"/>
          <w:szCs w:val="18"/>
          <w:color w:val="auto"/>
        </w:rPr>
        <w:t>September 16, 2021</w:t>
      </w:r>
      <w:r>
        <w:rPr>
          <w:rFonts w:ascii="Arial" w:cs="Arial" w:eastAsia="Arial" w:hAnsi="Arial"/>
          <w:sz w:val="29"/>
          <w:szCs w:val="29"/>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27, 2021</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27, 2021</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30, 2021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September 30, 2021</w:t>
      </w:r>
    </w:p>
    <w:p>
      <w:pPr>
        <w:ind w:left="100"/>
        <w:spacing w:after="0" w:line="221" w:lineRule="auto"/>
        <w:rPr>
          <w:sz w:val="20"/>
          <w:szCs w:val="20"/>
          <w:color w:val="auto"/>
        </w:rPr>
      </w:pPr>
      <w:r>
        <w:rPr>
          <w:rFonts w:ascii="Arial" w:cs="Arial" w:eastAsia="Arial" w:hAnsi="Arial"/>
          <w:sz w:val="18"/>
          <w:szCs w:val="18"/>
          <w:color w:val="auto"/>
        </w:rPr>
        <w:t>October 13, 2021</w:t>
      </w:r>
      <w:r>
        <w:rPr>
          <w:rFonts w:ascii="Arial" w:cs="Arial" w:eastAsia="Arial" w:hAnsi="Arial"/>
          <w:sz w:val="29"/>
          <w:szCs w:val="29"/>
          <w:color w:val="auto"/>
          <w:vertAlign w:val="superscript"/>
        </w:rPr>
        <w:t>(1)</w:t>
      </w:r>
    </w:p>
    <w:p>
      <w:pPr>
        <w:ind w:left="100"/>
        <w:spacing w:after="0" w:line="184" w:lineRule="auto"/>
        <w:rPr>
          <w:sz w:val="20"/>
          <w:szCs w:val="20"/>
          <w:color w:val="auto"/>
        </w:rPr>
      </w:pPr>
      <w:r>
        <w:rPr>
          <w:rFonts w:ascii="Arial" w:cs="Arial" w:eastAsia="Arial" w:hAnsi="Arial"/>
          <w:sz w:val="18"/>
          <w:szCs w:val="18"/>
          <w:color w:val="auto"/>
        </w:rPr>
        <w:t>October 21, 2021</w:t>
      </w:r>
      <w:r>
        <w:rPr>
          <w:rFonts w:ascii="Arial" w:cs="Arial" w:eastAsia="Arial" w:hAnsi="Arial"/>
          <w:sz w:val="29"/>
          <w:szCs w:val="29"/>
          <w:color w:val="auto"/>
          <w:vertAlign w:val="superscript"/>
        </w:rPr>
        <w:t>(3)</w:t>
      </w:r>
    </w:p>
    <w:p>
      <w:pPr>
        <w:ind w:left="100"/>
        <w:spacing w:after="0" w:line="185" w:lineRule="auto"/>
        <w:rPr>
          <w:sz w:val="20"/>
          <w:szCs w:val="20"/>
          <w:color w:val="auto"/>
        </w:rPr>
      </w:pPr>
      <w:r>
        <w:rPr>
          <w:rFonts w:ascii="Arial" w:cs="Arial" w:eastAsia="Arial" w:hAnsi="Arial"/>
          <w:sz w:val="18"/>
          <w:szCs w:val="18"/>
          <w:color w:val="auto"/>
        </w:rPr>
        <w:t>October 29, 2021</w:t>
      </w:r>
      <w:r>
        <w:rPr>
          <w:rFonts w:ascii="Arial" w:cs="Arial" w:eastAsia="Arial" w:hAnsi="Arial"/>
          <w:sz w:val="29"/>
          <w:szCs w:val="29"/>
          <w:color w:val="auto"/>
          <w:vertAlign w:val="superscript"/>
        </w:rPr>
        <w:t>(3)</w:t>
      </w:r>
    </w:p>
    <w:p>
      <w:pPr>
        <w:ind w:left="100"/>
        <w:spacing w:after="0" w:line="185" w:lineRule="auto"/>
        <w:rPr>
          <w:sz w:val="20"/>
          <w:szCs w:val="20"/>
          <w:color w:val="auto"/>
        </w:rPr>
      </w:pPr>
      <w:r>
        <w:rPr>
          <w:rFonts w:ascii="Arial" w:cs="Arial" w:eastAsia="Arial" w:hAnsi="Arial"/>
          <w:sz w:val="18"/>
          <w:szCs w:val="18"/>
          <w:color w:val="auto"/>
        </w:rPr>
        <w:t>October 29, 2021</w:t>
      </w:r>
      <w:r>
        <w:rPr>
          <w:rFonts w:ascii="Arial" w:cs="Arial" w:eastAsia="Arial" w:hAnsi="Arial"/>
          <w:sz w:val="29"/>
          <w:szCs w:val="29"/>
          <w:color w:val="auto"/>
          <w:vertAlign w:val="superscript"/>
        </w:rPr>
        <w:t>(1)</w:t>
      </w:r>
    </w:p>
    <w:p>
      <w:pPr>
        <w:ind w:left="100"/>
        <w:spacing w:after="0" w:line="184" w:lineRule="auto"/>
        <w:rPr>
          <w:sz w:val="20"/>
          <w:szCs w:val="20"/>
          <w:color w:val="auto"/>
        </w:rPr>
      </w:pPr>
      <w:r>
        <w:rPr>
          <w:rFonts w:ascii="Arial" w:cs="Arial" w:eastAsia="Arial" w:hAnsi="Arial"/>
          <w:sz w:val="18"/>
          <w:szCs w:val="18"/>
          <w:color w:val="auto"/>
        </w:rPr>
        <w:t>November 16, 2021</w:t>
      </w:r>
      <w:r>
        <w:rPr>
          <w:rFonts w:ascii="Arial" w:cs="Arial" w:eastAsia="Arial" w:hAnsi="Arial"/>
          <w:sz w:val="29"/>
          <w:szCs w:val="29"/>
          <w:color w:val="auto"/>
          <w:vertAlign w:val="superscript"/>
        </w:rPr>
        <w:t>(3)</w:t>
      </w:r>
    </w:p>
    <w:p>
      <w:pPr>
        <w:ind w:left="100"/>
        <w:spacing w:after="0" w:line="185" w:lineRule="auto"/>
        <w:rPr>
          <w:sz w:val="20"/>
          <w:szCs w:val="20"/>
          <w:color w:val="auto"/>
        </w:rPr>
      </w:pPr>
      <w:r>
        <w:rPr>
          <w:rFonts w:ascii="Arial" w:cs="Arial" w:eastAsia="Arial" w:hAnsi="Arial"/>
          <w:sz w:val="18"/>
          <w:szCs w:val="18"/>
          <w:color w:val="auto"/>
        </w:rPr>
        <w:t>November 16, 2021</w:t>
      </w:r>
      <w:r>
        <w:rPr>
          <w:rFonts w:ascii="Arial" w:cs="Arial" w:eastAsia="Arial" w:hAnsi="Arial"/>
          <w:sz w:val="29"/>
          <w:szCs w:val="29"/>
          <w:color w:val="auto"/>
          <w:vertAlign w:val="superscript"/>
        </w:rPr>
        <w:t>(1)</w:t>
      </w:r>
    </w:p>
    <w:p>
      <w:pPr>
        <w:ind w:left="100"/>
        <w:spacing w:after="0" w:line="184" w:lineRule="auto"/>
        <w:rPr>
          <w:sz w:val="20"/>
          <w:szCs w:val="20"/>
          <w:color w:val="auto"/>
        </w:rPr>
      </w:pPr>
      <w:r>
        <w:rPr>
          <w:rFonts w:ascii="Arial" w:cs="Arial" w:eastAsia="Arial" w:hAnsi="Arial"/>
          <w:sz w:val="18"/>
          <w:szCs w:val="18"/>
          <w:color w:val="auto"/>
        </w:rPr>
        <w:t>November 18, 2021</w:t>
      </w:r>
      <w:r>
        <w:rPr>
          <w:rFonts w:ascii="Arial" w:cs="Arial" w:eastAsia="Arial" w:hAnsi="Arial"/>
          <w:sz w:val="29"/>
          <w:szCs w:val="29"/>
          <w:color w:val="auto"/>
          <w:vertAlign w:val="superscript"/>
        </w:rPr>
        <w:t>(2)</w:t>
      </w:r>
    </w:p>
    <w:p>
      <w:pPr>
        <w:ind w:left="100"/>
        <w:spacing w:after="0" w:line="185" w:lineRule="auto"/>
        <w:rPr>
          <w:sz w:val="20"/>
          <w:szCs w:val="20"/>
          <w:color w:val="auto"/>
        </w:rPr>
      </w:pPr>
      <w:r>
        <w:rPr>
          <w:rFonts w:ascii="Arial" w:cs="Arial" w:eastAsia="Arial" w:hAnsi="Arial"/>
          <w:sz w:val="18"/>
          <w:szCs w:val="18"/>
          <w:color w:val="auto"/>
        </w:rPr>
        <w:t>November 23, 2021</w:t>
      </w:r>
      <w:r>
        <w:rPr>
          <w:rFonts w:ascii="Arial" w:cs="Arial" w:eastAsia="Arial" w:hAnsi="Arial"/>
          <w:sz w:val="29"/>
          <w:szCs w:val="29"/>
          <w:color w:val="auto"/>
          <w:vertAlign w:val="superscript"/>
        </w:rPr>
        <w:t>(3)</w:t>
      </w:r>
    </w:p>
    <w:p>
      <w:pPr>
        <w:ind w:left="100"/>
        <w:spacing w:after="0" w:line="185" w:lineRule="auto"/>
        <w:rPr>
          <w:sz w:val="20"/>
          <w:szCs w:val="20"/>
          <w:color w:val="auto"/>
        </w:rPr>
      </w:pPr>
      <w:r>
        <w:rPr>
          <w:rFonts w:ascii="Arial" w:cs="Arial" w:eastAsia="Arial" w:hAnsi="Arial"/>
          <w:sz w:val="18"/>
          <w:szCs w:val="18"/>
          <w:color w:val="auto"/>
        </w:rPr>
        <w:t>November 29, 2021</w:t>
      </w:r>
      <w:r>
        <w:rPr>
          <w:rFonts w:ascii="Arial" w:cs="Arial" w:eastAsia="Arial" w:hAnsi="Arial"/>
          <w:sz w:val="29"/>
          <w:szCs w:val="29"/>
          <w:color w:val="auto"/>
          <w:vertAlign w:val="superscript"/>
        </w:rPr>
        <w:t>(2)</w:t>
      </w:r>
    </w:p>
    <w:p>
      <w:pPr>
        <w:ind w:left="100"/>
        <w:spacing w:after="0" w:line="184" w:lineRule="auto"/>
        <w:rPr>
          <w:sz w:val="20"/>
          <w:szCs w:val="20"/>
          <w:color w:val="auto"/>
        </w:rPr>
      </w:pPr>
      <w:r>
        <w:rPr>
          <w:rFonts w:ascii="Arial" w:cs="Arial" w:eastAsia="Arial" w:hAnsi="Arial"/>
          <w:sz w:val="18"/>
          <w:szCs w:val="18"/>
          <w:color w:val="auto"/>
        </w:rPr>
        <w:t>November 30, 2021</w:t>
      </w:r>
      <w:r>
        <w:rPr>
          <w:rFonts w:ascii="Arial" w:cs="Arial" w:eastAsia="Arial" w:hAnsi="Arial"/>
          <w:sz w:val="29"/>
          <w:szCs w:val="29"/>
          <w:color w:val="auto"/>
          <w:vertAlign w:val="superscript"/>
        </w:rPr>
        <w:t>(3)</w:t>
      </w:r>
    </w:p>
    <w:p>
      <w:pPr>
        <w:ind w:left="100"/>
        <w:spacing w:after="0" w:line="185" w:lineRule="auto"/>
        <w:rPr>
          <w:sz w:val="20"/>
          <w:szCs w:val="20"/>
          <w:color w:val="auto"/>
        </w:rPr>
      </w:pPr>
      <w:r>
        <w:rPr>
          <w:rFonts w:ascii="Arial" w:cs="Arial" w:eastAsia="Arial" w:hAnsi="Arial"/>
          <w:sz w:val="18"/>
          <w:szCs w:val="18"/>
          <w:color w:val="auto"/>
        </w:rPr>
        <w:t>December 16, 2021</w:t>
      </w:r>
      <w:r>
        <w:rPr>
          <w:rFonts w:ascii="Arial" w:cs="Arial" w:eastAsia="Arial" w:hAnsi="Arial"/>
          <w:sz w:val="29"/>
          <w:szCs w:val="29"/>
          <w:color w:val="auto"/>
          <w:vertAlign w:val="superscript"/>
        </w:rPr>
        <w:t>(1)</w:t>
      </w:r>
    </w:p>
    <w:p>
      <w:pPr>
        <w:ind w:left="100"/>
        <w:spacing w:after="0" w:line="185" w:lineRule="auto"/>
        <w:rPr>
          <w:sz w:val="20"/>
          <w:szCs w:val="20"/>
          <w:color w:val="auto"/>
        </w:rPr>
      </w:pPr>
      <w:r>
        <w:rPr>
          <w:rFonts w:ascii="Arial" w:cs="Arial" w:eastAsia="Arial" w:hAnsi="Arial"/>
          <w:sz w:val="18"/>
          <w:szCs w:val="18"/>
          <w:color w:val="auto"/>
        </w:rPr>
        <w:t>December 16, 2021</w:t>
      </w:r>
      <w:r>
        <w:rPr>
          <w:rFonts w:ascii="Arial" w:cs="Arial" w:eastAsia="Arial" w:hAnsi="Arial"/>
          <w:sz w:val="29"/>
          <w:szCs w:val="29"/>
          <w:color w:val="auto"/>
          <w:vertAlign w:val="superscript"/>
        </w:rPr>
        <w:t>(3)</w:t>
      </w:r>
    </w:p>
    <w:p>
      <w:pPr>
        <w:ind w:left="100"/>
        <w:spacing w:after="0"/>
        <w:rPr>
          <w:sz w:val="20"/>
          <w:szCs w:val="20"/>
          <w:color w:val="auto"/>
        </w:rPr>
      </w:pPr>
      <w:r>
        <w:rPr>
          <w:rFonts w:ascii="Arial" w:cs="Arial" w:eastAsia="Arial" w:hAnsi="Arial"/>
          <w:sz w:val="18"/>
          <w:szCs w:val="18"/>
          <w:color w:val="auto"/>
        </w:rPr>
        <w:t>December 31, 2021</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December 31, 2021</w:t>
      </w:r>
    </w:p>
    <w:p>
      <w:pPr>
        <w:ind w:left="100"/>
        <w:spacing w:after="0" w:line="192" w:lineRule="auto"/>
        <w:rPr>
          <w:sz w:val="20"/>
          <w:szCs w:val="20"/>
          <w:color w:val="auto"/>
        </w:rPr>
      </w:pPr>
      <w:r>
        <w:rPr>
          <w:rFonts w:ascii="Arial" w:cs="Arial" w:eastAsia="Arial" w:hAnsi="Arial"/>
          <w:sz w:val="18"/>
          <w:szCs w:val="18"/>
          <w:color w:val="auto"/>
        </w:rPr>
        <w:t>January 6, 2022</w:t>
      </w:r>
      <w:r>
        <w:rPr>
          <w:rFonts w:ascii="Arial" w:cs="Arial" w:eastAsia="Arial" w:hAnsi="Arial"/>
          <w:sz w:val="29"/>
          <w:szCs w:val="29"/>
          <w:color w:val="auto"/>
          <w:vertAlign w:val="superscript"/>
        </w:rPr>
        <w:t>(2)</w:t>
      </w:r>
    </w:p>
    <w:p>
      <w:pPr>
        <w:ind w:left="100"/>
        <w:spacing w:after="0" w:line="184" w:lineRule="auto"/>
        <w:rPr>
          <w:sz w:val="20"/>
          <w:szCs w:val="20"/>
          <w:color w:val="auto"/>
        </w:rPr>
      </w:pPr>
      <w:r>
        <w:rPr>
          <w:rFonts w:ascii="Arial" w:cs="Arial" w:eastAsia="Arial" w:hAnsi="Arial"/>
          <w:sz w:val="18"/>
          <w:szCs w:val="18"/>
          <w:color w:val="auto"/>
        </w:rPr>
        <w:t>January 21, 2022</w:t>
      </w:r>
      <w:r>
        <w:rPr>
          <w:rFonts w:ascii="Arial" w:cs="Arial" w:eastAsia="Arial" w:hAnsi="Arial"/>
          <w:sz w:val="29"/>
          <w:szCs w:val="29"/>
          <w:color w:val="auto"/>
          <w:vertAlign w:val="superscript"/>
        </w:rPr>
        <w:t>(11)</w:t>
      </w:r>
    </w:p>
    <w:p>
      <w:pPr>
        <w:ind w:left="100"/>
        <w:spacing w:after="0" w:line="185" w:lineRule="auto"/>
        <w:rPr>
          <w:sz w:val="20"/>
          <w:szCs w:val="20"/>
          <w:color w:val="auto"/>
        </w:rPr>
      </w:pPr>
      <w:r>
        <w:rPr>
          <w:rFonts w:ascii="Arial" w:cs="Arial" w:eastAsia="Arial" w:hAnsi="Arial"/>
          <w:sz w:val="18"/>
          <w:szCs w:val="18"/>
          <w:color w:val="auto"/>
        </w:rPr>
        <w:t>February 14, 2022</w:t>
      </w:r>
      <w:r>
        <w:rPr>
          <w:rFonts w:ascii="Arial" w:cs="Arial" w:eastAsia="Arial" w:hAnsi="Arial"/>
          <w:sz w:val="29"/>
          <w:szCs w:val="29"/>
          <w:color w:val="auto"/>
          <w:vertAlign w:val="superscript"/>
        </w:rPr>
        <w:t>(2)</w:t>
      </w:r>
    </w:p>
    <w:p>
      <w:pPr>
        <w:ind w:left="100"/>
        <w:spacing w:after="0" w:line="184" w:lineRule="auto"/>
        <w:rPr>
          <w:sz w:val="20"/>
          <w:szCs w:val="20"/>
          <w:color w:val="auto"/>
        </w:rPr>
      </w:pPr>
      <w:r>
        <w:rPr>
          <w:rFonts w:ascii="Arial" w:cs="Arial" w:eastAsia="Arial" w:hAnsi="Arial"/>
          <w:sz w:val="18"/>
          <w:szCs w:val="18"/>
          <w:color w:val="auto"/>
        </w:rPr>
        <w:t>February 15, 2022</w:t>
      </w:r>
      <w:r>
        <w:rPr>
          <w:rFonts w:ascii="Arial" w:cs="Arial" w:eastAsia="Arial" w:hAnsi="Arial"/>
          <w:sz w:val="29"/>
          <w:szCs w:val="29"/>
          <w:color w:val="auto"/>
          <w:vertAlign w:val="superscript"/>
        </w:rPr>
        <w:t>(1)</w:t>
      </w:r>
    </w:p>
    <w:p>
      <w:pPr>
        <w:ind w:left="100"/>
        <w:spacing w:after="0" w:line="185" w:lineRule="auto"/>
        <w:rPr>
          <w:sz w:val="20"/>
          <w:szCs w:val="20"/>
          <w:color w:val="auto"/>
        </w:rPr>
      </w:pPr>
      <w:r>
        <w:rPr>
          <w:rFonts w:ascii="Arial" w:cs="Arial" w:eastAsia="Arial" w:hAnsi="Arial"/>
          <w:sz w:val="18"/>
          <w:szCs w:val="18"/>
          <w:color w:val="auto"/>
        </w:rPr>
        <w:t>February 18, 2022</w:t>
      </w:r>
      <w:r>
        <w:rPr>
          <w:rFonts w:ascii="Arial" w:cs="Arial" w:eastAsia="Arial" w:hAnsi="Arial"/>
          <w:sz w:val="29"/>
          <w:szCs w:val="29"/>
          <w:color w:val="auto"/>
          <w:vertAlign w:val="superscript"/>
        </w:rPr>
        <w:t>(2)</w:t>
      </w:r>
    </w:p>
    <w:p>
      <w:pPr>
        <w:ind w:left="100"/>
        <w:spacing w:after="0" w:line="185" w:lineRule="auto"/>
        <w:rPr>
          <w:sz w:val="20"/>
          <w:szCs w:val="20"/>
          <w:color w:val="auto"/>
        </w:rPr>
      </w:pPr>
      <w:r>
        <w:rPr>
          <w:rFonts w:ascii="Arial" w:cs="Arial" w:eastAsia="Arial" w:hAnsi="Arial"/>
          <w:sz w:val="18"/>
          <w:szCs w:val="18"/>
          <w:color w:val="auto"/>
        </w:rPr>
        <w:t>February 28, 2022</w:t>
      </w:r>
      <w:r>
        <w:rPr>
          <w:rFonts w:ascii="Arial" w:cs="Arial" w:eastAsia="Arial" w:hAnsi="Arial"/>
          <w:sz w:val="29"/>
          <w:szCs w:val="29"/>
          <w:color w:val="auto"/>
          <w:vertAlign w:val="superscript"/>
        </w:rPr>
        <w:t>(3)</w:t>
      </w:r>
    </w:p>
    <w:p>
      <w:pPr>
        <w:ind w:left="100"/>
        <w:spacing w:after="0" w:line="184" w:lineRule="auto"/>
        <w:rPr>
          <w:sz w:val="20"/>
          <w:szCs w:val="20"/>
          <w:color w:val="auto"/>
        </w:rPr>
      </w:pPr>
      <w:r>
        <w:rPr>
          <w:rFonts w:ascii="Arial" w:cs="Arial" w:eastAsia="Arial" w:hAnsi="Arial"/>
          <w:sz w:val="18"/>
          <w:szCs w:val="18"/>
          <w:color w:val="auto"/>
        </w:rPr>
        <w:t>March 4, 2022</w:t>
      </w:r>
      <w:r>
        <w:rPr>
          <w:rFonts w:ascii="Arial" w:cs="Arial" w:eastAsia="Arial" w:hAnsi="Arial"/>
          <w:sz w:val="29"/>
          <w:szCs w:val="29"/>
          <w:color w:val="auto"/>
          <w:vertAlign w:val="superscript"/>
        </w:rPr>
        <w:t>(11)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4, 2022</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March 4, 2022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Number of</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jc w:val="right"/>
              <w:ind w:right="450"/>
              <w:spacing w:after="0"/>
              <w:rPr>
                <w:sz w:val="20"/>
                <w:szCs w:val="20"/>
                <w:color w:val="auto"/>
              </w:rPr>
            </w:pPr>
            <w:r>
              <w:rPr>
                <w:rFonts w:ascii="Arial" w:cs="Arial" w:eastAsia="Arial" w:hAnsi="Arial"/>
                <w:sz w:val="18"/>
                <w:szCs w:val="18"/>
                <w:b w:val="1"/>
                <w:bCs w:val="1"/>
                <w:color w:val="auto"/>
              </w:rPr>
              <w:t>Issuance / Exercise</w:t>
            </w:r>
          </w:p>
        </w:tc>
      </w:tr>
      <w:tr>
        <w:trPr>
          <w:trHeight w:val="234"/>
        </w:trPr>
        <w:tc>
          <w:tcPr>
            <w:tcW w:w="2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Issued</w:t>
            </w: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Type</w:t>
            </w:r>
          </w:p>
        </w:tc>
        <w:tc>
          <w:tcPr>
            <w:tcW w:w="2480" w:type="dxa"/>
            <w:vAlign w:val="bottom"/>
          </w:tcPr>
          <w:p>
            <w:pPr>
              <w:jc w:val="right"/>
              <w:ind w:right="450"/>
              <w:spacing w:after="0"/>
              <w:rPr>
                <w:sz w:val="20"/>
                <w:szCs w:val="20"/>
                <w:color w:val="auto"/>
              </w:rPr>
            </w:pPr>
            <w:r>
              <w:rPr>
                <w:rFonts w:ascii="Arial" w:cs="Arial" w:eastAsia="Arial" w:hAnsi="Arial"/>
                <w:sz w:val="18"/>
                <w:szCs w:val="18"/>
                <w:b w:val="1"/>
                <w:bCs w:val="1"/>
                <w:color w:val="auto"/>
              </w:rPr>
              <w:t>Price Per Security</w:t>
            </w:r>
          </w:p>
        </w:tc>
      </w:tr>
      <w:tr>
        <w:trPr>
          <w:trHeight w:val="224"/>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100,000</w:t>
            </w:r>
          </w:p>
        </w:tc>
        <w:tc>
          <w:tcPr>
            <w:tcW w:w="24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Shares</w:t>
            </w:r>
          </w:p>
        </w:tc>
        <w:tc>
          <w:tcPr>
            <w:tcW w:w="24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$0.75</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255,887</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$0.64</w:t>
            </w:r>
          </w:p>
        </w:tc>
      </w:tr>
      <w:tr>
        <w:trPr>
          <w:trHeight w:val="232"/>
        </w:trPr>
        <w:tc>
          <w:tcPr>
            <w:tcW w:w="2480" w:type="dxa"/>
            <w:vAlign w:val="bottom"/>
          </w:tcPr>
          <w:p>
            <w:pPr>
              <w:jc w:val="center"/>
              <w:spacing w:after="0"/>
              <w:rPr>
                <w:sz w:val="20"/>
                <w:szCs w:val="20"/>
                <w:color w:val="auto"/>
              </w:rPr>
            </w:pPr>
            <w:r>
              <w:rPr>
                <w:rFonts w:ascii="Arial" w:cs="Arial" w:eastAsia="Arial" w:hAnsi="Arial"/>
                <w:sz w:val="18"/>
                <w:szCs w:val="18"/>
                <w:color w:val="auto"/>
                <w:w w:val="92"/>
              </w:rPr>
              <w:t>215,000</w:t>
            </w:r>
          </w:p>
        </w:tc>
        <w:tc>
          <w:tcPr>
            <w:tcW w:w="240" w:type="dxa"/>
            <w:vAlign w:val="bottom"/>
          </w:tcPr>
          <w:p>
            <w:pPr>
              <w:spacing w:after="0"/>
              <w:rPr>
                <w:sz w:val="20"/>
                <w:szCs w:val="20"/>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$2.48</w:t>
            </w:r>
          </w:p>
        </w:tc>
      </w:tr>
      <w:tr>
        <w:trPr>
          <w:trHeight w:val="253"/>
        </w:trPr>
        <w:tc>
          <w:tcPr>
            <w:tcW w:w="2480" w:type="dxa"/>
            <w:vAlign w:val="bottom"/>
          </w:tcPr>
          <w:p>
            <w:pPr>
              <w:jc w:val="center"/>
              <w:spacing w:after="0"/>
              <w:rPr>
                <w:sz w:val="20"/>
                <w:szCs w:val="20"/>
                <w:color w:val="auto"/>
              </w:rPr>
            </w:pPr>
            <w:r>
              <w:rPr>
                <w:rFonts w:ascii="Arial" w:cs="Arial" w:eastAsia="Arial" w:hAnsi="Arial"/>
                <w:sz w:val="18"/>
                <w:szCs w:val="18"/>
                <w:color w:val="auto"/>
                <w:w w:val="91"/>
              </w:rPr>
              <w:t>18,788.5</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52" w:lineRule="exact"/>
              <w:rPr>
                <w:sz w:val="20"/>
                <w:szCs w:val="20"/>
                <w:color w:val="auto"/>
              </w:rPr>
            </w:pPr>
            <w:r>
              <w:rPr>
                <w:rFonts w:ascii="Arial" w:cs="Arial" w:eastAsia="Arial" w:hAnsi="Arial"/>
                <w:sz w:val="18"/>
                <w:szCs w:val="18"/>
                <w:color w:val="auto"/>
                <w:w w:val="83"/>
              </w:rPr>
              <w:t>$33.70</w:t>
            </w:r>
            <w:r>
              <w:rPr>
                <w:rFonts w:ascii="Arial" w:cs="Arial" w:eastAsia="Arial" w:hAnsi="Arial"/>
                <w:sz w:val="29"/>
                <w:szCs w:val="29"/>
                <w:color w:val="auto"/>
                <w:w w:val="83"/>
                <w:vertAlign w:val="superscript"/>
              </w:rPr>
              <w:t>(4)</w:t>
            </w:r>
          </w:p>
        </w:tc>
      </w:tr>
      <w:tr>
        <w:trPr>
          <w:trHeight w:val="22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300,000</w:t>
            </w:r>
          </w:p>
        </w:tc>
        <w:tc>
          <w:tcPr>
            <w:tcW w:w="240" w:type="dxa"/>
            <w:vAlign w:val="bottom"/>
          </w:tcPr>
          <w:p>
            <w:pPr>
              <w:spacing w:after="0"/>
              <w:rPr>
                <w:sz w:val="19"/>
                <w:szCs w:val="19"/>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$2.48</w:t>
            </w:r>
          </w:p>
        </w:tc>
      </w:tr>
      <w:tr>
        <w:trPr>
          <w:trHeight w:val="266"/>
        </w:trPr>
        <w:tc>
          <w:tcPr>
            <w:tcW w:w="2480" w:type="dxa"/>
            <w:vAlign w:val="bottom"/>
          </w:tcPr>
          <w:p>
            <w:pPr>
              <w:jc w:val="center"/>
              <w:spacing w:after="0"/>
              <w:rPr>
                <w:sz w:val="20"/>
                <w:szCs w:val="20"/>
                <w:color w:val="auto"/>
              </w:rPr>
            </w:pPr>
            <w:r>
              <w:rPr>
                <w:rFonts w:ascii="Arial" w:cs="Arial" w:eastAsia="Arial" w:hAnsi="Arial"/>
                <w:sz w:val="18"/>
                <w:szCs w:val="18"/>
                <w:color w:val="auto"/>
                <w:w w:val="89"/>
              </w:rPr>
              <w:t>9,392.6</w:t>
            </w: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66" w:lineRule="exact"/>
              <w:rPr>
                <w:sz w:val="20"/>
                <w:szCs w:val="20"/>
                <w:color w:val="auto"/>
              </w:rPr>
            </w:pPr>
            <w:r>
              <w:rPr>
                <w:rFonts w:ascii="Arial" w:cs="Arial" w:eastAsia="Arial" w:hAnsi="Arial"/>
                <w:sz w:val="18"/>
                <w:szCs w:val="18"/>
                <w:color w:val="auto"/>
                <w:w w:val="83"/>
              </w:rPr>
              <w:t>$33.80</w:t>
            </w:r>
            <w:r>
              <w:rPr>
                <w:rFonts w:ascii="Arial" w:cs="Arial" w:eastAsia="Arial" w:hAnsi="Arial"/>
                <w:sz w:val="29"/>
                <w:szCs w:val="29"/>
                <w:color w:val="auto"/>
                <w:w w:val="83"/>
                <w:vertAlign w:val="superscript"/>
              </w:rPr>
              <w:t>(5)</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2"/>
              </w:rPr>
              <w:t>191,540</w:t>
            </w:r>
          </w:p>
        </w:tc>
        <w:tc>
          <w:tcPr>
            <w:tcW w:w="240" w:type="dxa"/>
            <w:vAlign w:val="bottom"/>
          </w:tcPr>
          <w:p>
            <w:pPr>
              <w:spacing w:after="0"/>
              <w:rPr>
                <w:sz w:val="20"/>
                <w:szCs w:val="20"/>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$0.75</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125,000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$0.64</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92"/>
              </w:rPr>
              <w:t>370,000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$0.75</w:t>
            </w:r>
          </w:p>
        </w:tc>
      </w:tr>
      <w:tr>
        <w:trPr>
          <w:trHeight w:val="229"/>
        </w:trPr>
        <w:tc>
          <w:tcPr>
            <w:tcW w:w="2480" w:type="dxa"/>
            <w:vAlign w:val="bottom"/>
          </w:tcPr>
          <w:p>
            <w:pPr>
              <w:jc w:val="center"/>
              <w:spacing w:after="0"/>
              <w:rPr>
                <w:sz w:val="20"/>
                <w:szCs w:val="20"/>
                <w:color w:val="auto"/>
              </w:rPr>
            </w:pPr>
            <w:r>
              <w:rPr>
                <w:rFonts w:ascii="Arial" w:cs="Arial" w:eastAsia="Arial" w:hAnsi="Arial"/>
                <w:sz w:val="18"/>
                <w:szCs w:val="18"/>
                <w:color w:val="auto"/>
                <w:w w:val="92"/>
              </w:rPr>
              <w:t>585,000</w:t>
            </w:r>
          </w:p>
        </w:tc>
        <w:tc>
          <w:tcPr>
            <w:tcW w:w="240" w:type="dxa"/>
            <w:vAlign w:val="bottom"/>
          </w:tcPr>
          <w:p>
            <w:pPr>
              <w:spacing w:after="0"/>
              <w:rPr>
                <w:sz w:val="19"/>
                <w:szCs w:val="19"/>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$3.15</w:t>
            </w:r>
          </w:p>
        </w:tc>
      </w:tr>
      <w:tr>
        <w:trPr>
          <w:trHeight w:val="256"/>
        </w:trPr>
        <w:tc>
          <w:tcPr>
            <w:tcW w:w="2480" w:type="dxa"/>
            <w:vAlign w:val="bottom"/>
          </w:tcPr>
          <w:p>
            <w:pPr>
              <w:jc w:val="center"/>
              <w:spacing w:after="0" w:line="256" w:lineRule="exact"/>
              <w:rPr>
                <w:sz w:val="20"/>
                <w:szCs w:val="20"/>
                <w:color w:val="auto"/>
              </w:rPr>
            </w:pPr>
            <w:r>
              <w:rPr>
                <w:rFonts w:ascii="Arial" w:cs="Arial" w:eastAsia="Arial" w:hAnsi="Arial"/>
                <w:sz w:val="18"/>
                <w:szCs w:val="18"/>
                <w:color w:val="auto"/>
                <w:w w:val="85"/>
              </w:rPr>
              <w:t>195,000</w:t>
            </w:r>
            <w:r>
              <w:rPr>
                <w:rFonts w:ascii="Arial" w:cs="Arial" w:eastAsia="Arial" w:hAnsi="Arial"/>
                <w:sz w:val="29"/>
                <w:szCs w:val="29"/>
                <w:color w:val="auto"/>
                <w:w w:val="85"/>
                <w:vertAlign w:val="superscript"/>
              </w:rPr>
              <w:t>(6)</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$2.87</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450,000</w:t>
            </w:r>
          </w:p>
        </w:tc>
        <w:tc>
          <w:tcPr>
            <w:tcW w:w="240" w:type="dxa"/>
            <w:vAlign w:val="bottom"/>
          </w:tcPr>
          <w:p>
            <w:pPr>
              <w:spacing w:after="0"/>
              <w:rPr>
                <w:sz w:val="18"/>
                <w:szCs w:val="18"/>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$3.15</w:t>
            </w:r>
          </w:p>
        </w:tc>
      </w:tr>
      <w:tr>
        <w:trPr>
          <w:trHeight w:val="257"/>
        </w:trPr>
        <w:tc>
          <w:tcPr>
            <w:tcW w:w="2480" w:type="dxa"/>
            <w:vAlign w:val="bottom"/>
          </w:tcPr>
          <w:p>
            <w:pPr>
              <w:jc w:val="center"/>
              <w:spacing w:after="0" w:line="256" w:lineRule="exact"/>
              <w:rPr>
                <w:sz w:val="20"/>
                <w:szCs w:val="20"/>
                <w:color w:val="auto"/>
              </w:rPr>
            </w:pPr>
            <w:r>
              <w:rPr>
                <w:rFonts w:ascii="Arial" w:cs="Arial" w:eastAsia="Arial" w:hAnsi="Arial"/>
                <w:sz w:val="18"/>
                <w:szCs w:val="18"/>
                <w:color w:val="auto"/>
                <w:w w:val="85"/>
              </w:rPr>
              <w:t>740,000</w:t>
            </w:r>
            <w:r>
              <w:rPr>
                <w:rFonts w:ascii="Arial" w:cs="Arial" w:eastAsia="Arial" w:hAnsi="Arial"/>
                <w:sz w:val="29"/>
                <w:szCs w:val="29"/>
                <w:color w:val="auto"/>
                <w:w w:val="85"/>
                <w:vertAlign w:val="superscript"/>
              </w:rPr>
              <w:t>(7)</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$2.78</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87"/>
              </w:rPr>
              <w:t>18,000</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$0.25</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92"/>
              </w:rPr>
              <w:t>325,000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$0.25</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150,000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$1.36</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88"/>
              </w:rPr>
              <w:t>5,500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$0.25</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92"/>
              </w:rPr>
              <w:t>175,000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$1.39</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$0.25</w:t>
            </w:r>
          </w:p>
        </w:tc>
      </w:tr>
      <w:tr>
        <w:trPr>
          <w:trHeight w:val="269"/>
        </w:trPr>
        <w:tc>
          <w:tcPr>
            <w:tcW w:w="2480" w:type="dxa"/>
            <w:vAlign w:val="bottom"/>
          </w:tcPr>
          <w:p>
            <w:pPr>
              <w:jc w:val="center"/>
              <w:spacing w:after="0"/>
              <w:rPr>
                <w:sz w:val="20"/>
                <w:szCs w:val="20"/>
                <w:color w:val="auto"/>
              </w:rPr>
            </w:pPr>
            <w:r>
              <w:rPr>
                <w:rFonts w:ascii="Arial" w:cs="Arial" w:eastAsia="Arial" w:hAnsi="Arial"/>
                <w:sz w:val="18"/>
                <w:szCs w:val="18"/>
                <w:color w:val="auto"/>
                <w:w w:val="87"/>
              </w:rPr>
              <w:t>28,903</w:t>
            </w: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69" w:lineRule="exact"/>
              <w:rPr>
                <w:sz w:val="20"/>
                <w:szCs w:val="20"/>
                <w:color w:val="auto"/>
              </w:rPr>
            </w:pPr>
            <w:r>
              <w:rPr>
                <w:rFonts w:ascii="Arial" w:cs="Arial" w:eastAsia="Arial" w:hAnsi="Arial"/>
                <w:sz w:val="18"/>
                <w:szCs w:val="18"/>
                <w:color w:val="auto"/>
                <w:w w:val="83"/>
              </w:rPr>
              <w:t>$24.40</w:t>
            </w:r>
            <w:r>
              <w:rPr>
                <w:rFonts w:ascii="Arial" w:cs="Arial" w:eastAsia="Arial" w:hAnsi="Arial"/>
                <w:sz w:val="29"/>
                <w:szCs w:val="29"/>
                <w:color w:val="auto"/>
                <w:w w:val="83"/>
                <w:vertAlign w:val="superscript"/>
              </w:rPr>
              <w:t>(8)</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87"/>
              </w:rPr>
              <w:t>88,300</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$1.39</w:t>
            </w:r>
          </w:p>
        </w:tc>
      </w:tr>
      <w:tr>
        <w:trPr>
          <w:trHeight w:val="26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31,721.5</w:t>
            </w: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69" w:lineRule="exact"/>
              <w:rPr>
                <w:sz w:val="20"/>
                <w:szCs w:val="20"/>
                <w:color w:val="auto"/>
              </w:rPr>
            </w:pPr>
            <w:r>
              <w:rPr>
                <w:rFonts w:ascii="Arial" w:cs="Arial" w:eastAsia="Arial" w:hAnsi="Arial"/>
                <w:sz w:val="18"/>
                <w:szCs w:val="18"/>
                <w:color w:val="auto"/>
                <w:w w:val="83"/>
              </w:rPr>
              <w:t>$19.80</w:t>
            </w:r>
            <w:r>
              <w:rPr>
                <w:rFonts w:ascii="Arial" w:cs="Arial" w:eastAsia="Arial" w:hAnsi="Arial"/>
                <w:sz w:val="29"/>
                <w:szCs w:val="29"/>
                <w:color w:val="auto"/>
                <w:w w:val="83"/>
                <w:vertAlign w:val="superscript"/>
              </w:rPr>
              <w:t>(9)</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92"/>
              </w:rPr>
              <w:t>300,000</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$1.39</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92"/>
              </w:rPr>
              <w:t>150,000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$0.25</w:t>
            </w:r>
          </w:p>
        </w:tc>
      </w:tr>
      <w:tr>
        <w:trPr>
          <w:trHeight w:val="257"/>
        </w:trPr>
        <w:tc>
          <w:tcPr>
            <w:tcW w:w="2480" w:type="dxa"/>
            <w:vAlign w:val="bottom"/>
          </w:tcPr>
          <w:p>
            <w:pPr>
              <w:jc w:val="center"/>
              <w:spacing w:after="0"/>
              <w:rPr>
                <w:sz w:val="20"/>
                <w:szCs w:val="20"/>
                <w:color w:val="auto"/>
              </w:rPr>
            </w:pPr>
            <w:r>
              <w:rPr>
                <w:rFonts w:ascii="Arial" w:cs="Arial" w:eastAsia="Arial" w:hAnsi="Arial"/>
                <w:sz w:val="18"/>
                <w:szCs w:val="18"/>
                <w:color w:val="auto"/>
                <w:w w:val="87"/>
              </w:rPr>
              <w:t>62,500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$0.64</w:t>
            </w:r>
          </w:p>
        </w:tc>
      </w:tr>
      <w:tr>
        <w:trPr>
          <w:trHeight w:val="229"/>
        </w:trPr>
        <w:tc>
          <w:tcPr>
            <w:tcW w:w="248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240" w:type="dxa"/>
            <w:vAlign w:val="bottom"/>
          </w:tcPr>
          <w:p>
            <w:pPr>
              <w:spacing w:after="0"/>
              <w:rPr>
                <w:sz w:val="19"/>
                <w:szCs w:val="19"/>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$3.15</w:t>
            </w: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color w:val="auto"/>
                <w:w w:val="89"/>
              </w:rPr>
              <w:t>1,250,000</w:t>
            </w:r>
          </w:p>
        </w:tc>
        <w:tc>
          <w:tcPr>
            <w:tcW w:w="240" w:type="dxa"/>
            <w:vAlign w:val="bottom"/>
          </w:tcPr>
          <w:p>
            <w:pPr>
              <w:spacing w:after="0"/>
              <w:rPr>
                <w:sz w:val="18"/>
                <w:szCs w:val="18"/>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$1.50</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88"/>
              </w:rPr>
              <w:t>15,611.4</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56" w:lineRule="exact"/>
              <w:rPr>
                <w:sz w:val="20"/>
                <w:szCs w:val="20"/>
                <w:color w:val="auto"/>
              </w:rPr>
            </w:pPr>
            <w:r>
              <w:rPr>
                <w:rFonts w:ascii="Arial" w:cs="Arial" w:eastAsia="Arial" w:hAnsi="Arial"/>
                <w:sz w:val="18"/>
                <w:szCs w:val="18"/>
                <w:color w:val="auto"/>
                <w:w w:val="82"/>
              </w:rPr>
              <w:t>$15.10</w:t>
            </w:r>
            <w:r>
              <w:rPr>
                <w:rFonts w:ascii="Arial" w:cs="Arial" w:eastAsia="Arial" w:hAnsi="Arial"/>
                <w:sz w:val="29"/>
                <w:szCs w:val="29"/>
                <w:color w:val="auto"/>
                <w:w w:val="82"/>
                <w:vertAlign w:val="superscript"/>
              </w:rPr>
              <w:t>(10)</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92"/>
              </w:rPr>
              <w:t>586,800</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$1.25</w:t>
            </w:r>
          </w:p>
        </w:tc>
      </w:tr>
      <w:tr>
        <w:trPr>
          <w:trHeight w:val="26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41,028.2</w:t>
            </w: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69" w:lineRule="exact"/>
              <w:rPr>
                <w:sz w:val="20"/>
                <w:szCs w:val="20"/>
                <w:color w:val="auto"/>
              </w:rPr>
            </w:pPr>
            <w:r>
              <w:rPr>
                <w:rFonts w:ascii="Arial" w:cs="Arial" w:eastAsia="Arial" w:hAnsi="Arial"/>
                <w:sz w:val="18"/>
                <w:szCs w:val="18"/>
                <w:color w:val="auto"/>
                <w:w w:val="82"/>
              </w:rPr>
              <w:t>$13.43</w:t>
            </w:r>
            <w:r>
              <w:rPr>
                <w:rFonts w:ascii="Arial" w:cs="Arial" w:eastAsia="Arial" w:hAnsi="Arial"/>
                <w:sz w:val="29"/>
                <w:szCs w:val="29"/>
                <w:color w:val="auto"/>
                <w:w w:val="82"/>
                <w:vertAlign w:val="superscript"/>
              </w:rPr>
              <w:t>(12)</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87"/>
              </w:rPr>
              <w:t>27,585</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$0.64</w:t>
            </w:r>
          </w:p>
        </w:tc>
      </w:tr>
      <w:tr>
        <w:trPr>
          <w:trHeight w:val="269"/>
        </w:trPr>
        <w:tc>
          <w:tcPr>
            <w:tcW w:w="2480" w:type="dxa"/>
            <w:vAlign w:val="bottom"/>
          </w:tcPr>
          <w:p>
            <w:pPr>
              <w:jc w:val="center"/>
              <w:spacing w:after="0"/>
              <w:rPr>
                <w:sz w:val="20"/>
                <w:szCs w:val="20"/>
                <w:color w:val="auto"/>
              </w:rPr>
            </w:pPr>
            <w:r>
              <w:rPr>
                <w:rFonts w:ascii="Arial" w:cs="Arial" w:eastAsia="Arial" w:hAnsi="Arial"/>
                <w:sz w:val="18"/>
                <w:szCs w:val="18"/>
                <w:color w:val="auto"/>
                <w:w w:val="91"/>
              </w:rPr>
              <w:t>17,239.5</w:t>
            </w:r>
          </w:p>
        </w:tc>
        <w:tc>
          <w:tcPr>
            <w:tcW w:w="240" w:type="dxa"/>
            <w:vAlign w:val="bottom"/>
          </w:tcPr>
          <w:p>
            <w:pPr>
              <w:spacing w:after="0"/>
              <w:rPr>
                <w:sz w:val="23"/>
                <w:szCs w:val="23"/>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Exchangeable Securities</w:t>
            </w:r>
          </w:p>
        </w:tc>
        <w:tc>
          <w:tcPr>
            <w:tcW w:w="2480" w:type="dxa"/>
            <w:vAlign w:val="bottom"/>
          </w:tcPr>
          <w:p>
            <w:pPr>
              <w:jc w:val="center"/>
              <w:spacing w:after="0" w:line="269" w:lineRule="exact"/>
              <w:rPr>
                <w:sz w:val="20"/>
                <w:szCs w:val="20"/>
                <w:color w:val="auto"/>
              </w:rPr>
            </w:pPr>
            <w:r>
              <w:rPr>
                <w:rFonts w:ascii="Arial" w:cs="Arial" w:eastAsia="Arial" w:hAnsi="Arial"/>
                <w:sz w:val="18"/>
                <w:szCs w:val="18"/>
                <w:color w:val="auto"/>
                <w:w w:val="82"/>
              </w:rPr>
              <w:t>$13.50</w:t>
            </w:r>
            <w:r>
              <w:rPr>
                <w:rFonts w:ascii="Arial" w:cs="Arial" w:eastAsia="Arial" w:hAnsi="Arial"/>
                <w:sz w:val="29"/>
                <w:szCs w:val="29"/>
                <w:color w:val="auto"/>
                <w:w w:val="82"/>
                <w:vertAlign w:val="superscript"/>
              </w:rPr>
              <w:t>(13)</w:t>
            </w:r>
          </w:p>
        </w:tc>
      </w:tr>
      <w:tr>
        <w:trPr>
          <w:trHeight w:val="244"/>
        </w:trPr>
        <w:tc>
          <w:tcPr>
            <w:tcW w:w="2480" w:type="dxa"/>
            <w:vAlign w:val="bottom"/>
          </w:tcPr>
          <w:p>
            <w:pPr>
              <w:jc w:val="center"/>
              <w:spacing w:after="0"/>
              <w:rPr>
                <w:sz w:val="20"/>
                <w:szCs w:val="20"/>
                <w:color w:val="auto"/>
              </w:rPr>
            </w:pPr>
            <w:r>
              <w:rPr>
                <w:rFonts w:ascii="Arial" w:cs="Arial" w:eastAsia="Arial" w:hAnsi="Arial"/>
                <w:sz w:val="18"/>
                <w:szCs w:val="18"/>
                <w:color w:val="auto"/>
                <w:w w:val="87"/>
              </w:rPr>
              <w:t>37,500</w:t>
            </w:r>
          </w:p>
        </w:tc>
        <w:tc>
          <w:tcPr>
            <w:tcW w:w="240" w:type="dxa"/>
            <w:vAlign w:val="bottom"/>
          </w:tcPr>
          <w:p>
            <w:pPr>
              <w:spacing w:after="0"/>
              <w:rPr>
                <w:sz w:val="21"/>
                <w:szCs w:val="21"/>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$0.64</w:t>
            </w:r>
          </w:p>
        </w:tc>
      </w:tr>
      <w:tr>
        <w:trPr>
          <w:trHeight w:val="256"/>
        </w:trPr>
        <w:tc>
          <w:tcPr>
            <w:tcW w:w="2480" w:type="dxa"/>
            <w:vAlign w:val="bottom"/>
          </w:tcPr>
          <w:p>
            <w:pPr>
              <w:jc w:val="center"/>
              <w:spacing w:after="0"/>
              <w:rPr>
                <w:sz w:val="20"/>
                <w:szCs w:val="20"/>
                <w:color w:val="auto"/>
              </w:rPr>
            </w:pPr>
            <w:r>
              <w:rPr>
                <w:rFonts w:ascii="Arial" w:cs="Arial" w:eastAsia="Arial" w:hAnsi="Arial"/>
                <w:sz w:val="18"/>
                <w:szCs w:val="18"/>
                <w:color w:val="auto"/>
                <w:w w:val="89"/>
              </w:rPr>
              <w:t>1,254,360</w:t>
            </w:r>
          </w:p>
        </w:tc>
        <w:tc>
          <w:tcPr>
            <w:tcW w:w="240" w:type="dxa"/>
            <w:vAlign w:val="bottom"/>
          </w:tcPr>
          <w:p>
            <w:pPr>
              <w:spacing w:after="0"/>
              <w:rPr>
                <w:sz w:val="22"/>
                <w:szCs w:val="22"/>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Common Shares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$1.13</w:t>
            </w:r>
          </w:p>
        </w:tc>
      </w:tr>
      <w:tr>
        <w:trPr>
          <w:trHeight w:val="229"/>
        </w:trPr>
        <w:tc>
          <w:tcPr>
            <w:tcW w:w="2480" w:type="dxa"/>
            <w:vAlign w:val="bottom"/>
          </w:tcPr>
          <w:p>
            <w:pPr>
              <w:jc w:val="center"/>
              <w:spacing w:after="0"/>
              <w:rPr>
                <w:sz w:val="20"/>
                <w:szCs w:val="20"/>
                <w:color w:val="auto"/>
              </w:rPr>
            </w:pPr>
            <w:r>
              <w:rPr>
                <w:rFonts w:ascii="Arial" w:cs="Arial" w:eastAsia="Arial" w:hAnsi="Arial"/>
                <w:sz w:val="18"/>
                <w:szCs w:val="18"/>
                <w:color w:val="auto"/>
                <w:w w:val="89"/>
              </w:rPr>
              <w:t>1,075,600</w:t>
            </w:r>
          </w:p>
        </w:tc>
        <w:tc>
          <w:tcPr>
            <w:tcW w:w="240" w:type="dxa"/>
            <w:vAlign w:val="bottom"/>
          </w:tcPr>
          <w:p>
            <w:pPr>
              <w:spacing w:after="0"/>
              <w:rPr>
                <w:sz w:val="19"/>
                <w:szCs w:val="19"/>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$1.13</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87"/>
              </w:rPr>
              <w:t>60,000</w:t>
            </w:r>
          </w:p>
        </w:tc>
        <w:tc>
          <w:tcPr>
            <w:tcW w:w="240" w:type="dxa"/>
            <w:vAlign w:val="bottom"/>
          </w:tcPr>
          <w:p>
            <w:pPr>
              <w:spacing w:after="0"/>
              <w:rPr>
                <w:sz w:val="20"/>
                <w:szCs w:val="20"/>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-5331460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-5031105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-4731385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-4405630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-4105275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-3805555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-3479800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-3154045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-2828290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-2502535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-2176780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-1851025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-1550670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-1250950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-925195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-599440</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-273685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-5665470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900"/>
          </w:cols>
          <w:pgMar w:left="320" w:top="118" w:right="3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E6EFFF"/>
          </w:tcPr>
          <w:p>
            <w:pPr>
              <w:ind w:left="100"/>
              <w:spacing w:after="0"/>
              <w:rPr>
                <w:sz w:val="20"/>
                <w:szCs w:val="20"/>
                <w:color w:val="auto"/>
              </w:rPr>
            </w:pPr>
            <w:r>
              <w:rPr>
                <w:rFonts w:ascii="Arial" w:cs="Arial" w:eastAsia="Arial" w:hAnsi="Arial"/>
                <w:sz w:val="18"/>
                <w:szCs w:val="18"/>
                <w:color w:val="auto"/>
              </w:rPr>
              <w:t>March 8, 2022</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92"/>
              </w:rPr>
              <w:t>400,000</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Options</w:t>
            </w:r>
          </w:p>
        </w:tc>
        <w:tc>
          <w:tcPr>
            <w:tcW w:w="2340" w:type="dxa"/>
            <w:vAlign w:val="bottom"/>
            <w:shd w:val="clear" w:color="auto" w:fill="E6EFFF"/>
          </w:tcPr>
          <w:p>
            <w:pPr>
              <w:jc w:val="center"/>
              <w:ind w:right="50"/>
              <w:spacing w:after="0"/>
              <w:rPr>
                <w:sz w:val="20"/>
                <w:szCs w:val="20"/>
                <w:color w:val="auto"/>
              </w:rPr>
            </w:pPr>
            <w:r>
              <w:rPr>
                <w:rFonts w:ascii="Arial" w:cs="Arial" w:eastAsia="Arial" w:hAnsi="Arial"/>
                <w:sz w:val="18"/>
                <w:szCs w:val="18"/>
                <w:color w:val="auto"/>
                <w:w w:val="88"/>
              </w:rPr>
              <w:t>$1.02</w:t>
            </w:r>
          </w:p>
        </w:tc>
      </w:tr>
      <w:tr>
        <w:trPr>
          <w:trHeight w:val="257"/>
        </w:trPr>
        <w:tc>
          <w:tcPr>
            <w:tcW w:w="2820" w:type="dxa"/>
            <w:vAlign w:val="bottom"/>
          </w:tcPr>
          <w:p>
            <w:pPr>
              <w:ind w:left="100"/>
              <w:spacing w:after="0" w:line="256" w:lineRule="exact"/>
              <w:rPr>
                <w:sz w:val="20"/>
                <w:szCs w:val="20"/>
                <w:color w:val="auto"/>
              </w:rPr>
            </w:pPr>
            <w:r>
              <w:rPr>
                <w:rFonts w:ascii="Arial" w:cs="Arial" w:eastAsia="Arial" w:hAnsi="Arial"/>
                <w:sz w:val="18"/>
                <w:szCs w:val="18"/>
                <w:color w:val="auto"/>
              </w:rPr>
              <w:t>March 18, 2022</w:t>
            </w:r>
            <w:r>
              <w:rPr>
                <w:rFonts w:ascii="Arial" w:cs="Arial" w:eastAsia="Arial" w:hAnsi="Arial"/>
                <w:sz w:val="29"/>
                <w:szCs w:val="29"/>
                <w:color w:val="auto"/>
                <w:vertAlign w:val="superscript"/>
              </w:rPr>
              <w:t>(1)</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92"/>
              </w:rPr>
              <w:t>100,000</w:t>
            </w:r>
          </w:p>
        </w:tc>
        <w:tc>
          <w:tcPr>
            <w:tcW w:w="32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40" w:type="dxa"/>
            <w:vAlign w:val="bottom"/>
          </w:tcPr>
          <w:p>
            <w:pPr>
              <w:jc w:val="center"/>
              <w:ind w:right="50"/>
              <w:spacing w:after="0"/>
              <w:rPr>
                <w:sz w:val="20"/>
                <w:szCs w:val="20"/>
                <w:color w:val="auto"/>
              </w:rPr>
            </w:pPr>
            <w:r>
              <w:rPr>
                <w:rFonts w:ascii="Arial" w:cs="Arial" w:eastAsia="Arial" w:hAnsi="Arial"/>
                <w:sz w:val="18"/>
                <w:szCs w:val="18"/>
                <w:color w:val="auto"/>
                <w:w w:val="88"/>
              </w:rPr>
              <w:t>$0.25</w:t>
            </w:r>
          </w:p>
        </w:tc>
      </w:tr>
      <w:tr>
        <w:trPr>
          <w:trHeight w:val="257"/>
        </w:trPr>
        <w:tc>
          <w:tcPr>
            <w:tcW w:w="282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March 25, 2022</w:t>
            </w:r>
            <w:r>
              <w:rPr>
                <w:rFonts w:ascii="Arial" w:cs="Arial" w:eastAsia="Arial" w:hAnsi="Arial"/>
                <w:sz w:val="29"/>
                <w:szCs w:val="29"/>
                <w:color w:val="auto"/>
                <w:vertAlign w:val="superscript"/>
              </w:rPr>
              <w:t>(2)</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87"/>
              </w:rPr>
              <w:t>90,546</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Exchangeable Securities</w:t>
            </w:r>
          </w:p>
        </w:tc>
        <w:tc>
          <w:tcPr>
            <w:tcW w:w="2340" w:type="dxa"/>
            <w:vAlign w:val="bottom"/>
            <w:shd w:val="clear" w:color="auto" w:fill="E6EFFF"/>
          </w:tcPr>
          <w:p>
            <w:pPr>
              <w:jc w:val="center"/>
              <w:ind w:right="30"/>
              <w:spacing w:after="0" w:line="256" w:lineRule="exact"/>
              <w:rPr>
                <w:sz w:val="20"/>
                <w:szCs w:val="20"/>
                <w:color w:val="auto"/>
              </w:rPr>
            </w:pPr>
            <w:r>
              <w:rPr>
                <w:rFonts w:ascii="Arial" w:cs="Arial" w:eastAsia="Arial" w:hAnsi="Arial"/>
                <w:sz w:val="18"/>
                <w:szCs w:val="18"/>
                <w:color w:val="auto"/>
                <w:w w:val="82"/>
              </w:rPr>
              <w:t>$10.00</w:t>
            </w:r>
            <w:r>
              <w:rPr>
                <w:rFonts w:ascii="Arial" w:cs="Arial" w:eastAsia="Arial" w:hAnsi="Arial"/>
                <w:sz w:val="29"/>
                <w:szCs w:val="29"/>
                <w:color w:val="auto"/>
                <w:w w:val="82"/>
                <w:vertAlign w:val="superscript"/>
              </w:rPr>
              <w:t>(14)</w:t>
            </w:r>
          </w:p>
        </w:tc>
      </w:tr>
      <w:tr>
        <w:trPr>
          <w:trHeight w:val="257"/>
        </w:trPr>
        <w:tc>
          <w:tcPr>
            <w:tcW w:w="2820" w:type="dxa"/>
            <w:vAlign w:val="bottom"/>
          </w:tcPr>
          <w:p>
            <w:pPr>
              <w:ind w:left="100"/>
              <w:spacing w:after="0" w:line="256" w:lineRule="exact"/>
              <w:rPr>
                <w:sz w:val="20"/>
                <w:szCs w:val="20"/>
                <w:color w:val="auto"/>
              </w:rPr>
            </w:pPr>
            <w:r>
              <w:rPr>
                <w:rFonts w:ascii="Arial" w:cs="Arial" w:eastAsia="Arial" w:hAnsi="Arial"/>
                <w:sz w:val="18"/>
                <w:szCs w:val="18"/>
                <w:color w:val="auto"/>
              </w:rPr>
              <w:t>April 1, 2022</w:t>
            </w:r>
            <w:r>
              <w:rPr>
                <w:rFonts w:ascii="Arial" w:cs="Arial" w:eastAsia="Arial" w:hAnsi="Arial"/>
                <w:sz w:val="29"/>
                <w:szCs w:val="29"/>
                <w:color w:val="auto"/>
                <w:vertAlign w:val="superscript"/>
              </w:rPr>
              <w:t>(2)</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91"/>
              </w:rPr>
              <w:t>22,428.3</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Exchangeable Securities</w:t>
            </w:r>
          </w:p>
        </w:tc>
        <w:tc>
          <w:tcPr>
            <w:tcW w:w="2340" w:type="dxa"/>
            <w:vAlign w:val="bottom"/>
          </w:tcPr>
          <w:p>
            <w:pPr>
              <w:jc w:val="center"/>
              <w:ind w:right="30"/>
              <w:spacing w:after="0" w:line="256" w:lineRule="exact"/>
              <w:rPr>
                <w:sz w:val="20"/>
                <w:szCs w:val="20"/>
                <w:color w:val="auto"/>
              </w:rPr>
            </w:pPr>
            <w:r>
              <w:rPr>
                <w:rFonts w:ascii="Arial" w:cs="Arial" w:eastAsia="Arial" w:hAnsi="Arial"/>
                <w:sz w:val="18"/>
                <w:szCs w:val="18"/>
                <w:color w:val="auto"/>
                <w:w w:val="82"/>
              </w:rPr>
              <w:t>$10.20</w:t>
            </w:r>
            <w:r>
              <w:rPr>
                <w:rFonts w:ascii="Arial" w:cs="Arial" w:eastAsia="Arial" w:hAnsi="Arial"/>
                <w:sz w:val="29"/>
                <w:szCs w:val="29"/>
                <w:color w:val="auto"/>
                <w:w w:val="82"/>
                <w:vertAlign w:val="superscript"/>
              </w:rPr>
              <w:t>(15)</w:t>
            </w:r>
          </w:p>
        </w:tc>
      </w:tr>
      <w:tr>
        <w:trPr>
          <w:trHeight w:val="256"/>
        </w:trPr>
        <w:tc>
          <w:tcPr>
            <w:tcW w:w="282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May 5, 2022</w:t>
            </w:r>
            <w:r>
              <w:rPr>
                <w:rFonts w:ascii="Arial" w:cs="Arial" w:eastAsia="Arial" w:hAnsi="Arial"/>
                <w:sz w:val="29"/>
                <w:szCs w:val="29"/>
                <w:color w:val="auto"/>
                <w:vertAlign w:val="superscript"/>
              </w:rPr>
              <w:t>(15)</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92"/>
              </w:rPr>
              <w:t>380,230</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40" w:type="dxa"/>
            <w:vAlign w:val="bottom"/>
            <w:shd w:val="clear" w:color="auto" w:fill="E6EFFF"/>
          </w:tcPr>
          <w:p>
            <w:pPr>
              <w:jc w:val="center"/>
              <w:ind w:right="50"/>
              <w:spacing w:after="0"/>
              <w:rPr>
                <w:sz w:val="20"/>
                <w:szCs w:val="20"/>
                <w:color w:val="auto"/>
              </w:rPr>
            </w:pPr>
            <w:r>
              <w:rPr>
                <w:rFonts w:ascii="Arial" w:cs="Arial" w:eastAsia="Arial" w:hAnsi="Arial"/>
                <w:sz w:val="18"/>
                <w:szCs w:val="18"/>
                <w:color w:val="auto"/>
                <w:w w:val="88"/>
              </w:rPr>
              <w:t>$0.68</w:t>
            </w:r>
          </w:p>
        </w:tc>
      </w:tr>
      <w:tr>
        <w:trPr>
          <w:trHeight w:val="257"/>
        </w:trPr>
        <w:tc>
          <w:tcPr>
            <w:tcW w:w="2820" w:type="dxa"/>
            <w:vAlign w:val="bottom"/>
          </w:tcPr>
          <w:p>
            <w:pPr>
              <w:ind w:left="100"/>
              <w:spacing w:after="0" w:line="256" w:lineRule="exact"/>
              <w:rPr>
                <w:sz w:val="20"/>
                <w:szCs w:val="20"/>
                <w:color w:val="auto"/>
              </w:rPr>
            </w:pPr>
            <w:r>
              <w:rPr>
                <w:rFonts w:ascii="Arial" w:cs="Arial" w:eastAsia="Arial" w:hAnsi="Arial"/>
                <w:sz w:val="18"/>
                <w:szCs w:val="18"/>
                <w:color w:val="auto"/>
              </w:rPr>
              <w:t>May 24, 2022</w:t>
            </w:r>
            <w:r>
              <w:rPr>
                <w:rFonts w:ascii="Arial" w:cs="Arial" w:eastAsia="Arial" w:hAnsi="Arial"/>
                <w:sz w:val="29"/>
                <w:szCs w:val="29"/>
                <w:color w:val="auto"/>
                <w:vertAlign w:val="superscript"/>
              </w:rPr>
              <w:t>(1)</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92"/>
              </w:rPr>
              <w:t>500,000</w:t>
            </w:r>
          </w:p>
        </w:tc>
        <w:tc>
          <w:tcPr>
            <w:tcW w:w="32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40" w:type="dxa"/>
            <w:vAlign w:val="bottom"/>
          </w:tcPr>
          <w:p>
            <w:pPr>
              <w:jc w:val="center"/>
              <w:ind w:right="50"/>
              <w:spacing w:after="0"/>
              <w:rPr>
                <w:sz w:val="20"/>
                <w:szCs w:val="20"/>
                <w:color w:val="auto"/>
              </w:rPr>
            </w:pPr>
            <w:r>
              <w:rPr>
                <w:rFonts w:ascii="Arial" w:cs="Arial" w:eastAsia="Arial" w:hAnsi="Arial"/>
                <w:sz w:val="18"/>
                <w:szCs w:val="18"/>
                <w:color w:val="auto"/>
                <w:w w:val="88"/>
              </w:rPr>
              <w:t>$0.25</w:t>
            </w:r>
          </w:p>
        </w:tc>
      </w:tr>
      <w:tr>
        <w:trPr>
          <w:trHeight w:val="257"/>
        </w:trPr>
        <w:tc>
          <w:tcPr>
            <w:tcW w:w="282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June 14, 2022</w:t>
            </w:r>
            <w:r>
              <w:rPr>
                <w:rFonts w:ascii="Arial" w:cs="Arial" w:eastAsia="Arial" w:hAnsi="Arial"/>
                <w:sz w:val="29"/>
                <w:szCs w:val="29"/>
                <w:color w:val="auto"/>
                <w:vertAlign w:val="superscript"/>
              </w:rPr>
              <w:t>(1)</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92"/>
              </w:rPr>
              <w:t>500,000</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Common Shares</w:t>
            </w:r>
          </w:p>
        </w:tc>
        <w:tc>
          <w:tcPr>
            <w:tcW w:w="2340" w:type="dxa"/>
            <w:vAlign w:val="bottom"/>
            <w:shd w:val="clear" w:color="auto" w:fill="E6EFFF"/>
          </w:tcPr>
          <w:p>
            <w:pPr>
              <w:jc w:val="center"/>
              <w:ind w:right="50"/>
              <w:spacing w:after="0"/>
              <w:rPr>
                <w:sz w:val="20"/>
                <w:szCs w:val="20"/>
                <w:color w:val="auto"/>
              </w:rPr>
            </w:pPr>
            <w:r>
              <w:rPr>
                <w:rFonts w:ascii="Arial" w:cs="Arial" w:eastAsia="Arial" w:hAnsi="Arial"/>
                <w:sz w:val="18"/>
                <w:szCs w:val="18"/>
                <w:color w:val="auto"/>
                <w:w w:val="88"/>
              </w:rPr>
              <w:t>$0.25</w:t>
            </w:r>
          </w:p>
        </w:tc>
      </w:tr>
      <w:tr>
        <w:trPr>
          <w:trHeight w:val="257"/>
        </w:trPr>
        <w:tc>
          <w:tcPr>
            <w:tcW w:w="2820" w:type="dxa"/>
            <w:vAlign w:val="bottom"/>
          </w:tcPr>
          <w:p>
            <w:pPr>
              <w:ind w:left="100"/>
              <w:spacing w:after="0" w:line="256" w:lineRule="exact"/>
              <w:rPr>
                <w:sz w:val="20"/>
                <w:szCs w:val="20"/>
                <w:color w:val="auto"/>
              </w:rPr>
            </w:pPr>
            <w:r>
              <w:rPr>
                <w:rFonts w:ascii="Arial" w:cs="Arial" w:eastAsia="Arial" w:hAnsi="Arial"/>
                <w:sz w:val="18"/>
                <w:szCs w:val="18"/>
                <w:color w:val="auto"/>
              </w:rPr>
              <w:t>June 22, 2022</w:t>
            </w:r>
            <w:r>
              <w:rPr>
                <w:rFonts w:ascii="Arial" w:cs="Arial" w:eastAsia="Arial" w:hAnsi="Arial"/>
                <w:sz w:val="29"/>
                <w:szCs w:val="29"/>
                <w:color w:val="auto"/>
                <w:vertAlign w:val="superscript"/>
              </w:rPr>
              <w:t>(1)</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87"/>
              </w:rPr>
              <w:t>99,638</w:t>
            </w:r>
          </w:p>
        </w:tc>
        <w:tc>
          <w:tcPr>
            <w:tcW w:w="32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340" w:type="dxa"/>
            <w:vAlign w:val="bottom"/>
          </w:tcPr>
          <w:p>
            <w:pPr>
              <w:jc w:val="center"/>
              <w:ind w:right="50"/>
              <w:spacing w:after="0"/>
              <w:rPr>
                <w:sz w:val="20"/>
                <w:szCs w:val="20"/>
                <w:color w:val="auto"/>
              </w:rPr>
            </w:pPr>
            <w:r>
              <w:rPr>
                <w:rFonts w:ascii="Arial" w:cs="Arial" w:eastAsia="Arial" w:hAnsi="Arial"/>
                <w:sz w:val="18"/>
                <w:szCs w:val="18"/>
                <w:color w:val="auto"/>
                <w:w w:val="88"/>
              </w:rPr>
              <w:t>$0.64</w:t>
            </w:r>
          </w:p>
        </w:tc>
      </w:tr>
      <w:tr>
        <w:trPr>
          <w:trHeight w:val="257"/>
        </w:trPr>
        <w:tc>
          <w:tcPr>
            <w:tcW w:w="282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June 22, 2022</w:t>
            </w:r>
            <w:r>
              <w:rPr>
                <w:rFonts w:ascii="Arial" w:cs="Arial" w:eastAsia="Arial" w:hAnsi="Arial"/>
                <w:sz w:val="29"/>
                <w:szCs w:val="29"/>
                <w:color w:val="auto"/>
                <w:vertAlign w:val="superscript"/>
              </w:rPr>
              <w:t>(2)</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87"/>
              </w:rPr>
              <w:t>456.50</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Exchangeable Securities</w:t>
            </w:r>
          </w:p>
        </w:tc>
        <w:tc>
          <w:tcPr>
            <w:tcW w:w="2340" w:type="dxa"/>
            <w:vAlign w:val="bottom"/>
            <w:shd w:val="clear" w:color="auto" w:fill="E6EFFF"/>
          </w:tcPr>
          <w:p>
            <w:pPr>
              <w:jc w:val="center"/>
              <w:ind w:right="30"/>
              <w:spacing w:after="0" w:line="256" w:lineRule="exact"/>
              <w:rPr>
                <w:sz w:val="20"/>
                <w:szCs w:val="20"/>
                <w:color w:val="auto"/>
              </w:rPr>
            </w:pPr>
            <w:r>
              <w:rPr>
                <w:rFonts w:ascii="Arial" w:cs="Arial" w:eastAsia="Arial" w:hAnsi="Arial"/>
                <w:sz w:val="18"/>
                <w:szCs w:val="18"/>
                <w:color w:val="auto"/>
                <w:w w:val="82"/>
              </w:rPr>
              <w:t>$10.20</w:t>
            </w:r>
            <w:r>
              <w:rPr>
                <w:rFonts w:ascii="Arial" w:cs="Arial" w:eastAsia="Arial" w:hAnsi="Arial"/>
                <w:sz w:val="29"/>
                <w:szCs w:val="29"/>
                <w:color w:val="auto"/>
                <w:w w:val="82"/>
                <w:vertAlign w:val="superscript"/>
              </w:rPr>
              <w:t>(16)</w:t>
            </w:r>
          </w:p>
        </w:tc>
      </w:tr>
      <w:tr>
        <w:trPr>
          <w:trHeight w:val="256"/>
        </w:trPr>
        <w:tc>
          <w:tcPr>
            <w:tcW w:w="2820" w:type="dxa"/>
            <w:vAlign w:val="bottom"/>
          </w:tcPr>
          <w:p>
            <w:pPr>
              <w:ind w:left="100"/>
              <w:spacing w:after="0" w:line="256" w:lineRule="exact"/>
              <w:rPr>
                <w:sz w:val="20"/>
                <w:szCs w:val="20"/>
                <w:color w:val="auto"/>
              </w:rPr>
            </w:pPr>
            <w:r>
              <w:rPr>
                <w:rFonts w:ascii="Arial" w:cs="Arial" w:eastAsia="Arial" w:hAnsi="Arial"/>
                <w:sz w:val="18"/>
                <w:szCs w:val="18"/>
                <w:color w:val="auto"/>
              </w:rPr>
              <w:t>June 24, 2022</w:t>
            </w:r>
            <w:r>
              <w:rPr>
                <w:rFonts w:ascii="Arial" w:cs="Arial" w:eastAsia="Arial" w:hAnsi="Arial"/>
                <w:sz w:val="29"/>
                <w:szCs w:val="29"/>
                <w:color w:val="auto"/>
                <w:vertAlign w:val="superscript"/>
              </w:rPr>
              <w:t>(2)</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89"/>
              </w:rPr>
              <w:t>266,933.1</w:t>
            </w: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Exchangeable Securities</w:t>
            </w:r>
          </w:p>
        </w:tc>
        <w:tc>
          <w:tcPr>
            <w:tcW w:w="2340" w:type="dxa"/>
            <w:vAlign w:val="bottom"/>
          </w:tcPr>
          <w:p>
            <w:pPr>
              <w:jc w:val="center"/>
              <w:ind w:right="30"/>
              <w:spacing w:after="0" w:line="256" w:lineRule="exact"/>
              <w:rPr>
                <w:sz w:val="20"/>
                <w:szCs w:val="20"/>
                <w:color w:val="auto"/>
              </w:rPr>
            </w:pPr>
            <w:r>
              <w:rPr>
                <w:rFonts w:ascii="Arial" w:cs="Arial" w:eastAsia="Arial" w:hAnsi="Arial"/>
                <w:sz w:val="18"/>
                <w:szCs w:val="18"/>
                <w:color w:val="auto"/>
                <w:w w:val="83"/>
              </w:rPr>
              <w:t>$7.62</w:t>
            </w:r>
            <w:r>
              <w:rPr>
                <w:rFonts w:ascii="Arial" w:cs="Arial" w:eastAsia="Arial" w:hAnsi="Arial"/>
                <w:sz w:val="29"/>
                <w:szCs w:val="29"/>
                <w:color w:val="auto"/>
                <w:w w:val="83"/>
                <w:vertAlign w:val="superscript"/>
              </w:rPr>
              <w:t>(17)</w:t>
            </w:r>
          </w:p>
        </w:tc>
      </w:tr>
      <w:tr>
        <w:trPr>
          <w:trHeight w:val="257"/>
        </w:trPr>
        <w:tc>
          <w:tcPr>
            <w:tcW w:w="2820" w:type="dxa"/>
            <w:vAlign w:val="bottom"/>
            <w:shd w:val="clear" w:color="auto" w:fill="E6EFFF"/>
          </w:tcPr>
          <w:p>
            <w:pPr>
              <w:ind w:left="100"/>
              <w:spacing w:after="0" w:line="256" w:lineRule="exact"/>
              <w:rPr>
                <w:sz w:val="20"/>
                <w:szCs w:val="20"/>
                <w:color w:val="auto"/>
              </w:rPr>
            </w:pPr>
            <w:r>
              <w:rPr>
                <w:rFonts w:ascii="Arial" w:cs="Arial" w:eastAsia="Arial" w:hAnsi="Arial"/>
                <w:sz w:val="18"/>
                <w:szCs w:val="18"/>
                <w:color w:val="auto"/>
              </w:rPr>
              <w:t>June 27, 2022</w:t>
            </w:r>
            <w:r>
              <w:rPr>
                <w:rFonts w:ascii="Arial" w:cs="Arial" w:eastAsia="Arial" w:hAnsi="Arial"/>
                <w:sz w:val="29"/>
                <w:szCs w:val="29"/>
                <w:color w:val="auto"/>
                <w:vertAlign w:val="superscript"/>
              </w:rPr>
              <w:t>(2)</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91"/>
              </w:rPr>
              <w:t>37,366.2</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Exchangeable Securities</w:t>
            </w:r>
          </w:p>
        </w:tc>
        <w:tc>
          <w:tcPr>
            <w:tcW w:w="2340" w:type="dxa"/>
            <w:vAlign w:val="bottom"/>
            <w:shd w:val="clear" w:color="auto" w:fill="E6EFFF"/>
          </w:tcPr>
          <w:p>
            <w:pPr>
              <w:jc w:val="center"/>
              <w:ind w:right="30"/>
              <w:spacing w:after="0" w:line="256" w:lineRule="exact"/>
              <w:rPr>
                <w:sz w:val="20"/>
                <w:szCs w:val="20"/>
                <w:color w:val="auto"/>
              </w:rPr>
            </w:pPr>
            <w:r>
              <w:rPr>
                <w:rFonts w:ascii="Arial" w:cs="Arial" w:eastAsia="Arial" w:hAnsi="Arial"/>
                <w:sz w:val="18"/>
                <w:szCs w:val="18"/>
                <w:color w:val="auto"/>
                <w:w w:val="83"/>
              </w:rPr>
              <w:t>$7.50</w:t>
            </w:r>
            <w:r>
              <w:rPr>
                <w:rFonts w:ascii="Arial" w:cs="Arial" w:eastAsia="Arial" w:hAnsi="Arial"/>
                <w:sz w:val="29"/>
                <w:szCs w:val="29"/>
                <w:color w:val="auto"/>
                <w:w w:val="83"/>
                <w:vertAlign w:val="superscript"/>
              </w:rPr>
              <w:t>(18)</w:t>
            </w:r>
          </w:p>
        </w:tc>
      </w:tr>
      <w:tr>
        <w:trPr>
          <w:trHeight w:val="216"/>
        </w:trPr>
        <w:tc>
          <w:tcPr>
            <w:tcW w:w="2820" w:type="dxa"/>
            <w:vAlign w:val="bottom"/>
          </w:tcPr>
          <w:p>
            <w:pPr>
              <w:ind w:left="100"/>
              <w:spacing w:after="0"/>
              <w:rPr>
                <w:sz w:val="20"/>
                <w:szCs w:val="20"/>
                <w:color w:val="auto"/>
              </w:rPr>
            </w:pPr>
            <w:r>
              <w:rPr>
                <w:rFonts w:ascii="Arial" w:cs="Arial" w:eastAsia="Arial" w:hAnsi="Arial"/>
                <w:sz w:val="18"/>
                <w:szCs w:val="18"/>
                <w:color w:val="auto"/>
              </w:rPr>
              <w:t>June 30, 2022</w:t>
            </w:r>
          </w:p>
        </w:tc>
        <w:tc>
          <w:tcPr>
            <w:tcW w:w="2860" w:type="dxa"/>
            <w:vAlign w:val="bottom"/>
          </w:tcPr>
          <w:p>
            <w:pPr>
              <w:jc w:val="center"/>
              <w:ind w:left="570"/>
              <w:spacing w:after="0"/>
              <w:rPr>
                <w:sz w:val="20"/>
                <w:szCs w:val="20"/>
                <w:color w:val="auto"/>
              </w:rPr>
            </w:pPr>
            <w:r>
              <w:rPr>
                <w:rFonts w:ascii="Arial" w:cs="Arial" w:eastAsia="Arial" w:hAnsi="Arial"/>
                <w:sz w:val="18"/>
                <w:szCs w:val="18"/>
                <w:color w:val="auto"/>
                <w:w w:val="87"/>
              </w:rPr>
              <w:t>65,000</w:t>
            </w:r>
          </w:p>
        </w:tc>
        <w:tc>
          <w:tcPr>
            <w:tcW w:w="322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340" w:type="dxa"/>
            <w:vAlign w:val="bottom"/>
          </w:tcPr>
          <w:p>
            <w:pPr>
              <w:jc w:val="center"/>
              <w:ind w:right="50"/>
              <w:spacing w:after="0"/>
              <w:rPr>
                <w:sz w:val="20"/>
                <w:szCs w:val="20"/>
                <w:color w:val="auto"/>
              </w:rPr>
            </w:pPr>
            <w:r>
              <w:rPr>
                <w:rFonts w:ascii="Arial" w:cs="Arial" w:eastAsia="Arial" w:hAnsi="Arial"/>
                <w:sz w:val="18"/>
                <w:szCs w:val="18"/>
                <w:color w:val="auto"/>
                <w:w w:val="88"/>
              </w:rPr>
              <w:t>$1.00</w:t>
            </w:r>
          </w:p>
        </w:tc>
      </w:tr>
      <w:tr>
        <w:trPr>
          <w:trHeight w:val="216"/>
        </w:trPr>
        <w:tc>
          <w:tcPr>
            <w:tcW w:w="2820" w:type="dxa"/>
            <w:vAlign w:val="bottom"/>
            <w:shd w:val="clear" w:color="auto" w:fill="E6EFFF"/>
          </w:tcPr>
          <w:p>
            <w:pPr>
              <w:ind w:left="100"/>
              <w:spacing w:after="0"/>
              <w:rPr>
                <w:sz w:val="20"/>
                <w:szCs w:val="20"/>
                <w:color w:val="auto"/>
              </w:rPr>
            </w:pPr>
            <w:r>
              <w:rPr>
                <w:rFonts w:ascii="Arial" w:cs="Arial" w:eastAsia="Arial" w:hAnsi="Arial"/>
                <w:sz w:val="18"/>
                <w:szCs w:val="18"/>
                <w:color w:val="auto"/>
              </w:rPr>
              <w:t>June 30, 2022</w:t>
            </w:r>
          </w:p>
        </w:tc>
        <w:tc>
          <w:tcPr>
            <w:tcW w:w="2860" w:type="dxa"/>
            <w:vAlign w:val="bottom"/>
            <w:shd w:val="clear" w:color="auto" w:fill="E6EFFF"/>
          </w:tcPr>
          <w:p>
            <w:pPr>
              <w:jc w:val="center"/>
              <w:ind w:left="570"/>
              <w:spacing w:after="0"/>
              <w:rPr>
                <w:sz w:val="20"/>
                <w:szCs w:val="20"/>
                <w:color w:val="auto"/>
              </w:rPr>
            </w:pPr>
            <w:r>
              <w:rPr>
                <w:rFonts w:ascii="Arial" w:cs="Arial" w:eastAsia="Arial" w:hAnsi="Arial"/>
                <w:sz w:val="18"/>
                <w:szCs w:val="18"/>
                <w:color w:val="auto"/>
                <w:w w:val="92"/>
              </w:rPr>
              <w:t>500,000</w:t>
            </w:r>
          </w:p>
        </w:tc>
        <w:tc>
          <w:tcPr>
            <w:tcW w:w="32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3"/>
              </w:rPr>
              <w:t>Options</w:t>
            </w:r>
          </w:p>
        </w:tc>
        <w:tc>
          <w:tcPr>
            <w:tcW w:w="2340" w:type="dxa"/>
            <w:vAlign w:val="bottom"/>
            <w:shd w:val="clear" w:color="auto" w:fill="E6EFFF"/>
          </w:tcPr>
          <w:p>
            <w:pPr>
              <w:jc w:val="center"/>
              <w:ind w:right="50"/>
              <w:spacing w:after="0"/>
              <w:rPr>
                <w:sz w:val="20"/>
                <w:szCs w:val="20"/>
                <w:color w:val="auto"/>
              </w:rPr>
            </w:pPr>
            <w:r>
              <w:rPr>
                <w:rFonts w:ascii="Arial" w:cs="Arial" w:eastAsia="Arial" w:hAnsi="Arial"/>
                <w:sz w:val="18"/>
                <w:szCs w:val="18"/>
                <w:color w:val="auto"/>
                <w:w w:val="88"/>
              </w:rPr>
              <w:t>$0.90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b w:val="1"/>
          <w:bCs w:val="1"/>
          <w:color w:val="auto"/>
        </w:rPr>
        <w:t>:</w:t>
      </w:r>
    </w:p>
    <w:p>
      <w:pPr>
        <w:spacing w:after="0" w:line="4" w:lineRule="exact"/>
        <w:rPr>
          <w:sz w:val="20"/>
          <w:szCs w:val="20"/>
          <w:color w:val="auto"/>
        </w:rPr>
      </w:pPr>
    </w:p>
    <w:p>
      <w:pPr>
        <w:ind w:left="700" w:hanging="422"/>
        <w:spacing w:after="0"/>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on exercise of warrants to purchase Common Shares (each, a "</w:t>
      </w:r>
      <w:r>
        <w:rPr>
          <w:rFonts w:ascii="Arial" w:cs="Arial" w:eastAsia="Arial" w:hAnsi="Arial"/>
          <w:sz w:val="22"/>
          <w:szCs w:val="22"/>
          <w:b w:val="1"/>
          <w:bCs w:val="1"/>
          <w:color w:val="auto"/>
        </w:rPr>
        <w:t>Warrant</w:t>
      </w:r>
      <w:r>
        <w:rPr>
          <w:rFonts w:ascii="Arial" w:cs="Arial" w:eastAsia="Arial" w:hAnsi="Arial"/>
          <w:sz w:val="22"/>
          <w:szCs w:val="22"/>
          <w:color w:val="auto"/>
        </w:rPr>
        <w:t>").</w:t>
      </w:r>
    </w:p>
    <w:p>
      <w:pPr>
        <w:jc w:val="both"/>
        <w:ind w:left="660" w:hanging="382"/>
        <w:spacing w:after="0" w:line="241" w:lineRule="auto"/>
        <w:tabs>
          <w:tab w:leader="none" w:pos="699" w:val="left"/>
        </w:tabs>
        <w:numPr>
          <w:ilvl w:val="0"/>
          <w:numId w:val="11"/>
        </w:numPr>
        <w:rPr>
          <w:rFonts w:ascii="Arial" w:cs="Arial" w:eastAsia="Arial" w:hAnsi="Arial"/>
          <w:sz w:val="21"/>
          <w:szCs w:val="21"/>
          <w:color w:val="auto"/>
        </w:rPr>
      </w:pPr>
      <w:r>
        <w:rPr>
          <w:rFonts w:ascii="Arial" w:cs="Arial" w:eastAsia="Arial" w:hAnsi="Arial"/>
          <w:sz w:val="21"/>
          <w:szCs w:val="21"/>
          <w:color w:val="auto"/>
        </w:rPr>
        <w:t>Represents Class B common shares in the capital of Cybin U.S. ("</w:t>
      </w:r>
      <w:r>
        <w:rPr>
          <w:rFonts w:ascii="Arial" w:cs="Arial" w:eastAsia="Arial" w:hAnsi="Arial"/>
          <w:sz w:val="21"/>
          <w:szCs w:val="21"/>
          <w:b w:val="1"/>
          <w:bCs w:val="1"/>
          <w:color w:val="auto"/>
        </w:rPr>
        <w:t>Class B Shares</w:t>
      </w:r>
      <w:r>
        <w:rPr>
          <w:rFonts w:ascii="Arial" w:cs="Arial" w:eastAsia="Arial" w:hAnsi="Arial"/>
          <w:sz w:val="21"/>
          <w:szCs w:val="21"/>
          <w:color w:val="auto"/>
        </w:rPr>
        <w:t>") issued in connection with the Adelia Transaction to Adelia shareholders. The Class B Shares are exchangeable at the holder's option for Common Shares on the basis of 10 Common Shares for 1 Class B Share, subject to customary adjustments.</w:t>
      </w:r>
    </w:p>
    <w:p>
      <w:pPr>
        <w:spacing w:after="0" w:line="1" w:lineRule="exact"/>
        <w:rPr>
          <w:rFonts w:ascii="Arial" w:cs="Arial" w:eastAsia="Arial" w:hAnsi="Arial"/>
          <w:sz w:val="21"/>
          <w:szCs w:val="21"/>
          <w:color w:val="auto"/>
        </w:rPr>
      </w:pPr>
    </w:p>
    <w:p>
      <w:pPr>
        <w:ind w:left="660" w:hanging="382"/>
        <w:spacing w:after="0" w:line="230" w:lineRule="auto"/>
        <w:tabs>
          <w:tab w:leader="none" w:pos="708"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on exercise of options to purchase Common Shares granted pursuant to the Corporation's equity incentive plan (each, an "</w:t>
      </w:r>
      <w:r>
        <w:rPr>
          <w:rFonts w:ascii="Arial" w:cs="Arial" w:eastAsia="Arial" w:hAnsi="Arial"/>
          <w:sz w:val="22"/>
          <w:szCs w:val="22"/>
          <w:b w:val="1"/>
          <w:bCs w:val="1"/>
          <w:color w:val="auto"/>
        </w:rPr>
        <w:t>Option</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660" w:hanging="387"/>
        <w:spacing w:after="0" w:line="230" w:lineRule="auto"/>
        <w:tabs>
          <w:tab w:leader="none" w:pos="70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187,886 Common Shares, resulting in an effective issue price of $3.37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0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93,926 Common Shares, resulting in an effective issue price of $3.38 per Common Share.</w:t>
      </w:r>
    </w:p>
    <w:p>
      <w:pPr>
        <w:spacing w:after="0" w:line="1" w:lineRule="exact"/>
        <w:rPr>
          <w:rFonts w:ascii="Arial" w:cs="Arial" w:eastAsia="Arial" w:hAnsi="Arial"/>
          <w:sz w:val="22"/>
          <w:szCs w:val="22"/>
          <w:color w:val="auto"/>
        </w:rPr>
      </w:pPr>
    </w:p>
    <w:p>
      <w:pPr>
        <w:ind w:left="700" w:hanging="422"/>
        <w:spacing w:after="0"/>
        <w:tabs>
          <w:tab w:leader="none" w:pos="7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As the result of the termination of an employee of the Corporation, 20,000 options expired on October 21, 2021.</w:t>
      </w:r>
    </w:p>
    <w:p>
      <w:pPr>
        <w:spacing w:after="0" w:line="1" w:lineRule="exact"/>
        <w:rPr>
          <w:rFonts w:ascii="Arial" w:cs="Arial" w:eastAsia="Arial" w:hAnsi="Arial"/>
          <w:sz w:val="21"/>
          <w:szCs w:val="21"/>
          <w:color w:val="auto"/>
        </w:rPr>
      </w:pPr>
    </w:p>
    <w:p>
      <w:pPr>
        <w:ind w:left="700" w:hanging="427"/>
        <w:spacing w:after="0" w:line="230" w:lineRule="auto"/>
        <w:tabs>
          <w:tab w:leader="none" w:pos="7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On March 4, 2022, 20,000 options were cancelled pursuant to an acknowledgement agreement.</w:t>
      </w:r>
    </w:p>
    <w:p>
      <w:pPr>
        <w:ind w:left="660" w:hanging="387"/>
        <w:spacing w:after="0" w:line="230" w:lineRule="auto"/>
        <w:tabs>
          <w:tab w:leader="none" w:pos="70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289,030 Common Shares, resulting in an effective issue price of $2.44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05"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317,215 Common Shares, resulting in an effective issue price of $1.98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156,114 Common Shares, resulting in an effective issue price of $1.51 per Common Share.</w:t>
      </w:r>
    </w:p>
    <w:p>
      <w:pPr>
        <w:spacing w:after="0" w:line="1" w:lineRule="exact"/>
        <w:rPr>
          <w:rFonts w:ascii="Arial" w:cs="Arial" w:eastAsia="Arial" w:hAnsi="Arial"/>
          <w:sz w:val="22"/>
          <w:szCs w:val="22"/>
          <w:color w:val="auto"/>
        </w:rPr>
      </w:pPr>
    </w:p>
    <w:p>
      <w:pPr>
        <w:ind w:left="720" w:hanging="447"/>
        <w:spacing w:after="0" w:line="230" w:lineRule="auto"/>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410,282 Common Shares, resulting in an effective issue price of $1.34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172,395 Common Shares, resulting in an effective issue price of $1.35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905,460 Common Shares, resulting in an effective issue price of $1.00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224,283 Common Shares, resulting in an effective issue price of $1.02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4,560 Common Shares, resulting in an effective issue price of $1.02 per Common Share.</w:t>
      </w:r>
    </w:p>
    <w:p>
      <w:pPr>
        <w:spacing w:after="0" w:line="1" w:lineRule="exact"/>
        <w:rPr>
          <w:rFonts w:ascii="Arial" w:cs="Arial" w:eastAsia="Arial" w:hAnsi="Arial"/>
          <w:sz w:val="22"/>
          <w:szCs w:val="22"/>
          <w:color w:val="auto"/>
        </w:rPr>
      </w:pPr>
    </w:p>
    <w:p>
      <w:pPr>
        <w:ind w:left="660" w:hanging="387"/>
        <w:spacing w:after="0" w:line="230"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2,669,331 Common Shares, resulting in an effective issue price of $0.762 per Common Share.</w:t>
      </w:r>
    </w:p>
    <w:p>
      <w:pPr>
        <w:spacing w:after="0" w:line="1" w:lineRule="exact"/>
        <w:rPr>
          <w:rFonts w:ascii="Arial" w:cs="Arial" w:eastAsia="Arial" w:hAnsi="Arial"/>
          <w:sz w:val="22"/>
          <w:szCs w:val="22"/>
          <w:color w:val="auto"/>
        </w:rPr>
      </w:pPr>
    </w:p>
    <w:p>
      <w:pPr>
        <w:ind w:left="660" w:hanging="387"/>
        <w:spacing w:after="0" w:line="236" w:lineRule="auto"/>
        <w:tabs>
          <w:tab w:leader="none" w:pos="723"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Price per Class B Share of Cybin U.S., which are exchangeable for 373,662 Common Shares, resulting in an effective issue price of $0.75 per Common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is, as at the date of this short form prospectus, a summary of the principal Canadian federal income tax considerations under the Tax Act generally applicable to an investor who acquires Common Shares as beneficial owner pursuant to the Offering and who, for the purposes of the Tax Act and at all relevant times, deals at arm's length with the Corporation and the Agents, is not affiliated with the Corporation or the Agents, and who acquires and holds the Common Shares as capital property (a "</w:t>
      </w:r>
      <w:r>
        <w:rPr>
          <w:rFonts w:ascii="Arial" w:cs="Arial" w:eastAsia="Arial" w:hAnsi="Arial"/>
          <w:sz w:val="19"/>
          <w:szCs w:val="19"/>
          <w:b w:val="1"/>
          <w:bCs w:val="1"/>
          <w:color w:val="auto"/>
        </w:rPr>
        <w:t>Holder</w:t>
      </w:r>
      <w:r>
        <w:rPr>
          <w:rFonts w:ascii="Arial" w:cs="Arial" w:eastAsia="Arial" w:hAnsi="Arial"/>
          <w:sz w:val="19"/>
          <w:szCs w:val="19"/>
          <w:color w:val="auto"/>
        </w:rPr>
        <w:t>"). Generally, the Common Shares will be considered to be capital property to a Holder thereof provided that the Holder does not use the Common Shares in the course of carrying on a business of trading or dealing in securities and such Holder has not acquired them in one or more transactions considered to be an adventure or concern in the nature of trade.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21"/>
          <w:szCs w:val="21"/>
          <w:color w:val="auto"/>
        </w:rPr>
        <w:t>This summary does not apply to a Holder (i) that is a "financial institution" for the purposes of the mark-to-market rules contained in the Tax Act; (ii) that is a "specified financial institution" as defined in the Tax Act; (iii), an interest in which would be a "tax shelter investment" as defined in the Tax Act; (iv) that has made a functional currency reporting election under section 261 of the Tax Act; (v) that has entered into or will enter into a "derivative forward agreement" or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Common Shares.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Common Shares, controlled by a non-resident person, or group of non-resident persons not dealing with each other at arm's length, for purposes of the foreign affiliate dumping rules in section 212.3 of the Tax Act. Such Holders should consult their own tax advisors.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This summary takes into account all specific proposals to amend the Tax Act and the regulations thereunder publicly announced by or on behalf of the Minister of Finance (Canada) prior to the date hereof (the "</w:t>
      </w:r>
      <w:r>
        <w:rPr>
          <w:rFonts w:ascii="Arial" w:cs="Arial" w:eastAsia="Arial" w:hAnsi="Arial"/>
          <w:sz w:val="19"/>
          <w:szCs w:val="19"/>
          <w:b w:val="1"/>
          <w:bCs w:val="1"/>
          <w:color w:val="auto"/>
        </w:rPr>
        <w:t>Tax Proposals</w:t>
      </w:r>
      <w:r>
        <w:rPr>
          <w:rFonts w:ascii="Arial" w:cs="Arial" w:eastAsia="Arial" w:hAnsi="Arial"/>
          <w:sz w:val="19"/>
          <w:szCs w:val="19"/>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based on their particular circumstances.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CRA.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Holders Resident in Canada</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portion of this summary is generally applicable to a Holder who at all relevant times, for purposes of the Tax Act, is or is deemed to be resident in Canada (a "</w:t>
      </w:r>
      <w:r>
        <w:rPr>
          <w:rFonts w:ascii="Arial" w:cs="Arial" w:eastAsia="Arial" w:hAnsi="Arial"/>
          <w:sz w:val="22"/>
          <w:szCs w:val="22"/>
          <w:b w:val="1"/>
          <w:bCs w:val="1"/>
          <w:color w:val="auto"/>
        </w:rPr>
        <w:t>Resident Holder</w:t>
      </w:r>
      <w:r>
        <w:rPr>
          <w:rFonts w:ascii="Arial" w:cs="Arial" w:eastAsia="Arial" w:hAnsi="Arial"/>
          <w:sz w:val="22"/>
          <w:szCs w:val="22"/>
          <w:color w:val="auto"/>
        </w:rPr>
        <w: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Certain Resident Holders whose Common Shares might not constitute capital property may make, in certain circumstances, an irrevocable election permitted by subsection 39(4) of the Tax Act to deem the Common Shares, and every other "Canadian security" as defined in the Tax Act, held by such persons in the taxation year of the election and each subsequent taxation year to be capital property. Resident Holders should consult their own tax advisors regarding this election.</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Dividends received or deemed to be received on the Common Shares will be included in computing a Resident Holder's income. In the case of an individual (other than certain trusts), such dividends will be subject to the gross-up and dividend tax credit rules normally applicable in respect of "taxable dividends" received from "taxable Canadian corporations" (each as defined in the Tax Act). An enhanced gross-up and dividend tax credit will be available to individuals in respect of "eligible dividends" designated by the Corporation to the Resident Holder in accordance with the provisions of the Tax Act. There may be limitations on the ability of the Corporation to designate dividends as eligible dividends.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both"/>
        <w:spacing w:after="0" w:line="236" w:lineRule="auto"/>
        <w:rPr>
          <w:sz w:val="20"/>
          <w:szCs w:val="20"/>
          <w:color w:val="auto"/>
        </w:rPr>
      </w:pPr>
      <w:r>
        <w:rPr>
          <w:rFonts w:ascii="Arial" w:cs="Arial" w:eastAsia="Arial" w:hAnsi="Arial"/>
          <w:sz w:val="22"/>
          <w:szCs w:val="22"/>
          <w:color w:val="auto"/>
        </w:rPr>
        <w:t>Dividends received or deemed to be received on a Common Share by a Resident Holder that is a corporation will be included in computing the corporation's income and will generally be deductible in computing its taxable income.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in this regard.</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Resident Holder that is a "private corporation" (as defined in the Tax Act) or a "subject corporation" (as defined in subsection 186(3) of the Tax Act) may be liable to pay an additional tax (refundable in certain circumstances) under Part IV of the Tax Act on dividends received or deemed to be received on the Common Shares to the extent such dividends are deductible in computing the Resident Holder's taxable income. Resident Holders that are corporations should consult their own tax advisors regarding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Upon a disposition (or a deemed disposition) of a Common Share (other than a disposition to the Corporation that is not a sale in the open market in the manner in which shares would normally be purchased by any member of the public in an open market), a Resident Holder generally will realize a capital gain (or a capital loss) equal to the amount by which the proceeds of disposition of such share, net of any reasonable costs of disposition, are greater (or are less) than the adjusted cost base of such share to the Resident Holder immediately before the disposition or deemed disposition. The adjusted cost base to a Resident Holder of a Common Share will be determined by averaging the cost of that Common Share with the adjusted cost base (determined immediately before the acquisition of the Common Share) of all other Common Shares held as capital property at that time by the Resident Holder. For a description of the treatment of capital gains and capital losses, see </w:t>
      </w:r>
      <w:r>
        <w:rPr>
          <w:rFonts w:ascii="Arial" w:cs="Arial" w:eastAsia="Arial" w:hAnsi="Arial"/>
          <w:sz w:val="19"/>
          <w:szCs w:val="19"/>
          <w:i w:val="1"/>
          <w:iCs w:val="1"/>
          <w:color w:val="auto"/>
        </w:rPr>
        <w:t>"Certain Canadian Income Tax</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Considerations -Holders Resident in Canada - Capital Gain / Loss" </w:t>
      </w:r>
      <w:r>
        <w:rPr>
          <w:rFonts w:ascii="Arial" w:cs="Arial" w:eastAsia="Arial" w:hAnsi="Arial"/>
          <w:sz w:val="19"/>
          <w:szCs w:val="19"/>
          <w:color w:val="auto"/>
        </w:rPr>
        <w:t>below.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Gain / Loss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Generally, a Resident Holder is required to include in computing its income for a taxation year one-half of the amount of any capital gain (a "</w:t>
      </w:r>
      <w:r>
        <w:rPr>
          <w:rFonts w:ascii="Arial" w:cs="Arial" w:eastAsia="Arial" w:hAnsi="Arial"/>
          <w:sz w:val="21"/>
          <w:szCs w:val="21"/>
          <w:b w:val="1"/>
          <w:bCs w:val="1"/>
          <w:color w:val="auto"/>
        </w:rPr>
        <w:t>taxable capital gain</w:t>
      </w:r>
      <w:r>
        <w:rPr>
          <w:rFonts w:ascii="Arial" w:cs="Arial" w:eastAsia="Arial" w:hAnsi="Arial"/>
          <w:sz w:val="21"/>
          <w:szCs w:val="21"/>
          <w:color w:val="auto"/>
        </w:rPr>
        <w:t>") realized in the year. Subject to and in accordance with the provisions of the Tax Act, a Resident Holder is required to deduct one-half of the amount of any capital loss (an "</w:t>
      </w:r>
      <w:r>
        <w:rPr>
          <w:rFonts w:ascii="Arial" w:cs="Arial" w:eastAsia="Arial" w:hAnsi="Arial"/>
          <w:sz w:val="21"/>
          <w:szCs w:val="21"/>
          <w:b w:val="1"/>
          <w:bCs w:val="1"/>
          <w:color w:val="auto"/>
        </w:rPr>
        <w:t>allowable capital loss</w:t>
      </w:r>
      <w:r>
        <w:rPr>
          <w:rFonts w:ascii="Arial" w:cs="Arial" w:eastAsia="Arial" w:hAnsi="Arial"/>
          <w:sz w:val="21"/>
          <w:szCs w:val="21"/>
          <w:color w:val="auto"/>
        </w:rPr>
        <w:t>") realized in a taxation year from taxable capital gains realized in the year by such Resident Holder. Allowable capital losses in excess of taxable capital gains for the taxation year of disposition may be carried back and deducted in any of the three preceding taxation years or carried forward and deducted in any following taxation year against net taxable capital gains realized in such years to the extent and under the circumstances described in the Tax Act.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amount of any capital loss realized on the disposition or deemed disposition of Common Shares by a Resident Holder that is a corporation may be reduced by the amount of dividends received or deemed to have been received by it on such shares or shares substituted for such shares to the extent and in the circumstances specified by the Tax Act. Similar rules may apply where a Common Share is owned by a partnership or trust of which a corporation, trust or partnership is a member or beneficiary. Resident Holders to whom these rules may be relevant should consult their own tax advisors.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Resident Holder that is, throughout the relevant taxation year, a "Canadian-controlled private corporation" or "CCPC" (as defined in the Tax Act) will be subject to an additional tax (refundable in certain circumstances) in respect of its "aggregate investment income" (as defined in the Tax Act) for the year, which will include taxable capital gains. Draft legislation released in the 2022 Canadian federal budget extends liability for the additional tax payable by a "Canadian-controlled private corporation" to a "substantive CCPC" (as defined in a draft amendment to the Tax Act). Resident Holders that are "Canadian-controlled private corporations" or "substantive CCPCs" should consult their own tax advisors regarding their particular circumstances.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Tax</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Capital gains realized and dividends received (or deemed to be received) by a Resident Holder that is an individual or a trust, other than certain specified trusts, may give rise to minimum tax under the Tax Act. Resident Holders that are individuals should consult their own tax advisors in this regard.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u w:val="single" w:color="auto"/>
          <w:color w:val="auto"/>
        </w:rPr>
        <w:t>Holders Not Resident in Canada</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portion of this summary is generally applicable to a Holder who at all relevant times, for purposes of the Tax Act,</w:t>
      </w:r>
    </w:p>
    <w:p>
      <w:pPr>
        <w:spacing w:after="0" w:line="43" w:lineRule="exact"/>
        <w:rPr>
          <w:sz w:val="20"/>
          <w:szCs w:val="20"/>
          <w:color w:val="auto"/>
        </w:rPr>
      </w:pPr>
    </w:p>
    <w:p>
      <w:pPr>
        <w:jc w:val="both"/>
        <w:ind w:firstLine="8"/>
        <w:spacing w:after="0" w:line="233" w:lineRule="auto"/>
        <w:tabs>
          <w:tab w:leader="none" w:pos="262" w:val="left"/>
        </w:tabs>
        <w:numPr>
          <w:ilvl w:val="0"/>
          <w:numId w:val="12"/>
        </w:numPr>
        <w:rPr>
          <w:rFonts w:ascii="Arial" w:cs="Arial" w:eastAsia="Arial" w:hAnsi="Arial"/>
          <w:sz w:val="22"/>
          <w:szCs w:val="22"/>
          <w:color w:val="auto"/>
        </w:rPr>
      </w:pPr>
      <w:r>
        <w:rPr>
          <w:rFonts w:ascii="Arial" w:cs="Arial" w:eastAsia="Arial" w:hAnsi="Arial"/>
          <w:sz w:val="22"/>
          <w:szCs w:val="22"/>
          <w:color w:val="auto"/>
        </w:rPr>
        <w:t>is not, and is not deemed to be, resident in Canada; and (ii) does not use or hold and is not deemed to use or hold its Common Shares in, or in the course of carrying on, a business in Canada (a "</w:t>
      </w:r>
      <w:r>
        <w:rPr>
          <w:rFonts w:ascii="Arial" w:cs="Arial" w:eastAsia="Arial" w:hAnsi="Arial"/>
          <w:sz w:val="22"/>
          <w:szCs w:val="22"/>
          <w:b w:val="1"/>
          <w:bCs w:val="1"/>
          <w:color w:val="auto"/>
        </w:rPr>
        <w:t>Non-Resident Holder</w:t>
      </w:r>
      <w:r>
        <w:rPr>
          <w:rFonts w:ascii="Arial" w:cs="Arial" w:eastAsia="Arial" w:hAnsi="Arial"/>
          <w:sz w:val="22"/>
          <w:szCs w:val="22"/>
          <w:color w:val="auto"/>
        </w:rPr>
        <w:t>"). Special rules, which are not discussed in this summary, may apply to a Non-Resident Holder that is an insurer carrying on business in Canada and elsewhere or that is an "authorized foreign bank" (as defined in the Tax Act). Such Non-Resident Holders should consult their own tax advisors.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b w:val="1"/>
          <w:bCs w:val="1"/>
          <w:color w:val="auto"/>
        </w:rPr>
        <w:t>US Holder</w:t>
      </w:r>
      <w:r>
        <w:rPr>
          <w:rFonts w:ascii="Arial" w:cs="Arial" w:eastAsia="Arial" w:hAnsi="Arial"/>
          <w:sz w:val="21"/>
          <w:szCs w:val="21"/>
          <w:color w:val="auto"/>
        </w:rPr>
        <w:t xml:space="preserve">," for the purposes of this summary, means a Non-Resident Holder who, for purposes of the </w:t>
      </w:r>
      <w:r>
        <w:rPr>
          <w:rFonts w:ascii="Arial" w:cs="Arial" w:eastAsia="Arial" w:hAnsi="Arial"/>
          <w:sz w:val="21"/>
          <w:szCs w:val="21"/>
          <w:i w:val="1"/>
          <w:iCs w:val="1"/>
          <w:color w:val="auto"/>
        </w:rPr>
        <w:t>Canada-United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States Tax Convention </w:t>
      </w:r>
      <w:r>
        <w:rPr>
          <w:rFonts w:ascii="Arial" w:cs="Arial" w:eastAsia="Arial" w:hAnsi="Arial"/>
          <w:sz w:val="21"/>
          <w:szCs w:val="21"/>
          <w:color w:val="auto"/>
        </w:rPr>
        <w:t>(1980), as amended (the "</w:t>
      </w:r>
      <w:r>
        <w:rPr>
          <w:rFonts w:ascii="Arial" w:cs="Arial" w:eastAsia="Arial" w:hAnsi="Arial"/>
          <w:sz w:val="21"/>
          <w:szCs w:val="21"/>
          <w:b w:val="1"/>
          <w:bCs w:val="1"/>
          <w:color w:val="auto"/>
        </w:rPr>
        <w:t>Canada-US Tax Treaty</w:t>
      </w:r>
      <w:r>
        <w:rPr>
          <w:rFonts w:ascii="Arial" w:cs="Arial" w:eastAsia="Arial" w:hAnsi="Arial"/>
          <w:sz w:val="21"/>
          <w:szCs w:val="21"/>
          <w:color w:val="auto"/>
        </w:rPr>
        <w:t>"), is at all relevant times a resident of the United States</w:t>
      </w:r>
      <w:r>
        <w:rPr>
          <w:rFonts w:ascii="Arial" w:cs="Arial" w:eastAsia="Arial" w:hAnsi="Arial"/>
          <w:sz w:val="21"/>
          <w:szCs w:val="21"/>
          <w:i w:val="1"/>
          <w:iCs w:val="1"/>
          <w:color w:val="auto"/>
        </w:rPr>
        <w:t xml:space="preserve"> </w:t>
      </w:r>
      <w:r>
        <w:rPr>
          <w:rFonts w:ascii="Arial" w:cs="Arial" w:eastAsia="Arial" w:hAnsi="Arial"/>
          <w:sz w:val="21"/>
          <w:szCs w:val="21"/>
          <w:color w:val="auto"/>
        </w:rPr>
        <w:t>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Dividends paid or credited or deemed under the Tax Act to be paid or credited by the Corporation to a Non-Resident Holder on the Common Shares will generally be subject to Canadian withholding tax at the rate of 25% on the gross amount of the dividend, unless such rate is reduced by the terms of an applicable income tax treaty or convention. Under the Canada-US Tax Treaty, the withholding rate on any such dividend beneficially owned by a Non-Resident Holder that is a US Holder or otherwise entitled to the relevant benefits of such treaty is generally reduced to 15%, and to 5% if such Non-Resident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Non-Resident Holder generally will not be subject to tax under the Tax Act in respect of a capital gain realized on the disposition or deemed disposition of a Common Share unless the Common Share constitutes (or is deemed to constitute) "taxable Canadian property" to the Non-Resident Holder thereof for purposes of the Tax Act at the time of disposition, and is not "treaty-protected property" (as defined in the Tax Act) of the Non-Resident Holder at the time of the disposition.</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Provided the Common Shares are listed on a "designated stock exchange", as defined in the Tax Act (which currently includes the NEO), at the time of disposition, the Common Shares generally will not constitute taxable Canadian property of a Non-Resident Holder at that time, unless at any time during the 60 month period immediately preceding the disposition the following two conditions are met concurrently: (i) the Non-Resident Holder, persons with whom the Non-Resident Holder did not deal at arm's length, partnerships in which the Non-Resident Holder or any such non-arm's length person holds a membership interest (either directly or indirectly through one or more partnerships), or the Non-Resident Holder together with all such persons and partnerships, owned 25% or more of the issued shares of any class or series of shares of the Corporation; and (ii) more than 50% of the fair market value of the Common Shares was derived directly or indirectly from one or any combination of real or immovable property situated in Canada, Canadian resource properties (as defined in the Tax Act), timber resource properties (as defined in the Tax Act) or options, interests or for civil law rights in such property, whether or not such property exists. Notwithstanding the foregoing, a Common Share may be deemed to be "taxable Canadian property" in certain other circumstances.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Common Shares of a US Holder will generally constitute "treaty-protected property" for purposes of the Tax Act at any given time unless the value of the Common Shares is derived principally from real property situated in Canada at that time. For this purpose, "real property" has the meaning that term has under the laws of Canada and includes any option or similar right in respect thereof and in any case, includes usufruct of real property, rights to explore for or to exploit mineral deposits, sources and other natural resources and rights to amounts computed by reference to the amount or value of production from such resources.</w:t>
      </w:r>
    </w:p>
    <w:p>
      <w:pPr>
        <w:spacing w:after="0" w:line="14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Non-Resident Holders should consult their own tax advisors as to whether their Common Shares constitute "taxable Canadian property".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both"/>
        <w:spacing w:after="0" w:line="235" w:lineRule="auto"/>
        <w:rPr>
          <w:sz w:val="20"/>
          <w:szCs w:val="20"/>
          <w:color w:val="auto"/>
        </w:rPr>
      </w:pPr>
      <w:r>
        <w:rPr>
          <w:rFonts w:ascii="Arial" w:cs="Arial" w:eastAsia="Arial" w:hAnsi="Arial"/>
          <w:sz w:val="22"/>
          <w:szCs w:val="22"/>
          <w:color w:val="auto"/>
        </w:rPr>
        <w:t xml:space="preserve">If the Common Shares are "taxable Canadian property" to a Non-Resident Holder and such Non-Resident Holder is not exempt from tax under the Tax Act in respect of the disposition of such Common Shares pursuant to an applicable income tax treaty or convention, the tax consequences as described above under the headings </w:t>
      </w:r>
      <w:r>
        <w:rPr>
          <w:rFonts w:ascii="Arial" w:cs="Arial" w:eastAsia="Arial" w:hAnsi="Arial"/>
          <w:sz w:val="22"/>
          <w:szCs w:val="22"/>
          <w:i w:val="1"/>
          <w:iCs w:val="1"/>
          <w:color w:val="auto"/>
        </w:rPr>
        <w:t>"Certain Canadian Income Tax Considerations -</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Holders Resident in Canada - Dispositions of Common Shares" </w:t>
      </w:r>
      <w:r>
        <w:rPr>
          <w:rFonts w:ascii="Arial" w:cs="Arial" w:eastAsia="Arial" w:hAnsi="Arial"/>
          <w:sz w:val="22"/>
          <w:szCs w:val="22"/>
          <w:color w:val="auto"/>
        </w:rPr>
        <w:t>and</w:t>
      </w:r>
      <w:r>
        <w:rPr>
          <w:rFonts w:ascii="Arial" w:cs="Arial" w:eastAsia="Arial" w:hAnsi="Arial"/>
          <w:sz w:val="22"/>
          <w:szCs w:val="22"/>
          <w:i w:val="1"/>
          <w:iCs w:val="1"/>
          <w:color w:val="auto"/>
        </w:rPr>
        <w:t xml:space="preserve"> "Certain Canadian Income Tax Considerations - Holders Resident in Canada - Capital Gain / Loss" </w:t>
      </w:r>
      <w:r>
        <w:rPr>
          <w:rFonts w:ascii="Arial" w:cs="Arial" w:eastAsia="Arial" w:hAnsi="Arial"/>
          <w:sz w:val="22"/>
          <w:szCs w:val="22"/>
          <w:color w:val="auto"/>
        </w:rPr>
        <w:t>will generally apply. Such Non-Resident Holders should consult their own tax</w:t>
      </w:r>
      <w:r>
        <w:rPr>
          <w:rFonts w:ascii="Arial" w:cs="Arial" w:eastAsia="Arial" w:hAnsi="Arial"/>
          <w:sz w:val="22"/>
          <w:szCs w:val="22"/>
          <w:i w:val="1"/>
          <w:iCs w:val="1"/>
          <w:color w:val="auto"/>
        </w:rPr>
        <w:t xml:space="preserve"> </w:t>
      </w:r>
      <w:r>
        <w:rPr>
          <w:rFonts w:ascii="Arial" w:cs="Arial" w:eastAsia="Arial" w:hAnsi="Arial"/>
          <w:sz w:val="22"/>
          <w:szCs w:val="22"/>
          <w:color w:val="auto"/>
        </w:rPr>
        <w:t>advisors.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Common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Common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Treasury Regulations (whether final, temporary, or proposed), published rulings of the IRS, published administrative positions of the IRS, the current provisions of the Canada-United States Tax Convention (1980) (the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summary, the term "U.S. Holder" means a beneficial owner of Common Shares acquired pursuant 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Offering that is for U.S. federal income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7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ind w:left="660"/>
        <w:spacing w:after="0"/>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-419735</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Non-U.S. Holders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purposes of this summary, a "non-U.S. Holder" is a beneficial owner of Common Shares that is not a U.S. Holder or an entity classified as a partnership for U.S. federal income tax purposes. This summary does not address the U.S. federal, state or local tax consequences to non-U.S. Holders arising from or relating to the acquisition, ownership and disposition of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hedging transaction, conversion transaction, constructive sale, or other integrated transaction; (f) acquire Common Shares in connection with the exercise of employee stock options or otherwise as compensation for services; (g) hold Common Shares other than as a capital asset within the meaning of Section 1221 of the Code (generally, property held for investment purposes); (h) are subject to the alternative minimum tax; (i) are subject to special tax accounting rules with respect to Common Shares; (j) are partnerships or other "pass-through" entities (and partners or other owners thereof); (k) are S corporations (and shareholders thereof); (l) are U.S. expatriates or former long-term residents of the United States subject to Section 877 or 877A of the Code; (m) hold Common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Common Shares. Accordingly, U.S. Holders should be aware that they could be subject to tax under the PFIC rules even if no distributions are received and no redemptions or other dispositions of Common Shares are made.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is a PFIC for any tax year during which a U.S. Holder owns Common Shares, the U.S. federal income tax consequences to such U.S. Holder of the acquisition, ownership, and disposition of Common Shares will depend on whether and when such U.S. Holder makes an election to treat the Corporation and each Subsidiary PFIC, if any, as a "qualified electing fund" or "QEF" under Section 1295 of the Code (a "</w:t>
      </w:r>
      <w:r>
        <w:rPr>
          <w:rFonts w:ascii="Arial" w:cs="Arial" w:eastAsia="Arial" w:hAnsi="Arial"/>
          <w:sz w:val="21"/>
          <w:szCs w:val="21"/>
          <w:b w:val="1"/>
          <w:bCs w:val="1"/>
          <w:color w:val="auto"/>
        </w:rPr>
        <w:t>QEF Election</w:t>
      </w:r>
      <w:r>
        <w:rPr>
          <w:rFonts w:ascii="Arial" w:cs="Arial" w:eastAsia="Arial" w:hAnsi="Arial"/>
          <w:sz w:val="21"/>
          <w:szCs w:val="21"/>
          <w:color w:val="auto"/>
        </w:rPr>
        <w:t>") or makes a mark-to-market election under Section 1296 of the Code (a "</w:t>
      </w:r>
      <w:r>
        <w:rPr>
          <w:rFonts w:ascii="Arial" w:cs="Arial" w:eastAsia="Arial" w:hAnsi="Arial"/>
          <w:sz w:val="21"/>
          <w:szCs w:val="21"/>
          <w:b w:val="1"/>
          <w:bCs w:val="1"/>
          <w:color w:val="auto"/>
        </w:rPr>
        <w:t>Mark-to-Market Election</w:t>
      </w:r>
      <w:r>
        <w:rPr>
          <w:rFonts w:ascii="Arial" w:cs="Arial" w:eastAsia="Arial" w:hAnsi="Arial"/>
          <w:sz w:val="21"/>
          <w:szCs w:val="21"/>
          <w:color w:val="auto"/>
        </w:rPr>
        <w:t>"). A U.S. Holder that does not make either a QEF Election or a Mark-to-Market Election will be referred to in this summary as a "Non-Electing U.S. Holder".</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Non-Electing U.S. Holder will be subject to the rules of Section 1291 of the Code (described below)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Section 1291 of the Code,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9"/>
          <w:szCs w:val="19"/>
          <w:color w:val="auto"/>
        </w:rPr>
        <w:t>If the Corporation is a PFIC for any tax year during which a Non-Electing U.S. Holder holds Common Shares, the Corporation will continue to be treated as a PFIC with respect to such Non-Electing U.S. Holder, regardless of whether the Corporation ceases to be a PFIC in one or more subsequent tax years. A Non-Electing U.S. Holder may terminate this deemed PFIC status by electing to recognize gain (which will be taxed under the rules of Section 1291 of the Code discussed above), but not loss, as if such Common Shares were sold on the last day of the last tax year for which the Corporation was a PFIC.</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Mark-to-Market Election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Section 1291(f) of the Code, the IRS has issued proposed Treasury Regulations that, subject to certain exceptions, would cause a U.S. Holder that had not made a timely QEF Election to recognize gain (but not loss) upon certain transfers of Common Shares that would otherwise be tax-deferred (e.g., gifts and exchanges pursuant to corporate reorganizations). However, the specific U.S. federal income tax consequences to a U.S. Holder may vary based on the manner in which Common Shares are transferred.</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Common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Common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an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and thereafter as gain from the sale or exchange of such Common Shares. (See "Sale or Other Taxable Disposition of Common Shares" below). However, the Corporation does not intend to maintain the calculations of its earnings and profits in accordance with U.S. federal income tax principles, and each U.S. Holder therefore should assume that any distribution by the Corporation with respect to the Common Shares will constitute ordinary dividend income. Dividends received on Common Shares by corporate U.S. Holders generally will not be eligible for the "dividends received deduction". Subject to applicable limitations and provided the Corporation is eligible for the benefits of the Canada-U.S. Tax Convention or the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i w:val="1"/>
          <w:iCs w:val="1"/>
          <w:color w:val="auto"/>
        </w:rPr>
        <w:t>Sale or Other Taxable Disposition of Common Shares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the sale or other taxable disposition of Common Shares, a U.S. Holder generally will recognize capital gain or loss in an amount equal to the difference between the U.S. dollar value of cash received plus the fair market value of any property received and such U.S. Holder's tax basis in such Common Shares sold or otherwise disposed of. A U.S. Holder's tax basis in Common Shares generally will be such U.S. Holder's U.S. dollar cost for such Common Shares. Gain or loss recognized on such sale or other disposition generally will be long-term capital gain or loss if, at the time of the sale or other disposition, the Common Shares have been held for more than one year.</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Subject to the PFIC rules discussed above, a U.S. Holder that pays (whether directly or through withholding) Canadian income tax with respect to dividends paid on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Common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"At-the-Market" Offerings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Investors who purchase Common Shares in this Offering at different times will likely pay different prices, and so may experience different outcomes in their investment results. The Corporation will have discretion, subject to market demand, to vary the timing, prices, and numbers of Common Shares sold, and there is no minimum or maximum sales price. Investors may experience a decline in the value of their Common Shares as a result of sales made at prices lower than the prices they paid.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Common Shares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Need for Additional Financing</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Certainty of Net Proceeds from the Offering</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There is no certainty that U.S.$35,000,000, or any amount, will be raised under the Offering. The Agents have agreed to use commercially reasonable efforts to sell the Common Shares when and to the extent requested by the Corporation, but the Corporation is not required to request the sale of the maximum amount offered or any amount and, if the Corporation requests a sale, the Corporation and the Agents are not obligated to purchase any Common Shares that are not sold. As a result of the Offering being made on a commercially reasonable efforts basis with no minimum, and only as requested by the Corporation, the Corporation may raise substantially less than the maximum total offering amount or nothing at all.</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 See the section entitled "</w:t>
      </w:r>
      <w:r>
        <w:rPr>
          <w:rFonts w:ascii="Arial" w:cs="Arial" w:eastAsia="Arial" w:hAnsi="Arial"/>
          <w:sz w:val="21"/>
          <w:szCs w:val="21"/>
          <w:i w:val="1"/>
          <w:iCs w:val="1"/>
          <w:color w:val="auto"/>
        </w:rPr>
        <w:t>Enforcement of Civil Liabilities</w:t>
      </w:r>
      <w:r>
        <w:rPr>
          <w:rFonts w:ascii="Arial" w:cs="Arial" w:eastAsia="Arial" w:hAnsi="Arial"/>
          <w:sz w:val="21"/>
          <w:szCs w:val="21"/>
          <w:color w:val="auto"/>
        </w:rPr>
        <w: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Corporation expects to be a "passive foreign investment company", which may have adverse U.S. federal income tax consequences for U.S. investors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(as defined below) or a Mark-to-Market Election (as defined below).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basis therein. This paragraph is qualified in its entirety by the discussion above under the heading "</w:t>
      </w:r>
      <w:r>
        <w:rPr>
          <w:rFonts w:ascii="Arial" w:cs="Arial" w:eastAsia="Arial" w:hAnsi="Arial"/>
          <w:sz w:val="19"/>
          <w:szCs w:val="19"/>
          <w:i w:val="1"/>
          <w:iCs w:val="1"/>
          <w:color w:val="auto"/>
        </w:rPr>
        <w:t>Certain United</w:t>
      </w:r>
      <w:r>
        <w:rPr>
          <w:rFonts w:ascii="Arial" w:cs="Arial" w:eastAsia="Arial" w:hAnsi="Arial"/>
          <w:sz w:val="19"/>
          <w:szCs w:val="19"/>
          <w:color w:val="auto"/>
        </w:rPr>
        <w:t xml:space="preserve"> </w:t>
      </w:r>
      <w:r>
        <w:rPr>
          <w:rFonts w:ascii="Arial" w:cs="Arial" w:eastAsia="Arial" w:hAnsi="Arial"/>
          <w:sz w:val="19"/>
          <w:szCs w:val="19"/>
          <w:i w:val="1"/>
          <w:iCs w:val="1"/>
          <w:color w:val="auto"/>
        </w:rPr>
        <w:t>States Federal Income Tax Considerations - Passive Foreign Investment Company Rules</w:t>
      </w:r>
      <w:r>
        <w:rPr>
          <w:rFonts w:ascii="Arial" w:cs="Arial" w:eastAsia="Arial" w:hAnsi="Arial"/>
          <w:sz w:val="19"/>
          <w:szCs w:val="19"/>
          <w:color w:val="auto"/>
        </w:rPr>
        <w:t>." Each potential investor who is a U.S.</w:t>
      </w:r>
      <w:r>
        <w:rPr>
          <w:rFonts w:ascii="Arial" w:cs="Arial" w:eastAsia="Arial" w:hAnsi="Arial"/>
          <w:sz w:val="19"/>
          <w:szCs w:val="19"/>
          <w:i w:val="1"/>
          <w:iCs w:val="1"/>
          <w:color w:val="auto"/>
        </w:rPr>
        <w:t xml:space="preserve"> </w:t>
      </w:r>
      <w:r>
        <w:rPr>
          <w:rFonts w:ascii="Arial" w:cs="Arial" w:eastAsia="Arial" w:hAnsi="Arial"/>
          <w:sz w:val="19"/>
          <w:szCs w:val="19"/>
          <w:color w:val="auto"/>
        </w:rPr>
        <w:t>taxpayer should consult its own tax advisor regarding the tax consequences of the PFIC rules and the acquisition, ownership, and disposition of the Common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404"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EXPERTS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matters referred to under </w:t>
      </w:r>
      <w:r>
        <w:rPr>
          <w:rFonts w:ascii="Arial" w:cs="Arial" w:eastAsia="Arial" w:hAnsi="Arial"/>
          <w:sz w:val="19"/>
          <w:szCs w:val="19"/>
          <w:i w:val="1"/>
          <w:iCs w:val="1"/>
          <w:color w:val="auto"/>
        </w:rPr>
        <w:t>"Certain Canadian Income Tax Considerations"</w:t>
      </w:r>
      <w:r>
        <w:rPr>
          <w:rFonts w:ascii="Arial" w:cs="Arial" w:eastAsia="Arial" w:hAnsi="Arial"/>
          <w:sz w:val="19"/>
          <w:szCs w:val="19"/>
          <w:color w:val="auto"/>
        </w:rPr>
        <w:t xml:space="preserve"> and </w:t>
      </w:r>
      <w:r>
        <w:rPr>
          <w:rFonts w:ascii="Arial" w:cs="Arial" w:eastAsia="Arial" w:hAnsi="Arial"/>
          <w:sz w:val="19"/>
          <w:szCs w:val="19"/>
          <w:i w:val="1"/>
          <w:iCs w:val="1"/>
          <w:color w:val="auto"/>
        </w:rPr>
        <w:t>"Certain United States Federal Income Tax</w:t>
      </w:r>
      <w:r>
        <w:rPr>
          <w:rFonts w:ascii="Arial" w:cs="Arial" w:eastAsia="Arial" w:hAnsi="Arial"/>
          <w:sz w:val="19"/>
          <w:szCs w:val="19"/>
          <w:color w:val="auto"/>
        </w:rPr>
        <w:t xml:space="preserve"> </w:t>
      </w:r>
      <w:r>
        <w:rPr>
          <w:rFonts w:ascii="Arial" w:cs="Arial" w:eastAsia="Arial" w:hAnsi="Arial"/>
          <w:sz w:val="19"/>
          <w:szCs w:val="19"/>
          <w:i w:val="1"/>
          <w:iCs w:val="1"/>
          <w:color w:val="auto"/>
        </w:rPr>
        <w:t>Considerations"</w:t>
      </w:r>
      <w:r>
        <w:rPr>
          <w:rFonts w:ascii="Arial" w:cs="Arial" w:eastAsia="Arial" w:hAnsi="Arial"/>
          <w:sz w:val="19"/>
          <w:szCs w:val="19"/>
          <w:color w:val="auto"/>
        </w:rPr>
        <w:t>, as well as certain other legal matters relating to the issue and sale of the Common Shares, will be passed upon</w:t>
      </w:r>
      <w:r>
        <w:rPr>
          <w:rFonts w:ascii="Arial" w:cs="Arial" w:eastAsia="Arial" w:hAnsi="Arial"/>
          <w:sz w:val="19"/>
          <w:szCs w:val="19"/>
          <w:i w:val="1"/>
          <w:iCs w:val="1"/>
          <w:color w:val="auto"/>
        </w:rPr>
        <w:t xml:space="preserve"> </w:t>
      </w:r>
      <w:r>
        <w:rPr>
          <w:rFonts w:ascii="Arial" w:cs="Arial" w:eastAsia="Arial" w:hAnsi="Arial"/>
          <w:sz w:val="19"/>
          <w:szCs w:val="19"/>
          <w:color w:val="auto"/>
        </w:rPr>
        <w:t>on behalf of the Corporation by Aird &amp; Berlis LLP, with respect to Canadian legal matters, and by Dorsey &amp; Whitney LLP, with respect to United States legal matters, and certain legal matters on behalf of the Agents by Bennett Jones LLP, with respect to Canadian legal matters, and Mintz, Levin, Cohn, Ferris, Glovsky, and Popeo, P.C., with respect to United States legal matters.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The registrar and transfer agent of the Common Shares is Odyssey Trust Company at its principal office in Calgary, Alberta.</w:t>
      </w:r>
    </w:p>
    <w:p>
      <w:pPr>
        <w:spacing w:after="0" w:line="23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EXEMPTIONS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a decision of the Autorité des marchés financiers dated June 10, 2021, the Corporation was granted a permanent exemption from the requirement to translate into French this Prospectus Supplement, the Base Shelf Prospectus as well as the documents incorporated by reference herein and therein. The exemption was granted on the condition that the Base Shelf Prospectus and any Prospectus Supplement (other than in relation to an "at-the-market distribution") be translated into French if the Corporation offers securities to Québec purchasers in connection with an offering other than in relation to an "at-the-market distribution".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ENFORCEMENT OF CIVIL LIABILITIES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Corporation is a corporation existing under the </w:t>
      </w:r>
      <w:r>
        <w:rPr>
          <w:rFonts w:ascii="Arial" w:cs="Arial" w:eastAsia="Arial" w:hAnsi="Arial"/>
          <w:sz w:val="21"/>
          <w:szCs w:val="21"/>
          <w:i w:val="1"/>
          <w:iCs w:val="1"/>
          <w:color w:val="auto"/>
        </w:rPr>
        <w:t>Business Corporations Act</w:t>
      </w:r>
      <w:r>
        <w:rPr>
          <w:rFonts w:ascii="Arial" w:cs="Arial" w:eastAsia="Arial" w:hAnsi="Arial"/>
          <w:sz w:val="21"/>
          <w:szCs w:val="21"/>
          <w:color w:val="auto"/>
        </w:rPr>
        <w:t xml:space="preserve"> (Ontario). Other than Douglas Drysdale, Michael Palfreyman, Alex Nivorozhkin and Brett Greene,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Common Shares who reside in the United States to effect service within the United States upon those directors, officers and experts who are not residents of the United States. It may also be difficult for holders of the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solely upon United States federal securities laws or any such state securities or "Blue Sky" laws of any state within the United States.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120"/>
        <w:spacing w:after="0"/>
        <w:tabs>
          <w:tab w:leader="none" w:pos="10400" w:val="left"/>
        </w:tabs>
        <w:rPr>
          <w:sz w:val="20"/>
          <w:szCs w:val="20"/>
          <w:color w:val="auto"/>
        </w:rPr>
      </w:pPr>
      <w:r>
        <w:rPr>
          <w:rFonts w:ascii="Arial" w:cs="Arial" w:eastAsia="Arial" w:hAnsi="Arial"/>
          <w:sz w:val="14"/>
          <w:szCs w:val="14"/>
          <w:u w:val="single" w:color="auto"/>
          <w:color w:val="auto"/>
        </w:rPr>
        <w:t>New Issue</w:t>
      </w:r>
      <w:r>
        <w:rPr>
          <w:sz w:val="20"/>
          <w:szCs w:val="20"/>
          <w:color w:val="auto"/>
        </w:rPr>
        <w:tab/>
      </w:r>
      <w:r>
        <w:rPr>
          <w:rFonts w:ascii="Arial" w:cs="Arial" w:eastAsia="Arial" w:hAnsi="Arial"/>
          <w:sz w:val="13"/>
          <w:szCs w:val="13"/>
          <w:color w:val="auto"/>
        </w:rPr>
        <w:t>July 5, 2021</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14145" cy="848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CYBIN INC.</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$125,000,000</w:t>
      </w:r>
    </w:p>
    <w:p>
      <w:pPr>
        <w:spacing w:after="0" w:line="6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Units</w:t>
      </w:r>
    </w:p>
    <w:p>
      <w:pPr>
        <w:jc w:val="center"/>
        <w:ind w:right="-1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0"/>
          <w:szCs w:val="20"/>
          <w:color w:val="auto"/>
        </w:rPr>
      </w:pPr>
    </w:p>
    <w:p>
      <w:pPr>
        <w:ind w:left="120" w:right="120"/>
        <w:spacing w:after="0" w:line="244" w:lineRule="auto"/>
        <w:rPr>
          <w:sz w:val="20"/>
          <w:szCs w:val="20"/>
          <w:color w:val="auto"/>
        </w:rPr>
      </w:pPr>
      <w:r>
        <w:rPr>
          <w:rFonts w:ascii="Arial" w:cs="Arial" w:eastAsia="Arial" w:hAnsi="Arial"/>
          <w:sz w:val="13"/>
          <w:szCs w:val="13"/>
          <w:color w:val="auto"/>
        </w:rPr>
        <w:t>This short form base shelf prospectus (“</w:t>
      </w:r>
      <w:r>
        <w:rPr>
          <w:rFonts w:ascii="Arial" w:cs="Arial" w:eastAsia="Arial" w:hAnsi="Arial"/>
          <w:sz w:val="13"/>
          <w:szCs w:val="13"/>
          <w:b w:val="1"/>
          <w:bCs w:val="1"/>
          <w:color w:val="auto"/>
        </w:rPr>
        <w:t>Prospectus</w:t>
      </w:r>
      <w:r>
        <w:rPr>
          <w:rFonts w:ascii="Arial" w:cs="Arial" w:eastAsia="Arial" w:hAnsi="Arial"/>
          <w:sz w:val="13"/>
          <w:szCs w:val="13"/>
          <w:color w:val="auto"/>
        </w:rPr>
        <w:t>”) relates to the offering for sale from time to time (each, an “</w:t>
      </w:r>
      <w:r>
        <w:rPr>
          <w:rFonts w:ascii="Arial" w:cs="Arial" w:eastAsia="Arial" w:hAnsi="Arial"/>
          <w:sz w:val="13"/>
          <w:szCs w:val="13"/>
          <w:b w:val="1"/>
          <w:bCs w:val="1"/>
          <w:color w:val="auto"/>
        </w:rPr>
        <w:t>Offering</w:t>
      </w:r>
      <w:r>
        <w:rPr>
          <w:rFonts w:ascii="Arial" w:cs="Arial" w:eastAsia="Arial" w:hAnsi="Arial"/>
          <w:sz w:val="13"/>
          <w:szCs w:val="13"/>
          <w:color w:val="auto"/>
        </w:rPr>
        <w:t>”) by Cybin Inc. (the “</w:t>
      </w:r>
      <w:r>
        <w:rPr>
          <w:rFonts w:ascii="Arial" w:cs="Arial" w:eastAsia="Arial" w:hAnsi="Arial"/>
          <w:sz w:val="13"/>
          <w:szCs w:val="13"/>
          <w:b w:val="1"/>
          <w:bCs w:val="1"/>
          <w:color w:val="auto"/>
        </w:rPr>
        <w:t>Corporation</w:t>
      </w:r>
      <w:r>
        <w:rPr>
          <w:rFonts w:ascii="Arial" w:cs="Arial" w:eastAsia="Arial" w:hAnsi="Arial"/>
          <w:sz w:val="13"/>
          <w:szCs w:val="13"/>
          <w:color w:val="auto"/>
        </w:rPr>
        <w:t>” or “</w:t>
      </w:r>
      <w:r>
        <w:rPr>
          <w:rFonts w:ascii="Arial" w:cs="Arial" w:eastAsia="Arial" w:hAnsi="Arial"/>
          <w:sz w:val="13"/>
          <w:szCs w:val="13"/>
          <w:b w:val="1"/>
          <w:bCs w:val="1"/>
          <w:color w:val="auto"/>
        </w:rPr>
        <w:t>Cybin</w:t>
      </w:r>
      <w:r>
        <w:rPr>
          <w:rFonts w:ascii="Arial" w:cs="Arial" w:eastAsia="Arial" w:hAnsi="Arial"/>
          <w:sz w:val="13"/>
          <w:szCs w:val="13"/>
          <w:color w:val="auto"/>
        </w:rPr>
        <w:t>”) during the 25-month period that this Prospectus, including any of amendments thereto, remains valid, of up to $125,000,000 in the aggregate of: (i) common shares (“</w:t>
      </w:r>
      <w:r>
        <w:rPr>
          <w:rFonts w:ascii="Arial" w:cs="Arial" w:eastAsia="Arial" w:hAnsi="Arial"/>
          <w:sz w:val="13"/>
          <w:szCs w:val="13"/>
          <w:b w:val="1"/>
          <w:bCs w:val="1"/>
          <w:color w:val="auto"/>
        </w:rPr>
        <w:t>Common Shares</w:t>
      </w:r>
      <w:r>
        <w:rPr>
          <w:rFonts w:ascii="Arial" w:cs="Arial" w:eastAsia="Arial" w:hAnsi="Arial"/>
          <w:sz w:val="13"/>
          <w:szCs w:val="13"/>
          <w:color w:val="auto"/>
        </w:rPr>
        <w:t>”) of the Corporation; (ii) warrants (“</w:t>
      </w:r>
      <w:r>
        <w:rPr>
          <w:rFonts w:ascii="Arial" w:cs="Arial" w:eastAsia="Arial" w:hAnsi="Arial"/>
          <w:sz w:val="13"/>
          <w:szCs w:val="13"/>
          <w:b w:val="1"/>
          <w:bCs w:val="1"/>
          <w:color w:val="auto"/>
        </w:rPr>
        <w:t>Warrants</w:t>
      </w:r>
      <w:r>
        <w:rPr>
          <w:rFonts w:ascii="Arial" w:cs="Arial" w:eastAsia="Arial" w:hAnsi="Arial"/>
          <w:sz w:val="13"/>
          <w:szCs w:val="13"/>
          <w:color w:val="auto"/>
        </w:rPr>
        <w:t>”) to purchase other Securities (as defined below) of the Corporation; (iii) units (“</w:t>
      </w:r>
      <w:r>
        <w:rPr>
          <w:rFonts w:ascii="Arial" w:cs="Arial" w:eastAsia="Arial" w:hAnsi="Arial"/>
          <w:sz w:val="13"/>
          <w:szCs w:val="13"/>
          <w:b w:val="1"/>
          <w:bCs w:val="1"/>
          <w:color w:val="auto"/>
        </w:rPr>
        <w:t>Units</w:t>
      </w:r>
      <w:r>
        <w:rPr>
          <w:rFonts w:ascii="Arial" w:cs="Arial" w:eastAsia="Arial" w:hAnsi="Arial"/>
          <w:sz w:val="13"/>
          <w:szCs w:val="13"/>
          <w:color w:val="auto"/>
        </w:rPr>
        <w:t>”) comprising of one or more of the other Securities, (iv) senior and subordinated unsecured debt securities (collectively, “</w:t>
      </w:r>
      <w:r>
        <w:rPr>
          <w:rFonts w:ascii="Arial" w:cs="Arial" w:eastAsia="Arial" w:hAnsi="Arial"/>
          <w:sz w:val="13"/>
          <w:szCs w:val="13"/>
          <w:b w:val="1"/>
          <w:bCs w:val="1"/>
          <w:color w:val="auto"/>
        </w:rPr>
        <w:t>Debt Securities</w:t>
      </w:r>
      <w:r>
        <w:rPr>
          <w:rFonts w:ascii="Arial" w:cs="Arial" w:eastAsia="Arial" w:hAnsi="Arial"/>
          <w:sz w:val="13"/>
          <w:szCs w:val="13"/>
          <w:color w:val="auto"/>
        </w:rPr>
        <w:t>”), including debt securities convertible or exchangeable into other securities of the Corporation, and</w:t>
      </w:r>
    </w:p>
    <w:p>
      <w:pPr>
        <w:spacing w:after="0" w:line="2" w:lineRule="exact"/>
        <w:rPr>
          <w:sz w:val="20"/>
          <w:szCs w:val="20"/>
          <w:color w:val="auto"/>
        </w:rPr>
      </w:pPr>
    </w:p>
    <w:p>
      <w:pPr>
        <w:ind w:left="120" w:right="460" w:hanging="4"/>
        <w:spacing w:after="0" w:line="232" w:lineRule="auto"/>
        <w:tabs>
          <w:tab w:leader="none" w:pos="3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subscription receipts (“</w:t>
      </w:r>
      <w:r>
        <w:rPr>
          <w:rFonts w:ascii="Arial" w:cs="Arial" w:eastAsia="Arial" w:hAnsi="Arial"/>
          <w:sz w:val="14"/>
          <w:szCs w:val="14"/>
          <w:b w:val="1"/>
          <w:bCs w:val="1"/>
          <w:color w:val="auto"/>
        </w:rPr>
        <w:t>Subscription Receipts</w:t>
      </w:r>
      <w:r>
        <w:rPr>
          <w:rFonts w:ascii="Arial" w:cs="Arial" w:eastAsia="Arial" w:hAnsi="Arial"/>
          <w:sz w:val="14"/>
          <w:szCs w:val="14"/>
          <w:color w:val="auto"/>
        </w:rPr>
        <w:t>” and together with the Common Shares, Warrants, Units and Debt Securities, collectively referred to herein as the “</w:t>
      </w:r>
      <w:r>
        <w:rPr>
          <w:rFonts w:ascii="Arial" w:cs="Arial" w:eastAsia="Arial" w:hAnsi="Arial"/>
          <w:sz w:val="14"/>
          <w:szCs w:val="14"/>
          <w:b w:val="1"/>
          <w:bCs w:val="1"/>
          <w:color w:val="auto"/>
        </w:rPr>
        <w:t>Securities</w:t>
      </w:r>
      <w:r>
        <w:rPr>
          <w:rFonts w:ascii="Arial" w:cs="Arial" w:eastAsia="Arial" w:hAnsi="Arial"/>
          <w:sz w:val="14"/>
          <w:szCs w:val="14"/>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4"/>
          <w:szCs w:val="14"/>
          <w:b w:val="1"/>
          <w:bCs w:val="1"/>
          <w:color w:val="auto"/>
        </w:rPr>
        <w:t>Prospectus Supplement</w:t>
      </w:r>
      <w:r>
        <w:rPr>
          <w:rFonts w:ascii="Arial" w:cs="Arial" w:eastAsia="Arial" w:hAnsi="Arial"/>
          <w:sz w:val="14"/>
          <w:szCs w:val="14"/>
          <w:color w:val="auto"/>
        </w:rPr>
        <w:t>”).</w:t>
      </w:r>
    </w:p>
    <w:p>
      <w:pPr>
        <w:spacing w:after="0" w:line="21" w:lineRule="exact"/>
        <w:rPr>
          <w:sz w:val="20"/>
          <w:szCs w:val="20"/>
          <w:color w:val="auto"/>
        </w:rPr>
      </w:pPr>
    </w:p>
    <w:p>
      <w:pPr>
        <w:ind w:left="120" w:right="20"/>
        <w:spacing w:after="0" w:line="233" w:lineRule="auto"/>
        <w:rPr>
          <w:sz w:val="20"/>
          <w:szCs w:val="20"/>
          <w:color w:val="auto"/>
        </w:rPr>
      </w:pPr>
      <w:r>
        <w:rPr>
          <w:rFonts w:ascii="Arial" w:cs="Arial" w:eastAsia="Arial" w:hAnsi="Arial"/>
          <w:sz w:val="14"/>
          <w:szCs w:val="14"/>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23"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23" w:lineRule="exact"/>
        <w:rPr>
          <w:sz w:val="20"/>
          <w:szCs w:val="20"/>
          <w:color w:val="auto"/>
        </w:rPr>
      </w:pPr>
    </w:p>
    <w:p>
      <w:pPr>
        <w:ind w:left="120" w:right="200"/>
        <w:spacing w:after="0" w:line="231" w:lineRule="auto"/>
        <w:rPr>
          <w:sz w:val="20"/>
          <w:szCs w:val="20"/>
          <w:color w:val="auto"/>
        </w:rPr>
      </w:pPr>
      <w:r>
        <w:rPr>
          <w:rFonts w:ascii="Arial" w:cs="Arial" w:eastAsia="Arial" w:hAnsi="Arial"/>
          <w:sz w:val="14"/>
          <w:szCs w:val="14"/>
          <w:color w:val="auto"/>
        </w:rPr>
        <w:t xml:space="preserve">The Securities may be sold through underwriters or dealers, directly by us pursuant to applicable statutory exemptions, or through designated agents from time to time. See </w:t>
      </w:r>
      <w:r>
        <w:rPr>
          <w:rFonts w:ascii="Arial" w:cs="Arial" w:eastAsia="Arial" w:hAnsi="Arial"/>
          <w:sz w:val="14"/>
          <w:szCs w:val="14"/>
          <w:i w:val="1"/>
          <w:iCs w:val="1"/>
          <w:color w:val="auto"/>
        </w:rPr>
        <w:t>“Plan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Distribution”. </w:t>
      </w:r>
      <w:r>
        <w:rPr>
          <w:rFonts w:ascii="Arial" w:cs="Arial" w:eastAsia="Arial" w:hAnsi="Arial"/>
          <w:sz w:val="14"/>
          <w:szCs w:val="14"/>
          <w:color w:val="auto"/>
        </w:rPr>
        <w:t>The Prospectus Supplement relating to a particular Offering of Securities will identify each underwriter, dealer or agent, as the case may be, engaged by the Corporation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us and any other material terms of the plan of distribution.</w:t>
      </w:r>
    </w:p>
    <w:p>
      <w:pPr>
        <w:spacing w:after="0" w:line="22"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3"/>
          <w:szCs w:val="13"/>
          <w:i w:val="1"/>
          <w:iCs w:val="1"/>
          <w:color w:val="auto"/>
        </w:rPr>
        <w:t>Shelf Distributions</w:t>
      </w:r>
      <w:r>
        <w:rPr>
          <w:rFonts w:ascii="Arial" w:cs="Arial" w:eastAsia="Arial" w:hAnsi="Arial"/>
          <w:sz w:val="13"/>
          <w:szCs w:val="13"/>
          <w:color w:val="auto"/>
        </w:rPr>
        <w:t xml:space="preserve"> (“</w:t>
      </w:r>
      <w:r>
        <w:rPr>
          <w:rFonts w:ascii="Arial" w:cs="Arial" w:eastAsia="Arial" w:hAnsi="Arial"/>
          <w:sz w:val="13"/>
          <w:szCs w:val="13"/>
          <w:b w:val="1"/>
          <w:bCs w:val="1"/>
          <w:color w:val="auto"/>
        </w:rPr>
        <w:t>NI 44-102</w:t>
      </w:r>
      <w:r>
        <w:rPr>
          <w:rFonts w:ascii="Arial" w:cs="Arial" w:eastAsia="Arial" w:hAnsi="Arial"/>
          <w:sz w:val="13"/>
          <w:szCs w:val="13"/>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3"/>
          <w:szCs w:val="13"/>
          <w:b w:val="1"/>
          <w:bCs w:val="1"/>
          <w:color w:val="auto"/>
        </w:rPr>
        <w:t>NEO</w:t>
      </w:r>
      <w:r>
        <w:rPr>
          <w:rFonts w:ascii="Arial" w:cs="Arial" w:eastAsia="Arial" w:hAnsi="Arial"/>
          <w:sz w:val="13"/>
          <w:szCs w:val="13"/>
          <w:color w:val="auto"/>
        </w:rPr>
        <w:t>”) or other existing trading markets for the Securities, and as set forth in an accompanying Prospectus Supplement, in which case the compensation payable to an underwriter, dealer or agent in connection with any such sale will be decreased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7486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 xml:space="preserve">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12" w:lineRule="exact"/>
        <w:rPr>
          <w:sz w:val="20"/>
          <w:szCs w:val="20"/>
          <w:color w:val="auto"/>
        </w:rPr>
      </w:pPr>
    </w:p>
    <w:p>
      <w:pPr>
        <w:ind w:left="120" w:right="140"/>
        <w:spacing w:after="0" w:line="248" w:lineRule="auto"/>
        <w:rPr>
          <w:sz w:val="20"/>
          <w:szCs w:val="20"/>
          <w:color w:val="auto"/>
        </w:rPr>
      </w:pPr>
      <w:r>
        <w:rPr>
          <w:rFonts w:ascii="Arial" w:cs="Arial" w:eastAsia="Arial" w:hAnsi="Arial"/>
          <w:sz w:val="13"/>
          <w:szCs w:val="13"/>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London Inter-Bank Offered Rate (LIBOR), Euro Inter-Bank Offered Rate (EURIBOR) or a United States federal funds rate.</w:t>
      </w:r>
    </w:p>
    <w:p>
      <w:pPr>
        <w:spacing w:after="0" w:line="18" w:lineRule="exact"/>
        <w:rPr>
          <w:sz w:val="20"/>
          <w:szCs w:val="20"/>
          <w:color w:val="auto"/>
        </w:rPr>
      </w:pPr>
    </w:p>
    <w:p>
      <w:pPr>
        <w:ind w:left="120" w:right="140"/>
        <w:spacing w:after="0" w:line="233" w:lineRule="auto"/>
        <w:rPr>
          <w:sz w:val="20"/>
          <w:szCs w:val="20"/>
          <w:color w:val="auto"/>
        </w:rPr>
      </w:pPr>
      <w:r>
        <w:rPr>
          <w:rFonts w:ascii="Arial" w:cs="Arial" w:eastAsia="Arial" w:hAnsi="Arial"/>
          <w:sz w:val="14"/>
          <w:szCs w:val="14"/>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4"/>
          <w:szCs w:val="14"/>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4"/>
          <w:szCs w:val="14"/>
          <w:i w:val="1"/>
          <w:iCs w:val="1"/>
          <w:color w:val="auto"/>
        </w:rPr>
        <w:t>“Plan of Distribution”</w:t>
      </w:r>
      <w:r>
        <w:rPr>
          <w:rFonts w:ascii="Arial" w:cs="Arial" w:eastAsia="Arial" w:hAnsi="Arial"/>
          <w:sz w:val="14"/>
          <w:szCs w:val="14"/>
          <w:color w:val="auto"/>
        </w:rPr>
        <w:t>.</w:t>
      </w:r>
    </w:p>
    <w:p>
      <w:pPr>
        <w:spacing w:after="0" w:line="21" w:lineRule="exact"/>
        <w:rPr>
          <w:sz w:val="20"/>
          <w:szCs w:val="20"/>
          <w:color w:val="auto"/>
        </w:rPr>
      </w:pPr>
    </w:p>
    <w:p>
      <w:pPr>
        <w:ind w:left="120" w:right="120"/>
        <w:spacing w:after="0" w:line="253" w:lineRule="auto"/>
        <w:rPr>
          <w:sz w:val="20"/>
          <w:szCs w:val="20"/>
          <w:color w:val="auto"/>
        </w:rPr>
      </w:pPr>
      <w:r>
        <w:rPr>
          <w:rFonts w:ascii="Arial" w:cs="Arial" w:eastAsia="Arial" w:hAnsi="Arial"/>
          <w:sz w:val="14"/>
          <w:szCs w:val="14"/>
          <w:color w:val="auto"/>
        </w:rPr>
        <w:t>The Common Shares are listed on the NEO under the trading symbol “CYBN”, and in the United States on the OTCQB under the trading symbol “CLXPF”. On July 2, 2021, the last trading day prior to the filing of this Prospectus, the closing prices of the Common Shares listed on the NEO and the OTCQB were $2.60 and US$2.12, respectively.</w:t>
      </w:r>
    </w:p>
    <w:p>
      <w:pPr>
        <w:spacing w:after="0" w:line="8" w:lineRule="exact"/>
        <w:rPr>
          <w:sz w:val="20"/>
          <w:szCs w:val="20"/>
          <w:color w:val="auto"/>
        </w:rPr>
      </w:pPr>
    </w:p>
    <w:p>
      <w:pPr>
        <w:ind w:left="120" w:right="40"/>
        <w:spacing w:after="0" w:line="235" w:lineRule="auto"/>
        <w:rPr>
          <w:sz w:val="20"/>
          <w:szCs w:val="20"/>
          <w:color w:val="auto"/>
        </w:rPr>
      </w:pPr>
      <w:r>
        <w:rPr>
          <w:rFonts w:ascii="Arial" w:cs="Arial" w:eastAsia="Arial" w:hAnsi="Arial"/>
          <w:sz w:val="14"/>
          <w:szCs w:val="14"/>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w:t>
      </w:r>
    </w:p>
    <w:p>
      <w:pPr>
        <w:spacing w:after="0" w:line="17" w:lineRule="exact"/>
        <w:rPr>
          <w:sz w:val="20"/>
          <w:szCs w:val="20"/>
          <w:color w:val="auto"/>
        </w:rPr>
      </w:pPr>
    </w:p>
    <w:p>
      <w:pPr>
        <w:ind w:left="120" w:right="740"/>
        <w:spacing w:after="0" w:line="297" w:lineRule="auto"/>
        <w:rPr>
          <w:sz w:val="20"/>
          <w:szCs w:val="20"/>
          <w:color w:val="auto"/>
        </w:rPr>
      </w:pPr>
      <w:r>
        <w:rPr>
          <w:rFonts w:ascii="Arial" w:cs="Arial" w:eastAsia="Arial" w:hAnsi="Arial"/>
          <w:sz w:val="13"/>
          <w:szCs w:val="13"/>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19" w:right="439" w:bottom="0" w:gutter="0" w:footer="0" w:header="0"/>
        </w:sectPr>
      </w:pPr>
    </w:p>
    <w:p>
      <w:pPr>
        <w:spacing w:after="0" w:line="174" w:lineRule="exact"/>
        <w:rPr>
          <w:sz w:val="20"/>
          <w:szCs w:val="20"/>
          <w:color w:val="auto"/>
        </w:rPr>
      </w:pPr>
    </w:p>
    <w:p>
      <w:pPr>
        <w:ind w:left="120" w:right="20"/>
        <w:spacing w:after="0" w:line="266"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Annual MD&amp;A (each as defined herein) incorporated by reference herein.</w:t>
      </w:r>
    </w:p>
    <w:p>
      <w:pPr>
        <w:sectPr>
          <w:pgSz w:w="11900" w:h="16838" w:orient="portrait"/>
          <w:cols w:equalWidth="0" w:num="1">
            <w:col w:w="11140"/>
          </w:cols>
          <w:pgMar w:left="320" w:top="419" w:right="439" w:bottom="0" w:gutter="0" w:footer="0" w:header="0"/>
          <w:type w:val="continuous"/>
        </w:sectPr>
      </w:pPr>
    </w:p>
    <w:bookmarkStart w:id="35" w:name="page36"/>
    <w:bookmarkEnd w:id="35"/>
    <w:p>
      <w:pPr>
        <w:ind w:left="120" w:right="120"/>
        <w:spacing w:after="0" w:line="257" w:lineRule="auto"/>
        <w:rPr>
          <w:sz w:val="20"/>
          <w:szCs w:val="20"/>
          <w:color w:val="auto"/>
        </w:rPr>
      </w:pPr>
      <w:r>
        <w:rPr>
          <w:rFonts w:ascii="Arial" w:cs="Arial" w:eastAsia="Arial" w:hAnsi="Arial"/>
          <w:sz w:val="14"/>
          <w:szCs w:val="14"/>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No underwriter has been involved in the preparation of this Prospectus or performed any review of the contents hereof.</w:t>
      </w:r>
    </w:p>
    <w:p>
      <w:pPr>
        <w:spacing w:after="0" w:line="46" w:lineRule="exact"/>
        <w:rPr>
          <w:sz w:val="20"/>
          <w:szCs w:val="20"/>
          <w:color w:val="auto"/>
        </w:rPr>
      </w:pPr>
    </w:p>
    <w:p>
      <w:pPr>
        <w:ind w:left="120" w:right="40"/>
        <w:spacing w:after="0" w:line="233" w:lineRule="auto"/>
        <w:rPr>
          <w:sz w:val="20"/>
          <w:szCs w:val="20"/>
          <w:color w:val="auto"/>
        </w:rPr>
      </w:pPr>
      <w:r>
        <w:rPr>
          <w:rFonts w:ascii="Arial" w:cs="Arial" w:eastAsia="Arial" w:hAnsi="Arial"/>
          <w:sz w:val="14"/>
          <w:szCs w:val="14"/>
          <w:color w:val="auto"/>
        </w:rPr>
        <w:t xml:space="preserve">Each of Douglas Drysdale, Michael Palfreyman, Alex Nivorozhkin and Brett Green, officers of the Corporation, resides outside of Canada. They have each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4"/>
          <w:szCs w:val="14"/>
          <w:i w:val="1"/>
          <w:iCs w:val="1"/>
          <w:color w:val="auto"/>
        </w:rPr>
        <w:t>“Risk Factors – Risks Related to an Offering – Enforcement of Civil Liabilities”</w:t>
      </w:r>
      <w:r>
        <w:rPr>
          <w:rFonts w:ascii="Arial" w:cs="Arial" w:eastAsia="Arial" w:hAnsi="Arial"/>
          <w:sz w:val="14"/>
          <w:szCs w:val="14"/>
          <w:color w:val="auto"/>
        </w:rPr>
        <w:t>.</w:t>
      </w:r>
    </w:p>
    <w:p>
      <w:pPr>
        <w:spacing w:after="0" w:line="19"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color w:val="auto"/>
        </w:rPr>
        <w:t>In this Prospectus, references to the “</w:t>
      </w:r>
      <w:r>
        <w:rPr>
          <w:rFonts w:ascii="Arial" w:cs="Arial" w:eastAsia="Arial" w:hAnsi="Arial"/>
          <w:sz w:val="14"/>
          <w:szCs w:val="14"/>
          <w:b w:val="1"/>
          <w:bCs w:val="1"/>
          <w:color w:val="auto"/>
        </w:rPr>
        <w:t>Corporation</w:t>
      </w:r>
      <w:r>
        <w:rPr>
          <w:rFonts w:ascii="Arial" w:cs="Arial" w:eastAsia="Arial" w:hAnsi="Arial"/>
          <w:sz w:val="14"/>
          <w:szCs w:val="14"/>
          <w:color w:val="auto"/>
        </w:rPr>
        <w:t>”, “</w:t>
      </w:r>
      <w:r>
        <w:rPr>
          <w:rFonts w:ascii="Arial" w:cs="Arial" w:eastAsia="Arial" w:hAnsi="Arial"/>
          <w:sz w:val="14"/>
          <w:szCs w:val="14"/>
          <w:b w:val="1"/>
          <w:bCs w:val="1"/>
          <w:color w:val="auto"/>
        </w:rPr>
        <w:t>Cybin</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w:t>
      </w:r>
      <w:r>
        <w:rPr>
          <w:rFonts w:ascii="Arial" w:cs="Arial" w:eastAsia="Arial" w:hAnsi="Arial"/>
          <w:sz w:val="14"/>
          <w:szCs w:val="14"/>
          <w:b w:val="1"/>
          <w:bCs w:val="1"/>
          <w:color w:val="auto"/>
        </w:rPr>
        <w:t>us</w:t>
      </w:r>
      <w:r>
        <w:rPr>
          <w:rFonts w:ascii="Arial" w:cs="Arial" w:eastAsia="Arial" w:hAnsi="Arial"/>
          <w:sz w:val="14"/>
          <w:szCs w:val="14"/>
          <w:color w:val="auto"/>
        </w:rPr>
        <w:t>” and “</w:t>
      </w:r>
      <w:r>
        <w:rPr>
          <w:rFonts w:ascii="Arial" w:cs="Arial" w:eastAsia="Arial" w:hAnsi="Arial"/>
          <w:sz w:val="14"/>
          <w:szCs w:val="14"/>
          <w:b w:val="1"/>
          <w:bCs w:val="1"/>
          <w:color w:val="auto"/>
        </w:rPr>
        <w:t>our</w:t>
      </w:r>
      <w:r>
        <w:rPr>
          <w:rFonts w:ascii="Arial" w:cs="Arial" w:eastAsia="Arial" w:hAnsi="Arial"/>
          <w:sz w:val="14"/>
          <w:szCs w:val="14"/>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24130</wp:posOffset>
            </wp:positionV>
            <wp:extent cx="6998970" cy="128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1281430"/>
                    </a:xfrm>
                    <a:prstGeom prst="rect">
                      <a:avLst/>
                    </a:prstGeom>
                    <a:noFill/>
                  </pic:spPr>
                </pic:pic>
              </a:graphicData>
            </a:graphic>
          </wp:anchor>
        </w:drawing>
      </w:r>
    </w:p>
    <w:p>
      <w:pPr>
        <w:spacing w:after="0" w:line="52" w:lineRule="exact"/>
        <w:rPr>
          <w:sz w:val="20"/>
          <w:szCs w:val="20"/>
          <w:color w:val="auto"/>
        </w:rPr>
      </w:pPr>
    </w:p>
    <w:p>
      <w:pPr>
        <w:ind w:left="240" w:right="140"/>
        <w:spacing w:after="0" w:line="253" w:lineRule="auto"/>
        <w:rPr>
          <w:sz w:val="20"/>
          <w:szCs w:val="20"/>
          <w:color w:val="auto"/>
        </w:rPr>
      </w:pPr>
      <w:r>
        <w:rPr>
          <w:rFonts w:ascii="Arial" w:cs="Arial" w:eastAsia="Arial" w:hAnsi="Arial"/>
          <w:sz w:val="13"/>
          <w:szCs w:val="13"/>
          <w:b w:val="1"/>
          <w:bCs w:val="1"/>
          <w:color w:val="auto"/>
        </w:rPr>
        <w:t xml:space="preserve">The Corporation currently has two business segments: (a) Serenity Life Sciences Inc. (“Serenity Life”) and Cybin US Holdings Inc. (“Cybin U.S.”) that focus on the research, development and commercialization of psychedelic-inspired regulated medicines; and (b) Natures Journey Inc. (“Natures Journey”) that focuses on consumer mental wellness, including, but not limited to, non-psychedelic mushroom nutraceutical products. Like most life sciences and pharmaceutical companies, Serenity Life’s and Cybin U.S.’s (psychedelic) business is focused on research and development, see </w:t>
      </w:r>
      <w:r>
        <w:rPr>
          <w:rFonts w:ascii="Arial" w:cs="Arial" w:eastAsia="Arial" w:hAnsi="Arial"/>
          <w:sz w:val="13"/>
          <w:szCs w:val="13"/>
          <w:b w:val="1"/>
          <w:bCs w:val="1"/>
          <w:i w:val="1"/>
          <w:iCs w:val="1"/>
          <w:color w:val="auto"/>
        </w:rPr>
        <w:t>“Use of Proceeds”</w:t>
      </w:r>
      <w:r>
        <w:rPr>
          <w:rFonts w:ascii="Arial" w:cs="Arial" w:eastAsia="Arial" w:hAnsi="Arial"/>
          <w:sz w:val="13"/>
          <w:szCs w:val="13"/>
          <w:b w:val="1"/>
          <w:bCs w:val="1"/>
          <w:color w:val="auto"/>
        </w:rPr>
        <w:t>. Currently the Corporation plans to conduct research and development on synthesized API from pharmaceutical manufacturers in Jamaica. No product will be commercialized prior to applicable legal or regulatory approval.</w:t>
      </w:r>
    </w:p>
    <w:p>
      <w:pPr>
        <w:spacing w:after="0" w:line="9" w:lineRule="exact"/>
        <w:rPr>
          <w:sz w:val="20"/>
          <w:szCs w:val="20"/>
          <w:color w:val="auto"/>
        </w:rPr>
      </w:pPr>
    </w:p>
    <w:p>
      <w:pPr>
        <w:jc w:val="both"/>
        <w:ind w:left="240" w:right="200"/>
        <w:spacing w:after="0"/>
        <w:rPr>
          <w:sz w:val="20"/>
          <w:szCs w:val="20"/>
          <w:color w:val="auto"/>
        </w:rPr>
      </w:pPr>
      <w:r>
        <w:rPr>
          <w:rFonts w:ascii="Arial" w:cs="Arial" w:eastAsia="Arial" w:hAnsi="Arial"/>
          <w:sz w:val="14"/>
          <w:szCs w:val="14"/>
          <w:b w:val="1"/>
          <w:bCs w:val="1"/>
          <w:color w:val="auto"/>
        </w:rPr>
        <w:t xml:space="preserve">The Canadian and United States federal governments regulate drugs through the </w:t>
      </w:r>
      <w:r>
        <w:rPr>
          <w:rFonts w:ascii="Arial" w:cs="Arial" w:eastAsia="Arial" w:hAnsi="Arial"/>
          <w:sz w:val="14"/>
          <w:szCs w:val="14"/>
          <w:b w:val="1"/>
          <w:bCs w:val="1"/>
          <w:i w:val="1"/>
          <w:iCs w:val="1"/>
          <w:color w:val="auto"/>
        </w:rPr>
        <w:t>Controlled Drugs and Substances Act</w:t>
      </w:r>
      <w:r>
        <w:rPr>
          <w:rFonts w:ascii="Arial" w:cs="Arial" w:eastAsia="Arial" w:hAnsi="Arial"/>
          <w:sz w:val="14"/>
          <w:szCs w:val="14"/>
          <w:b w:val="1"/>
          <w:bCs w:val="1"/>
          <w:color w:val="auto"/>
        </w:rPr>
        <w:t xml:space="preserve"> (Canada) (the “CDSA”) and the </w:t>
      </w:r>
      <w:r>
        <w:rPr>
          <w:rFonts w:ascii="Arial" w:cs="Arial" w:eastAsia="Arial" w:hAnsi="Arial"/>
          <w:sz w:val="14"/>
          <w:szCs w:val="14"/>
          <w:b w:val="1"/>
          <w:bCs w:val="1"/>
          <w:i w:val="1"/>
          <w:iCs w:val="1"/>
          <w:color w:val="auto"/>
        </w:rPr>
        <w:t>Controlled Substances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Act </w:t>
      </w:r>
      <w:r>
        <w:rPr>
          <w:rFonts w:ascii="Arial" w:cs="Arial" w:eastAsia="Arial" w:hAnsi="Arial"/>
          <w:sz w:val="14"/>
          <w:szCs w:val="14"/>
          <w:b w:val="1"/>
          <w:bCs w:val="1"/>
          <w:color w:val="auto"/>
        </w:rPr>
        <w:t>(21 U.S.C. § 811) (the “CSA”), respectively, which place controlled substances in a schedule. Under the CDSA, psilocybin is currently a Schedule III drug. Under the CSA,</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psilocybin is currently a Schedule I drug.</w:t>
      </w:r>
    </w:p>
    <w:p>
      <w:pPr>
        <w:spacing w:after="0" w:line="17" w:lineRule="exact"/>
        <w:rPr>
          <w:sz w:val="20"/>
          <w:szCs w:val="20"/>
          <w:color w:val="auto"/>
        </w:rPr>
      </w:pPr>
    </w:p>
    <w:p>
      <w:pPr>
        <w:ind w:left="240" w:right="80"/>
        <w:spacing w:after="0" w:line="235" w:lineRule="auto"/>
        <w:rPr>
          <w:sz w:val="20"/>
          <w:szCs w:val="20"/>
          <w:color w:val="auto"/>
        </w:rPr>
      </w:pPr>
      <w:r>
        <w:rPr>
          <w:rFonts w:ascii="Arial" w:cs="Arial" w:eastAsia="Arial" w:hAnsi="Arial"/>
          <w:sz w:val="14"/>
          <w:szCs w:val="14"/>
          <w:b w:val="1"/>
          <w:bCs w:val="1"/>
          <w:color w:val="auto"/>
        </w:rPr>
        <w:t xml:space="preserve">Unlike in Canada and the United States, psilocybin mushrooms are not an illegal drug under Jamaica’s </w:t>
      </w:r>
      <w:r>
        <w:rPr>
          <w:rFonts w:ascii="Arial" w:cs="Arial" w:eastAsia="Arial" w:hAnsi="Arial"/>
          <w:sz w:val="14"/>
          <w:szCs w:val="14"/>
          <w:b w:val="1"/>
          <w:bCs w:val="1"/>
          <w:i w:val="1"/>
          <w:iCs w:val="1"/>
          <w:color w:val="auto"/>
        </w:rPr>
        <w:t>Dangerous Drugs Act, 1948</w:t>
      </w:r>
      <w:r>
        <w:rPr>
          <w:rFonts w:ascii="Arial" w:cs="Arial" w:eastAsia="Arial" w:hAnsi="Arial"/>
          <w:sz w:val="14"/>
          <w:szCs w:val="14"/>
          <w:b w:val="1"/>
          <w:bCs w:val="1"/>
          <w:color w:val="auto"/>
        </w:rPr>
        <w:t>. The Corporation’s activity in relation to the sponsored research of psilocybin mushrooms, botanicals and other related fungi is limited to the jurisdiction of Jamaica. The Corporation’s future business activities in Jamaica involve the import of psychedelic and pharmaceutical based medicines (derived from mushrooms) for the purposes of research and development and clinical trials in Jamaica.</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160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335" w:lineRule="exact"/>
        <w:rPr>
          <w:sz w:val="20"/>
          <w:szCs w:val="20"/>
          <w:color w:val="auto"/>
        </w:rPr>
      </w:pPr>
    </w:p>
    <w:p>
      <w:pPr>
        <w:ind w:left="240" w:right="180"/>
        <w:spacing w:after="0" w:line="258" w:lineRule="auto"/>
        <w:rPr>
          <w:sz w:val="20"/>
          <w:szCs w:val="20"/>
          <w:color w:val="auto"/>
        </w:rPr>
      </w:pPr>
      <w:r>
        <w:rPr>
          <w:rFonts w:ascii="Arial" w:cs="Arial" w:eastAsia="Arial" w:hAnsi="Arial"/>
          <w:sz w:val="13"/>
          <w:szCs w:val="13"/>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Food and Drug Administration (“FDA”) in the United States,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3"/>
          <w:szCs w:val="13"/>
          <w:b w:val="1"/>
          <w:bCs w:val="1"/>
          <w:i w:val="1"/>
          <w:iCs w:val="1"/>
          <w:color w:val="auto"/>
        </w:rPr>
        <w:t>“Regulatory Overview – Research and Development”</w:t>
      </w:r>
      <w:r>
        <w:rPr>
          <w:rFonts w:ascii="Arial" w:cs="Arial" w:eastAsia="Arial" w:hAnsi="Arial"/>
          <w:sz w:val="13"/>
          <w:szCs w:val="13"/>
          <w:b w:val="1"/>
          <w:bCs w:val="1"/>
          <w:color w:val="auto"/>
        </w:rPr>
        <w:t>.</w:t>
      </w:r>
    </w:p>
    <w:p>
      <w:pPr>
        <w:spacing w:after="0" w:line="5" w:lineRule="exact"/>
        <w:rPr>
          <w:sz w:val="20"/>
          <w:szCs w:val="20"/>
          <w:color w:val="auto"/>
        </w:rPr>
      </w:pPr>
    </w:p>
    <w:p>
      <w:pPr>
        <w:ind w:left="240" w:right="180"/>
        <w:spacing w:after="0" w:line="277" w:lineRule="auto"/>
        <w:rPr>
          <w:sz w:val="20"/>
          <w:szCs w:val="20"/>
          <w:color w:val="auto"/>
        </w:rPr>
      </w:pPr>
      <w:r>
        <w:rPr>
          <w:rFonts w:ascii="Arial" w:cs="Arial" w:eastAsia="Arial" w:hAnsi="Arial"/>
          <w:sz w:val="12"/>
          <w:szCs w:val="12"/>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initially intends to sponsor and work with licensed third parties in Jamaica to conduct any clinical trials and research relating to psychedelics and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ind w:left="240" w:right="80"/>
        <w:spacing w:after="0" w:line="230" w:lineRule="auto"/>
        <w:rPr>
          <w:sz w:val="20"/>
          <w:szCs w:val="20"/>
          <w:color w:val="auto"/>
        </w:rPr>
      </w:pPr>
      <w:r>
        <w:rPr>
          <w:rFonts w:ascii="Arial" w:cs="Arial" w:eastAsia="Arial" w:hAnsi="Arial"/>
          <w:sz w:val="14"/>
          <w:szCs w:val="14"/>
          <w:b w:val="1"/>
          <w:bCs w:val="1"/>
          <w:color w:val="auto"/>
        </w:rPr>
        <w:t xml:space="preserve">Natural health products (“NHPs”), prescription drugs, and non-prescription drugs are all classified and regulated under the federal </w:t>
      </w:r>
      <w:r>
        <w:rPr>
          <w:rFonts w:ascii="Arial" w:cs="Arial" w:eastAsia="Arial" w:hAnsi="Arial"/>
          <w:sz w:val="14"/>
          <w:szCs w:val="14"/>
          <w:b w:val="1"/>
          <w:bCs w:val="1"/>
          <w:i w:val="1"/>
          <w:iCs w:val="1"/>
          <w:color w:val="auto"/>
        </w:rPr>
        <w:t>Food and Drugs Act</w:t>
      </w:r>
      <w:r>
        <w:rPr>
          <w:rFonts w:ascii="Arial" w:cs="Arial" w:eastAsia="Arial" w:hAnsi="Arial"/>
          <w:sz w:val="14"/>
          <w:szCs w:val="14"/>
          <w:b w:val="1"/>
          <w:bCs w:val="1"/>
          <w:color w:val="auto"/>
        </w:rPr>
        <w:t xml:space="preserve"> (Canada) (the “Canadian FDA”). Labelling, marketing and selling of any NHPs must comply with the Canadian FDA, including by ensuring that the Corporation’s products are not packaged or marketed in a manner that is misleading or deceptive to a consumer. In the United States, foods, drugs and dietary supplements are subject to extensive regulation. The </w:t>
      </w:r>
      <w:r>
        <w:rPr>
          <w:rFonts w:ascii="Arial" w:cs="Arial" w:eastAsia="Arial" w:hAnsi="Arial"/>
          <w:sz w:val="14"/>
          <w:szCs w:val="14"/>
          <w:b w:val="1"/>
          <w:bCs w:val="1"/>
          <w:i w:val="1"/>
          <w:iCs w:val="1"/>
          <w:color w:val="auto"/>
        </w:rPr>
        <w:t>Federal Food, Drug, and Cosmetic Act</w:t>
      </w:r>
      <w:r>
        <w:rPr>
          <w:rFonts w:ascii="Arial" w:cs="Arial" w:eastAsia="Arial" w:hAnsi="Arial"/>
          <w:sz w:val="14"/>
          <w:szCs w:val="14"/>
          <w:b w:val="1"/>
          <w:bCs w:val="1"/>
          <w:color w:val="auto"/>
        </w:rPr>
        <w:t xml:space="preserve"> and the </w:t>
      </w:r>
      <w:r>
        <w:rPr>
          <w:rFonts w:ascii="Arial" w:cs="Arial" w:eastAsia="Arial" w:hAnsi="Arial"/>
          <w:sz w:val="14"/>
          <w:szCs w:val="14"/>
          <w:b w:val="1"/>
          <w:bCs w:val="1"/>
          <w:i w:val="1"/>
          <w:iCs w:val="1"/>
          <w:color w:val="auto"/>
        </w:rPr>
        <w:t>Dietary Supplement Health and Education Act of 1994</w:t>
      </w:r>
      <w:r>
        <w:rPr>
          <w:rFonts w:ascii="Arial" w:cs="Arial" w:eastAsia="Arial" w:hAnsi="Arial"/>
          <w:sz w:val="14"/>
          <w:szCs w:val="14"/>
          <w:b w:val="1"/>
          <w:bCs w:val="1"/>
          <w:color w:val="auto"/>
        </w:rPr>
        <w:t xml:space="preserve"> generally govern, among other things, the research, development, testing, manufacturing, storage, recordkeeping, approval, labeling, promotion and marketing, distribution, post-approval monitoring and reporting, sampling, and import and export of foods, drugs and dietary supplements. See </w:t>
      </w:r>
      <w:r>
        <w:rPr>
          <w:rFonts w:ascii="Arial" w:cs="Arial" w:eastAsia="Arial" w:hAnsi="Arial"/>
          <w:sz w:val="14"/>
          <w:szCs w:val="14"/>
          <w:b w:val="1"/>
          <w:bCs w:val="1"/>
          <w:i w:val="1"/>
          <w:iCs w:val="1"/>
          <w:color w:val="auto"/>
        </w:rPr>
        <w:t>“Regulatory Overview – United States”</w:t>
      </w:r>
      <w:r>
        <w:rPr>
          <w:rFonts w:ascii="Arial" w:cs="Arial" w:eastAsia="Arial" w:hAnsi="Arial"/>
          <w:sz w:val="14"/>
          <w:szCs w:val="14"/>
          <w:b w:val="1"/>
          <w:bCs w:val="1"/>
          <w:color w:val="auto"/>
        </w:rPr>
        <w:t>.</w:t>
      </w:r>
    </w:p>
    <w:p>
      <w:pPr>
        <w:spacing w:after="0" w:line="19" w:lineRule="exact"/>
        <w:rPr>
          <w:sz w:val="20"/>
          <w:szCs w:val="20"/>
          <w:color w:val="auto"/>
        </w:rPr>
      </w:pPr>
    </w:p>
    <w:p>
      <w:pPr>
        <w:ind w:left="240" w:right="560"/>
        <w:spacing w:after="0" w:line="258" w:lineRule="auto"/>
        <w:rPr>
          <w:sz w:val="20"/>
          <w:szCs w:val="20"/>
          <w:color w:val="auto"/>
        </w:rPr>
      </w:pPr>
      <w:r>
        <w:rPr>
          <w:rFonts w:ascii="Arial" w:cs="Arial" w:eastAsia="Arial" w:hAnsi="Arial"/>
          <w:sz w:val="14"/>
          <w:szCs w:val="14"/>
          <w:b w:val="1"/>
          <w:bCs w:val="1"/>
          <w:color w:val="auto"/>
        </w:rPr>
        <w:t>The Corporation’s operations are conducted in strict compliance with local laws where such activities are permissible and do not require any specific legal or regulatory approvals.</w:t>
      </w:r>
    </w:p>
    <w:p>
      <w:pPr>
        <w:spacing w:after="0" w:line="5" w:lineRule="exact"/>
        <w:rPr>
          <w:sz w:val="20"/>
          <w:szCs w:val="20"/>
          <w:color w:val="auto"/>
        </w:rPr>
      </w:pPr>
    </w:p>
    <w:p>
      <w:pPr>
        <w:ind w:left="240" w:right="260"/>
        <w:spacing w:after="0" w:line="230" w:lineRule="auto"/>
        <w:rPr>
          <w:sz w:val="20"/>
          <w:szCs w:val="20"/>
          <w:color w:val="auto"/>
        </w:rPr>
      </w:pPr>
      <w:r>
        <w:rPr>
          <w:rFonts w:ascii="Arial" w:cs="Arial" w:eastAsia="Arial" w:hAnsi="Arial"/>
          <w:sz w:val="14"/>
          <w:szCs w:val="14"/>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Ministry of Health (Jamaica),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Factors” </w:t>
      </w:r>
      <w:r>
        <w:rPr>
          <w:rFonts w:ascii="Arial" w:cs="Arial" w:eastAsia="Arial" w:hAnsi="Arial"/>
          <w:sz w:val="14"/>
          <w:szCs w:val="14"/>
          <w:b w:val="1"/>
          <w:bCs w:val="1"/>
          <w:color w:val="auto"/>
        </w:rPr>
        <w:t>in the Annual Information Form.</w:t>
      </w:r>
    </w:p>
    <w:p>
      <w:pPr>
        <w:spacing w:after="0" w:line="19" w:lineRule="exact"/>
        <w:rPr>
          <w:sz w:val="20"/>
          <w:szCs w:val="20"/>
          <w:color w:val="auto"/>
        </w:rPr>
      </w:pPr>
    </w:p>
    <w:p>
      <w:pPr>
        <w:ind w:left="240" w:right="140"/>
        <w:spacing w:after="0" w:line="24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2" w:lineRule="exact"/>
        <w:rPr>
          <w:sz w:val="20"/>
          <w:szCs w:val="20"/>
          <w:color w:val="auto"/>
        </w:rPr>
      </w:pPr>
    </w:p>
    <w:p>
      <w:pPr>
        <w:ind w:left="240" w:right="160"/>
        <w:spacing w:after="0" w:line="281" w:lineRule="auto"/>
        <w:rPr>
          <w:sz w:val="20"/>
          <w:szCs w:val="20"/>
          <w:color w:val="auto"/>
        </w:rPr>
      </w:pPr>
      <w:r>
        <w:rPr>
          <w:rFonts w:ascii="Arial" w:cs="Arial" w:eastAsia="Arial" w:hAnsi="Arial"/>
          <w:sz w:val="12"/>
          <w:szCs w:val="12"/>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2"/>
          <w:szCs w:val="12"/>
          <w:b w:val="1"/>
          <w:bCs w:val="1"/>
          <w:i w:val="1"/>
          <w:iCs w:val="1"/>
          <w:color w:val="auto"/>
        </w:rPr>
        <w:t>“Compliance</w:t>
      </w:r>
      <w:r>
        <w:rPr>
          <w:rFonts w:ascii="Arial" w:cs="Arial" w:eastAsia="Arial" w:hAnsi="Arial"/>
          <w:sz w:val="12"/>
          <w:szCs w:val="12"/>
          <w:b w:val="1"/>
          <w:bCs w:val="1"/>
          <w:color w:val="auto"/>
        </w:rPr>
        <w:t xml:space="preserve"> </w:t>
      </w:r>
      <w:r>
        <w:rPr>
          <w:rFonts w:ascii="Arial" w:cs="Arial" w:eastAsia="Arial" w:hAnsi="Arial"/>
          <w:sz w:val="12"/>
          <w:szCs w:val="12"/>
          <w:b w:val="1"/>
          <w:bCs w:val="1"/>
          <w:i w:val="1"/>
          <w:iCs w:val="1"/>
          <w:color w:val="auto"/>
        </w:rPr>
        <w:t>Program”</w:t>
      </w:r>
      <w:r>
        <w:rPr>
          <w:rFonts w:ascii="Arial" w:cs="Arial" w:eastAsia="Arial" w:hAnsi="Arial"/>
          <w:sz w:val="12"/>
          <w:szCs w:val="12"/>
          <w:b w:val="1"/>
          <w:bCs w:val="1"/>
          <w:color w:val="auto"/>
        </w:rPr>
        <w:t>. Additionally, the Corporation has received legal opinions or advice in each jurisdiction where it currently operates regarding (a) compliance with applicable</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regulatory frameworks and (b) potential exposure and implications arising from applicable laws in jurisdictions where the Corporation has operations or intends to operate.</w:t>
      </w:r>
    </w:p>
    <w:p>
      <w:pPr>
        <w:spacing w:after="0" w:line="2" w:lineRule="exact"/>
        <w:rPr>
          <w:sz w:val="20"/>
          <w:szCs w:val="20"/>
          <w:color w:val="auto"/>
        </w:rPr>
      </w:pPr>
    </w:p>
    <w:p>
      <w:pPr>
        <w:ind w:left="240" w:right="180"/>
        <w:spacing w:after="0"/>
        <w:rPr>
          <w:sz w:val="20"/>
          <w:szCs w:val="20"/>
          <w:color w:val="auto"/>
        </w:rPr>
      </w:pPr>
      <w:r>
        <w:rPr>
          <w:rFonts w:ascii="Arial" w:cs="Arial" w:eastAsia="Arial" w:hAnsi="Arial"/>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herein and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the Annual Information Form.</w:t>
      </w:r>
    </w:p>
    <w:p>
      <w:pPr>
        <w:spacing w:after="0" w:line="17" w:lineRule="exact"/>
        <w:rPr>
          <w:sz w:val="20"/>
          <w:szCs w:val="20"/>
          <w:color w:val="auto"/>
        </w:rPr>
      </w:pPr>
    </w:p>
    <w:p>
      <w:pPr>
        <w:ind w:left="240" w:right="120"/>
        <w:spacing w:after="0" w:line="232" w:lineRule="auto"/>
        <w:rPr>
          <w:sz w:val="20"/>
          <w:szCs w:val="20"/>
          <w:color w:val="auto"/>
        </w:rPr>
      </w:pPr>
      <w:r>
        <w:rPr>
          <w:rFonts w:ascii="Arial" w:cs="Arial" w:eastAsia="Arial" w:hAnsi="Arial"/>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xml:space="preserve"> in this Prospectus, prior to investing in the Securities. See </w:t>
      </w:r>
      <w:r>
        <w:rPr>
          <w:rFonts w:ascii="Arial" w:cs="Arial" w:eastAsia="Arial" w:hAnsi="Arial"/>
          <w:sz w:val="14"/>
          <w:szCs w:val="14"/>
          <w:b w:val="1"/>
          <w:bCs w:val="1"/>
          <w:i w:val="1"/>
          <w:iCs w:val="1"/>
          <w:color w:val="auto"/>
        </w:rPr>
        <w:t>“Cautionary Note Regarding Forward-Looking</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Information” </w:t>
      </w:r>
      <w:r>
        <w:rPr>
          <w:rFonts w:ascii="Arial" w:cs="Arial" w:eastAsia="Arial" w:hAnsi="Arial"/>
          <w:sz w:val="14"/>
          <w:szCs w:val="14"/>
          <w:b w:val="1"/>
          <w:bCs w:val="1"/>
          <w:color w:val="auto"/>
        </w:rPr>
        <w:t>and</w:t>
      </w:r>
      <w:r>
        <w:rPr>
          <w:rFonts w:ascii="Arial" w:cs="Arial" w:eastAsia="Arial" w:hAnsi="Arial"/>
          <w:sz w:val="14"/>
          <w:szCs w:val="14"/>
          <w:b w:val="1"/>
          <w:bCs w:val="1"/>
          <w:i w:val="1"/>
          <w:iCs w:val="1"/>
          <w:color w:val="auto"/>
        </w:rPr>
        <w:t xml:space="preserve"> “Risk Factors”</w:t>
      </w:r>
      <w:r>
        <w:rPr>
          <w:rFonts w:ascii="Arial" w:cs="Arial" w:eastAsia="Arial" w:hAnsi="Arial"/>
          <w:sz w:val="14"/>
          <w:szCs w:val="14"/>
          <w:b w:val="1"/>
          <w:bCs w:val="1"/>
          <w:color w:val="auto"/>
        </w:rPr>
        <w:t>.</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828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GENERAL MATTERS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828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CAUTIONARY NOTE REGARDING FORWARD-LOOKING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0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EXEMPTION</w:t>
              </w:r>
            </w:hyperlink>
          </w:p>
        </w:tc>
        <w:tc>
          <w:tcPr>
            <w:tcW w:w="4840" w:type="dxa"/>
            <w:vAlign w:val="bottom"/>
            <w:tcBorders>
              <w:top w:val="single" w:sz="8" w:color="0000EE"/>
            </w:tcBorders>
            <w:gridSpan w:val="7"/>
          </w:tcPr>
          <w:p>
            <w:pPr>
              <w:spacing w:after="0"/>
              <w:rPr>
                <w:sz w:val="22"/>
                <w:szCs w:val="22"/>
                <w:color w:val="auto"/>
              </w:rPr>
            </w:pPr>
          </w:p>
        </w:tc>
        <w:tc>
          <w:tcPr>
            <w:tcW w:w="240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314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TRADEMARKS AND SERVICE MARKS</w:t>
              </w:r>
            </w:hyperlink>
          </w:p>
        </w:tc>
        <w:tc>
          <w:tcPr>
            <w:tcW w:w="514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21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MARKETING MATERIALS</w:t>
              </w:r>
            </w:hyperlink>
          </w:p>
        </w:tc>
        <w:tc>
          <w:tcPr>
            <w:tcW w:w="614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828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AND INDUSTRY DATA</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7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4"/>
        </w:trPr>
        <w:tc>
          <w:tcPr>
            <w:tcW w:w="390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DOCUMENTS INCORPORATED BY REFERENCE</w:t>
              </w:r>
            </w:hyperlink>
          </w:p>
        </w:tc>
        <w:tc>
          <w:tcPr>
            <w:tcW w:w="438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7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THE CORPORATION</w:t>
              </w:r>
            </w:hyperlink>
          </w:p>
        </w:tc>
        <w:tc>
          <w:tcPr>
            <w:tcW w:w="658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21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REGULATORY OVERVIEW</w:t>
              </w:r>
            </w:hyperlink>
          </w:p>
        </w:tc>
        <w:tc>
          <w:tcPr>
            <w:tcW w:w="610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080"/>
          </w:cols>
          <w:pgMar w:left="320" w:top="118" w:right="499" w:bottom="0" w:gutter="0" w:footer="0" w:header="0"/>
        </w:sectPr>
      </w:pPr>
    </w:p>
    <w:bookmarkStart w:id="36" w:name="page37"/>
    <w:bookmarkEnd w:id="3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56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COMPLIANCE PROGRAM</w:t>
              </w:r>
            </w:hyperlink>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3"/>
        </w:trPr>
        <w:tc>
          <w:tcPr>
            <w:tcW w:w="756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CAPITALIZATION</w:t>
              </w:r>
            </w:hyperlink>
          </w:p>
        </w:tc>
        <w:tc>
          <w:tcPr>
            <w:tcW w:w="3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1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USE OF PROCEEDS</w:t>
              </w:r>
            </w:hyperlink>
          </w:p>
        </w:tc>
        <w:tc>
          <w:tcPr>
            <w:tcW w:w="1260" w:type="dxa"/>
            <w:vAlign w:val="bottom"/>
            <w:tcBorders>
              <w:top w:val="single" w:sz="8" w:color="0000EE"/>
            </w:tcBorders>
            <w:gridSpan w:val="2"/>
          </w:tcPr>
          <w:p>
            <w:pPr>
              <w:spacing w:after="0"/>
              <w:rPr>
                <w:sz w:val="22"/>
                <w:szCs w:val="22"/>
                <w:color w:val="auto"/>
              </w:rPr>
            </w:pPr>
          </w:p>
        </w:tc>
        <w:tc>
          <w:tcPr>
            <w:tcW w:w="4700" w:type="dxa"/>
            <w:vAlign w:val="bottom"/>
            <w:gridSpan w:val="4"/>
          </w:tcPr>
          <w:p>
            <w:pPr>
              <w:spacing w:after="0"/>
              <w:rPr>
                <w:sz w:val="22"/>
                <w:szCs w:val="22"/>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15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DIVIDEND POLICY</w:t>
              </w:r>
            </w:hyperlink>
          </w:p>
        </w:tc>
        <w:tc>
          <w:tcPr>
            <w:tcW w:w="5980" w:type="dxa"/>
            <w:vAlign w:val="bottom"/>
            <w:gridSpan w:val="7"/>
          </w:tcPr>
          <w:p>
            <w:pPr>
              <w:spacing w:after="0"/>
              <w:rPr>
                <w:sz w:val="22"/>
                <w:szCs w:val="22"/>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756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SECURITIES BEING DISTRIBUTED</w:t>
              </w:r>
            </w:hyperlink>
          </w:p>
        </w:tc>
        <w:tc>
          <w:tcPr>
            <w:tcW w:w="3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3240" w:type="dxa"/>
            <w:vAlign w:val="bottom"/>
            <w:gridSpan w:val="2"/>
          </w:tcPr>
          <w:p>
            <w:pPr>
              <w:spacing w:after="0"/>
              <w:rPr>
                <w:sz w:val="22"/>
                <w:szCs w:val="22"/>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100" w:type="dxa"/>
            <w:vAlign w:val="bottom"/>
            <w:tcBorders>
              <w:top w:val="single" w:sz="8" w:color="0000EE"/>
            </w:tcBorders>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5460" w:type="dxa"/>
            <w:vAlign w:val="bottom"/>
            <w:gridSpan w:val="5"/>
          </w:tcPr>
          <w:p>
            <w:pPr>
              <w:spacing w:after="0"/>
              <w:rPr>
                <w:sz w:val="22"/>
                <w:szCs w:val="22"/>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63"/>
        </w:trPr>
        <w:tc>
          <w:tcPr>
            <w:tcW w:w="756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CERTAIN FEDERAL INCOME TAX CONSIDERATIONS</w:t>
              </w:r>
            </w:hyperlink>
          </w:p>
        </w:tc>
        <w:tc>
          <w:tcPr>
            <w:tcW w:w="3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14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LEGAL MATTERS</w:t>
              </w:r>
            </w:hyperlink>
          </w:p>
        </w:tc>
        <w:tc>
          <w:tcPr>
            <w:tcW w:w="2880" w:type="dxa"/>
            <w:vAlign w:val="bottom"/>
            <w:tcBorders>
              <w:top w:val="single" w:sz="8" w:color="0000EE"/>
            </w:tcBorders>
            <w:gridSpan w:val="7"/>
          </w:tcPr>
          <w:p>
            <w:pPr>
              <w:spacing w:after="0"/>
              <w:rPr>
                <w:sz w:val="22"/>
                <w:szCs w:val="22"/>
                <w:color w:val="auto"/>
              </w:rPr>
            </w:pPr>
          </w:p>
        </w:tc>
        <w:tc>
          <w:tcPr>
            <w:tcW w:w="3220" w:type="dxa"/>
            <w:vAlign w:val="bottom"/>
          </w:tcPr>
          <w:p>
            <w:pPr>
              <w:spacing w:after="0"/>
              <w:rPr>
                <w:sz w:val="22"/>
                <w:szCs w:val="22"/>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756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AUDITORS, TRANSFER AGENT AND REGISTRAR</w:t>
              </w:r>
            </w:hyperlink>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 Corporation is not making an offer of these Securities in any jurisdiction where the offer is not permitted. Investors should not assume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information contained on www.cybin.com is not intended to be included in or incorporated by reference herein, and prospective purchasers should not rely on such information when deciding whether or not to invest in any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229" w:lineRule="exact"/>
        <w:rPr>
          <w:sz w:val="20"/>
          <w:szCs w:val="20"/>
          <w:color w:val="auto"/>
        </w:rPr>
      </w:pPr>
    </w:p>
    <w:p>
      <w:pPr>
        <w:ind w:left="120" w:right="280"/>
        <w:spacing w:after="0" w:line="272" w:lineRule="auto"/>
        <w:rPr>
          <w:sz w:val="20"/>
          <w:szCs w:val="20"/>
          <w:color w:val="auto"/>
        </w:rPr>
      </w:pPr>
      <w:r>
        <w:rPr>
          <w:rFonts w:ascii="Arial" w:cs="Arial" w:eastAsia="Arial" w:hAnsi="Arial"/>
          <w:sz w:val="17"/>
          <w:szCs w:val="17"/>
          <w:color w:val="auto"/>
        </w:rPr>
        <w:t>Certain statements contained in this Prospectus, and in certain documents incorporated by reference in this Prospectus, constitute “forward-looking information” and “forward-looking statements”. All statements other than statements of historical fact contained in this Prospectus and in documents incorporated by reference in this Prospectus,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“believe”, “expect”, “aim”, “intend”, “plan”, “continue”, “will”, “may”, “would”, “anticipate”, “estimate”, “forecast”, “predict”, “project”, “seek”, “should”, “objective”, “assumes” or similar expressions or the negative thereof, are forward-looking statements.</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72"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novel coronavirus “COVID-19”; limited operating history; achieving publicly announced milestones; speculative nature of investment risk; early stage of the industry and product development; regulatory risks and uncertainties; Jamaican operations; emerging market risk;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w:t>
      </w:r>
    </w:p>
    <w:p>
      <w:pPr>
        <w:sectPr>
          <w:pgSz w:w="11900" w:h="16838" w:orient="portrait"/>
          <w:cols w:equalWidth="0" w:num="1">
            <w:col w:w="11120"/>
          </w:cols>
          <w:pgMar w:left="320" w:top="108" w:right="459" w:bottom="0" w:gutter="0" w:footer="0" w:header="0"/>
        </w:sectPr>
      </w:pPr>
    </w:p>
    <w:bookmarkStart w:id="37" w:name="page38"/>
    <w:bookmarkEnd w:id="37"/>
    <w:p>
      <w:pPr>
        <w:spacing w:after="0" w:line="148"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costs of operating as public company; management of growth; conflicts of interest; foreign operations; cybersecurity and privacy risk; environmental regulation and risks;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Risks related to the Common Shares: market for the Common Shares; significant sales of Common Shares; volatile market price for the Common Shares; tax issues; no dividends; Risks related to an Offering and the Corporation: an investment in the Securities is speculative; completion of an Offering; receipt of all regulatory and stock exchange approvals in respect of an Offering; forward-looking statements may prove to be inaccurate; potential dilution; potential need for additional financing; negative operating cash flow and going concern; discretion over the use of proceeds; management of growth; the Common Shares are subject to market price volatility; no history of payment of cash dividends; limited operating history as a public company; and risks relating to research and development objectives and milestones.</w:t>
      </w:r>
    </w:p>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89" w:lineRule="exact"/>
        <w:rPr>
          <w:sz w:val="20"/>
          <w:szCs w:val="20"/>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Jamaica and Canada and other jurisdictions in which the Corporation operates.</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2"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87" w:lineRule="exact"/>
        <w:rPr>
          <w:sz w:val="20"/>
          <w:szCs w:val="20"/>
          <w:color w:val="auto"/>
        </w:rPr>
      </w:pPr>
    </w:p>
    <w:p>
      <w:pPr>
        <w:ind w:left="120" w:right="320"/>
        <w:spacing w:after="0" w:line="347" w:lineRule="auto"/>
        <w:rPr>
          <w:sz w:val="20"/>
          <w:szCs w:val="20"/>
          <w:color w:val="auto"/>
        </w:rPr>
      </w:pPr>
      <w:r>
        <w:rPr>
          <w:rFonts w:ascii="Arial" w:cs="Arial" w:eastAsia="Arial" w:hAnsi="Arial"/>
          <w:sz w:val="16"/>
          <w:szCs w:val="16"/>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6"/>
          <w:szCs w:val="16"/>
          <w:color w:val="auto"/>
        </w:rPr>
        <w:t>Investors should read this entire Prospectus, including the Annual Information Form, the</w:t>
      </w:r>
    </w:p>
    <w:p>
      <w:pPr>
        <w:sectPr>
          <w:pgSz w:w="11900" w:h="16986" w:orient="portrait"/>
          <w:cols w:equalWidth="0" w:num="1">
            <w:col w:w="11120"/>
          </w:cols>
          <w:pgMar w:left="320" w:top="125" w:right="459" w:bottom="0" w:gutter="0" w:footer="0" w:header="0"/>
        </w:sectPr>
      </w:pPr>
    </w:p>
    <w:bookmarkStart w:id="38" w:name="page39"/>
    <w:bookmarkEnd w:id="38"/>
    <w:p>
      <w:pPr>
        <w:ind w:left="120" w:right="240"/>
        <w:spacing w:after="0" w:line="277" w:lineRule="auto"/>
        <w:rPr>
          <w:sz w:val="20"/>
          <w:szCs w:val="20"/>
          <w:color w:val="auto"/>
        </w:rPr>
      </w:pPr>
      <w:r>
        <w:rPr>
          <w:rFonts w:ascii="Arial" w:cs="Arial" w:eastAsia="Arial" w:hAnsi="Arial"/>
          <w:sz w:val="18"/>
          <w:szCs w:val="18"/>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EXEMPTION</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Pursuant to a decision of the Autorité des marchés financiers dated June 10, 2021, the Corporation was granted a permanent exemption from the requirement to translate into French this Prospectus as well as the documents incorporated by reference therein and any Prospectus Supplement to be filed in relation to an “at-the-market distribution”. This exemption is granted on the condition that this Prospectus and any Prospectus Supplement (other than in relation to an “at-the-market distribution”) be translated into French if the Corporation offers Securities to Québec purchasers in connection with an Offering of Securities other than in relation to an “at-the-market distribution”.</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This prospectus includes trademarks, trade names and service marks which are protected under applicable intellectual property laws for use in connection with the operation of our business, and which are the property of the Corporation. All other trade names, trademarks or service marks appearing in this prospectus that are not identified as marks owned by us are the property of their respective owners. Solely for convenience, trademarks, service marks and trade names referred to in this prospectus may be listed without the </w:t>
      </w:r>
      <w:r>
        <w:rPr>
          <w:rFonts w:ascii="Arial" w:cs="Arial" w:eastAsia="Arial" w:hAnsi="Arial"/>
          <w:sz w:val="14"/>
          <w:szCs w:val="14"/>
          <w:color w:val="auto"/>
        </w:rPr>
        <w:t>®</w:t>
      </w:r>
      <w:r>
        <w:rPr>
          <w:rFonts w:ascii="Arial" w:cs="Arial" w:eastAsia="Arial" w:hAnsi="Arial"/>
          <w:sz w:val="17"/>
          <w:szCs w:val="17"/>
          <w:color w:val="auto"/>
        </w:rPr>
        <w:t>, (</w:t>
      </w:r>
      <w:r>
        <w:rPr>
          <w:rFonts w:ascii="Arial" w:cs="Arial" w:eastAsia="Arial" w:hAnsi="Arial"/>
          <w:sz w:val="14"/>
          <w:szCs w:val="14"/>
          <w:color w:val="auto"/>
        </w:rPr>
        <w:t>TM</w:t>
      </w:r>
      <w:r>
        <w:rPr>
          <w:rFonts w:ascii="Arial" w:cs="Arial" w:eastAsia="Arial" w:hAnsi="Arial"/>
          <w:sz w:val="17"/>
          <w:szCs w:val="17"/>
          <w:color w:val="auto"/>
        </w:rPr>
        <w:t>) and (sm) symbols, however, we will assert, to the fullest extent under applicable law, our applicable rights in these trademarks, service marks and trade names.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MARKETING MATERIALS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Any template version of marketing materials (as such terms are defined in National Instrument 41-101 – </w:t>
      </w:r>
      <w:r>
        <w:rPr>
          <w:rFonts w:ascii="Arial" w:cs="Arial" w:eastAsia="Arial" w:hAnsi="Arial"/>
          <w:sz w:val="17"/>
          <w:szCs w:val="17"/>
          <w:i w:val="1"/>
          <w:iCs w:val="1"/>
          <w:color w:val="auto"/>
        </w:rPr>
        <w:t>General Prospectus Requirements</w:t>
      </w:r>
      <w:r>
        <w:rPr>
          <w:rFonts w:ascii="Arial" w:cs="Arial" w:eastAsia="Arial" w:hAnsi="Arial"/>
          <w:sz w:val="17"/>
          <w:szCs w:val="17"/>
          <w:color w:val="auto"/>
        </w:rPr>
        <w:t>) that are utilized in connection with the distribution of Securities will be filed under the Corporation’s profile on www.sedar.com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left="120" w:right="100"/>
        <w:spacing w:after="0" w:line="314"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w:t>
      </w:r>
      <w:r>
        <w:rPr>
          <w:rFonts w:ascii="Arial" w:cs="Arial" w:eastAsia="Arial" w:hAnsi="Arial"/>
          <w:sz w:val="16"/>
          <w:szCs w:val="16"/>
          <w:b w:val="1"/>
          <w:bCs w:val="1"/>
          <w:color w:val="auto"/>
        </w:rPr>
        <w:t xml:space="preserve"> </w:t>
      </w:r>
      <w:r>
        <w:rPr>
          <w:rFonts w:ascii="Arial" w:cs="Arial" w:eastAsia="Arial" w:hAnsi="Arial"/>
          <w:sz w:val="16"/>
          <w:szCs w:val="16"/>
          <w:color w:val="auto"/>
        </w:rPr>
        <w:t>100 King Street West, Suite 5600, Toronto, Ontario M5X 1C9, telephone (908) 764-8385, and are also available electronically on SEDAR.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documents of the Corporation filed with the securities commissions or similar authorities in Canada are incorporated by reference in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11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u w:val="single" w:color="auto"/>
          <w:color w:val="0000EE"/>
        </w:rPr>
      </w:pPr>
      <w:hyperlink r:id="rId79">
        <w:r>
          <w:rPr>
            <w:rFonts w:ascii="Arial" w:cs="Arial" w:eastAsia="Arial" w:hAnsi="Arial"/>
            <w:sz w:val="16"/>
            <w:szCs w:val="16"/>
            <w:u w:val="single" w:color="auto"/>
            <w:color w:val="0000EE"/>
          </w:rPr>
          <w:t>annual information form of the Corporation dated June 24, 2021 (the “</w:t>
        </w:r>
        <w:r>
          <w:rPr>
            <w:rFonts w:ascii="Arial" w:cs="Arial" w:eastAsia="Arial" w:hAnsi="Arial"/>
            <w:sz w:val="16"/>
            <w:szCs w:val="16"/>
            <w:b w:val="1"/>
            <w:bCs w:val="1"/>
            <w:u w:val="single" w:color="auto"/>
            <w:color w:val="0000EE"/>
          </w:rPr>
          <w:t>Annual Information Form</w:t>
        </w:r>
        <w:r>
          <w:rPr>
            <w:rFonts w:ascii="Arial" w:cs="Arial" w:eastAsia="Arial" w:hAnsi="Arial"/>
            <w:sz w:val="16"/>
            <w:szCs w:val="16"/>
            <w:u w:val="single" w:color="auto"/>
            <w:color w:val="0000EE"/>
          </w:rPr>
          <w:t>”) for the year ended March 31, 2021;</w:t>
        </w:r>
      </w:hyperlink>
    </w:p>
    <w:p>
      <w:pPr>
        <w:spacing w:after="0" w:line="157" w:lineRule="exact"/>
        <w:rPr>
          <w:rFonts w:ascii="Arial" w:cs="Arial" w:eastAsia="Arial" w:hAnsi="Arial"/>
          <w:sz w:val="16"/>
          <w:szCs w:val="16"/>
          <w:u w:val="single" w:color="auto"/>
          <w:color w:val="0000EE"/>
        </w:rPr>
      </w:pPr>
    </w:p>
    <w:p>
      <w:pPr>
        <w:ind w:left="1080" w:right="220" w:hanging="532"/>
        <w:spacing w:after="0" w:line="277" w:lineRule="auto"/>
        <w:tabs>
          <w:tab w:leader="none" w:pos="1080" w:val="left"/>
        </w:tabs>
        <w:numPr>
          <w:ilvl w:val="0"/>
          <w:numId w:val="16"/>
        </w:numPr>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the audited consolidated financial statements of the Corporation and the notes thereto as at and for the fiscal year ended March 31, 2021,</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together with the auditor’s report thereon (the “</w:t>
        </w:r>
        <w:r>
          <w:rPr>
            <w:rFonts w:ascii="Arial" w:cs="Arial" w:eastAsia="Arial" w:hAnsi="Arial"/>
            <w:sz w:val="18"/>
            <w:szCs w:val="18"/>
            <w:b w:val="1"/>
            <w:bCs w:val="1"/>
            <w:u w:val="single" w:color="auto"/>
            <w:color w:val="0000EE"/>
          </w:rPr>
          <w:t>Annual Financial Statements</w:t>
        </w:r>
        <w:r>
          <w:rPr>
            <w:rFonts w:ascii="Arial" w:cs="Arial" w:eastAsia="Arial" w:hAnsi="Arial"/>
            <w:sz w:val="18"/>
            <w:szCs w:val="18"/>
            <w:u w:val="single" w:color="auto"/>
            <w:color w:val="0000EE"/>
          </w:rPr>
          <w:t>”);</w:t>
        </w:r>
      </w:hyperlink>
    </w:p>
    <w:p>
      <w:pPr>
        <w:spacing w:after="0" w:line="71" w:lineRule="exact"/>
        <w:rPr>
          <w:rFonts w:ascii="Arial" w:cs="Arial" w:eastAsia="Arial" w:hAnsi="Arial"/>
          <w:sz w:val="18"/>
          <w:szCs w:val="18"/>
          <w:u w:val="single" w:color="auto"/>
          <w:color w:val="0000EE"/>
        </w:rPr>
      </w:pPr>
    </w:p>
    <w:p>
      <w:pPr>
        <w:ind w:left="1080" w:hanging="532"/>
        <w:spacing w:after="0"/>
        <w:tabs>
          <w:tab w:leader="none" w:pos="1080" w:val="left"/>
        </w:tabs>
        <w:numPr>
          <w:ilvl w:val="0"/>
          <w:numId w:val="16"/>
        </w:numPr>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management’s discussion and analysis of the Corporation for the year ended March 31, 2021 (the “</w:t>
        </w:r>
        <w:r>
          <w:rPr>
            <w:rFonts w:ascii="Arial" w:cs="Arial" w:eastAsia="Arial" w:hAnsi="Arial"/>
            <w:sz w:val="18"/>
            <w:szCs w:val="18"/>
            <w:b w:val="1"/>
            <w:bCs w:val="1"/>
            <w:u w:val="single" w:color="auto"/>
            <w:color w:val="0000EE"/>
          </w:rPr>
          <w:t>Annual MD&amp;A</w:t>
        </w:r>
        <w:r>
          <w:rPr>
            <w:rFonts w:ascii="Arial" w:cs="Arial" w:eastAsia="Arial" w:hAnsi="Arial"/>
            <w:sz w:val="18"/>
            <w:szCs w:val="18"/>
            <w:u w:val="single" w:color="auto"/>
            <w:color w:val="0000EE"/>
          </w:rPr>
          <w:t>”);</w:t>
        </w:r>
      </w:hyperlink>
    </w:p>
    <w:p>
      <w:pPr>
        <w:spacing w:after="0" w:line="134" w:lineRule="exact"/>
        <w:rPr>
          <w:rFonts w:ascii="Arial" w:cs="Arial" w:eastAsia="Arial" w:hAnsi="Arial"/>
          <w:sz w:val="18"/>
          <w:szCs w:val="18"/>
          <w:u w:val="single" w:color="auto"/>
          <w:color w:val="0000EE"/>
        </w:rPr>
      </w:pPr>
    </w:p>
    <w:p>
      <w:pPr>
        <w:ind w:left="1080" w:right="140" w:hanging="532"/>
        <w:spacing w:after="0" w:line="277" w:lineRule="auto"/>
        <w:tabs>
          <w:tab w:leader="none" w:pos="1080" w:val="left"/>
        </w:tabs>
        <w:numPr>
          <w:ilvl w:val="0"/>
          <w:numId w:val="16"/>
        </w:numPr>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management information circular of the Corporation dated April 22, 2021 relating to a special meeting of shareholders of the Corporation</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held on May 21, 2021;</w:t>
        </w:r>
      </w:hyperlink>
    </w:p>
    <w:p>
      <w:pPr>
        <w:spacing w:after="0" w:line="75" w:lineRule="exact"/>
        <w:rPr>
          <w:rFonts w:ascii="Arial" w:cs="Arial" w:eastAsia="Arial" w:hAnsi="Arial"/>
          <w:sz w:val="18"/>
          <w:szCs w:val="18"/>
          <w:u w:val="single" w:color="auto"/>
          <w:color w:val="0000EE"/>
        </w:rPr>
      </w:pPr>
    </w:p>
    <w:p>
      <w:pPr>
        <w:ind w:left="1080" w:right="220" w:hanging="532"/>
        <w:spacing w:after="0" w:line="277" w:lineRule="auto"/>
        <w:tabs>
          <w:tab w:leader="none" w:pos="1080" w:val="left"/>
        </w:tabs>
        <w:numPr>
          <w:ilvl w:val="0"/>
          <w:numId w:val="16"/>
        </w:numPr>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management information circular of Clarmin Exploration Inc. (now the Corporation) date July 15, 2020 relating to an annual and special</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meeting of shareholders held August 13, 2020; and</w:t>
        </w:r>
      </w:hyperlink>
    </w:p>
    <w:p>
      <w:pPr>
        <w:spacing w:after="0" w:line="71" w:lineRule="exact"/>
        <w:rPr>
          <w:rFonts w:ascii="Arial" w:cs="Arial" w:eastAsia="Arial" w:hAnsi="Arial"/>
          <w:sz w:val="18"/>
          <w:szCs w:val="18"/>
          <w:u w:val="single" w:color="auto"/>
          <w:color w:val="0000EE"/>
        </w:rPr>
      </w:pPr>
    </w:p>
    <w:p>
      <w:pPr>
        <w:ind w:left="1080" w:right="340" w:hanging="532"/>
        <w:spacing w:after="0" w:line="282" w:lineRule="auto"/>
        <w:tabs>
          <w:tab w:leader="none" w:pos="1080" w:val="left"/>
        </w:tabs>
        <w:numPr>
          <w:ilvl w:val="0"/>
          <w:numId w:val="16"/>
        </w:numPr>
        <w:rPr>
          <w:rFonts w:ascii="Arial" w:cs="Arial" w:eastAsia="Arial" w:hAnsi="Arial"/>
          <w:sz w:val="18"/>
          <w:szCs w:val="18"/>
          <w:b w:val="1"/>
          <w:bCs w:val="1"/>
          <w:u w:val="single" w:color="auto"/>
          <w:color w:val="0000EE"/>
        </w:rPr>
      </w:pPr>
      <w:hyperlink r:id="rId84">
        <w:r>
          <w:rPr>
            <w:rFonts w:ascii="Arial" w:cs="Arial" w:eastAsia="Arial" w:hAnsi="Arial"/>
            <w:sz w:val="18"/>
            <w:szCs w:val="18"/>
            <w:u w:val="single" w:color="auto"/>
            <w:color w:val="0000EE"/>
          </w:rPr>
          <w:t>business acquisition report dated January 22, 2021 in respect of the Corporation’s acquisition of Adelia Therapeutics Inc. (the “</w:t>
        </w:r>
        <w:r>
          <w:rPr>
            <w:rFonts w:ascii="Arial" w:cs="Arial" w:eastAsia="Arial" w:hAnsi="Arial"/>
            <w:sz w:val="18"/>
            <w:szCs w:val="18"/>
            <w:b w:val="1"/>
            <w:bCs w:val="1"/>
            <w:u w:val="single" w:color="auto"/>
            <w:color w:val="0000EE"/>
          </w:rPr>
          <w:t>Adelia</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b w:val="1"/>
            <w:bCs w:val="1"/>
            <w:u w:val="single" w:color="auto"/>
            <w:color w:val="0000EE"/>
          </w:rPr>
          <w:t>Transaction</w:t>
        </w:r>
        <w:r>
          <w:rPr>
            <w:rFonts w:ascii="Arial" w:cs="Arial" w:eastAsia="Arial" w:hAnsi="Arial"/>
            <w:sz w:val="18"/>
            <w:szCs w:val="18"/>
            <w:u w:val="single" w:color="auto"/>
            <w:color w:val="0000EE"/>
          </w:rPr>
          <w:t>”), see</w:t>
        </w:r>
        <w:r>
          <w:rPr>
            <w:rFonts w:ascii="Arial" w:cs="Arial" w:eastAsia="Arial" w:hAnsi="Arial"/>
            <w:sz w:val="18"/>
            <w:szCs w:val="18"/>
            <w:b w:val="1"/>
            <w:bCs w:val="1"/>
            <w:u w:val="single" w:color="auto"/>
            <w:color w:val="0000EE"/>
          </w:rPr>
          <w:t xml:space="preserve"> </w:t>
        </w:r>
        <w:r>
          <w:rPr>
            <w:rFonts w:ascii="Arial" w:cs="Arial" w:eastAsia="Arial" w:hAnsi="Arial"/>
            <w:sz w:val="18"/>
            <w:szCs w:val="18"/>
            <w:i w:val="1"/>
            <w:iCs w:val="1"/>
            <w:u w:val="single" w:color="auto"/>
            <w:color w:val="0000EE"/>
          </w:rPr>
          <w:t>“Select Recent Developments”</w:t>
        </w:r>
        <w:r>
          <w:rPr>
            <w:rFonts w:ascii="Arial" w:cs="Arial" w:eastAsia="Arial" w:hAnsi="Arial"/>
            <w:sz w:val="18"/>
            <w:szCs w:val="18"/>
            <w:u w:val="single" w:color="auto"/>
            <w:color w:val="0000EE"/>
          </w:rPr>
          <w:t>.</w:t>
        </w:r>
      </w:hyperlink>
    </w:p>
    <w:p>
      <w:pPr>
        <w:spacing w:after="0" w:line="166" w:lineRule="exact"/>
        <w:rPr>
          <w:rFonts w:ascii="Arial" w:cs="Arial" w:eastAsia="Arial" w:hAnsi="Arial"/>
          <w:sz w:val="18"/>
          <w:szCs w:val="18"/>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Any document of the type referred to in Section 11.1 of Form 44-101F1 – </w:t>
      </w:r>
      <w:r>
        <w:rPr>
          <w:rFonts w:ascii="Arial" w:cs="Arial" w:eastAsia="Arial" w:hAnsi="Arial"/>
          <w:sz w:val="18"/>
          <w:szCs w:val="18"/>
          <w:i w:val="1"/>
          <w:iCs w:val="1"/>
          <w:color w:val="auto"/>
        </w:rPr>
        <w:t>Short Form Prospectus Distributions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ectPr>
          <w:pgSz w:w="11900" w:h="16838" w:orient="portrait"/>
          <w:cols w:equalWidth="0" w:num="1">
            <w:col w:w="11140"/>
          </w:cols>
          <w:pgMar w:left="320" w:top="125" w:right="439" w:bottom="0" w:gutter="0" w:footer="0" w:header="0"/>
        </w:sectPr>
      </w:pPr>
    </w:p>
    <w:bookmarkStart w:id="39" w:name="page40"/>
    <w:bookmarkEnd w:id="39"/>
    <w:p>
      <w:pPr>
        <w:ind w:left="120" w:right="120"/>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7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7" w:lineRule="exact"/>
        <w:rPr>
          <w:sz w:val="20"/>
          <w:szCs w:val="20"/>
          <w:color w:val="auto"/>
        </w:rPr>
      </w:pPr>
    </w:p>
    <w:p>
      <w:pPr>
        <w:jc w:val="both"/>
        <w:ind w:left="120" w:right="220"/>
        <w:spacing w:after="0" w:line="343" w:lineRule="auto"/>
        <w:rPr>
          <w:sz w:val="20"/>
          <w:szCs w:val="20"/>
          <w:color w:val="auto"/>
        </w:rPr>
      </w:pPr>
      <w:r>
        <w:rPr>
          <w:rFonts w:ascii="Arial" w:cs="Arial" w:eastAsia="Arial" w:hAnsi="Arial"/>
          <w:sz w:val="15"/>
          <w:szCs w:val="15"/>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CORPORATION</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Business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Corporation is a biotechnology company focused on advancing pharmaceutical therapies, delivery mechanisms, novel compounds and protocols as potential therapies for various psychiatric and neurological conditions. The Corporation is developing technologies and delivery systems aiming to improve the pharmacokinetics of its psychedelic molecules while retaining the therapeutics benefit. The new molecules and delivery systems are expected to be studied through clinical trials to confirm safety and efficacy.</w:t>
      </w:r>
    </w:p>
    <w:p>
      <w:pPr>
        <w:spacing w:after="0" w:line="18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Corporation believes that there is presently a sizeable legal market for psychedelic pharmaceutical and nutraceutical products and, further, believes that there is a promising prospect for a strong, legal psychedelic pharmaceutical and nutraceutical industry to emerge globally. In particular, although the legal market for psychedelic pharmaceutical products is presently limited, globally, and in some jurisdictions it is still in its early stages, the Corporation believes that , in time, owing to generally increased acceptance and regulation of psychedelic-based treatments, this will give way to the emergence of numerous and sizable opportunities for market participants, including the Corporation.</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Psychedelics are progressively emerging as potential alternative candidates for conventional therapies for individuals suffering from elusive maladies like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addiction, anxiety, and depression.</w:t>
      </w:r>
      <w:r>
        <w:rPr>
          <w:rFonts w:ascii="Arial" w:cs="Arial" w:eastAsia="Arial" w:hAnsi="Arial"/>
          <w:sz w:val="13"/>
          <w:szCs w:val="13"/>
          <w:color w:val="auto"/>
        </w:rPr>
        <w:t>1</w:t>
      </w:r>
      <w:r>
        <w:rPr>
          <w:rFonts w:ascii="Arial" w:cs="Arial" w:eastAsia="Arial" w:hAnsi="Arial"/>
          <w:sz w:val="16"/>
          <w:szCs w:val="16"/>
          <w:color w:val="auto"/>
        </w:rPr>
        <w:t xml:space="preserve"> For example, in August of 2020, as a result of the efforts of TheraPsil, a non-profit coalition that advocates for a legal, Special Access Programme access to psilocybin therapy for palliative care of Canadians, four Canadians with incurable cancer were approved by the Canadian federal Minister of Health, to use psilocybin therapy in the treatment of their end-of-life distress.</w:t>
      </w:r>
      <w:r>
        <w:rPr>
          <w:rFonts w:ascii="Arial" w:cs="Arial" w:eastAsia="Arial" w:hAnsi="Arial"/>
          <w:sz w:val="13"/>
          <w:szCs w:val="13"/>
          <w:color w:val="auto"/>
        </w:rPr>
        <w:t>2</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the date of this Prospectus, certain synthetic psychoactive tryptamines and phenthylamines are being researched as candidates for the treatment of several psychiatric conditions, such as PTSD and depression.</w:t>
      </w:r>
      <w:r>
        <w:rPr>
          <w:rFonts w:ascii="Arial" w:cs="Arial" w:eastAsia="Arial" w:hAnsi="Arial"/>
          <w:sz w:val="13"/>
          <w:szCs w:val="13"/>
          <w:color w:val="auto"/>
        </w:rPr>
        <w:t>3</w:t>
      </w:r>
      <w:r>
        <w:rPr>
          <w:rFonts w:ascii="Arial" w:cs="Arial" w:eastAsia="Arial" w:hAnsi="Arial"/>
          <w:sz w:val="16"/>
          <w:szCs w:val="16"/>
          <w:color w:val="auto"/>
        </w:rPr>
        <w:t xml:space="preserve"> In 2018 and 2019, for example, the FDA granted breakthrough therapy designation for psilocybin for use as a candidate in the treatment of Major Depressive Disorder (“</w:t>
      </w:r>
      <w:r>
        <w:rPr>
          <w:rFonts w:ascii="Arial" w:cs="Arial" w:eastAsia="Arial" w:hAnsi="Arial"/>
          <w:sz w:val="16"/>
          <w:szCs w:val="16"/>
          <w:b w:val="1"/>
          <w:bCs w:val="1"/>
          <w:color w:val="auto"/>
        </w:rPr>
        <w:t>MDD</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xml:space="preserve"> At present, treatments for such conditions are limited in effectiveness, with some traditional treatment methods posing a heightened risk of complications. By contrast, the Corporation expects that psychoactive compounds, such as psilocybin, may in time also emerge as a safer and healthier medical treatment alternative for various ailments.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https://www.baystreet.ca/stockstowatch/7145/Magic-Mushroom-Market-Set-to-Grow-10-Feet-Tall.</w:t>
      </w:r>
    </w:p>
    <w:p>
      <w:pPr>
        <w:spacing w:after="0" w:line="22" w:lineRule="exact"/>
        <w:rPr>
          <w:sz w:val="20"/>
          <w:szCs w:val="20"/>
          <w:color w:val="auto"/>
        </w:rPr>
      </w:pPr>
    </w:p>
    <w:p>
      <w:pPr>
        <w:ind w:left="340" w:right="340" w:hanging="224"/>
        <w:spacing w:after="0" w:line="250"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https://www.forbes.com/sites/davidcarpenter/2020/08/08/four-terminally-ill-canadians-gain-legal-right-to-use-magic-mushrooms-for-end-of-life-distress/#3194f50a2bdf.</w:t>
      </w:r>
    </w:p>
    <w:p>
      <w:pPr>
        <w:spacing w:after="0" w:line="1"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8"/>
          <w:szCs w:val="18"/>
          <w:color w:val="auto"/>
        </w:rPr>
        <w:t>https://www.healtheuropa.eu/worlds-first-magic-mushroom-nasal-spray-for-ptsd-and-depression/95434/.</w:t>
      </w:r>
    </w:p>
    <w:p>
      <w:pPr>
        <w:spacing w:after="0" w:line="9" w:lineRule="exact"/>
        <w:rPr>
          <w:sz w:val="20"/>
          <w:szCs w:val="20"/>
          <w:color w:val="auto"/>
        </w:rPr>
      </w:pPr>
    </w:p>
    <w:p>
      <w:pPr>
        <w:ind w:left="340" w:right="240" w:hanging="224"/>
        <w:spacing w:after="0" w:line="262"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8"/>
          <w:szCs w:val="18"/>
          <w:color w:val="auto"/>
        </w:rPr>
        <w:t>https://www.biopharmaglobal.com/2019/11/26/usona-institute-receives-fda-breakthrough-therapy-designation-for-psilocybin-for-the-treatment-of-major-depressive-disorder/.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Corporation’s target market is focused on psychedelic pharmaceutical and non-psychedelic products. The Corporation views its synthetic psychedelic substances as boosters for the brain that can potentially rebuild pathways and break negative patterns all while looking at non-psychedelic medical extracts as the next wave of nutraceuticals that can potentially optimize overall health.</w:t>
      </w:r>
      <w:r>
        <w:rPr>
          <w:rFonts w:ascii="Arial" w:cs="Arial" w:eastAsia="Arial" w:hAnsi="Arial"/>
          <w:sz w:val="15"/>
          <w:szCs w:val="15"/>
          <w:color w:val="auto"/>
        </w:rPr>
        <w:t>5</w:t>
      </w:r>
    </w:p>
    <w:p>
      <w:pPr>
        <w:spacing w:after="0" w:line="184"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 Corporation currently has two business segments: (a) Serenity Life and Cybin U.S. that focus on the research and development of psychedelic pharmaceutical products; and (b) Natures Journey that focuses on consumer mental wellness, including non-psychedelic nutraceutical products.</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incorporated by reference into this Prospectus.</w:t>
      </w:r>
    </w:p>
    <w:p>
      <w:pPr>
        <w:sectPr>
          <w:pgSz w:w="11900" w:h="16838" w:orient="portrait"/>
          <w:cols w:equalWidth="0" w:num="1">
            <w:col w:w="11120"/>
          </w:cols>
          <w:pgMar w:left="320" w:top="121" w:right="459" w:bottom="0" w:gutter="0" w:footer="0" w:header="0"/>
        </w:sectPr>
      </w:pPr>
    </w:p>
    <w:bookmarkStart w:id="40" w:name="page41"/>
    <w:bookmarkEnd w:id="40"/>
    <w:p>
      <w:pPr>
        <w:ind w:left="120"/>
        <w:spacing w:after="0"/>
        <w:rPr>
          <w:sz w:val="20"/>
          <w:szCs w:val="20"/>
          <w:color w:val="auto"/>
        </w:rPr>
      </w:pPr>
      <w:r>
        <w:rPr>
          <w:rFonts w:ascii="Arial" w:cs="Arial" w:eastAsia="Arial" w:hAnsi="Arial"/>
          <w:sz w:val="18"/>
          <w:szCs w:val="18"/>
          <w:b w:val="1"/>
          <w:bCs w:val="1"/>
          <w:color w:val="auto"/>
        </w:rPr>
        <w:t>Inter-Corporate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168910</wp:posOffset>
            </wp:positionV>
            <wp:extent cx="2005965" cy="2434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00596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right="1580"/>
        <w:spacing w:after="0" w:line="277" w:lineRule="auto"/>
        <w:rPr>
          <w:sz w:val="20"/>
          <w:szCs w:val="20"/>
          <w:color w:val="auto"/>
        </w:rPr>
      </w:pPr>
      <w:r>
        <w:rPr>
          <w:rFonts w:ascii="Arial" w:cs="Arial" w:eastAsia="Arial" w:hAnsi="Arial"/>
          <w:sz w:val="18"/>
          <w:szCs w:val="18"/>
          <w:color w:val="auto"/>
        </w:rPr>
        <w:t>Note: (1) The Adelia Shareholders (defined below) hold certain non-voting securities of Cybin US,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340" w:right="20" w:hanging="224"/>
        <w:spacing w:after="0" w:line="272"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 outbreak of COVID-19, the Corporation has focused its efforts on safeguarding the health and well-being of its employees, consultants and community members. To help slow the spread of COVID-19, the Corporation’s employees have been working remotely, where possible, and abiding by local and national guidance put in place in Canada, the United States, and Jamaica related to social distancing and restrictions on travel outside of the home. The Corporation has and will continue to abide by the protocols within Canada, the United States, and Jamaica regarding the performance of work activities. The duration and the immediate and eventual impact of the COVID-19 pandemic remains unknown. In particular, it is not possible to reliably estimate the length and severity of these developments and the impact on the financial results and condition of the Corporation. To date, a number of businesses have suspended or scaled back their operations and development as cases of COVID-19 have been confirmed, for precautionary purposes or as governments have declared a state of emergency or taken other actions. In the event that the operations or development of the Corporation are suspended or scaled back, or if the Corporation’s supply chains are disrupted, such events may have a material adverse effect on the Corporation. The breadth of the impact of the COVID-19 pandemic on investors, businesses, the global economy and financial and commodity markets may also have a material adverse effect on the Corporation.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Risk Factors – Risks Related to the Business of the Corporation – Novel Coronavirus COVID-19”</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 Recent Developments</w:t>
      </w:r>
    </w:p>
    <w:p>
      <w:pPr>
        <w:spacing w:after="0" w:line="117"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color w:val="auto"/>
        </w:rPr>
        <w:t>On December 4, 2020, the Corporation entered into a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with Cybin Corp., Cybin U.S. and all of the shareholders (the “</w:t>
      </w:r>
      <w:r>
        <w:rPr>
          <w:rFonts w:ascii="Arial" w:cs="Arial" w:eastAsia="Arial" w:hAnsi="Arial"/>
          <w:sz w:val="16"/>
          <w:szCs w:val="16"/>
          <w:b w:val="1"/>
          <w:bCs w:val="1"/>
          <w:color w:val="auto"/>
        </w:rPr>
        <w:t>Adelia Shareholders</w:t>
      </w:r>
      <w:r>
        <w:rPr>
          <w:rFonts w:ascii="Arial" w:cs="Arial" w:eastAsia="Arial" w:hAnsi="Arial"/>
          <w:sz w:val="16"/>
          <w:szCs w:val="16"/>
          <w:color w:val="auto"/>
        </w:rPr>
        <w:t>”)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whereby Cybin U.S. agreed to purchase from the Adelia Shareholders all of the issued and outstanding Adelia shares in exchange for the Class B Shares. The Adelia Transaction closed on December 14, 2020.</w:t>
      </w:r>
    </w:p>
    <w:p>
      <w:pPr>
        <w:spacing w:after="0" w:line="14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auto"/>
        </w:rPr>
        <w:t>Pursuant to the Contribution Agreement and the support agreement entered into among Cybin U.S. and the Adelia Shareholders (the “</w:t>
      </w:r>
      <w:r>
        <w:rPr>
          <w:rFonts w:ascii="Arial" w:cs="Arial" w:eastAsia="Arial" w:hAnsi="Arial"/>
          <w:sz w:val="18"/>
          <w:szCs w:val="18"/>
          <w:b w:val="1"/>
          <w:bCs w:val="1"/>
          <w:color w:val="auto"/>
        </w:rPr>
        <w:t>Support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Adelia Shareholders received non-voting Class B common shares in the capital of Cybin U.S. (each a “</w:t>
      </w:r>
      <w:r>
        <w:rPr>
          <w:rFonts w:ascii="Arial" w:cs="Arial" w:eastAsia="Arial" w:hAnsi="Arial"/>
          <w:sz w:val="18"/>
          <w:szCs w:val="18"/>
          <w:b w:val="1"/>
          <w:bCs w:val="1"/>
          <w:color w:val="auto"/>
        </w:rPr>
        <w:t>Class B Share</w:t>
      </w:r>
      <w:r>
        <w:rPr>
          <w:rFonts w:ascii="Arial" w:cs="Arial" w:eastAsia="Arial" w:hAnsi="Arial"/>
          <w:sz w:val="18"/>
          <w:szCs w:val="18"/>
          <w:color w:val="auto"/>
        </w:rPr>
        <w:t>”),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Common Shares, on a 10 Common Shares for 1 Class B Share basis, at the option of the holder thereof, subject to customary adjustments. The Class B Shares issued to the Adelia Shareholders on the closing of the Adelia Transaction are exchangeable for a total of 8,688,330 Common Shares. The aggregate value of the Class B Shares to be issued to the Adelia Shareholders on the closing of the Adelia Transaction was $10,773,529.50.</w:t>
      </w:r>
    </w:p>
    <w:p>
      <w:pPr>
        <w:spacing w:after="0" w:line="19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Contribution Agreement, the Adelia Shareholders are also entitled to Class B Shares upon the occurrence of certain milestones as set out in the Contribution Agreement, which are also exchangeable for Common Shares on a 10 Common Shares for 1 Class B Share basis. The total value of the Class B Shares issuable pursuant to the milestones is up to $9,388,045.50 assuming all milestones are met prior to the applicable deadlines. In March, 2021, pursuant to the terms of the Contribution Agreement, an aggregate of 42,247.3 Class B Shares were issued to the Adelia Shareholders in satisfaction of $686,306.31 due to them upon meeting the certain relevant milestone.</w:t>
      </w:r>
    </w:p>
    <w:p>
      <w:pPr>
        <w:spacing w:after="0" w:line="176"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No Class B Shares are exchangeable prior to the first anniversary of closing of the Adelia Transaction, and not more than: (i) 33 1/3% of the Class B Shares will be exchangeable prior to the second anniversary of the Adelia Transaction; (ii) 66 2/3% of the Class B Shares will be exchangeable prior to</w:t>
      </w:r>
    </w:p>
    <w:p>
      <w:pPr>
        <w:sectPr>
          <w:pgSz w:w="11900" w:h="16838" w:orient="portrait"/>
          <w:cols w:equalWidth="0" w:num="1">
            <w:col w:w="11080"/>
          </w:cols>
          <w:pgMar w:left="320" w:top="121" w:right="499" w:bottom="0" w:gutter="0" w:footer="0" w:header="0"/>
        </w:sectPr>
      </w:pPr>
    </w:p>
    <w:bookmarkStart w:id="41" w:name="page42"/>
    <w:bookmarkEnd w:id="41"/>
    <w:p>
      <w:pPr>
        <w:ind w:left="120" w:right="160"/>
        <w:spacing w:after="0" w:line="342" w:lineRule="auto"/>
        <w:rPr>
          <w:sz w:val="20"/>
          <w:szCs w:val="20"/>
          <w:color w:val="auto"/>
        </w:rPr>
      </w:pPr>
      <w:r>
        <w:rPr>
          <w:rFonts w:ascii="Arial" w:cs="Arial" w:eastAsia="Arial" w:hAnsi="Arial"/>
          <w:sz w:val="16"/>
          <w:szCs w:val="16"/>
          <w:color w:val="auto"/>
        </w:rPr>
        <w:t>the third anniversary of the Adelia Transaction; and (iii) thereafter, 100% of the Class B Shares will be exchangeable. The Class B Shares issued to the Adelia Shareholders are exchangeable for a total of 511,631 Common Shares, resulting in an effective issue price of $1.99 per Common Share.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REGULATORY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Business Segment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Current/Proposed</w:t>
            </w:r>
          </w:p>
        </w:tc>
        <w:tc>
          <w:tcPr>
            <w:tcW w:w="200" w:type="dxa"/>
            <w:vAlign w:val="bottom"/>
          </w:tcPr>
          <w:p>
            <w:pPr>
              <w:spacing w:after="0"/>
              <w:rPr>
                <w:sz w:val="14"/>
                <w:szCs w:val="14"/>
                <w:color w:val="auto"/>
              </w:rPr>
            </w:pPr>
          </w:p>
        </w:tc>
        <w:tc>
          <w:tcPr>
            <w:tcW w:w="50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Summary of Applicable Regulatory Frameworks</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Operation</w:t>
            </w:r>
          </w:p>
        </w:tc>
        <w:tc>
          <w:tcPr>
            <w:tcW w:w="200" w:type="dxa"/>
            <w:vAlign w:val="bottom"/>
          </w:tcPr>
          <w:p>
            <w:pPr>
              <w:spacing w:after="0"/>
              <w:rPr>
                <w:sz w:val="14"/>
                <w:szCs w:val="14"/>
                <w:color w:val="auto"/>
              </w:rPr>
            </w:pPr>
          </w:p>
        </w:tc>
        <w:tc>
          <w:tcPr>
            <w:tcW w:w="5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Serenity Life &amp; Cybin U.S.</w:t>
            </w:r>
            <w:r>
              <w:rPr>
                <w:rFonts w:ascii="Arial" w:cs="Arial" w:eastAsia="Arial" w:hAnsi="Arial"/>
                <w:sz w:val="15"/>
                <w:szCs w:val="15"/>
                <w:b w:val="1"/>
                <w:bCs w:val="1"/>
                <w:color w:val="auto"/>
              </w:rPr>
              <w:t>(1)</w:t>
            </w:r>
          </w:p>
        </w:tc>
        <w:tc>
          <w:tcPr>
            <w:tcW w:w="2640" w:type="dxa"/>
            <w:vAlign w:val="bottom"/>
          </w:tcPr>
          <w:p>
            <w:pPr>
              <w:jc w:val="center"/>
              <w:spacing w:after="0" w:line="189" w:lineRule="exact"/>
              <w:rPr>
                <w:sz w:val="20"/>
                <w:szCs w:val="20"/>
                <w:color w:val="auto"/>
              </w:rPr>
            </w:pPr>
            <w:r>
              <w:rPr>
                <w:rFonts w:ascii="Arial" w:cs="Arial" w:eastAsia="Arial" w:hAnsi="Arial"/>
                <w:sz w:val="18"/>
                <w:szCs w:val="18"/>
                <w:color w:val="auto"/>
                <w:w w:val="91"/>
              </w:rPr>
              <w:t>Canada, United Kingdom, United</w:t>
            </w:r>
          </w:p>
        </w:tc>
        <w:tc>
          <w:tcPr>
            <w:tcW w:w="20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w w:val="91"/>
              </w:rPr>
              <w:t>The Canadian and United States federal governments regulate drugs</w:t>
            </w: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States &amp; Jamaica</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2"/>
              </w:rPr>
              <w:t>through the CDSA and the CSA, respectively, which place controlled</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substances in a schedule.</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Under the CDSA, psilocybin is currently a Schedule III drug.</w:t>
            </w: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Under the CSA, psilocybin is currently a Schedule I drug.</w:t>
            </w: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Misuse of Drugs Regulations 2001 and the Misuse of Drugs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Regulations 2001</w:t>
            </w:r>
          </w:p>
        </w:tc>
        <w:tc>
          <w:tcPr>
            <w:tcW w:w="0" w:type="dxa"/>
            <w:vAlign w:val="bottom"/>
          </w:tcPr>
          <w:p>
            <w:pPr>
              <w:spacing w:after="0"/>
              <w:rPr>
                <w:sz w:val="1"/>
                <w:szCs w:val="1"/>
                <w:color w:val="auto"/>
              </w:rPr>
            </w:pPr>
          </w:p>
        </w:tc>
      </w:tr>
      <w:tr>
        <w:trPr>
          <w:trHeight w:val="338"/>
        </w:trPr>
        <w:tc>
          <w:tcPr>
            <w:tcW w:w="3100" w:type="dxa"/>
            <w:vAlign w:val="bottom"/>
            <w:gridSpan w:val="2"/>
          </w:tcPr>
          <w:p>
            <w:pPr>
              <w:spacing w:after="0"/>
              <w:rPr>
                <w:sz w:val="20"/>
                <w:szCs w:val="20"/>
                <w:color w:val="auto"/>
              </w:rPr>
            </w:pPr>
            <w:r>
              <w:rPr>
                <w:rFonts w:ascii="Arial" w:cs="Arial" w:eastAsia="Arial" w:hAnsi="Arial"/>
                <w:sz w:val="18"/>
                <w:szCs w:val="18"/>
                <w:color w:val="auto"/>
              </w:rPr>
              <w:t>Natures Journey</w:t>
            </w:r>
            <w:r>
              <w:rPr>
                <w:rFonts w:ascii="Arial" w:cs="Arial" w:eastAsia="Arial" w:hAnsi="Arial"/>
                <w:sz w:val="15"/>
                <w:szCs w:val="15"/>
                <w:b w:val="1"/>
                <w:bCs w:val="1"/>
                <w:color w:val="auto"/>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Canada and the United States</w:t>
            </w: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 xml:space="preserve">Food and Drugs Act </w:t>
            </w: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Dietary Supplement Health and Education Act of 1994</w:t>
            </w:r>
          </w:p>
        </w:tc>
        <w:tc>
          <w:tcPr>
            <w:tcW w:w="0" w:type="dxa"/>
            <w:vAlign w:val="bottom"/>
          </w:tcPr>
          <w:p>
            <w:pPr>
              <w:spacing w:after="0"/>
              <w:rPr>
                <w:sz w:val="1"/>
                <w:szCs w:val="1"/>
                <w:color w:val="auto"/>
              </w:rPr>
            </w:pPr>
          </w:p>
        </w:tc>
      </w:tr>
      <w:tr>
        <w:trPr>
          <w:trHeight w:val="338"/>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The Federal Food, Drug, and Cosmetic Act</w:t>
            </w:r>
          </w:p>
        </w:tc>
        <w:tc>
          <w:tcPr>
            <w:tcW w:w="0" w:type="dxa"/>
            <w:vAlign w:val="bottom"/>
          </w:tcPr>
          <w:p>
            <w:pPr>
              <w:spacing w:after="0"/>
              <w:rPr>
                <w:sz w:val="1"/>
                <w:szCs w:val="1"/>
                <w:color w:val="auto"/>
              </w:rPr>
            </w:pPr>
          </w:p>
        </w:tc>
      </w:tr>
      <w:tr>
        <w:trPr>
          <w:trHeight w:val="323"/>
        </w:trPr>
        <w:tc>
          <w:tcPr>
            <w:tcW w:w="3100" w:type="dxa"/>
            <w:vAlign w:val="bottom"/>
            <w:gridSpan w:val="2"/>
          </w:tcPr>
          <w:p>
            <w:pPr>
              <w:spacing w:after="0"/>
              <w:rPr>
                <w:sz w:val="20"/>
                <w:szCs w:val="20"/>
                <w:color w:val="auto"/>
              </w:rPr>
            </w:pPr>
            <w:r>
              <w:rPr>
                <w:rFonts w:ascii="Arial" w:cs="Arial" w:eastAsia="Arial" w:hAnsi="Arial"/>
                <w:sz w:val="18"/>
                <w:szCs w:val="18"/>
                <w:color w:val="auto"/>
              </w:rPr>
              <w:t>Jamaica Research &amp; Development</w:t>
            </w:r>
          </w:p>
        </w:tc>
        <w:tc>
          <w:tcPr>
            <w:tcW w:w="2640" w:type="dxa"/>
            <w:vAlign w:val="bottom"/>
          </w:tcPr>
          <w:p>
            <w:pPr>
              <w:jc w:val="center"/>
              <w:spacing w:after="0"/>
              <w:rPr>
                <w:sz w:val="20"/>
                <w:szCs w:val="20"/>
                <w:color w:val="auto"/>
              </w:rPr>
            </w:pPr>
            <w:r>
              <w:rPr>
                <w:rFonts w:ascii="Arial" w:cs="Arial" w:eastAsia="Arial" w:hAnsi="Arial"/>
                <w:sz w:val="18"/>
                <w:szCs w:val="18"/>
                <w:color w:val="auto"/>
                <w:w w:val="86"/>
              </w:rPr>
              <w:t>Jamaica</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Psilocybin mushrooms are not an illegal drug under Jamaica’s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Dangerous Drugs Act, 1948</w:t>
            </w:r>
            <w:r>
              <w:rPr>
                <w:rFonts w:ascii="Arial" w:cs="Arial" w:eastAsia="Arial" w:hAnsi="Arial"/>
                <w:sz w:val="18"/>
                <w:szCs w:val="18"/>
                <w:color w:val="auto"/>
              </w:rPr>
              <w:t>.</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7"/>
              </w:rPr>
              <w:t>The Corporation’s activity in relation to the sponsored research of</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w w:val="92"/>
              </w:rPr>
              <w:t>psilocybin mushrooms, botanicals and other related fungi is limited to</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the jurisdiction of Jamaica.</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the research, development and commercialization of psychedelic-inspired regulation medicines.</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8"/>
          <w:szCs w:val="18"/>
          <w:i w:val="1"/>
          <w:iCs w:val="1"/>
          <w:color w:val="auto"/>
        </w:rPr>
        <w:t>“Regulatory Overview –</w:t>
      </w:r>
      <w:r>
        <w:rPr>
          <w:rFonts w:ascii="Arial" w:cs="Arial" w:eastAsia="Arial" w:hAnsi="Arial"/>
          <w:sz w:val="18"/>
          <w:szCs w:val="18"/>
          <w:color w:val="auto"/>
        </w:rPr>
        <w:t xml:space="preserve">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Canadian regulatory framework, see </w:t>
      </w:r>
      <w:r>
        <w:rPr>
          <w:rFonts w:ascii="Arial" w:cs="Arial" w:eastAsia="Arial" w:hAnsi="Arial"/>
          <w:sz w:val="18"/>
          <w:szCs w:val="18"/>
          <w:i w:val="1"/>
          <w:iCs w:val="1"/>
          <w:color w:val="auto"/>
        </w:rPr>
        <w:t>“Regulatory Overview – Canada – Psychedelics.”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For further information on the United States regulatory framework, see </w:t>
      </w:r>
      <w:r>
        <w:rPr>
          <w:rFonts w:ascii="Arial" w:cs="Arial" w:eastAsia="Arial" w:hAnsi="Arial"/>
          <w:sz w:val="18"/>
          <w:szCs w:val="18"/>
          <w:i w:val="1"/>
          <w:iCs w:val="1"/>
          <w:color w:val="auto"/>
        </w:rPr>
        <w:t>“Regulatory Overview – United States.”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segment focuses on consumer mental wellness, including non-psychedelic mushroom nutraceutical products.</w:t>
      </w:r>
    </w:p>
    <w:p>
      <w:pPr>
        <w:spacing w:after="0" w:line="9" w:lineRule="exact"/>
        <w:rPr>
          <w:rFonts w:ascii="Arial" w:cs="Arial" w:eastAsia="Arial" w:hAnsi="Arial"/>
          <w:sz w:val="18"/>
          <w:szCs w:val="18"/>
          <w:color w:val="auto"/>
        </w:rPr>
      </w:pPr>
    </w:p>
    <w:p>
      <w:pPr>
        <w:ind w:left="540" w:right="70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Psilocybin mushrooms do not fall within the definition of a dangerous drug under the </w:t>
      </w:r>
      <w:r>
        <w:rPr>
          <w:rFonts w:ascii="Arial" w:cs="Arial" w:eastAsia="Arial" w:hAnsi="Arial"/>
          <w:sz w:val="18"/>
          <w:szCs w:val="18"/>
          <w:i w:val="1"/>
          <w:iCs w:val="1"/>
          <w:color w:val="auto"/>
        </w:rPr>
        <w:t>Dangerous Drugs Act</w:t>
      </w:r>
      <w:r>
        <w:rPr>
          <w:rFonts w:ascii="Arial" w:cs="Arial" w:eastAsia="Arial" w:hAnsi="Arial"/>
          <w:sz w:val="18"/>
          <w:szCs w:val="18"/>
          <w:color w:val="auto"/>
        </w:rPr>
        <w:t xml:space="preserve">, </w:t>
      </w:r>
      <w:r>
        <w:rPr>
          <w:rFonts w:ascii="Arial" w:cs="Arial" w:eastAsia="Arial" w:hAnsi="Arial"/>
          <w:sz w:val="18"/>
          <w:szCs w:val="18"/>
          <w:i w:val="1"/>
          <w:iCs w:val="1"/>
          <w:color w:val="auto"/>
        </w:rPr>
        <w:t>1948</w:t>
      </w:r>
      <w:r>
        <w:rPr>
          <w:rFonts w:ascii="Arial" w:cs="Arial" w:eastAsia="Arial" w:hAnsi="Arial"/>
          <w:sz w:val="18"/>
          <w:szCs w:val="18"/>
          <w:color w:val="auto"/>
        </w:rPr>
        <w:t xml:space="preserve"> in Jamaica. For further information on the Jamaica regulatory framework, see </w:t>
      </w:r>
      <w:r>
        <w:rPr>
          <w:rFonts w:ascii="Arial" w:cs="Arial" w:eastAsia="Arial" w:hAnsi="Arial"/>
          <w:sz w:val="18"/>
          <w:szCs w:val="18"/>
          <w:i w:val="1"/>
          <w:iCs w:val="1"/>
          <w:color w:val="auto"/>
        </w:rPr>
        <w:t>“Regulatory Overview – Jamaica.”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Psychedelics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9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 The Corporation has not applied for a Section 56 Exemption from Health Canada.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government approval for a Section 56 Exemption to allow for the possession, transport or production of a controlled substance for medical or scientific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purposes. Products that contain a controlled substance such as psilocybin cannot be made, transported or sold without proper authorization from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government. A party can apply for a Dealer’s Licence under the Food and Drug Regulations (Part J). In order to qualify as a licensed dealer, a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must meet all regulatory requirements mandated by the regulations including having compliant facilities, compliant materials and staff that meet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qualifications under the regulations of a senior person in charge and a qualified person in charge. Assuming compliance with all relevant laws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w:t>
      </w:r>
      <w:r>
        <w:rPr>
          <w:rFonts w:ascii="Arial" w:cs="Arial" w:eastAsia="Arial" w:hAnsi="Arial"/>
          <w:sz w:val="16"/>
          <w:szCs w:val="16"/>
          <w:i w:val="1"/>
          <w:iCs w:val="1"/>
          <w:color w:val="auto"/>
        </w:rPr>
        <w:t>Food and Drugs Regulations</w:t>
      </w:r>
      <w:r>
        <w:rPr>
          <w:rFonts w:ascii="Arial" w:cs="Arial" w:eastAsia="Arial" w:hAnsi="Arial"/>
          <w:sz w:val="16"/>
          <w:szCs w:val="16"/>
          <w:color w:val="auto"/>
        </w:rPr>
        <w:t>) and subject to any restrictions placed on the licence by Health Canada, an entity</w:t>
      </w:r>
    </w:p>
    <w:p>
      <w:pPr>
        <w:sectPr>
          <w:pgSz w:w="11900" w:h="16838" w:orient="portrait"/>
          <w:cols w:equalWidth="0" w:num="1">
            <w:col w:w="11140"/>
          </w:cols>
          <w:pgMar w:left="320" w:top="125" w:right="439" w:bottom="0" w:gutter="0" w:footer="0" w:header="0"/>
        </w:sectPr>
      </w:pPr>
    </w:p>
    <w:bookmarkStart w:id="42" w:name="page43"/>
    <w:bookmarkEnd w:id="42"/>
    <w:p>
      <w:pPr>
        <w:ind w:left="120" w:right="180"/>
        <w:spacing w:after="0" w:line="308" w:lineRule="auto"/>
        <w:rPr>
          <w:sz w:val="20"/>
          <w:szCs w:val="20"/>
          <w:color w:val="auto"/>
        </w:rPr>
      </w:pPr>
      <w:r>
        <w:rPr>
          <w:rFonts w:ascii="Arial" w:cs="Arial" w:eastAsia="Arial" w:hAnsi="Arial"/>
          <w:sz w:val="17"/>
          <w:szCs w:val="17"/>
          <w:color w:val="auto"/>
        </w:rPr>
        <w:t>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4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licences and approvals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NHPs, prescription drugs, and non-prescription drugs are all classified and regulated under the Canadian FDA.</w:t>
      </w:r>
    </w:p>
    <w:p>
      <w:pPr>
        <w:spacing w:after="0" w:line="22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product safety, quality, manufacturing, packaging, labeling, storage, importation, advertising, distribution, sale and clinical trials of NHPs, drugs, cosmetics and foods are subject to regulation primarily under the Canadian FDA and associated regulations, including the Food and Drug Regulations, Cosmetic Regulations and the Natural Health Products Regulations, and related Health Canada guidance documents and policies (collectively, the “</w:t>
      </w:r>
      <w:r>
        <w:rPr>
          <w:rFonts w:ascii="Arial" w:cs="Arial" w:eastAsia="Arial" w:hAnsi="Arial"/>
          <w:sz w:val="16"/>
          <w:szCs w:val="16"/>
          <w:b w:val="1"/>
          <w:bCs w:val="1"/>
          <w:color w:val="auto"/>
        </w:rPr>
        <w:t>Canadian Regulations</w:t>
      </w:r>
      <w:r>
        <w:rPr>
          <w:rFonts w:ascii="Arial" w:cs="Arial" w:eastAsia="Arial" w:hAnsi="Arial"/>
          <w:sz w:val="16"/>
          <w:szCs w:val="16"/>
          <w:color w:val="auto"/>
        </w:rPr>
        <w:t xml:space="preserve">”). In addition, drugs and NHPs are regulated under the federal </w:t>
      </w:r>
      <w:r>
        <w:rPr>
          <w:rFonts w:ascii="Arial" w:cs="Arial" w:eastAsia="Arial" w:hAnsi="Arial"/>
          <w:sz w:val="16"/>
          <w:szCs w:val="16"/>
          <w:i w:val="1"/>
          <w:iCs w:val="1"/>
          <w:color w:val="auto"/>
        </w:rPr>
        <w:t>Controlled Drugs and Substances Act</w:t>
      </w:r>
      <w:r>
        <w:rPr>
          <w:rFonts w:ascii="Arial" w:cs="Arial" w:eastAsia="Arial" w:hAnsi="Arial"/>
          <w:sz w:val="16"/>
          <w:szCs w:val="16"/>
          <w:color w:val="auto"/>
        </w:rPr>
        <w:t xml:space="preserve"> if the product is considered a “controlled substance” or a “precursor,” as defined in that statute or in related regulatory provisions.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Health Canada is primarily responsible for administering the Canadian Regulations.</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Health Canada and the Canadian Regulations also set out requirements for establishment and site licences, market authorization for drugs and NHP licences. Each NHP must have a product licence or a Homeopathic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Medicine Number (“</w:t>
      </w:r>
      <w:r>
        <w:rPr>
          <w:rFonts w:ascii="Arial" w:cs="Arial" w:eastAsia="Arial" w:hAnsi="Arial"/>
          <w:sz w:val="17"/>
          <w:szCs w:val="17"/>
          <w:b w:val="1"/>
          <w:bCs w:val="1"/>
          <w:color w:val="auto"/>
        </w:rPr>
        <w:t>DIN-HM</w:t>
      </w:r>
      <w:r>
        <w:rPr>
          <w:rFonts w:ascii="Arial" w:cs="Arial" w:eastAsia="Arial" w:hAnsi="Arial"/>
          <w:sz w:val="17"/>
          <w:szCs w:val="17"/>
          <w:color w:val="auto"/>
        </w:rPr>
        <w:t>”) issued by Health Canada before it can be sold in Canada. Health Canada assigns a natural health product number</w:t>
      </w:r>
    </w:p>
    <w:p>
      <w:pPr>
        <w:spacing w:after="0" w:line="39"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NPN</w:t>
      </w:r>
      <w:r>
        <w:rPr>
          <w:rFonts w:ascii="Arial" w:cs="Arial" w:eastAsia="Arial" w:hAnsi="Arial"/>
          <w:sz w:val="16"/>
          <w:szCs w:val="16"/>
          <w:color w:val="auto"/>
        </w:rPr>
        <w:t>”) to each NHP once Health Canada issues the licence for that NHP. The Canadian Regulations require that all drugs and NHPs be manufactured, packaged, labeled, imported, distributed and stored under Canadian Good Manufacturing Practices (“</w:t>
      </w:r>
      <w:r>
        <w:rPr>
          <w:rFonts w:ascii="Arial" w:cs="Arial" w:eastAsia="Arial" w:hAnsi="Arial"/>
          <w:sz w:val="16"/>
          <w:szCs w:val="16"/>
          <w:b w:val="1"/>
          <w:bCs w:val="1"/>
          <w:color w:val="auto"/>
        </w:rPr>
        <w:t>GMP</w:t>
      </w:r>
      <w:r>
        <w:rPr>
          <w:rFonts w:ascii="Arial" w:cs="Arial" w:eastAsia="Arial" w:hAnsi="Arial"/>
          <w:sz w:val="16"/>
          <w:szCs w:val="16"/>
          <w:color w:val="auto"/>
        </w:rPr>
        <w:t>”) or the equivalent thereto, and that all premises used for manufacturing, packaging, labeling and importing drugs and NHPs have a site licence (NHPs) or establishment licence (drugs), which requires GMP compliance. The Canadian Regulations also set out requirements for labeling, packaging, clinical trials and adverse reaction reporting.</w:t>
      </w:r>
    </w:p>
    <w:p>
      <w:pPr>
        <w:spacing w:after="0" w:line="16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Health Canada and the Canadian Regulations, among other things, govern the manufacture, formulation, packaging, labeling, advertising and sale of NHPs and drugs, and regulate what may be represented on labels and in promotional materials regarding the claimed properties of products. The Canadian Regulations also require NHPs and drugs sold in Canada to affix a label showing specified information, such as the proper and common name of the medicinal and non- medicinal ingredients and their source, the name and address of the manufacturer/product licence holder, its lot number, adequate directions for use, a quantitative list of its medical ingredients and its expiration date. In addition, the Canadian Regulations require labeling to bear evidence of the marketing authorization as evidenced by the designation drug identification number, DIN-HM or NPN, followed by an eight-digit number assigned to the product and issued by Health Canada.</w:t>
      </w:r>
    </w:p>
    <w:p>
      <w:pPr>
        <w:spacing w:after="0" w:line="17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Corporation’s expected nutraceutical products will be considered “food” and, as such, will be principally regulated under the Canadian FDA and the Canadian Regulations. The Corporation must ensure that the labelling, marketing and selling of any of its products comply with the Canadian FDA, including by ensuring that the Corporation’s products are not packaged or marketed in a manner that is misleading or deceptive to a consumer.</w:t>
      </w:r>
    </w:p>
    <w:p>
      <w:pPr>
        <w:spacing w:after="0" w:line="14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Business—Research and Development”</w:t>
      </w:r>
      <w:r>
        <w:rPr>
          <w:rFonts w:ascii="Arial" w:cs="Arial" w:eastAsia="Arial" w:hAnsi="Arial"/>
          <w:sz w:val="18"/>
          <w:szCs w:val="18"/>
          <w:color w:val="auto"/>
        </w:rPr>
        <w:t xml:space="preserve"> in the Corporation’s Annual Information Form for additional information concerning the regulation applicable to the process required before prescription drug product candidates may be marketed in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7"/>
          <w:szCs w:val="17"/>
          <w:b w:val="1"/>
          <w:bCs w:val="1"/>
          <w:color w:val="auto"/>
        </w:rPr>
        <w:t>IND</w:t>
      </w:r>
      <w:r>
        <w:rPr>
          <w:rFonts w:ascii="Arial" w:cs="Arial" w:eastAsia="Arial" w:hAnsi="Arial"/>
          <w:sz w:val="17"/>
          <w:szCs w:val="17"/>
          <w:color w:val="auto"/>
        </w:rPr>
        <w:t>”) with the FDA in the first half of 2021.</w:t>
      </w:r>
      <w:r>
        <w:rPr>
          <w:rFonts w:ascii="Arial" w:cs="Arial" w:eastAsia="Arial" w:hAnsi="Arial"/>
          <w:sz w:val="14"/>
          <w:szCs w:val="14"/>
          <w:color w:val="auto"/>
        </w:rPr>
        <w:t>6</w:t>
      </w:r>
    </w:p>
    <w:p>
      <w:pPr>
        <w:spacing w:after="0" w:line="17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0"/>
          <w:szCs w:val="20"/>
          <w:color w:val="auto"/>
        </w:rPr>
      </w:pPr>
    </w:p>
    <w:p>
      <w:pPr>
        <w:ind w:left="340" w:right="60" w:hanging="224"/>
        <w:spacing w:after="0" w:line="275"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7"/>
          <w:szCs w:val="17"/>
          <w:color w:val="auto"/>
        </w:rPr>
        <w:t>The Corporation has not yet held a pre-IND meeting with the FDA, in preparation for the filing of an IND application for the Sublingual Film. The Corporation has assumed that the FDA will grant such a Pre-IND meeting and that it will be able to complete the IND approval process; however, there is no guarantee that any such IND application will be accepted or granted by FDA. The Corporation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color w:val="auto"/>
        </w:rPr>
        <w:t>substances listed in Schedule I under the CSA must register with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and obtain DEA approval of the research proposal.</w:t>
      </w:r>
    </w:p>
    <w:p>
      <w:pPr>
        <w:sectPr>
          <w:pgSz w:w="11900" w:h="16838" w:orient="portrait"/>
          <w:cols w:equalWidth="0" w:num="1">
            <w:col w:w="11120"/>
          </w:cols>
          <w:pgMar w:left="320" w:top="125" w:right="459" w:bottom="0" w:gutter="0" w:footer="0" w:header="0"/>
        </w:sectPr>
      </w:pPr>
    </w:p>
    <w:bookmarkStart w:id="43" w:name="page44"/>
    <w:bookmarkEnd w:id="43"/>
    <w:p>
      <w:pPr>
        <w:ind w:left="120" w:right="220"/>
        <w:spacing w:after="0" w:line="308"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“Description of the Business – Research and Development”</w:t>
      </w:r>
      <w:r>
        <w:rPr>
          <w:rFonts w:ascii="Arial" w:cs="Arial" w:eastAsia="Arial" w:hAnsi="Arial"/>
          <w:sz w:val="17"/>
          <w:szCs w:val="17"/>
          <w:color w:val="auto"/>
        </w:rPr>
        <w:t xml:space="preserve"> in the Corporation’s Annual Information Form for additional information concerning the regulation applicable to the process required before prescription drug product candidates may be marketed in the United States.</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The FDA also regulates the formulation, manufacturing, preparation, packaging, labeling, holding, and distribution of foods, drugs and dietary supplements under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w:t>
      </w:r>
      <w:r>
        <w:rPr>
          <w:rFonts w:ascii="Arial" w:cs="Arial" w:eastAsia="Arial" w:hAnsi="Arial"/>
          <w:sz w:val="17"/>
          <w:szCs w:val="17"/>
          <w:b w:val="1"/>
          <w:bCs w:val="1"/>
          <w:color w:val="auto"/>
        </w:rPr>
        <w:t>FFDCA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Dietary Supplement Health and Education Act of 1994</w:t>
      </w:r>
      <w:r>
        <w:rPr>
          <w:rFonts w:ascii="Arial" w:cs="Arial" w:eastAsia="Arial" w:hAnsi="Arial"/>
          <w:sz w:val="17"/>
          <w:szCs w:val="17"/>
          <w:color w:val="auto"/>
        </w:rPr>
        <w:t xml:space="preserve"> (“</w:t>
      </w:r>
      <w:r>
        <w:rPr>
          <w:rFonts w:ascii="Arial" w:cs="Arial" w:eastAsia="Arial" w:hAnsi="Arial"/>
          <w:sz w:val="17"/>
          <w:szCs w:val="17"/>
          <w:b w:val="1"/>
          <w:bCs w:val="1"/>
          <w:color w:val="auto"/>
        </w:rPr>
        <w:t>DSHEA</w:t>
      </w:r>
      <w:r>
        <w:rPr>
          <w:rFonts w:ascii="Arial" w:cs="Arial" w:eastAsia="Arial" w:hAnsi="Arial"/>
          <w:sz w:val="17"/>
          <w:szCs w:val="17"/>
          <w:color w:val="auto"/>
        </w:rPr>
        <w:t>”). “Dietary supplements” are defined as vitamins, minerals, herbs, other botanicals, amino acids and other dietary substances for human use to supplement the diet, as well as concentrates, metabolites, constituents, extracts or combinations of such dietary ingredients. Generally, under DSHEA, dietary ingredients that were on the market prior to October 15, 1994 may be used in dietary supplements without notifying the FDA. New dietary ingredients (i.e., not marketed in the U.S. prior to October 15, 1994) must be the subject of a new dietary ingredient notification submitted to the FDA unless the ingredient has been “present in the food supply as an article used for food” without being “chemically altered.” A new dietary ingredient notification must provide the FDA with evidence of a “history of use or other evidence of safety” establishing that use of the dietary ingredient, when used under the conditions recommended or suggested in the labeling of the dietary supplement, “will reasonably be expected to be safe.” A new dietary ingredient notification must be submitted to the FDA at least 75 days before the initial marketing of the new dietary ingredient. There can be no assurance that the FDA will accept the evidence of safety for any new dietary ingredients that the Corporation may want to market, and the FDA’s refusal to accept such evidence could prevent the marketing of such dietary ingredients.</w:t>
      </w:r>
    </w:p>
    <w:p>
      <w:pPr>
        <w:spacing w:after="0" w:line="17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The DSHEA revised the provisions of the FFDCA concerning the composition and labeling of dietary supplement ingredients and products. Under the DSHEA, dietary supplement labeling must include the statement of identity (name of the dietary supplement), the net quantity of contents statement (amount of the dietary supplement), the nutrition labeling, the ingredient list, and the name and place of business of the manufacturer, packer, or distributor. The DSHEA also states that dietary supplements may display “statements of nutritional support,” provided certain requirements are met. Such statements must be submitted to the FDA within 30 days of first use in marketing and must be accompanied by a label disclosure that “This statement has not been evaluated by the Food and Drug Administration. This product is not intended to diagnose, treat, cure, or prevent any disease.” Such statements may describe how a particular dietary ingredient affects the structure, function or general well-being of the body, or the mechanism of action by which a dietary ingredient may affect body structure, function or well-being, but may not expressly or implicitly represent that a dietary supplement will diagnose, cure, mitigate, treat, or prevent a disease. Any statement of nutritional support the Corporation makes in labeling must possess scientific evidence substantiating that the statement is truthful and not misleading. If the FDA were to determine that a particular statement of nutritional support was an unacceptable drug claim or an unauthorized version of a health claim about disease risk reduction for a food product, or if the FDA were to determine that a particular claim was not adequately supported by existing scientific data or was false or misleading, the Corporation would be prevented from using that claim. In addition, the FDA deems promotional and internet materials as labeling; therefore, the Corporation’s promotional and internet materials must comply with FDA requirements and could be the subject of regulatory action by the FDA, or by the Federal Trade Commission (the “</w:t>
      </w:r>
      <w:r>
        <w:rPr>
          <w:rFonts w:ascii="Arial" w:cs="Arial" w:eastAsia="Arial" w:hAnsi="Arial"/>
          <w:sz w:val="17"/>
          <w:szCs w:val="17"/>
          <w:b w:val="1"/>
          <w:bCs w:val="1"/>
          <w:color w:val="auto"/>
        </w:rPr>
        <w:t>FTC</w:t>
      </w:r>
      <w:r>
        <w:rPr>
          <w:rFonts w:ascii="Arial" w:cs="Arial" w:eastAsia="Arial" w:hAnsi="Arial"/>
          <w:sz w:val="17"/>
          <w:szCs w:val="17"/>
          <w:color w:val="auto"/>
        </w:rPr>
        <w:t>”) if that agency or other governmental authorities, reviewing the materials as advertising, considers the materials false and misleading.</w:t>
      </w:r>
    </w:p>
    <w:p>
      <w:pPr>
        <w:spacing w:after="0" w:line="18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U.S. laws also require recordkeeping and reporting to the FDA of all serious adverse events involving dietary supplements products. The Corporation will need to comply with such recordkeeping and reporting requirements, and implement procedures governing adverse event identification, investigation and reporting. As a result of reported adverse events, health and safety risks or violations of applicable laws and regulations, the Corporation may from time to time elect, or be required, to recall, withdraw or remove a product from a market, either temporarily or permanently.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 xml:space="preserve">The Corporation’s expected nutraceutical products will be considered “food” and must be labeled as such. Within the U.S., this category of products is subject to the federal </w:t>
      </w:r>
      <w:r>
        <w:rPr>
          <w:rFonts w:ascii="Arial" w:cs="Arial" w:eastAsia="Arial" w:hAnsi="Arial"/>
          <w:sz w:val="18"/>
          <w:szCs w:val="18"/>
          <w:i w:val="1"/>
          <w:iCs w:val="1"/>
          <w:color w:val="auto"/>
        </w:rPr>
        <w:t>Nutrition, Labeling and Education Act</w:t>
      </w:r>
      <w:r>
        <w:rPr>
          <w:rFonts w:ascii="Arial" w:cs="Arial" w:eastAsia="Arial" w:hAnsi="Arial"/>
          <w:sz w:val="18"/>
          <w:szCs w:val="18"/>
          <w:color w:val="auto"/>
        </w:rPr>
        <w:t xml:space="preserve"> (“</w:t>
      </w:r>
      <w:r>
        <w:rPr>
          <w:rFonts w:ascii="Arial" w:cs="Arial" w:eastAsia="Arial" w:hAnsi="Arial"/>
          <w:sz w:val="18"/>
          <w:szCs w:val="18"/>
          <w:b w:val="1"/>
          <w:bCs w:val="1"/>
          <w:color w:val="auto"/>
        </w:rPr>
        <w:t>NLEA</w:t>
      </w:r>
      <w:r>
        <w:rPr>
          <w:rFonts w:ascii="Arial" w:cs="Arial" w:eastAsia="Arial" w:hAnsi="Arial"/>
          <w:sz w:val="18"/>
          <w:szCs w:val="18"/>
          <w:color w:val="auto"/>
        </w:rPr>
        <w:t xml:space="preserve">”), and regulations promulgated under the NLEA. The NLEA regulates health claims, ingredient labeling and nutrient content claims characterizing the level of a nutrient in the product. The ingredients in conventional foods must either be generally recognized as safe by experts for the purposes to which they are put in foods, or be approved as food additives under FDA regulations. If the Corporation’s expected nutraceutical products were regulated as foods, it would be required to comply with the </w:t>
      </w:r>
      <w:r>
        <w:rPr>
          <w:rFonts w:ascii="Arial" w:cs="Arial" w:eastAsia="Arial" w:hAnsi="Arial"/>
          <w:sz w:val="18"/>
          <w:szCs w:val="18"/>
          <w:i w:val="1"/>
          <w:iCs w:val="1"/>
          <w:color w:val="auto"/>
        </w:rPr>
        <w:t>Federal Food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Safety &amp; Modernization Act </w:t>
      </w:r>
      <w:r>
        <w:rPr>
          <w:rFonts w:ascii="Arial" w:cs="Arial" w:eastAsia="Arial" w:hAnsi="Arial"/>
          <w:sz w:val="18"/>
          <w:szCs w:val="18"/>
          <w:color w:val="auto"/>
        </w:rPr>
        <w:t>and applicable regulations. The Corporation would be required to provide foreign supplier certifications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compliance with FDA requirements.</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expected nutraceutical products could be banned or subject to recall from the marketplace. The Corporation could also be subject to possible business and consumer claims under applicable statutory, product liability and common laws.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FTC will exercise jurisdiction over the advertising of the Corporation’s expected nutraceutical products in the United States. The FTC has in the past instituted enforcement actions against several dietary supplement and food companies and against manufacturers of dietary supplement products, including for false and misleading advertising, label claims or product promotional claims. In addition, the FTC has increased its scrutiny of the use of testimonials, which the Corporation may utilize, as well as the role of endorsements and product clinical studies. The Corporation cannot be sure that the FTC, or comparable foreign agencies, will not question the Corporation’s advertising, product claims, promotional materials or other operations in the future. The FTC has broad authority to enforce its laws and regulations, including the ability to institute enforcement actions that could result in recall actions, consent decrees, injunctions, and civil and criminal penalties by the companies involved. Failure to comply with the FTC’s laws and regulations could impair the Corporation’s ability to market the Corporation’s expected nutraceutical products.</w:t>
      </w:r>
    </w:p>
    <w:p>
      <w:pPr>
        <w:spacing w:after="0" w:line="16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Corporation will also be subject to regulation under various state and local laws, ordinances and regulations that include provisions governing, among other things, the registration, formulation, manufacturing, packaging, labeling, advertising, sale and distribution of foods and dietary supplements. In addition, in the future, the Corporation may become subject to additional laws or regulations administered by the FDA or by other federal, state, local or foreign governmental authorities, to the repeal of laws or regulations that the Corporation considers favorable, or to more stringent interpretations of current laws or regulations. In the future, the Corporation believes that the dietary supplement industry will likely face increased scrutiny from federal, state and local governmental authorities. It is difficult to predict the effect future laws, regulations, repeals or interpretations will have on the Corporation’s business. However, such changes could require the reformulation of products, recalls or discontinuance of products, additional administrative requirements, revised or additional labeling, increased scientific substantiation or other requirements. Any such changes could have a material adverse effect on the Corporation’s business or financial performance.</w:t>
      </w:r>
    </w:p>
    <w:p>
      <w:pPr>
        <w:sectPr>
          <w:pgSz w:w="11900" w:h="16838" w:orient="portrait"/>
          <w:cols w:equalWidth="0" w:num="1">
            <w:col w:w="11120"/>
          </w:cols>
          <w:pgMar w:left="320" w:top="125" w:right="459" w:bottom="0" w:gutter="0" w:footer="0" w:header="0"/>
        </w:sectPr>
      </w:pPr>
    </w:p>
    <w:bookmarkStart w:id="44" w:name="page45"/>
    <w:bookmarkEnd w:id="44"/>
    <w:p>
      <w:pPr>
        <w:ind w:left="120"/>
        <w:spacing w:after="0"/>
        <w:rPr>
          <w:sz w:val="20"/>
          <w:szCs w:val="20"/>
          <w:color w:val="auto"/>
        </w:rPr>
      </w:pPr>
      <w:r>
        <w:rPr>
          <w:rFonts w:ascii="Arial" w:cs="Arial" w:eastAsia="Arial" w:hAnsi="Arial"/>
          <w:sz w:val="18"/>
          <w:szCs w:val="18"/>
          <w:b w:val="1"/>
          <w:bCs w:val="1"/>
          <w:color w:val="auto"/>
        </w:rPr>
        <w:t>Jamaica</w:t>
      </w:r>
    </w:p>
    <w:p>
      <w:pPr>
        <w:spacing w:after="0" w:line="117"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color w:val="auto"/>
        </w:rPr>
        <w:t xml:space="preserve">Psilocybin mushrooms do not fall within the definition of a dangerous drug under the </w:t>
      </w:r>
      <w:r>
        <w:rPr>
          <w:rFonts w:ascii="Arial" w:cs="Arial" w:eastAsia="Arial" w:hAnsi="Arial"/>
          <w:sz w:val="16"/>
          <w:szCs w:val="16"/>
          <w:i w:val="1"/>
          <w:iCs w:val="1"/>
          <w:color w:val="auto"/>
        </w:rPr>
        <w:t>Dangerous Drugs Act</w:t>
      </w:r>
      <w:r>
        <w:rPr>
          <w:rFonts w:ascii="Arial" w:cs="Arial" w:eastAsia="Arial" w:hAnsi="Arial"/>
          <w:sz w:val="16"/>
          <w:szCs w:val="16"/>
          <w:color w:val="auto"/>
        </w:rPr>
        <w:t xml:space="preserve"> (the “</w:t>
      </w:r>
      <w:r>
        <w:rPr>
          <w:rFonts w:ascii="Arial" w:cs="Arial" w:eastAsia="Arial" w:hAnsi="Arial"/>
          <w:sz w:val="16"/>
          <w:szCs w:val="16"/>
          <w:b w:val="1"/>
          <w:bCs w:val="1"/>
          <w:color w:val="auto"/>
        </w:rPr>
        <w:t>DDA</w:t>
      </w:r>
      <w:r>
        <w:rPr>
          <w:rFonts w:ascii="Arial" w:cs="Arial" w:eastAsia="Arial" w:hAnsi="Arial"/>
          <w:sz w:val="16"/>
          <w:szCs w:val="16"/>
          <w:color w:val="auto"/>
        </w:rPr>
        <w:t>”) in Jamaica. The Corporation’s future business activities in Jamaica involve the import of psychedelic and pharmaceutical based medicines (derived from mushrooms) for the purposes of conducting research and development as well as testing on human subjects i.e., clinical trials in Jamaica. It is intended that the clinical trials will be conducted by the University of West Indies (“</w:t>
      </w:r>
      <w:r>
        <w:rPr>
          <w:rFonts w:ascii="Arial" w:cs="Arial" w:eastAsia="Arial" w:hAnsi="Arial"/>
          <w:sz w:val="16"/>
          <w:szCs w:val="16"/>
          <w:b w:val="1"/>
          <w:bCs w:val="1"/>
          <w:color w:val="auto"/>
        </w:rPr>
        <w:t>UWI</w:t>
      </w:r>
      <w:r>
        <w:rPr>
          <w:rFonts w:ascii="Arial" w:cs="Arial" w:eastAsia="Arial" w:hAnsi="Arial"/>
          <w:sz w:val="16"/>
          <w:szCs w:val="16"/>
          <w:color w:val="auto"/>
        </w:rPr>
        <w:t>”) and the Corporation will act as a sponsor (the “</w:t>
      </w:r>
      <w:r>
        <w:rPr>
          <w:rFonts w:ascii="Arial" w:cs="Arial" w:eastAsia="Arial" w:hAnsi="Arial"/>
          <w:sz w:val="16"/>
          <w:szCs w:val="16"/>
          <w:b w:val="1"/>
          <w:bCs w:val="1"/>
          <w:color w:val="auto"/>
        </w:rPr>
        <w:t>Clinical Trials</w:t>
      </w:r>
      <w:r>
        <w:rPr>
          <w:rFonts w:ascii="Arial" w:cs="Arial" w:eastAsia="Arial" w:hAnsi="Arial"/>
          <w:sz w:val="16"/>
          <w:szCs w:val="16"/>
          <w:color w:val="auto"/>
        </w:rPr>
        <w:t>”).</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process of conducting clinical trials in Jamaica is governed by the Ministry of Health, Jamaica Guidelines for the Conduct of Research on Human Subjects (the “</w:t>
      </w:r>
      <w:r>
        <w:rPr>
          <w:rFonts w:ascii="Arial" w:cs="Arial" w:eastAsia="Arial" w:hAnsi="Arial"/>
          <w:sz w:val="18"/>
          <w:szCs w:val="18"/>
          <w:b w:val="1"/>
          <w:bCs w:val="1"/>
          <w:color w:val="auto"/>
        </w:rPr>
        <w:t>Guidelines</w:t>
      </w:r>
      <w:r>
        <w:rPr>
          <w:rFonts w:ascii="Arial" w:cs="Arial" w:eastAsia="Arial" w:hAnsi="Arial"/>
          <w:sz w:val="18"/>
          <w:szCs w:val="18"/>
          <w:color w:val="auto"/>
        </w:rPr>
        <w:t>”). The Corporation and the UWI would be required to ensure that the clinical trials are being conducted in accordance with these Guidelines. The Guidelines provide that prior to conducting research on human subjects, all researchers (i.e., academics, scientists, students, and investigators) are required to prepare a research protocol/proposal.</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Research protocols should be submitted to the Medical Officer of Health in the parish where the proposed research is to be conducted, for evaluation of the ethical and scientific merits. Where the site of the proposed research includes a hospital, the Senior Medical Officer of the facility should also receive a copy of the research protocol, and his/her approval to conduct the study should be obtained.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regulation of the sale, manufacturing, importation and distribution of drugs in Jamaica is largely governed by the </w:t>
      </w:r>
      <w:r>
        <w:rPr>
          <w:rFonts w:ascii="Arial" w:cs="Arial" w:eastAsia="Arial" w:hAnsi="Arial"/>
          <w:sz w:val="17"/>
          <w:szCs w:val="17"/>
          <w:i w:val="1"/>
          <w:iCs w:val="1"/>
          <w:color w:val="auto"/>
        </w:rPr>
        <w:t>Food &amp; Drugs Act, 1964</w:t>
      </w:r>
      <w:r>
        <w:rPr>
          <w:rFonts w:ascii="Arial" w:cs="Arial" w:eastAsia="Arial" w:hAnsi="Arial"/>
          <w:sz w:val="17"/>
          <w:szCs w:val="17"/>
          <w:color w:val="auto"/>
        </w:rPr>
        <w:t xml:space="preserve"> (the</w:t>
      </w:r>
    </w:p>
    <w:p>
      <w:pPr>
        <w:spacing w:after="0" w:line="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Jamaica FDA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Food and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1975</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Regulations</w:t>
      </w:r>
      <w:r>
        <w:rPr>
          <w:rFonts w:ascii="Arial" w:cs="Arial" w:eastAsia="Arial" w:hAnsi="Arial"/>
          <w:sz w:val="18"/>
          <w:szCs w:val="18"/>
          <w:color w:val="auto"/>
        </w:rPr>
        <w:t>”). Section 4 of the Jamaica FDA prohibits the importation of any drug into Jamaica unless it conforms to the law of the country in which it was manufactured or produced and is accompanied by a certificate declaring that the drug does not contravene any known laws of that country and that its sale therein for consumption or use by or for man or animal, as the case may be, would not constitute a violation of the laws of that country.</w:t>
      </w:r>
    </w:p>
    <w:p>
      <w:pPr>
        <w:spacing w:after="0" w:line="19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Regulation 40 stipulates that, a person shall not sell, manufacture, import or distribute a drug unless that drug has been registered with the MOH. The Regulations further state that a permit must be obtained from the Ministry of Health Jamaica (“</w:t>
      </w:r>
      <w:r>
        <w:rPr>
          <w:rFonts w:ascii="Arial" w:cs="Arial" w:eastAsia="Arial" w:hAnsi="Arial"/>
          <w:sz w:val="18"/>
          <w:szCs w:val="18"/>
          <w:b w:val="1"/>
          <w:bCs w:val="1"/>
          <w:color w:val="auto"/>
        </w:rPr>
        <w:t>MOH</w:t>
      </w:r>
      <w:r>
        <w:rPr>
          <w:rFonts w:ascii="Arial" w:cs="Arial" w:eastAsia="Arial" w:hAnsi="Arial"/>
          <w:sz w:val="18"/>
          <w:szCs w:val="18"/>
          <w:color w:val="auto"/>
        </w:rPr>
        <w:t>”) for the sale, manufacturing, importation and distribution of drugs into Jamaica. Additionally, Regulation 65 states that a person shall not import, sell, advertise for sale, or manufacture a new drug in Jamaica unless that person has obtained a licence from the MOH.</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Failure to comply with section 4 of the Jamaica FDA shall result in such person being guilty of an offence and liable to a fine not exceeding J$1,000,000 (approximately US$6,711) or to imprisonment with or without hard labour for a term not exceeding twelve months. Where a person committing an offence under the Jamaica FDA is a corporation, the chairman, president, the officers and every director thereof concerned in the management of such corporation, shall also be guilty of the same offence unless he/she proves that the act or omission constituting the offence took place without his/her knowledge or that he/she exercised all due diligence to prevent the commission thereof.</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Regulation 87 provides that any person who fails to comply with the Regulations shall be guilty of an offence and shall be liable to a fine not exceeding J$2,000 (approximately US$13) or to imprisonment for a term not exceeding twelve months.</w:t>
      </w:r>
    </w:p>
    <w:p>
      <w:pPr>
        <w:spacing w:after="0" w:line="166"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color w:val="auto"/>
        </w:rPr>
        <w:t xml:space="preserve">In the event that the Clinical Trials include the preparation and manufacture of precursor chemicals, then the </w:t>
      </w:r>
      <w:r>
        <w:rPr>
          <w:rFonts w:ascii="Arial" w:cs="Arial" w:eastAsia="Arial" w:hAnsi="Arial"/>
          <w:sz w:val="18"/>
          <w:szCs w:val="18"/>
          <w:i w:val="1"/>
          <w:iCs w:val="1"/>
          <w:color w:val="auto"/>
        </w:rPr>
        <w:t>Precursor Chemicals Act</w:t>
      </w:r>
      <w:r>
        <w:rPr>
          <w:rFonts w:ascii="Arial" w:cs="Arial" w:eastAsia="Arial" w:hAnsi="Arial"/>
          <w:sz w:val="18"/>
          <w:szCs w:val="18"/>
          <w:color w:val="auto"/>
        </w:rPr>
        <w:t xml:space="preserve"> (the “</w:t>
      </w:r>
      <w:r>
        <w:rPr>
          <w:rFonts w:ascii="Arial" w:cs="Arial" w:eastAsia="Arial" w:hAnsi="Arial"/>
          <w:sz w:val="18"/>
          <w:szCs w:val="18"/>
          <w:b w:val="1"/>
          <w:bCs w:val="1"/>
          <w:color w:val="auto"/>
        </w:rPr>
        <w:t>PCA</w:t>
      </w:r>
      <w:r>
        <w:rPr>
          <w:rFonts w:ascii="Arial" w:cs="Arial" w:eastAsia="Arial" w:hAnsi="Arial"/>
          <w:sz w:val="18"/>
          <w:szCs w:val="18"/>
          <w:color w:val="auto"/>
        </w:rPr>
        <w:t>”) may be applicable to the Clinical Trials. As per section 6 of the PCA, any person who proposes to engage in any prescribed activity shall apply to the Pharmaceutical &amp; Regulatory Affairs Department of the MOH for a licence to engage in such prescribed activity.</w:t>
      </w:r>
    </w:p>
    <w:p>
      <w:pPr>
        <w:spacing w:after="0" w:line="18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Section 23 under the PCA stipulates that any person who engages in any prescribed activity without obtaining the requisite licence shall be guilty of an offence and liable to a fine not exceeding J$3,000,000 (approximately US$20,134) or to imprisonment for a term not exceeding three years or to both such fine and imprisonment.</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the date of this Prospectus, the Corporation’s sponsorship of the Clinical Trials has not commenced. The Corporation has submitted its application to the Institutional Review Board and Ethics Committee of the Ministry of Health Jamaica (“</w:t>
      </w:r>
      <w:r>
        <w:rPr>
          <w:rFonts w:ascii="Arial" w:cs="Arial" w:eastAsia="Arial" w:hAnsi="Arial"/>
          <w:sz w:val="18"/>
          <w:szCs w:val="18"/>
          <w:b w:val="1"/>
          <w:bCs w:val="1"/>
          <w:color w:val="auto"/>
        </w:rPr>
        <w:t>Jamaica IRB</w:t>
      </w:r>
      <w:r>
        <w:rPr>
          <w:rFonts w:ascii="Arial" w:cs="Arial" w:eastAsia="Arial" w:hAnsi="Arial"/>
          <w:sz w:val="18"/>
          <w:szCs w:val="18"/>
          <w:color w:val="auto"/>
        </w:rPr>
        <w:t>”) and is awaiting comments. Once such comments are settled, if any, the Corporation will begin its sponsorship of the Clinical Trials subject to applicable laws. The Corporation is unable to apply for an import licence for its sponsored Clinical Trial materials until it receives final Jamaica IRB approval. Once received, the Corporation will apply to obtain an import licence and any other required licences.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80" w:lineRule="exact"/>
        <w:rPr>
          <w:sz w:val="20"/>
          <w:szCs w:val="20"/>
          <w:color w:val="auto"/>
        </w:rPr>
      </w:pPr>
    </w:p>
    <w:p>
      <w:pPr>
        <w:ind w:left="120" w:right="220"/>
        <w:spacing w:after="0" w:line="266" w:lineRule="auto"/>
        <w:rPr>
          <w:sz w:val="20"/>
          <w:szCs w:val="20"/>
          <w:color w:val="auto"/>
        </w:rPr>
      </w:pPr>
      <w:r>
        <w:rPr>
          <w:rFonts w:ascii="Arial" w:cs="Arial" w:eastAsia="Arial" w:hAnsi="Arial"/>
          <w:sz w:val="18"/>
          <w:szCs w:val="18"/>
          <w:color w:val="auto"/>
        </w:rPr>
        <w:t>The main UK controlled drugs legislation is the Misuse of Drugs Act 1971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 the United Kingdom, “Fungus (of any kind) which contains psilocin or an ester of psilocin” is controlled as a Class A drug under the MDA and Schedule 1 drug under the MDR. As psilocybin is a phosphate ester of psilocin, even if it were isolated from psilocin, it would still fulfil this definition.</w:t>
      </w:r>
    </w:p>
    <w:p>
      <w:pPr>
        <w:spacing w:after="0" w:line="124"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Home Office licence. Whilst exemptions do exist, none are applicable to the API.</w:t>
      </w:r>
    </w:p>
    <w:p>
      <w:pPr>
        <w:sectPr>
          <w:pgSz w:w="11900" w:h="16838" w:orient="portrait"/>
          <w:cols w:equalWidth="0" w:num="1">
            <w:col w:w="11120"/>
          </w:cols>
          <w:pgMar w:left="320" w:top="121" w:right="459" w:bottom="0" w:gutter="0" w:footer="0" w:header="0"/>
        </w:sectPr>
      </w:pPr>
    </w:p>
    <w:bookmarkStart w:id="45" w:name="page46"/>
    <w:bookmarkEnd w:id="45"/>
    <w:p>
      <w:pPr>
        <w:ind w:left="120"/>
        <w:spacing w:after="0"/>
        <w:rPr>
          <w:sz w:val="20"/>
          <w:szCs w:val="20"/>
          <w:color w:val="auto"/>
        </w:rPr>
      </w:pPr>
      <w:r>
        <w:rPr>
          <w:rFonts w:ascii="Arial" w:cs="Arial" w:eastAsia="Arial" w:hAnsi="Arial"/>
          <w:sz w:val="18"/>
          <w:szCs w:val="18"/>
          <w:u w:val="single" w:color="auto"/>
          <w:color w:val="auto"/>
        </w:rPr>
        <w:t>Licensing Requirements</w:t>
      </w:r>
    </w:p>
    <w:p>
      <w:pPr>
        <w:spacing w:after="0" w:line="113" w:lineRule="exact"/>
        <w:rPr>
          <w:sz w:val="20"/>
          <w:szCs w:val="20"/>
          <w:color w:val="auto"/>
        </w:rPr>
      </w:pPr>
    </w:p>
    <w:p>
      <w:pPr>
        <w:ind w:left="120" w:right="140"/>
        <w:spacing w:after="0" w:line="289" w:lineRule="auto"/>
        <w:rPr>
          <w:sz w:val="20"/>
          <w:szCs w:val="20"/>
          <w:color w:val="auto"/>
        </w:rPr>
      </w:pPr>
      <w:r>
        <w:rPr>
          <w:rFonts w:ascii="Arial" w:cs="Arial" w:eastAsia="Arial" w:hAnsi="Arial"/>
          <w:sz w:val="17"/>
          <w:szCs w:val="17"/>
          <w:color w:val="auto"/>
        </w:rPr>
        <w:t>The Corporation obtains acceptable psychedelic agent psilocybin (“</w:t>
      </w:r>
      <w:r>
        <w:rPr>
          <w:rFonts w:ascii="Arial" w:cs="Arial" w:eastAsia="Arial" w:hAnsi="Arial"/>
          <w:sz w:val="17"/>
          <w:szCs w:val="17"/>
          <w:b w:val="1"/>
          <w:bCs w:val="1"/>
          <w:color w:val="auto"/>
        </w:rPr>
        <w:t>API</w:t>
      </w:r>
      <w:r>
        <w:rPr>
          <w:rFonts w:ascii="Arial" w:cs="Arial" w:eastAsia="Arial" w:hAnsi="Arial"/>
          <w:sz w:val="17"/>
          <w:szCs w:val="17"/>
          <w:color w:val="auto"/>
        </w:rPr>
        <w:t>”) from the pharmaceutical ingredient provider who is based in the United States. The API itself is expected to be manufactured and packaged in FDA-registered facilities in the United Kingdom. The API is expected to be sent directly to the Corporation’s partners for research and development purposes in the United States, Canada and Jamaica.</w:t>
      </w:r>
    </w:p>
    <w:p>
      <w:pPr>
        <w:spacing w:after="0" w:line="16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w:t>
      </w:r>
    </w:p>
    <w:p>
      <w:pPr>
        <w:spacing w:after="0" w:line="15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15"/>
          <w:szCs w:val="15"/>
          <w:color w:val="auto"/>
        </w:rPr>
        <w:t>7</w:t>
      </w:r>
    </w:p>
    <w:p>
      <w:pPr>
        <w:spacing w:after="0" w:line="170"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340" w:right="660" w:hanging="224"/>
        <w:spacing w:after="0" w:line="287" w:lineRule="auto"/>
        <w:tabs>
          <w:tab w:leader="none" w:pos="340" w:val="left"/>
        </w:tabs>
        <w:numPr>
          <w:ilvl w:val="0"/>
          <w:numId w:val="24"/>
        </w:numPr>
        <w:rPr>
          <w:rFonts w:ascii="Arial" w:cs="Arial" w:eastAsia="Arial" w:hAnsi="Arial"/>
          <w:sz w:val="13"/>
          <w:szCs w:val="13"/>
          <w:color w:val="auto"/>
        </w:rPr>
      </w:pPr>
      <w:r>
        <w:rPr>
          <w:rFonts w:ascii="Arial" w:cs="Arial" w:eastAsia="Arial" w:hAnsi="Arial"/>
          <w:sz w:val="16"/>
          <w:szCs w:val="16"/>
          <w:color w:val="auto"/>
        </w:rPr>
        <w:t>Home Office guidance; Security guidance for all existing or prospective Home Office Controlled Drug Licensees and/or Precursor Chemical Licensees or Registrants; 2020; https://assets.publishing.service.gov.uk/government/uploads/system/uploads/attachment_data/file/ 857591/Security_Guidance_for_all_Businesses_and_Other_Organisations_v1.4_Jan_2020.pdf.</w:t>
      </w:r>
    </w:p>
    <w:p>
      <w:pPr>
        <w:spacing w:after="0" w:line="1" w:lineRule="exact"/>
        <w:rPr>
          <w:sz w:val="20"/>
          <w:szCs w:val="20"/>
          <w:color w:val="auto"/>
        </w:rPr>
      </w:pPr>
    </w:p>
    <w:p>
      <w:pPr>
        <w:ind w:left="340" w:right="1220" w:hanging="224"/>
        <w:spacing w:after="0" w:line="325"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6"/>
          <w:szCs w:val="16"/>
          <w:color w:val="auto"/>
        </w:rPr>
        <w:t>Home Office guidance; Guidelines for Standard Operating Procedures (SOPs); https://assets.publishing.service.gov.uk/government/uploads/system/uploads/attachment_data/file/480572/StandardOpProcedure.pdf.</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Products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 product is a medicinal product, a marketing authorisation for the product is required before the product can be placed on the market in the UK. The process for obtaining a marketing authorisation involves submitting pre-clinical and clinical data as well as quality and manufacturing information in the form of a common technical document. In addition to a marketing authorisation for the product itself, companies carrying out activities involving medicinal products, such as manufacturing, distribution and wholesaling, need to meet defined standards (GMP) and/or Good Distribution Practice (GDP) and to hold a related licence from the UK Medicines and Healthcare products Regulatory Agency (“</w:t>
      </w:r>
      <w:r>
        <w:rPr>
          <w:rFonts w:ascii="Arial" w:cs="Arial" w:eastAsia="Arial" w:hAnsi="Arial"/>
          <w:sz w:val="17"/>
          <w:szCs w:val="17"/>
          <w:b w:val="1"/>
          <w:bCs w:val="1"/>
          <w:color w:val="auto"/>
        </w:rPr>
        <w:t>MHRA</w:t>
      </w:r>
      <w:r>
        <w:rPr>
          <w:rFonts w:ascii="Arial" w:cs="Arial" w:eastAsia="Arial" w:hAnsi="Arial"/>
          <w:sz w:val="17"/>
          <w:szCs w:val="17"/>
          <w:color w:val="auto"/>
        </w:rPr>
        <w:t>”).</w:t>
      </w:r>
    </w:p>
    <w:p>
      <w:pPr>
        <w:spacing w:after="0" w:line="17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mentioned above, once the API has been made in the UK, it is expected to be sent directly to the Corporation’s partners for research and development purposes in the United States, Canada or Jamaica. How the API is subsequently processed will determine the licences that the UK-based facility must hold. In particular:</w:t>
      </w:r>
    </w:p>
    <w:p>
      <w:pPr>
        <w:spacing w:after="0" w:line="85" w:lineRule="exact"/>
        <w:rPr>
          <w:sz w:val="20"/>
          <w:szCs w:val="20"/>
          <w:color w:val="auto"/>
        </w:rPr>
      </w:pPr>
    </w:p>
    <w:p>
      <w:pPr>
        <w:jc w:val="both"/>
        <w:ind w:left="1080" w:right="220" w:hanging="424"/>
        <w:spacing w:after="0" w:line="26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Good Distribution Practice for active substances.</w:t>
      </w:r>
    </w:p>
    <w:p>
      <w:pPr>
        <w:spacing w:after="0" w:line="85" w:lineRule="exact"/>
        <w:rPr>
          <w:rFonts w:ascii="Arial" w:cs="Arial" w:eastAsia="Arial" w:hAnsi="Arial"/>
          <w:sz w:val="18"/>
          <w:szCs w:val="18"/>
          <w:color w:val="auto"/>
        </w:rPr>
      </w:pPr>
    </w:p>
    <w:p>
      <w:pPr>
        <w:ind w:left="1080" w:right="56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Canada or Jamaica).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Food/Food Supplements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Functional foods and nutraceuticals must comply with general UK food laws.</w:t>
      </w:r>
    </w:p>
    <w:p>
      <w:pPr>
        <w:spacing w:after="0" w:line="13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Ordinarily, food and food ingredients do not need to be pre-authorised before they can be placed on the market. However, “novel foods”, which are foods that have not been consumed to a significant degree by humans in the UK or EU before 15 May 1997 do require pre-authorisation under the EU Novel Foods Regulation (EU) 2015/2283, which has been retained in UK law post-Brexit. Whilst psychedelic mushrooms may have been consumed in the past, the same cannot be said for isolated psilocybin or psilocin. For this reason, it is likely that any food item containing isolated psilocybin and/or psilocin that is not considered to be a medicinal product would fulfil the definition of a ‘novel food’.</w:t>
      </w:r>
    </w:p>
    <w:p>
      <w:pPr>
        <w:spacing w:after="0" w:line="97"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place a novel food on the market in the UK, it must be authorised in advance (either under an EU authorisation if granted pre-1 January 2021, or after this date under a Great Britain authorisation for</w:t>
      </w:r>
    </w:p>
    <w:p>
      <w:pPr>
        <w:sectPr>
          <w:pgSz w:w="11900" w:h="16838" w:orient="portrait"/>
          <w:cols w:equalWidth="0" w:num="1">
            <w:col w:w="11120"/>
          </w:cols>
          <w:pgMar w:left="320" w:top="125" w:right="459" w:bottom="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5560"/>
                    </a:xfrm>
                    <a:prstGeom prst="rect">
                      <a:avLst/>
                    </a:prstGeom>
                    <a:noFill/>
                  </pic:spPr>
                </pic:pic>
              </a:graphicData>
            </a:graphic>
          </wp:anchor>
        </w:drawing>
      </w:r>
    </w:p>
    <w:p>
      <w:pPr>
        <w:sectPr>
          <w:pgSz w:w="11900" w:h="16838" w:orient="portrait"/>
          <w:cols w:equalWidth="0" w:num="1">
            <w:col w:w="11120"/>
          </w:cols>
          <w:pgMar w:left="320" w:top="125" w:right="459" w:bottom="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9" w:lineRule="auto"/>
        <w:rPr>
          <w:sz w:val="20"/>
          <w:szCs w:val="20"/>
          <w:color w:val="auto"/>
        </w:rPr>
      </w:pPr>
      <w:r>
        <w:rPr>
          <w:rFonts w:ascii="Arial" w:cs="Arial" w:eastAsia="Arial" w:hAnsi="Arial"/>
          <w:sz w:val="17"/>
          <w:szCs w:val="17"/>
          <w:color w:val="auto"/>
        </w:rPr>
        <w:t>England, Scotland and Wales and under an EU authorisation for Northern Ireland). Under the updated EU Novel Foods Regulation, novel foods authorisations are now generic and not applicant-specific as they were under the previous novel foods legislation. As such, in principle, once authorised, anyone can place the authorised novel food on the UK market provided that it complies with the terms of the authorisation which include conditions of use, specifications and labelling requirements.</w:t>
      </w:r>
    </w:p>
    <w:p>
      <w:pPr>
        <w:spacing w:after="0" w:line="77" w:lineRule="exact"/>
        <w:rPr>
          <w:sz w:val="20"/>
          <w:szCs w:val="20"/>
          <w:color w:val="auto"/>
        </w:rPr>
      </w:pPr>
    </w:p>
    <w:p>
      <w:pPr>
        <w:ind w:left="1080" w:right="40" w:hanging="424"/>
        <w:spacing w:after="0" w:line="25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novel food applications are a material investment, companies are using two routes to try to protect their assets: drafting the application narrowly and as specific as possible to their own product, making it more challenging for other companies to produce an ingredient that meets the conditions of the authorisation; and if the application relies on newly developed scientific evidence which is designated by the applicant as proprietary in the application, and accepted as such in the application process, that proprietary evidence will be protected by a 5-year period of exclusivity for the applicant for that novel ingredient.</w:t>
      </w:r>
    </w:p>
    <w:p>
      <w:pPr>
        <w:spacing w:after="0" w:line="93" w:lineRule="exact"/>
        <w:rPr>
          <w:rFonts w:ascii="Arial" w:cs="Arial" w:eastAsia="Arial" w:hAnsi="Arial"/>
          <w:sz w:val="18"/>
          <w:szCs w:val="18"/>
          <w:color w:val="auto"/>
        </w:rPr>
      </w:pPr>
    </w:p>
    <w:p>
      <w:pPr>
        <w:ind w:left="1080" w:right="180" w:hanging="424"/>
        <w:spacing w:after="0" w:line="279"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broad terms, the information required in the application dossier includes: a description of the production process; the detailed composition of the novel food; scientific evidence demonstrating that the novel food does not pose a safety risk to human health; and the proposed conditions of intended use and labelling requirements. The responsibility to obtain a novel foods authorisation would be that of the person who intended to commercialise the product, and not the manufacturer of the psilocybin/psilocin itself.</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to novel foods legislation, the person who intends to commercialise the product in the UK would also have to comply with the full body of food legislation, which includes food labelling and food hygiene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including, but not limited to research and studies to be conducted with the UWI and, its affiliate, the Caribbean Institute for Health Research. The Corporation anticipates growing its pipeline of psychedelic pharmaceutical products inspired medicines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COVID-19, UWI has implemented certain facility procedures and is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UWI or other institutions involved in pharmaceutical product development.</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Psychedelics are a class of drug whose primary action is to trigger psychedelic experiences via serotonin receptor agonism, causing thought, visual and auditory changes, and altered state of consciousness. Major psychedelic drugs include mescaline, LSD, psilocybin, and dimethyl tryptamine (“</w:t>
      </w:r>
      <w:r>
        <w:rPr>
          <w:rFonts w:ascii="Arial" w:cs="Arial" w:eastAsia="Arial" w:hAnsi="Arial"/>
          <w:sz w:val="16"/>
          <w:szCs w:val="16"/>
          <w:b w:val="1"/>
          <w:bCs w:val="1"/>
          <w:color w:val="auto"/>
        </w:rPr>
        <w:t>DMT</w:t>
      </w:r>
      <w:r>
        <w:rPr>
          <w:rFonts w:ascii="Arial" w:cs="Arial" w:eastAsia="Arial" w:hAnsi="Arial"/>
          <w:sz w:val="16"/>
          <w:szCs w:val="16"/>
          <w:color w:val="auto"/>
        </w:rPr>
        <w:t xml:space="preserve">”).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6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 The Corporation intends to research and sponsor clinical trials on the efficacy of chemically synthesized psilocybin as it relates to the following indications</w:t>
      </w:r>
      <w:r>
        <w:rPr>
          <w:rFonts w:ascii="Arial" w:cs="Arial" w:eastAsia="Arial" w:hAnsi="Arial"/>
          <w:sz w:val="15"/>
          <w:szCs w:val="15"/>
          <w:color w:val="auto"/>
        </w:rPr>
        <w:t>9</w:t>
      </w:r>
      <w:r>
        <w:rPr>
          <w:rFonts w:ascii="Arial" w:cs="Arial" w:eastAsia="Arial" w:hAnsi="Arial"/>
          <w:sz w:val="18"/>
          <w:szCs w:val="18"/>
          <w:color w:val="auto"/>
        </w:rPr>
        <w:t>:</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mental health (depression, PTSD, anxiety and attention deficit hyperactivity disorder);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addiction (alcohol, drugs and cigarettes).</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late 2019, management of Cybin Corp. commenced research and development on the delivery of synthetic psilocybin and other psychedelics through mechanisms such as sublingual film delivery. Cybin has filed a patent application for such delivery mechanism.</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partnership with UWI, the Corporation plans to conduct research and development of synthetic psilocybin. The Corporation’s activity in relation to the intended research of psilocybin mushrooms, botanicals and other related fungi is limited to the jurisdiction of Jamaica and the Corporation does not deal with psychedelic substances except within laboratory and clinical trial settings conducted within approved regulatory frameworks in order to identify and develop treatments for medical conditions and does not have any direct or indirect involvement with illegal selling, production or distribution of any substances in jurisdictions in which it operates. The Corporation’s Jamaica team is composed of business consultants, legal counsel and local post-doctoral research students. As of the date of this Prospectus, the Corporation’s sponsorship of the clinical trials has not commenced. The Corporation has submitted its application to the Jamaica IRB and has received conditional approval and is awaiting final approval. Once such comments are settled, if any, the Corporation will begin its sponsorship of the clinical trials subject to applicable laws. The Corporation is unable to apply for an import license for its sponsored clinical trial materials until it receives final Jamaica IRB approval, once received, the Corporation will apply to obtain an import license.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is led by the Corporation’s North American Chief Research and Development Officer, Dr. Michael G. Palfreyman.</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Dr. Palfreyman, who holds a PhD in Neuroscience and Neuropharmacology from the University of Nottingham, United Kingdom, is an accomplished pharmaceutical industry veteran responsible for more than 30 successful clinical programs.</w:t>
      </w:r>
    </w:p>
    <w:p>
      <w:pPr>
        <w:sectPr>
          <w:pgSz w:w="11900" w:h="16838" w:orient="portrait"/>
          <w:cols w:equalWidth="0" w:num="1">
            <w:col w:w="11120"/>
          </w:cols>
          <w:pgMar w:left="320" w:top="122" w:right="459" w:bottom="174" w:gutter="0" w:footer="0" w:header="0"/>
        </w:sectPr>
      </w:pPr>
    </w:p>
    <w:bookmarkStart w:id="47" w:name="page48"/>
    <w:bookmarkEnd w:id="47"/>
    <w:p>
      <w:pPr>
        <w:ind w:left="120" w:right="140"/>
        <w:spacing w:after="0" w:line="277" w:lineRule="auto"/>
        <w:rPr>
          <w:sz w:val="20"/>
          <w:szCs w:val="20"/>
          <w:color w:val="auto"/>
        </w:rPr>
      </w:pPr>
      <w:r>
        <w:rPr>
          <w:rFonts w:ascii="Arial" w:cs="Arial" w:eastAsia="Arial" w:hAnsi="Arial"/>
          <w:sz w:val="18"/>
          <w:szCs w:val="18"/>
          <w:color w:val="auto"/>
        </w:rPr>
        <w:t>The Corporation has also retained Stosic and Associates, a leading government relations firm, to work with high level pharmaceutical, institutional and government relations individuals to progress the acceptance of psychedelics in Canada for medical use.</w:t>
      </w:r>
    </w:p>
    <w:p>
      <w:pPr>
        <w:spacing w:after="0" w:line="170"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and the United States, and the equivalent regulatory agencies in the other jurisdictions in which the Corporation operates, including Jamaica. These regulatory authorities regulate, among other things, the research, manufacture, promotion and distribution of drugs in specific jurisdictions under applicable laws and regulations. It is important to note, that unlike in Canada and the United States, psilocybin mushrooms are not an illegal drug under Jamaica’s DDA. Accordingly,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340" w:right="80" w:hanging="224"/>
        <w:spacing w:after="0" w:line="272"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7"/>
          <w:szCs w:val="17"/>
          <w:color w:val="auto"/>
        </w:rPr>
        <w:t>Certain statements regarding psilocybin, psychedelic tryptamine, tryptamine derivatives or other psychedelic compounds, nutraceutical products or functional mushrooms have not been evaluated by Health Canada, the FDA or other similar regulatory authorities, nor has the efficacy of psilocybin, psychedelic tryptamine, tryptamine derivatives or other psychedelic compounds, nutraceutical products or functional mushrooms been confirmed by approved research. There is no assurance that psilocybin, psychedelic tryptamine, tryptamine derivatives or other psychedelic compounds, nutraceutical products or functional mushrooms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research on psilocybin mushrooms does not contravene the laws of Jamaica and does not require any permit or authorization from Jamaican regulatory authorities.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Canada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Psychedelics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31" w:lineRule="exact"/>
        <w:rPr>
          <w:sz w:val="20"/>
          <w:szCs w:val="20"/>
          <w:color w:val="auto"/>
        </w:rPr>
      </w:pPr>
    </w:p>
    <w:p>
      <w:pPr>
        <w:ind w:left="1080" w:right="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of the drug. If the results are promising, the manufacturer will proceed to the next step of development.</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Pre-Clinical Development – </w:t>
      </w:r>
      <w:r>
        <w:rPr>
          <w:rFonts w:ascii="Arial" w:cs="Arial" w:eastAsia="Arial" w:hAnsi="Arial"/>
          <w:sz w:val="17"/>
          <w:szCs w:val="17"/>
          <w:color w:val="auto"/>
        </w:rPr>
        <w:t>Animals are given the drug in varying amounts over differing periods of time. If it can be shown that the drug</w:t>
      </w:r>
      <w:r>
        <w:rPr>
          <w:rFonts w:ascii="Arial" w:cs="Arial" w:eastAsia="Arial" w:hAnsi="Arial"/>
          <w:sz w:val="17"/>
          <w:szCs w:val="17"/>
          <w:i w:val="1"/>
          <w:iCs w:val="1"/>
          <w:color w:val="auto"/>
        </w:rPr>
        <w:t xml:space="preserve"> </w:t>
      </w:r>
      <w:r>
        <w:rPr>
          <w:rFonts w:ascii="Arial" w:cs="Arial" w:eastAsia="Arial" w:hAnsi="Arial"/>
          <w:sz w:val="17"/>
          <w:szCs w:val="17"/>
          <w:color w:val="auto"/>
        </w:rPr>
        <w:t>causes no serious or unexpected harm at the doses required to have an effect, the manufacturer will proceed to clinical trials.</w:t>
      </w:r>
    </w:p>
    <w:p>
      <w:pPr>
        <w:spacing w:after="0" w:line="51" w:lineRule="exact"/>
        <w:rPr>
          <w:rFonts w:ascii="Arial" w:cs="Arial" w:eastAsia="Arial" w:hAnsi="Arial"/>
          <w:sz w:val="17"/>
          <w:szCs w:val="17"/>
          <w:color w:val="auto"/>
        </w:rPr>
      </w:pPr>
    </w:p>
    <w:p>
      <w:pPr>
        <w:ind w:left="1080" w:right="60" w:hanging="424"/>
        <w:spacing w:after="0" w:line="30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I – </w:t>
      </w:r>
      <w:r>
        <w:rPr>
          <w:rFonts w:ascii="Arial" w:cs="Arial" w:eastAsia="Arial" w:hAnsi="Arial"/>
          <w:sz w:val="16"/>
          <w:szCs w:val="16"/>
          <w:color w:val="auto"/>
        </w:rPr>
        <w:t>The first administration in humans is to test if people can tolerate the drug. If this testing is to take place in</w:t>
      </w:r>
      <w:r>
        <w:rPr>
          <w:rFonts w:ascii="Arial" w:cs="Arial" w:eastAsia="Arial" w:hAnsi="Arial"/>
          <w:sz w:val="16"/>
          <w:szCs w:val="16"/>
          <w:i w:val="1"/>
          <w:iCs w:val="1"/>
          <w:color w:val="auto"/>
        </w:rPr>
        <w:t xml:space="preserve"> </w:t>
      </w:r>
      <w:r>
        <w:rPr>
          <w:rFonts w:ascii="Arial" w:cs="Arial" w:eastAsia="Arial" w:hAnsi="Arial"/>
          <w:sz w:val="16"/>
          <w:szCs w:val="16"/>
          <w:color w:val="auto"/>
        </w:rPr>
        <w:t>Canada, the 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6"/>
          <w:szCs w:val="16"/>
          <w:b w:val="1"/>
          <w:bCs w:val="1"/>
          <w:color w:val="auto"/>
        </w:rPr>
        <w:t>HPFB</w:t>
      </w:r>
      <w:r>
        <w:rPr>
          <w:rFonts w:ascii="Arial" w:cs="Arial" w:eastAsia="Arial" w:hAnsi="Arial"/>
          <w:sz w:val="16"/>
          <w:szCs w:val="16"/>
          <w:color w:val="auto"/>
        </w:rPr>
        <w:t>”) grants permission to start testing the drug, generally first on healthy volunteers.</w:t>
      </w:r>
    </w:p>
    <w:p>
      <w:pPr>
        <w:spacing w:after="0" w:line="62"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medical condition. Trials carried out in Canada must be approved by the TPD. In phase II, the objective of the trials is to continue to gather information on the safety of the drug and begin to determine its effectiveness.</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92"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United States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31" w:lineRule="exact"/>
        <w:rPr>
          <w:sz w:val="20"/>
          <w:szCs w:val="20"/>
          <w:color w:val="auto"/>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approval by an institutional review board or independent ethics committee at each clinical trial site before each trial may be initiated;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5" w:lineRule="exact"/>
        <w:rPr>
          <w:rFonts w:ascii="Arial" w:cs="Arial" w:eastAsia="Arial" w:hAnsi="Arial"/>
          <w:sz w:val="16"/>
          <w:szCs w:val="16"/>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ectPr>
          <w:pgSz w:w="11900" w:h="16838" w:orient="portrait"/>
          <w:cols w:equalWidth="0" w:num="1">
            <w:col w:w="11140"/>
          </w:cols>
          <w:pgMar w:left="320" w:top="125" w:right="439" w:bottom="214" w:gutter="0" w:footer="0" w:header="0"/>
        </w:sectPr>
      </w:pPr>
    </w:p>
    <w:bookmarkStart w:id="48" w:name="page49"/>
    <w:bookmarkEnd w:id="48"/>
    <w:p>
      <w:pPr>
        <w:ind w:left="120"/>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any approvals for its prescription drug product candidates will be granted on a timely basis, if at all.</w:t>
      </w:r>
    </w:p>
    <w:p>
      <w:pPr>
        <w:spacing w:after="0" w:line="170"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6"/>
          <w:szCs w:val="16"/>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w:t>
      </w:r>
    </w:p>
    <w:p>
      <w:pPr>
        <w:spacing w:after="0" w:line="1" w:lineRule="exact"/>
        <w:rPr>
          <w:sz w:val="20"/>
          <w:szCs w:val="20"/>
          <w:color w:val="auto"/>
        </w:rPr>
      </w:pPr>
    </w:p>
    <w:p>
      <w:pPr>
        <w:ind w:left="120" w:right="120"/>
        <w:spacing w:after="0" w:line="302" w:lineRule="auto"/>
        <w:rPr>
          <w:sz w:val="20"/>
          <w:szCs w:val="20"/>
          <w:color w:val="auto"/>
        </w:rPr>
      </w:pPr>
      <w:r>
        <w:rPr>
          <w:rFonts w:ascii="Arial" w:cs="Arial" w:eastAsia="Arial" w:hAnsi="Arial"/>
          <w:sz w:val="16"/>
          <w:szCs w:val="16"/>
          <w:color w:val="auto"/>
        </w:rPr>
        <w:t>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1"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6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Substances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The specific security requirements vary by the type of business activity and the schedule and quantity of controlled substances handled. The most stringent requirements apply to manufacturers of Schedule I and Schedule II substances. Required security measures commonly include</w:t>
      </w:r>
    </w:p>
    <w:p>
      <w:pPr>
        <w:sectPr>
          <w:pgSz w:w="11900" w:h="16838" w:orient="portrait"/>
          <w:cols w:equalWidth="0" w:num="1">
            <w:col w:w="11120"/>
          </w:cols>
          <w:pgMar w:left="320" w:top="125" w:right="459" w:bottom="0" w:gutter="0" w:footer="0" w:header="0"/>
        </w:sectPr>
      </w:pPr>
    </w:p>
    <w:bookmarkStart w:id="49" w:name="page50"/>
    <w:bookmarkEnd w:id="49"/>
    <w:p>
      <w:pPr>
        <w:ind w:left="120" w:right="60"/>
        <w:spacing w:after="0" w:line="255" w:lineRule="auto"/>
        <w:rPr>
          <w:sz w:val="20"/>
          <w:szCs w:val="20"/>
          <w:color w:val="auto"/>
        </w:rPr>
      </w:pPr>
      <w:r>
        <w:rPr>
          <w:rFonts w:ascii="Arial" w:cs="Arial" w:eastAsia="Arial" w:hAnsi="Arial"/>
          <w:sz w:val="18"/>
          <w:szCs w:val="18"/>
          <w:color w:val="auto"/>
        </w:rPr>
        <w:t>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65" w:lineRule="exact"/>
        <w:rPr>
          <w:sz w:val="20"/>
          <w:szCs w:val="20"/>
          <w:color w:val="auto"/>
        </w:rPr>
      </w:pPr>
    </w:p>
    <w:p>
      <w:pPr>
        <w:jc w:val="both"/>
        <w:ind w:left="120" w:right="200"/>
        <w:spacing w:after="0" w:line="296" w:lineRule="auto"/>
        <w:rPr>
          <w:sz w:val="20"/>
          <w:szCs w:val="20"/>
          <w:color w:val="auto"/>
        </w:rPr>
      </w:pPr>
      <w:r>
        <w:rPr>
          <w:rFonts w:ascii="Arial" w:cs="Arial" w:eastAsia="Arial" w:hAnsi="Arial"/>
          <w:sz w:val="16"/>
          <w:szCs w:val="16"/>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Individual U.S. states also establish and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Patent Cooperation Treaty</w:t>
      </w:r>
    </w:p>
    <w:p>
      <w:pPr>
        <w:spacing w:after="0" w:line="11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193 countries, including Canada and the United States have ratified the PCT.</w:t>
      </w:r>
    </w:p>
    <w:p>
      <w:pPr>
        <w:spacing w:after="0" w:line="166"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COMPLIANCE PROGRAM</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7" w:lineRule="exact"/>
        <w:rPr>
          <w:sz w:val="20"/>
          <w:szCs w:val="20"/>
          <w:color w:val="auto"/>
        </w:rPr>
      </w:pPr>
    </w:p>
    <w:p>
      <w:pPr>
        <w:jc w:val="both"/>
        <w:ind w:left="120" w:right="640"/>
        <w:spacing w:after="0" w:line="286" w:lineRule="auto"/>
        <w:rPr>
          <w:sz w:val="20"/>
          <w:szCs w:val="20"/>
          <w:color w:val="auto"/>
        </w:rPr>
      </w:pPr>
      <w:r>
        <w:rPr>
          <w:rFonts w:ascii="Arial" w:cs="Arial" w:eastAsia="Arial" w:hAnsi="Arial"/>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6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4" w:lineRule="exact"/>
        <w:rPr>
          <w:sz w:val="20"/>
          <w:szCs w:val="20"/>
          <w:color w:val="auto"/>
        </w:rPr>
      </w:pPr>
    </w:p>
    <w:p>
      <w:pPr>
        <w:ind w:left="120" w:right="560"/>
        <w:spacing w:after="0" w:line="301" w:lineRule="auto"/>
        <w:rPr>
          <w:sz w:val="20"/>
          <w:szCs w:val="20"/>
          <w:color w:val="auto"/>
        </w:rPr>
      </w:pPr>
      <w:r>
        <w:rPr>
          <w:rFonts w:ascii="Arial" w:cs="Arial" w:eastAsia="Arial" w:hAnsi="Arial"/>
          <w:sz w:val="16"/>
          <w:szCs w:val="16"/>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ectPr>
          <w:pgSz w:w="11900" w:h="16838" w:orient="portrait"/>
          <w:cols w:equalWidth="0" w:num="1">
            <w:col w:w="11120"/>
          </w:cols>
          <w:pgMar w:left="320" w:top="125" w:right="459" w:bottom="38" w:gutter="0" w:footer="0" w:header="0"/>
        </w:sectPr>
      </w:pPr>
    </w:p>
    <w:bookmarkStart w:id="50" w:name="page51"/>
    <w:bookmarkEnd w:id="50"/>
    <w:p>
      <w:pPr>
        <w:ind w:left="120" w:right="140"/>
        <w:spacing w:after="0" w:line="263"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date of the Annual Financial Statements, there has been no material change to the share and loan capital of the Corporation.</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7"/>
          <w:szCs w:val="17"/>
          <w:i w:val="1"/>
          <w:iCs w:val="1"/>
          <w:color w:val="auto"/>
        </w:rPr>
        <w:t>“Risk Factors – Risks Related to an Offering – Discretion over the Use of Proceeds”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of Capital</w:t>
      </w:r>
    </w:p>
    <w:p>
      <w:pPr>
        <w:spacing w:after="0" w:line="121"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The Corporation had cash and cash equivalents on hand as at May 31, 2021 of approximately $58,409,485 including the remaining net proceeds from the Corporation’s bought deal short form prospectus offering for aggregate gross proceeds of $34,303,500 (the “</w:t>
      </w:r>
      <w:r>
        <w:rPr>
          <w:rFonts w:ascii="Arial" w:cs="Arial" w:eastAsia="Arial" w:hAnsi="Arial"/>
          <w:sz w:val="17"/>
          <w:szCs w:val="17"/>
          <w:b w:val="1"/>
          <w:bCs w:val="1"/>
          <w:color w:val="auto"/>
        </w:rPr>
        <w:t>February Offering</w:t>
      </w:r>
      <w:r>
        <w:rPr>
          <w:rFonts w:ascii="Arial" w:cs="Arial" w:eastAsia="Arial" w:hAnsi="Arial"/>
          <w:sz w:val="17"/>
          <w:szCs w:val="17"/>
          <w:color w:val="auto"/>
        </w:rPr>
        <w:t xml:space="preserve">”) that was completed on February 4, 2021. The Corporation’s current financial resources are sufficient to meet its short-term liquidity requirements and to fund its operations for at least the coming 12 months, exclusive of any additional proceeds to be raised through an Offering of Securities. The Corporation’s expectation is based on significant assumptions and is subject to significant risk, see </w:t>
      </w:r>
      <w:r>
        <w:rPr>
          <w:rFonts w:ascii="Arial" w:cs="Arial" w:eastAsia="Arial" w:hAnsi="Arial"/>
          <w:sz w:val="17"/>
          <w:szCs w:val="17"/>
          <w:i w:val="1"/>
          <w:iCs w:val="1"/>
          <w:color w:val="auto"/>
        </w:rPr>
        <w:t>“Cautionary Note Regarding Forward Looking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 Factors”</w:t>
      </w:r>
      <w:r>
        <w:rPr>
          <w:rFonts w:ascii="Arial" w:cs="Arial" w:eastAsia="Arial" w:hAnsi="Arial"/>
          <w:sz w:val="17"/>
          <w:szCs w:val="17"/>
          <w:color w:val="auto"/>
        </w:rPr>
        <w:t>. As at May 31, 2021, the Corporation anticipates that it will require approximately $39,417,732 to continue operations over the next 12</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including funding for the Corporations business objectives and milestones.</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Anticipated</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Use of Proceeds</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Disclosure in</w:t>
            </w: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to be</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Program</w:t>
            </w:r>
            <w:r>
              <w:rPr>
                <w:rFonts w:ascii="Arial" w:cs="Arial" w:eastAsia="Arial" w:hAnsi="Arial"/>
                <w:sz w:val="12"/>
                <w:szCs w:val="12"/>
                <w:b w:val="1"/>
                <w:bCs w:val="1"/>
                <w:color w:val="auto"/>
                <w:w w:val="94"/>
              </w:rPr>
              <w:t>(1)</w:t>
            </w:r>
          </w:p>
        </w:tc>
        <w:tc>
          <w:tcPr>
            <w:tcW w:w="470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12 Month Use</w:t>
            </w: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February 2021</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Applied From</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of Funds</w:t>
            </w:r>
            <w:r>
              <w:rPr>
                <w:rFonts w:ascii="Arial" w:cs="Arial" w:eastAsia="Arial" w:hAnsi="Arial"/>
                <w:sz w:val="12"/>
                <w:szCs w:val="12"/>
                <w:b w:val="1"/>
                <w:bCs w:val="1"/>
                <w:color w:val="auto"/>
                <w:w w:val="92"/>
              </w:rPr>
              <w:t>(2)</w:t>
            </w:r>
          </w:p>
        </w:tc>
        <w:tc>
          <w:tcPr>
            <w:tcW w:w="100" w:type="dxa"/>
            <w:vAlign w:val="bottom"/>
          </w:tcPr>
          <w:p>
            <w:pPr>
              <w:spacing w:after="0"/>
              <w:rPr>
                <w:sz w:val="15"/>
                <w:szCs w:val="15"/>
                <w:color w:val="auto"/>
              </w:rPr>
            </w:pPr>
          </w:p>
        </w:tc>
        <w:tc>
          <w:tcPr>
            <w:tcW w:w="12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Prospectus</w:t>
            </w:r>
            <w:r>
              <w:rPr>
                <w:rFonts w:ascii="Arial" w:cs="Arial" w:eastAsia="Arial" w:hAnsi="Arial"/>
                <w:sz w:val="12"/>
                <w:szCs w:val="12"/>
                <w:b w:val="1"/>
                <w:bCs w:val="1"/>
                <w:color w:val="auto"/>
                <w:w w:val="90"/>
              </w:rPr>
              <w:t>(3)</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7"/>
              </w:rPr>
              <w:t>Proceeds</w:t>
            </w:r>
            <w:r>
              <w:rPr>
                <w:rFonts w:ascii="Arial" w:cs="Arial" w:eastAsia="Arial" w:hAnsi="Arial"/>
                <w:sz w:val="12"/>
                <w:szCs w:val="12"/>
                <w:b w:val="1"/>
                <w:bCs w:val="1"/>
                <w:color w:val="auto"/>
                <w:w w:val="87"/>
              </w:rPr>
              <w:t>(4)</w:t>
            </w: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Psilocybin Program</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3,791,727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3,837,600</w:t>
            </w: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2,841,727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Deuterated Tryptamines Preclinical Programs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5,662,888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11,920,000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10,862,888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Phenethylamine Preclinical Development Program</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2,375,141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2,375,141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Nutraceutical Products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4,187,704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6,187,764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including General and Administrative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22,900,272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10,778,000</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69,709)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39,417,732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36,060,600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22,697,751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Notes:</w:t>
      </w:r>
    </w:p>
    <w:p>
      <w:pPr>
        <w:spacing w:after="0" w:line="27" w:lineRule="exact"/>
        <w:rPr>
          <w:sz w:val="20"/>
          <w:szCs w:val="20"/>
          <w:color w:val="auto"/>
        </w:rPr>
      </w:pPr>
    </w:p>
    <w:p>
      <w:pPr>
        <w:ind w:left="540" w:right="8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Please see the Corporation’s Annual MD&amp;A for a description of the Corporation’s Programs. All milestones are subject to receipt of all necessary approvals, including the academic and scientific organizations with which the Corporation is working.</w:t>
      </w: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1.2575:1.</w:t>
      </w:r>
    </w:p>
    <w:p>
      <w:pPr>
        <w:spacing w:after="0" w:line="9" w:lineRule="exact"/>
        <w:rPr>
          <w:rFonts w:ascii="Arial" w:cs="Arial" w:eastAsia="Arial" w:hAnsi="Arial"/>
          <w:sz w:val="18"/>
          <w:szCs w:val="18"/>
          <w:color w:val="auto"/>
        </w:rPr>
      </w:pPr>
    </w:p>
    <w:p>
      <w:pPr>
        <w:ind w:left="540" w:right="300" w:hanging="424"/>
        <w:spacing w:after="0" w:line="26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 proceeds from private placements previously disclosed in the Listing Statement, as well proceeds disclosed in the February Offering prospectus.</w:t>
      </w:r>
    </w:p>
    <w:p>
      <w:pPr>
        <w:spacing w:after="0" w:line="181" w:lineRule="exact"/>
        <w:rPr>
          <w:sz w:val="20"/>
          <w:szCs w:val="20"/>
          <w:color w:val="auto"/>
        </w:rPr>
      </w:pPr>
    </w:p>
    <w:p>
      <w:pPr>
        <w:ind w:left="120" w:right="540"/>
        <w:spacing w:after="0" w:line="261" w:lineRule="auto"/>
        <w:rPr>
          <w:sz w:val="20"/>
          <w:szCs w:val="20"/>
          <w:color w:val="auto"/>
        </w:rPr>
      </w:pPr>
      <w:r>
        <w:rPr>
          <w:rFonts w:ascii="Arial" w:cs="Arial" w:eastAsia="Arial" w:hAnsi="Arial"/>
          <w:sz w:val="18"/>
          <w:szCs w:val="18"/>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interim and annual management’s discussion and analysis of the Corporation, and the documents incorporated by reference herein, including the applicable Prospectus Supplement.</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ectPr>
          <w:pgSz w:w="11900" w:h="16838" w:orient="portrait"/>
          <w:cols w:equalWidth="0" w:num="1">
            <w:col w:w="11140"/>
          </w:cols>
          <w:pgMar w:left="320" w:top="125" w:right="439" w:bottom="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125" w:right="439" w:bottom="0" w:gutter="0" w:footer="0" w:header="0"/>
          <w:type w:val="continuous"/>
        </w:sectPr>
      </w:pPr>
    </w:p>
    <w:bookmarkStart w:id="51" w:name="page52"/>
    <w:bookmarkEnd w:id="51"/>
    <w:p>
      <w:pPr>
        <w:ind w:left="120" w:right="60"/>
        <w:spacing w:after="0" w:line="257" w:lineRule="auto"/>
        <w:rPr>
          <w:sz w:val="20"/>
          <w:szCs w:val="20"/>
          <w:color w:val="auto"/>
        </w:rPr>
      </w:pPr>
      <w:r>
        <w:rPr>
          <w:rFonts w:ascii="Arial" w:cs="Arial" w:eastAsia="Arial" w:hAnsi="Arial"/>
          <w:sz w:val="18"/>
          <w:szCs w:val="18"/>
          <w:color w:val="auto"/>
        </w:rPr>
        <w:t>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or incorporated by reference in, this Prospectus.</w:t>
      </w:r>
    </w:p>
    <w:p>
      <w:pPr>
        <w:spacing w:after="0" w:line="18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Certain COVID-19 related risks could delay or slow the implementation of the certain of the Corporation’s planned programs resulting in additional costs for the Corporation. The extent to which COVID-19 may impact the Corporation’s business activities will depend on future developments, such as the ultimate geographic spread of the disease, the duration of the outbreak, travel restrictions, business disruptions, and the effectiveness of actions taken in Canada, the United States, Jamaica, and other countries to contain and treat the disease. As these events are highly uncertain, the Corporation cannot determine their potential impact on operations at this time. The COVID-19 pandemic may negatively impact the Corporation’s business through disruption of supply and manufacturing, which would influence the amount and timing of planned expenditure. For example, prolonged disruptions in the supply of goods and services relied on by the Corporation to develop its products or restrictions resulting from government regulations that impact the Corporation’s ability to conduct its studies and clinic trials, may adversely impact the Corporation’s business. See </w:t>
      </w:r>
      <w:r>
        <w:rPr>
          <w:rFonts w:ascii="Arial" w:cs="Arial" w:eastAsia="Arial" w:hAnsi="Arial"/>
          <w:sz w:val="16"/>
          <w:szCs w:val="16"/>
          <w:i w:val="1"/>
          <w:iCs w:val="1"/>
          <w:color w:val="auto"/>
        </w:rPr>
        <w:t>“The Corporation – COVID-19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Pandemic” </w:t>
      </w:r>
      <w:r>
        <w:rPr>
          <w:rFonts w:ascii="Arial" w:cs="Arial" w:eastAsia="Arial" w:hAnsi="Arial"/>
          <w:sz w:val="16"/>
          <w:szCs w:val="16"/>
          <w:color w:val="auto"/>
        </w:rPr>
        <w:t>and “</w:t>
      </w:r>
      <w:r>
        <w:rPr>
          <w:rFonts w:ascii="Arial" w:cs="Arial" w:eastAsia="Arial" w:hAnsi="Arial"/>
          <w:sz w:val="16"/>
          <w:szCs w:val="16"/>
          <w:i w:val="1"/>
          <w:iCs w:val="1"/>
          <w:color w:val="auto"/>
        </w:rPr>
        <w:t>Risk Factors – Risks Related to the Business of the Corporation – Novel Coronavirus COVID-19”.</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Cash Flow From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$90,000,000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 Factors – Risks Related to an Offering – Negative Operating Cash Flow and Going Concern”</w:t>
      </w:r>
      <w:r>
        <w:rPr>
          <w:rFonts w:ascii="Arial" w:cs="Arial" w:eastAsia="Arial" w:hAnsi="Arial"/>
          <w:sz w:val="16"/>
          <w:szCs w:val="16"/>
          <w:color w:val="auto"/>
        </w:rPr>
        <w:t>.</w:t>
      </w: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July 2, 2021, the Corporation had 148,413,013 Common Shares and nil preferred shares issued and outstanding.</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88"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ectPr>
          <w:pgSz w:w="11900" w:h="16838" w:orient="portrait"/>
          <w:cols w:equalWidth="0" w:num="1">
            <w:col w:w="11120"/>
          </w:cols>
          <w:pgMar w:left="320" w:top="125" w:right="459" w:bottom="0" w:gutter="0" w:footer="0" w:header="0"/>
        </w:sectPr>
      </w:pPr>
    </w:p>
    <w:bookmarkStart w:id="52" w:name="page53"/>
    <w:bookmarkEnd w:id="52"/>
    <w:p>
      <w:pPr>
        <w:ind w:left="120" w:right="120"/>
        <w:spacing w:after="0" w:line="277"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Warrants offered and the offering price;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such Warrants will be listed on any securities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material terms and conditions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76" w:lineRule="exact"/>
        <w:rPr>
          <w:sz w:val="20"/>
          <w:szCs w:val="20"/>
          <w:color w:val="auto"/>
        </w:rPr>
      </w:pPr>
    </w:p>
    <w:p>
      <w:pPr>
        <w:ind w:left="1080" w:right="10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Securities comprising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material terms and conditions of the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Debt Securities will be senior or subordinated unsecured indebtedness of the Corporation as described in the relevant Prospectus Supplement. If the Debt Securities are senior indebtedness, they will rank equally and rateably with all other unsecured indebtedness of the Corporation, from time to time issued and outstanding, which is not subordinated.</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Debt Securities are subordinated indebtedness, they will rank equally and rateably with all other subordinated Debt Securities from time to time issued and outstanding. In the event of the insolvency or winding-up of the Corporation, the subordinated Debt Securities will be subordinated and postponed in right of payment to the prior payment in full of all other liabilities and indebtedness of the Corporation, other than indebtedness that, by its terms, ranks equally with, or subordinate to, such subordinated Debt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convertible or exchangeable Debt Securities will be convertible or exchangeable only for other securities of the Corporation.</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conformity with applicable laws of Canada, for all bonds and notes of companies that are publicly offered, the Debt Securities will be governed by a document called an </w:t>
      </w:r>
      <w:r>
        <w:rPr>
          <w:rFonts w:ascii="Arial" w:cs="Arial" w:eastAsia="Arial" w:hAnsi="Arial"/>
          <w:sz w:val="18"/>
          <w:szCs w:val="18"/>
          <w:b w:val="1"/>
          <w:bCs w:val="1"/>
          <w:color w:val="auto"/>
        </w:rPr>
        <w:t>“indenture”</w:t>
      </w:r>
      <w:r>
        <w:rPr>
          <w:rFonts w:ascii="Arial" w:cs="Arial" w:eastAsia="Arial" w:hAnsi="Arial"/>
          <w:sz w:val="18"/>
          <w:szCs w:val="18"/>
          <w:color w:val="auto"/>
        </w:rPr>
        <w:t>. There will be a separate indenture for the senior Debt Securities and the subordinated Debt Securities. An indenture is a contract between a financial institution, acting on your behalf as trustee of the Debt Securities offered, and us. The trustee has two main roles. First, subject to some limitations on the extent to which the trustee can act on your behalf, the trustee can enforce your rights against us if we default on our obligations under the indenture. Second, the trustee performs certain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administrative duties for us. The aggregate principal amount of Debt Securities that may be issued under each indenture is unlimited. A copy of the form of each indenture to be entered into in connection with offerings of Debt Securities will be filed with the applicable securities regulatory authorities in</w:t>
      </w:r>
    </w:p>
    <w:p>
      <w:pPr>
        <w:sectPr>
          <w:pgSz w:w="11900" w:h="16838" w:orient="portrait"/>
          <w:cols w:equalWidth="0" w:num="1">
            <w:col w:w="11100"/>
          </w:cols>
          <w:pgMar w:left="320" w:top="125" w:right="479" w:bottom="0" w:gutter="0" w:footer="0" w:header="0"/>
        </w:sectPr>
      </w:pPr>
    </w:p>
    <w:bookmarkStart w:id="53" w:name="page54"/>
    <w:bookmarkEnd w:id="53"/>
    <w:p>
      <w:pPr>
        <w:ind w:left="120" w:right="140"/>
        <w:spacing w:after="0" w:line="277" w:lineRule="auto"/>
        <w:rPr>
          <w:sz w:val="20"/>
          <w:szCs w:val="20"/>
          <w:color w:val="auto"/>
        </w:rPr>
      </w:pPr>
      <w:r>
        <w:rPr>
          <w:rFonts w:ascii="Arial" w:cs="Arial" w:eastAsia="Arial" w:hAnsi="Arial"/>
          <w:sz w:val="18"/>
          <w:szCs w:val="18"/>
          <w:color w:val="auto"/>
        </w:rPr>
        <w:t>Canada when it is entered into. A copy of any indenture or supplement thereto entered into by us will be filed with securities regulatory authorities and will be available on our profile on SEDAR.</w:t>
      </w:r>
    </w:p>
    <w:p>
      <w:pPr>
        <w:spacing w:after="0" w:line="170"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LIBOR, EURIBOR or a United States federal funds rate.</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Selected provisions of the Debt Securities and the indenture(s) under which such Debt Securities will be issued are summarized below. This summary is not complete. The statements made in this Prospectus relating to any indenture and Debt Securities to be issued thereunder are summaries of certain anticipated provisions thereof and are subject to, and are qualified in their entirety by reference to, all provisions of the applicable indenture. The indentures will not limit the amount of Debt Securities that we may issue thereunder. We may issue Debt Securities from time to time under an indenture in one or more series by entering into supplemental indentures or by our board of directors or a duly authorized committee authorizing the issuance. The Debt Securities of a series need not be issued at the same time, bear interest at the same rate or mature on the same date.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for a particular series of Debt Securities will disclose the specific terms of such Debt Securities, including the price or prices at which the Debt Securities to be offered will be issued. The terms and provisions of any Debt Securities offered under a Prospectus Supplement may differ from the terms described below, and may not be subject to or contain any or all of such terms. Those terms may include some or all of the following:</w:t>
      </w:r>
    </w:p>
    <w:p>
      <w:pPr>
        <w:spacing w:after="0" w:line="92"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indenture under which such Debt Securities will be issued and the trustee(s) thereunder;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currency units for which the Debt Securities may be purchased and the currency or currency unit in which the principal and any interest is payable (in either case, if other than Canadian dollars);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senior or subordinated and, if subordinated, the applicable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of the principal amount at which such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such Debt Securities will mature;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rate or rates per annum at which such Debt Securities will bear interest (if any), or the method of determination of such rates (if any);</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record dates for such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redemption term or terms under which such Debt Securities may be defeased;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Debt Securities are to be issued in registered form, bearer form or in the form of temporary or permanent global securities and the basis of exchange, transfer and ownership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principal, premium and interest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any other Securities with which the Debt Securities will be offered, if any, and the principal amount of Debt Securities that will be offered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securities exchange(s) on which such series of Debt Securities will be listed,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terms relating to the modification, amendment or waiver of any terms of such Debt Securities or the applicable indenture;</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 in the right of the trustee or the holders to declare the principal, premium and interest with respect to such series of debt securities to be due and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such series that may be authenticated and delivered under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Corporation or the trustee, the identity of each registrar and/or paying agent;</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issued as a Unit with another Security, the date on and after which the Debt Securities and other Security will be separately transferable;</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issued upon the exercise of Warrants, the time, manner and place for such Securities to be authenticated and delivered;</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Debt Securities are to be convertible or exchangeable into other securities of the Corporation, the terms and procedures for the conversion or exchange of the Debt Securities into other securities;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specific terms of the Debt Securities of such series, including any events of default or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Subscription Receipts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ectPr>
          <w:pgSz w:w="11900" w:h="16838" w:orient="portrait"/>
          <w:cols w:equalWidth="0" w:num="1">
            <w:col w:w="11120"/>
          </w:cols>
          <w:pgMar w:left="320" w:top="125" w:right="459" w:bottom="0" w:gutter="0" w:footer="0" w:header="0"/>
        </w:sectPr>
      </w:pPr>
    </w:p>
    <w:bookmarkStart w:id="54" w:name="page55"/>
    <w:bookmarkEnd w:id="54"/>
    <w:p>
      <w:pPr>
        <w:spacing w:after="0" w:line="63"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93"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Subscription Receipts;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designation, number and terms of the other Securities that may be exchanged upon conversion of each Subscription Receipt;</w:t>
      </w:r>
    </w:p>
    <w:p>
      <w:pPr>
        <w:spacing w:after="0" w:line="142"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material Canadian tax consequences of owning the Subscription Receipts;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material terms and conditions of the Subscription Receipts.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Securities may be sold by us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us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our Securities offered by that Prospectus Supplement.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Underwriters, dealers or agents who participate in the distribution of the Securities may be entitled, under agreements to be entered into with the Corporation to indemnification by the Corporation against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w:t>
      </w:r>
    </w:p>
    <w:p>
      <w:pPr>
        <w:sectPr>
          <w:pgSz w:w="11900" w:h="16902" w:orient="portrait"/>
          <w:cols w:equalWidth="0" w:num="1">
            <w:col w:w="11120"/>
          </w:cols>
          <w:pgMar w:left="320" w:top="125" w:right="459" w:bottom="0" w:gutter="0" w:footer="0" w:header="0"/>
        </w:sectPr>
      </w:pPr>
    </w:p>
    <w:bookmarkStart w:id="55" w:name="page56"/>
    <w:bookmarkEnd w:id="55"/>
    <w:p>
      <w:pPr>
        <w:ind w:left="120"/>
        <w:spacing w:after="0"/>
        <w:rPr>
          <w:sz w:val="20"/>
          <w:szCs w:val="20"/>
          <w:color w:val="auto"/>
        </w:rPr>
      </w:pPr>
      <w:r>
        <w:rPr>
          <w:rFonts w:ascii="Arial" w:cs="Arial" w:eastAsia="Arial" w:hAnsi="Arial"/>
          <w:sz w:val="18"/>
          <w:szCs w:val="18"/>
          <w:color w:val="auto"/>
        </w:rPr>
        <w:t>services for, the Corporation in the ordinary course of business.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 in the United States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Securities have not been, and will not be, registered under the U.S. Securities Act or any state securities laws and, subject to certain exceptions, may not be offered or sold or otherwise transferred or disposed of in the United States absent registration or pursuant to an applicable exemption from registration under the U.S. Securities Act and applicable state securities laws. In addition, until 40 days after the commencement of an Offering of Securities under any applicable Prospectus Supplement, an offer or sale of Securities within the United States by any dealer (whether or not participating in the Offering of Securities) may violate the registration requirements of the U.S. Securities Act if such offer is made otherwise than in reliance on an exemption from the registration requirements of the U.S. Securities Act.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xml:space="preserve"> in the Annual Information Form and under the heading </w:t>
      </w:r>
      <w:r>
        <w:rPr>
          <w:rFonts w:ascii="Arial" w:cs="Arial" w:eastAsia="Arial" w:hAnsi="Arial"/>
          <w:sz w:val="16"/>
          <w:szCs w:val="16"/>
          <w:b w:val="1"/>
          <w:bCs w:val="1"/>
          <w:i w:val="1"/>
          <w:iCs w:val="1"/>
          <w:color w:val="auto"/>
        </w:rPr>
        <w:t>“Risks and Uncertainties”</w:t>
      </w:r>
      <w:r>
        <w:rPr>
          <w:rFonts w:ascii="Arial" w:cs="Arial" w:eastAsia="Arial" w:hAnsi="Arial"/>
          <w:sz w:val="16"/>
          <w:szCs w:val="16"/>
          <w:b w:val="1"/>
          <w:bCs w:val="1"/>
          <w:color w:val="auto"/>
        </w:rPr>
        <w:t xml:space="preserve"> in the Annual MD&amp;A, and any other risk factors described herein or in a document incorporated by reference herein, which investors should carefully consider before investing. </w:t>
      </w:r>
      <w:r>
        <w:rPr>
          <w:rFonts w:ascii="Arial" w:cs="Arial" w:eastAsia="Arial" w:hAnsi="Arial"/>
          <w:sz w:val="16"/>
          <w:szCs w:val="16"/>
          <w:color w:val="auto"/>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Novel Coronavirus “COVID-19”</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outbreak of the novel strain of coronavirus, specifically identified as “COVID-19”, has resulted in governments worldwide enacting emergency measures to combat the spread of the virus. These measures, including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Corporation and its operating subsidiaries in future periods. However, depending on the length and severity of the pandemic, COVID-19 could impact the Corporation’s operations, could cause delays relating to approval from Health Canada, the FDA and equivalent organizations in other countries, could postpone research activities, and could impair the Corporation’s ability to raise funds depending on COVID-19s effect on capital markets.</w:t>
      </w:r>
    </w:p>
    <w:p>
      <w:pPr>
        <w:spacing w:after="0" w:line="19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rapid development of the COVID-19 pandemic and the measures being taken by governments and private parties to respond to it are extremely fluid. While the Corporation has continuously sought to assess the potential impact of the pandemic on its operations, any assessment is subject to extreme uncertainty as to probability, severity and duration. The Corporation has attempted to assess the impact of the pandemic by identifying risks in the following principle areas:</w:t>
      </w:r>
    </w:p>
    <w:p>
      <w:pPr>
        <w:spacing w:after="0" w:line="88" w:lineRule="exact"/>
        <w:rPr>
          <w:sz w:val="20"/>
          <w:szCs w:val="20"/>
          <w:color w:val="auto"/>
        </w:rPr>
      </w:pPr>
    </w:p>
    <w:p>
      <w:pPr>
        <w:ind w:left="1080" w:right="40" w:hanging="424"/>
        <w:spacing w:after="0" w:line="303"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Mandatory Closure. </w:t>
      </w:r>
      <w:r>
        <w:rPr>
          <w:rFonts w:ascii="Arial" w:cs="Arial" w:eastAsia="Arial" w:hAnsi="Arial"/>
          <w:sz w:val="16"/>
          <w:szCs w:val="16"/>
          <w:color w:val="auto"/>
        </w:rPr>
        <w:t>In response to the pandemic, many provinces, states and localities have implemented mandatory shut-downs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to prevent the spread of COVID-19. In the locations where the Corporation operates or conducts research activity, these activities have been deemed an “essential service”, and thus not subject to the mandatory closures applicable to nonessential businesses. The Corporation’s ability to generate revenue and meet its milestones could be materially impacted by any shut down of operations or services.</w:t>
      </w:r>
    </w:p>
    <w:p>
      <w:pPr>
        <w:spacing w:after="0" w:line="56" w:lineRule="exact"/>
        <w:rPr>
          <w:rFonts w:ascii="Arial" w:cs="Arial" w:eastAsia="Arial" w:hAnsi="Arial"/>
          <w:sz w:val="16"/>
          <w:szCs w:val="16"/>
          <w:color w:val="auto"/>
        </w:rPr>
      </w:pPr>
    </w:p>
    <w:p>
      <w:pPr>
        <w:ind w:left="1080" w:right="280" w:hanging="424"/>
        <w:spacing w:after="0" w:line="26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Research and Development Disruptions</w:t>
      </w:r>
      <w:r>
        <w:rPr>
          <w:rFonts w:ascii="Arial" w:cs="Arial" w:eastAsia="Arial" w:hAnsi="Arial"/>
          <w:sz w:val="18"/>
          <w:szCs w:val="18"/>
          <w:color w:val="auto"/>
        </w:rPr>
        <w:t>. The Corporation relies on a third parties for its research and development activities. If these</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are unable to continue operating due to mandatory closures or other effects of the pandemic, it may negatively impact the Corporation’s ability to meet its milestones and may significantly delay development. At this time, the Corporation has not experienced any significant disruptions.</w:t>
      </w:r>
    </w:p>
    <w:p>
      <w:pPr>
        <w:sectPr>
          <w:pgSz w:w="11900" w:h="16838" w:orient="portrait"/>
          <w:cols w:equalWidth="0" w:num="1">
            <w:col w:w="11120"/>
          </w:cols>
          <w:pgMar w:left="320" w:top="125" w:right="459" w:bottom="294" w:gutter="0" w:footer="0" w:header="0"/>
        </w:sectPr>
      </w:pPr>
    </w:p>
    <w:bookmarkStart w:id="56" w:name="page57"/>
    <w:bookmarkEnd w:id="56"/>
    <w:p>
      <w:pPr>
        <w:spacing w:after="0" w:line="9" w:lineRule="exact"/>
        <w:rPr>
          <w:sz w:val="20"/>
          <w:szCs w:val="20"/>
          <w:color w:val="auto"/>
        </w:rPr>
      </w:pPr>
    </w:p>
    <w:p>
      <w:pPr>
        <w:ind w:left="1080" w:hanging="424"/>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Staffing Disruption</w:t>
      </w:r>
      <w:r>
        <w:rPr>
          <w:rFonts w:ascii="Arial" w:cs="Arial" w:eastAsia="Arial" w:hAnsi="Arial"/>
          <w:sz w:val="18"/>
          <w:szCs w:val="18"/>
          <w:color w:val="auto"/>
        </w:rPr>
        <w:t>. The Corporation is, for the time being, implementing among its staff where feasible “social distancing”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by local authorities. The Corporation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Corporation may find it difficult to ensure that its operations remain staffed due to employees falling ill with COVID-19, becoming subject to quarantine, or deciding not to come to come to work on their own volition to avoid infection.</w:t>
      </w:r>
    </w:p>
    <w:p>
      <w:pPr>
        <w:spacing w:after="0" w:line="19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Corporation is actively addressing the risk to business continuity represented by each of the above factors through the implementation of a broad range of measures throughout its structure and is re-assessing its response to the COVID-19 pandemic on an ongoing basis. The above risks individually or collectively may have a material impact on the Corporation’s ability to generate revenue.</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Corporation has sufficient cash on hand raised via equity financings to fund its operations for the next 12-months and meet its working capital requirements. It is anticipated that the long-term goals of the Corporation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will require additional capital contributions via debt or equity financings. In the event that the impact of COVID-19 worsens and negatively affects capital markets generally, there is a risk that the Corporation may not be able to secure funding for these long-term objectives. See </w:t>
      </w:r>
      <w:r>
        <w:rPr>
          <w:rFonts w:ascii="Arial" w:cs="Arial" w:eastAsia="Arial" w:hAnsi="Arial"/>
          <w:sz w:val="18"/>
          <w:szCs w:val="18"/>
          <w:i w:val="1"/>
          <w:iCs w:val="1"/>
          <w:color w:val="auto"/>
        </w:rPr>
        <w:t>“The Corporation –</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Risks and Uncertainties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In Canada, certain psychedelic drugs, including psilocybin, are classified as Schedule III drugs under the CDSA and as such, medical and recreational use is illegal under Canadian federal laws. In the United States, certain psychedelic drugs, including psilocybin, are classified as Schedule I drugs under the CSA and the </w:t>
      </w:r>
      <w:r>
        <w:rPr>
          <w:rFonts w:ascii="Arial" w:cs="Arial" w:eastAsia="Arial" w:hAnsi="Arial"/>
          <w:sz w:val="17"/>
          <w:szCs w:val="17"/>
          <w:i w:val="1"/>
          <w:iCs w:val="1"/>
          <w:color w:val="auto"/>
        </w:rPr>
        <w:t>Controlled Substances Import and Export Act</w:t>
      </w:r>
      <w:r>
        <w:rPr>
          <w:rFonts w:ascii="Arial" w:cs="Arial" w:eastAsia="Arial" w:hAnsi="Arial"/>
          <w:sz w:val="17"/>
          <w:szCs w:val="17"/>
          <w:color w:val="auto"/>
        </w:rPr>
        <w:t xml:space="preserve"> and as such, medical and recreational use is illegal under the U.S. federal laws. 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loss of the necessary licences and permits for Schedule III drugs could have an adverse effect on the Corporation’s operations.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6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and other global jurisdictions, including Jamaica, the commercial opportunity that the Corporation is pursuing may be highly limited.</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or other similar regulatory authorities have not evaluated claims regarding psilocybin, DMT, psilocybin analogues, or other psychedelic compounds or nutraceutical products. The efficacy of such products have not been confirmed by approved research. There is no assurance that the use of psilocybin, DMT, psilocybin analogues, or other psychedelic compounds or nutraceuticals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Corporation will complete such trials. If the Corporation cannot obtain the approvals or research necessary to commercialize its business, it may have a material adverse effect on the Corporation’s performance and operations.</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FDA has broad authority to enforce the provisions of the FFDCA applicable to foods, drugs, dietary supplements, and cosmetics, including powers to issue a public warning letter to a company, to publicize information about illegal or harmful products, to request a recall of products from the market, and to request the United States Department of Justice to initiate a seizure action, an injunction action, or a criminal prosecution in the U. S. courts. The Corporation could be subject to fines and penalties, including under administrative, civil and criminal laws for violating U.S. laws and regulations, and the Corporation’s products could be banned or subject to recall from the marketplace. The Corporation could also be subject to possible business and consumer claims under applicable statutory, product liability and common laws.</w:t>
      </w:r>
    </w:p>
    <w:p>
      <w:pPr>
        <w:sectPr>
          <w:pgSz w:w="11900" w:h="16847" w:orient="portrait"/>
          <w:cols w:equalWidth="0" w:num="1">
            <w:col w:w="11120"/>
          </w:cols>
          <w:pgMar w:left="320" w:top="121" w:right="459" w:bottom="0" w:gutter="0" w:footer="0" w:header="0"/>
        </w:sectPr>
      </w:pPr>
    </w:p>
    <w:bookmarkStart w:id="57" w:name="page58"/>
    <w:bookmarkEnd w:id="57"/>
    <w:p>
      <w:pPr>
        <w:ind w:left="120"/>
        <w:spacing w:after="0"/>
        <w:rPr>
          <w:sz w:val="20"/>
          <w:szCs w:val="20"/>
          <w:color w:val="auto"/>
        </w:rPr>
      </w:pPr>
      <w:r>
        <w:rPr>
          <w:rFonts w:ascii="Arial" w:cs="Arial" w:eastAsia="Arial" w:hAnsi="Arial"/>
          <w:sz w:val="18"/>
          <w:szCs w:val="18"/>
          <w:b w:val="1"/>
          <w:bCs w:val="1"/>
          <w:color w:val="auto"/>
        </w:rPr>
        <w:t>Risks Related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 investment in the Securities carries a high degree of risk and should be considered as a speculative investment. The Corporation has no history of earnings, limited cash reserves, limited operating history, has not paid dividends, and is unlikely to pay dividends in the immediate or near future.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8"/>
          <w:szCs w:val="18"/>
          <w:i w:val="1"/>
          <w:iCs w:val="1"/>
          <w:color w:val="auto"/>
        </w:rPr>
        <w:t>“Risk Factors – Risks Related to an Offering – Potential Need for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Discretion over the Use of Proceeds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7"/>
          <w:szCs w:val="17"/>
          <w:i w:val="1"/>
          <w:iCs w:val="1"/>
          <w:color w:val="auto"/>
        </w:rPr>
        <w:t>“Risk Factors – Risks Related to an Offering –</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Operating Cash Flow and Going Concern” and “– Potential Dilution”.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6"/>
          <w:szCs w:val="16"/>
          <w:i w:val="1"/>
          <w:iCs w:val="1"/>
          <w:color w:val="auto"/>
        </w:rPr>
        <w:t>“Cautionary Note Regarding Forward-Looking</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addition, the market price for securities on stock markets, including the Neo is subject to significant price and trading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66"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w:t>
      </w:r>
    </w:p>
    <w:p>
      <w:pPr>
        <w:sectPr>
          <w:pgSz w:w="11900" w:h="16838" w:orient="portrait"/>
          <w:cols w:equalWidth="0" w:num="1">
            <w:col w:w="11140"/>
          </w:cols>
          <w:pgMar w:left="320" w:top="121" w:right="439" w:bottom="0" w:gutter="0" w:footer="0" w:header="0"/>
        </w:sectPr>
      </w:pPr>
    </w:p>
    <w:bookmarkStart w:id="58" w:name="page59"/>
    <w:bookmarkEnd w:id="58"/>
    <w:p>
      <w:pPr>
        <w:ind w:left="120" w:right="220"/>
        <w:spacing w:after="0" w:line="277" w:lineRule="auto"/>
        <w:rPr>
          <w:sz w:val="20"/>
          <w:szCs w:val="20"/>
          <w:color w:val="auto"/>
        </w:rPr>
      </w:pPr>
      <w:r>
        <w:rPr>
          <w:rFonts w:ascii="Arial" w:cs="Arial" w:eastAsia="Arial" w:hAnsi="Arial"/>
          <w:sz w:val="18"/>
          <w:szCs w:val="18"/>
          <w:color w:val="auto"/>
        </w:rPr>
        <w:t>unrelated to the Corporation’s performance. As at the date of this Prospectus, only the Common Shares are listed on a securities exchange and may be purchased in the secondary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Dilution</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our Securities. Issuances of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 xml:space="preserve">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6"/>
          <w:szCs w:val="16"/>
          <w:i w:val="1"/>
          <w:iCs w:val="1"/>
          <w:color w:val="auto"/>
        </w:rPr>
        <w:t>“Risk Factors – Risks Related to an Offering – Potential Need for Additional Financing</w:t>
      </w:r>
      <w:r>
        <w:rPr>
          <w:rFonts w:ascii="Arial" w:cs="Arial" w:eastAsia="Arial" w:hAnsi="Arial"/>
          <w:sz w:val="16"/>
          <w:szCs w:val="16"/>
          <w:color w:val="auto"/>
        </w:rPr>
        <w: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for Securities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our Securities, other than our Common Shares, in the secondary market, the transparency and availability of trading prices, the liquidity of these Securities and the extent of issuer regulation. There can be no assurance that an active trading market for our Securities, other than our Common Shares, will develop or, if developed, that any such market, including for our Common Shares, will be sustained.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Enforcement of Civil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Certain of our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will include a general summary of certain Canadian federal income tax consequences which may be applicable to a purchaser of Securities offered thereunder. Investors should read the tax discussion in any Prospectus Supplement with respect to a particular offering and consult their own tax advisors with respect to their own particular circumstances.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Zeifmans LLP, Chartered Professional Accountants, are the auditors of the Corporation and have confirmed that they are independent of the Company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ectPr>
          <w:pgSz w:w="11900" w:h="16838" w:orient="portrait"/>
          <w:cols w:equalWidth="0" w:num="1">
            <w:col w:w="11120"/>
          </w:cols>
          <w:pgMar w:left="320" w:top="125" w:right="459" w:bottom="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ectPr>
          <w:pgSz w:w="11900" w:h="16838" w:orient="portrait"/>
          <w:cols w:equalWidth="0" w:num="1">
            <w:col w:w="11120"/>
          </w:cols>
          <w:pgMar w:left="320" w:top="125" w:right="459" w:bottom="0" w:gutter="0" w:footer="0" w:header="0"/>
          <w:type w:val="continuous"/>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4"/>
    </w:lvl>
  </w:abstractNum>
  <w:abstractNum w:abstractNumId="4">
    <w:nsid w:val="6763845E"/>
    <w:multiLevelType w:val="hybridMultilevel"/>
    <w:lvl w:ilvl="0">
      <w:lvlJc w:val="left"/>
      <w:lvlText w:val="1"/>
      <w:numFmt w:val="bullet"/>
      <w:start w:val="1"/>
    </w:lvl>
  </w:abstractNum>
  <w:abstractNum w:abstractNumId="5">
    <w:nsid w:val="75A2A8D4"/>
    <w:multiLevelType w:val="hybridMultilevel"/>
    <w:lvl w:ilvl="0">
      <w:lvlJc w:val="left"/>
      <w:lvlText w:val="2"/>
      <w:numFmt w:val="bullet"/>
      <w:start w:val="1"/>
    </w:lvl>
  </w:abstractNum>
  <w:abstractNum w:abstractNumId="6">
    <w:nsid w:val="8EDBDAB"/>
    <w:multiLevelType w:val="hybridMultilevel"/>
    <w:lvl w:ilvl="0">
      <w:lvlJc w:val="left"/>
      <w:lvlText w:val="3"/>
      <w:numFmt w:val="bullet"/>
      <w:start w:val="1"/>
    </w:lvl>
  </w:abstractNum>
  <w:abstractNum w:abstractNumId="7">
    <w:nsid w:val="79838CB2"/>
    <w:multiLevelType w:val="hybridMultilevel"/>
    <w:lvl w:ilvl="0">
      <w:lvlJc w:val="left"/>
      <w:lvlText w:val="4"/>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Roman"/>
      <w:start w:val="5"/>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bullet"/>
      <w:start w:val="1"/>
    </w:lvl>
  </w:abstractNum>
  <w:abstractNum w:abstractNumId="17">
    <w:nsid w:val="8138641"/>
    <w:multiLevelType w:val="hybridMultilevel"/>
    <w:lvl w:ilvl="0">
      <w:lvlJc w:val="left"/>
      <w:lvlText w:val="2"/>
      <w:numFmt w:val="bullet"/>
      <w:start w:val="1"/>
    </w:lvl>
  </w:abstractNum>
  <w:abstractNum w:abstractNumId="18">
    <w:nsid w:val="1E7FF521"/>
    <w:multiLevelType w:val="hybridMultilevel"/>
    <w:lvl w:ilvl="0">
      <w:lvlJc w:val="left"/>
      <w:lvlText w:val="3"/>
      <w:numFmt w:val="bullet"/>
      <w:start w:val="1"/>
    </w:lvl>
  </w:abstractNum>
  <w:abstractNum w:abstractNumId="19">
    <w:nsid w:val="7C3DBD3D"/>
    <w:multiLevelType w:val="hybridMultilevel"/>
    <w:lvl w:ilvl="0">
      <w:lvlJc w:val="left"/>
      <w:lvlText w:val="4"/>
      <w:numFmt w:val="bullet"/>
      <w:start w:val="1"/>
    </w:lvl>
  </w:abstractNum>
  <w:abstractNum w:abstractNumId="20">
    <w:nsid w:val="737B8DDC"/>
    <w:multiLevelType w:val="hybridMultilevel"/>
    <w:lvl w:ilvl="0">
      <w:lvlJc w:val="left"/>
      <w:lvlText w:val="5"/>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6"/>
      <w:numFmt w:val="bullet"/>
      <w:start w:val="1"/>
    </w:lvl>
  </w:abstractNum>
  <w:abstractNum w:abstractNumId="23">
    <w:nsid w:val="4516DDE9"/>
    <w:multiLevelType w:val="hybridMultilevel"/>
    <w:lvl w:ilvl="0">
      <w:lvlJc w:val="left"/>
      <w:lvlText w:val="7"/>
      <w:numFmt w:val="bullet"/>
      <w:start w:val="1"/>
    </w:lvl>
  </w:abstractNum>
  <w:abstractNum w:abstractNumId="24">
    <w:nsid w:val="3006C83E"/>
    <w:multiLevelType w:val="hybridMultilevel"/>
    <w:lvl w:ilvl="0">
      <w:lvlJc w:val="left"/>
      <w:lvlText w:val="8"/>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9"/>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jpe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79" Type="http://schemas.openxmlformats.org/officeDocument/2006/relationships/hyperlink" Target="http://www.sec.gov/Archives/edgar/data/0001833141/000119312521224423/d204508dex9999.htm" TargetMode="External"/><Relationship Id="rId80" Type="http://schemas.openxmlformats.org/officeDocument/2006/relationships/hyperlink" Target="http://www.sec.gov/Archives/edgar/data/0001833141/000119312521224423/d204508dex9997.htm" TargetMode="External"/><Relationship Id="rId81" Type="http://schemas.openxmlformats.org/officeDocument/2006/relationships/hyperlink" Target="http://www.sec.gov/Archives/edgar/data/0001833141/000119312521224423/d204508dex9998.htm" TargetMode="External"/><Relationship Id="rId82" Type="http://schemas.openxmlformats.org/officeDocument/2006/relationships/hyperlink" Target="http://www.sec.gov/Archives/edgar/data/0001833141/000119312521224423/d204508dex9979.htm" TargetMode="External"/><Relationship Id="rId83" Type="http://schemas.openxmlformats.org/officeDocument/2006/relationships/hyperlink" Target="http://www.sec.gov/Archives/edgar/data/0001833141/000119312521224423/d204508dex998.htm" TargetMode="External"/><Relationship Id="rId84" Type="http://schemas.openxmlformats.org/officeDocument/2006/relationships/hyperlink" Target="http://www.sec.gov/Archives/edgar/data/0001833141/000119312521289913/d191613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2022-08-09T03:30:29Z</dcterms:created>
  <dcterms:modified xsi:type="dcterms:W3CDTF">2022-08-09T03:30:29Z</dcterms:modified>
</cp:coreProperties>
</file>