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January,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23,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January 23,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340" w:right="380"/>
        <w:spacing w:after="0" w:line="321" w:lineRule="auto"/>
        <w:rPr>
          <w:sz w:val="20"/>
          <w:szCs w:val="20"/>
          <w:color w:val="auto"/>
        </w:rPr>
      </w:pPr>
      <w:r>
        <w:rPr>
          <w:rFonts w:ascii="Arial" w:cs="Arial" w:eastAsia="Arial" w:hAnsi="Arial"/>
          <w:sz w:val="25"/>
          <w:szCs w:val="25"/>
          <w:b w:val="1"/>
          <w:bCs w:val="1"/>
          <w:color w:val="auto"/>
        </w:rPr>
        <w:t>Cybin Announces FDA Clearance to Initiate a Phase 2a Study of CYB004 in Generalized Anxiety Disorder</w:t>
      </w:r>
    </w:p>
    <w:p>
      <w:pPr>
        <w:spacing w:after="0" w:line="138" w:lineRule="exact"/>
        <w:rPr>
          <w:sz w:val="20"/>
          <w:szCs w:val="20"/>
          <w:color w:val="auto"/>
        </w:rPr>
      </w:pPr>
    </w:p>
    <w:p>
      <w:pPr>
        <w:ind w:left="120" w:right="100" w:firstLine="123"/>
        <w:spacing w:after="0" w:line="343" w:lineRule="auto"/>
        <w:tabs>
          <w:tab w:leader="none" w:pos="369"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Recently announced positive Phase 1 topline safety, pharmacokinetic (“PK”) and pharmacodynamic (“PD”) data show that intravenous (“IV”) CYB004 demonstrated robust and rapid-onset psychedelic effects at lower doses compared to native DMT -</w:t>
      </w:r>
    </w:p>
    <w:p>
      <w:pPr>
        <w:spacing w:after="0" w:line="144" w:lineRule="exact"/>
        <w:rPr>
          <w:rFonts w:ascii="Arial" w:cs="Arial" w:eastAsia="Arial" w:hAnsi="Arial"/>
          <w:sz w:val="19"/>
          <w:szCs w:val="19"/>
          <w:i w:val="1"/>
          <w:iCs w:val="1"/>
          <w:color w:val="auto"/>
        </w:rPr>
      </w:pPr>
    </w:p>
    <w:p>
      <w:pPr>
        <w:ind w:left="2080" w:hanging="113"/>
        <w:spacing w:after="0"/>
        <w:tabs>
          <w:tab w:leader="none" w:pos="208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U.S. composition of matter patent granted with protection expected through 2041 -</w:t>
      </w:r>
    </w:p>
    <w:p>
      <w:pPr>
        <w:spacing w:after="0" w:line="283" w:lineRule="exact"/>
        <w:rPr>
          <w:rFonts w:ascii="Arial" w:cs="Arial" w:eastAsia="Arial" w:hAnsi="Arial"/>
          <w:sz w:val="20"/>
          <w:szCs w:val="20"/>
          <w:i w:val="1"/>
          <w:iCs w:val="1"/>
          <w:color w:val="auto"/>
        </w:rPr>
      </w:pPr>
    </w:p>
    <w:p>
      <w:pPr>
        <w:ind w:left="1560" w:hanging="116"/>
        <w:spacing w:after="0"/>
        <w:tabs>
          <w:tab w:leader="none" w:pos="156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Company to initiate a randomized, double-blind, active controlled Phase 2a study in Q1 2024 -</w:t>
      </w:r>
    </w:p>
    <w:p>
      <w:pPr>
        <w:spacing w:after="0" w:line="30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January 23,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clinical-stage biopharmaceutical company committed to revolutionizing mental healthcare by developing new and innovative next-generation psychedelic treatment options, today announced that the U.S. Food and Drug Administration (“FDA”) has cleared its investigational new drug (“IND”) application for CYB004, its proprietary deuterated dimethyltryptamine (“DMT”) molecule in development for the treatment of Generalized Anxiety Disorder (“GAD”). This clearance allows the Company to proceed with its plans to initiate a Phase 2a study of CYB004 in Q1 2024. The Phase 2a study will be a randomized, double-blind, active-controlled trial to assess the preliminary clinical efficacy, safety, tolerability, PK and PD of CYB004 in participants with GAD. This trial will be conducted at study sites in the United States.</w:t>
      </w:r>
    </w:p>
    <w:p>
      <w:pPr>
        <w:spacing w:after="0" w:line="205"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“With the recent positive topline results from two Phase 1 studies of our proprietary deuterated DMT molecules, CYB004 and SPL028, we are well-positioned to initiate a Phase 2a study of CYB004 in GAD this quarter,” said Doug Drysdale, Chief Executive Officer of Cybin. “From our extensive portfolio of DMT and deuterated DMT datasets across five completed clinical studies, we have gathered important insights on dosing and preliminary efficacy signals in both depression and anxiety that will inform our next steps. Exploratory data from our completed Phase 2a study of SPL026 (IV DMT) have shown that SPL026 reduced symptoms of anxiety in patients with major depressive disorder, which further serves to de-risk the development of deuterated DMT in anxiety disorders as we continue to evaluate the efficacy and safety of CYB004.”</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7" w:lineRule="auto"/>
        <w:rPr>
          <w:sz w:val="20"/>
          <w:szCs w:val="20"/>
          <w:color w:val="auto"/>
        </w:rPr>
      </w:pPr>
      <w:r>
        <w:rPr>
          <w:rFonts w:ascii="Arial" w:cs="Arial" w:eastAsia="Arial" w:hAnsi="Arial"/>
          <w:sz w:val="20"/>
          <w:szCs w:val="20"/>
          <w:color w:val="auto"/>
        </w:rPr>
        <w:t>“Although anxiety disorders are one of the most prevalent mental health disorders, current treatment options remain limited, with suboptimal response and remission rates. We are committed to developing improved treatment options with the goal of improving the quality of life for people suffering from anxiety disorders worldwide. We look forward to exploring the potential of CYB004 to offer more convenient and patient-friendly dose forms and treatment duration,” concluded Drysdale.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Generalized Anxiety Disorder</w:t>
      </w:r>
    </w:p>
    <w:p>
      <w:pPr>
        <w:spacing w:after="0" w:line="27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Anxiety disorders are the most prevalent mental health disorders globally</w:t>
      </w:r>
      <w:r>
        <w:rPr>
          <w:rFonts w:ascii="Arial" w:cs="Arial" w:eastAsia="Arial" w:hAnsi="Arial"/>
          <w:sz w:val="25"/>
          <w:szCs w:val="25"/>
          <w:color w:val="auto"/>
          <w:vertAlign w:val="superscript"/>
        </w:rPr>
        <w:t>1</w:t>
      </w:r>
      <w:r>
        <w:rPr>
          <w:rFonts w:ascii="Arial" w:cs="Arial" w:eastAsia="Arial" w:hAnsi="Arial"/>
          <w:sz w:val="20"/>
          <w:szCs w:val="20"/>
          <w:color w:val="auto"/>
        </w:rPr>
        <w:t>, contributing to over 28 million disability-adjusted life years (DALYs).</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GAD is the most common anxiety disorder seen in primary care, with a 12-month prevalence of 2.9% in the United States.</w:t>
      </w:r>
      <w:r>
        <w:rPr>
          <w:rFonts w:ascii="Arial" w:cs="Arial" w:eastAsia="Arial" w:hAnsi="Arial"/>
          <w:sz w:val="25"/>
          <w:szCs w:val="25"/>
          <w:color w:val="auto"/>
          <w:vertAlign w:val="superscript"/>
        </w:rPr>
        <w:t>3</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w:t>
      </w:r>
    </w:p>
    <w:p>
      <w:pPr>
        <w:spacing w:after="0" w:line="43" w:lineRule="exact"/>
        <w:rPr>
          <w:sz w:val="20"/>
          <w:szCs w:val="20"/>
          <w:color w:val="auto"/>
        </w:rPr>
      </w:pPr>
    </w:p>
    <w:p>
      <w:pPr>
        <w:ind w:left="660" w:hanging="328"/>
        <w:spacing w:after="0" w:line="288" w:lineRule="auto"/>
        <w:tabs>
          <w:tab w:leader="none" w:pos="649"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Stein, D. J., Scott, K. M., de Jonge, P., &amp; Kessler, R. C. (2017). Epidemiology of anxiety disorders: from surveys to nosology and back. </w:t>
      </w:r>
      <w:r>
        <w:rPr>
          <w:rFonts w:ascii="Arial" w:cs="Arial" w:eastAsia="Arial" w:hAnsi="Arial"/>
          <w:sz w:val="19"/>
          <w:szCs w:val="19"/>
          <w:i w:val="1"/>
          <w:iCs w:val="1"/>
          <w:color w:val="auto"/>
        </w:rPr>
        <w:t>Dialogues in clinical neuroscience</w:t>
      </w:r>
      <w:r>
        <w:rPr>
          <w:rFonts w:ascii="Arial" w:cs="Arial" w:eastAsia="Arial" w:hAnsi="Arial"/>
          <w:sz w:val="19"/>
          <w:szCs w:val="19"/>
          <w:color w:val="auto"/>
        </w:rPr>
        <w:t xml:space="preserve">, 19(2), 127–136. </w:t>
      </w:r>
      <w:r>
        <w:rPr>
          <w:rFonts w:ascii="Arial" w:cs="Arial" w:eastAsia="Arial" w:hAnsi="Arial"/>
          <w:sz w:val="19"/>
          <w:szCs w:val="19"/>
          <w:u w:val="single" w:color="auto"/>
          <w:color w:val="0000FF"/>
        </w:rPr>
        <w:t>https://doi.org/10.31887/DCNS.2017.19.2/dstein</w:t>
      </w:r>
    </w:p>
    <w:p>
      <w:pPr>
        <w:spacing w:after="0" w:line="1" w:lineRule="exact"/>
        <w:rPr>
          <w:rFonts w:ascii="Arial" w:cs="Arial" w:eastAsia="Arial" w:hAnsi="Arial"/>
          <w:sz w:val="19"/>
          <w:szCs w:val="19"/>
          <w:color w:val="auto"/>
        </w:rPr>
      </w:pPr>
    </w:p>
    <w:p>
      <w:pPr>
        <w:jc w:val="both"/>
        <w:ind w:left="660" w:hanging="328"/>
        <w:spacing w:after="0" w:line="273" w:lineRule="auto"/>
        <w:tabs>
          <w:tab w:leader="none" w:pos="649"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Yang X., Fang Y., Chen H., Zhang T., Yin X., Man J., Yang L., Lu M. (2021). Global, regional and national burden of anxiety disorders from 1990 to 2019: results from the Global Burden of Disease Study 2019. </w:t>
      </w:r>
      <w:r>
        <w:rPr>
          <w:rFonts w:ascii="Arial" w:cs="Arial" w:eastAsia="Arial" w:hAnsi="Arial"/>
          <w:sz w:val="20"/>
          <w:szCs w:val="20"/>
          <w:i w:val="1"/>
          <w:iCs w:val="1"/>
          <w:color w:val="auto"/>
        </w:rPr>
        <w:t>Epidemiology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Psychiatric Sciences </w:t>
      </w:r>
      <w:r>
        <w:rPr>
          <w:rFonts w:ascii="Arial" w:cs="Arial" w:eastAsia="Arial" w:hAnsi="Arial"/>
          <w:sz w:val="20"/>
          <w:szCs w:val="20"/>
          <w:color w:val="auto"/>
        </w:rPr>
        <w:t>30, e36, 1–11.</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0000FF"/>
        </w:rPr>
        <w:t>https://doi.org/10.1017/S2045796021000275</w:t>
      </w:r>
    </w:p>
    <w:p>
      <w:pPr>
        <w:spacing w:after="0" w:line="2" w:lineRule="exact"/>
        <w:rPr>
          <w:rFonts w:ascii="Arial" w:cs="Arial" w:eastAsia="Arial" w:hAnsi="Arial"/>
          <w:sz w:val="20"/>
          <w:szCs w:val="20"/>
          <w:color w:val="auto"/>
        </w:rPr>
      </w:pPr>
    </w:p>
    <w:p>
      <w:pPr>
        <w:ind w:left="660" w:hanging="328"/>
        <w:spacing w:after="0" w:line="309" w:lineRule="auto"/>
        <w:tabs>
          <w:tab w:leader="none" w:pos="649"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Ansara E. D. (2020). Management of treatment-resistant generalized anxiety disorder. The mental health clinician, 10(6), 326–334. </w:t>
      </w:r>
      <w:r>
        <w:rPr>
          <w:rFonts w:ascii="Arial" w:cs="Arial" w:eastAsia="Arial" w:hAnsi="Arial"/>
          <w:sz w:val="20"/>
          <w:szCs w:val="20"/>
          <w:u w:val="single" w:color="auto"/>
          <w:color w:val="0000FF"/>
        </w:rPr>
        <w:t>https://doi.org/10.9740/mhc.2020.11.326</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27"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initiate a Phase 2a study of CYB004 in Q1 2024; the Company’s expectations from the Phase 2a study of SPL026 to de-risk the development of deuterated DMT; and the Company’s proprietary drug discovery platforms, innovative drug delivery systems, novel formulation approaches and treatment regimens for mental health disorders.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six month periods ended September 30, 2023, and the Company’s annual information form for the year ended March 31, 2023, which are available 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w:t>
      </w:r>
    </w:p>
    <w:p>
      <w:pPr>
        <w:sectPr>
          <w:pgSz w:w="11900" w:h="16838" w:orient="portrait"/>
          <w:cols w:equalWidth="0" w:num="1">
            <w:col w:w="11240"/>
          </w:cols>
          <w:pgMar w:left="320" w:top="1425" w:right="339" w:bottom="1440" w:gutter="0" w:footer="0" w:header="0"/>
        </w:sectPr>
      </w:pPr>
    </w:p>
    <w:bookmarkStart w:id="6" w:name="page7"/>
    <w:bookmarkEnd w:id="6"/>
    <w:p>
      <w:pPr>
        <w:jc w:val="both"/>
        <w:spacing w:after="0" w:line="282" w:lineRule="auto"/>
        <w:rPr>
          <w:sz w:val="20"/>
          <w:szCs w:val="20"/>
          <w:color w:val="auto"/>
        </w:rPr>
      </w:pPr>
      <w:r>
        <w:rPr>
          <w:rFonts w:ascii="Arial" w:cs="Arial" w:eastAsia="Arial" w:hAnsi="Arial"/>
          <w:sz w:val="20"/>
          <w:szCs w:val="20"/>
          <w:color w:val="auto"/>
        </w:rPr>
        <w:t>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1"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i w:val="1"/>
          <w:iCs w:val="1"/>
          <w:color w:val="auto"/>
        </w:rPr>
        <w:t>Neither the Cboe CA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2024-01-23T12:23:38Z</dcterms:created>
  <dcterms:modified xsi:type="dcterms:W3CDTF">2024-01-23T12:23:38Z</dcterms:modified>
</cp:coreProperties>
</file>