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 PURSUANT TO RULE 13a-16 OR 15d-16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August, 2024.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001-40673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Cybin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Charter)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100 King Street West, Suite 5600, Toronto, Ontario, M5X 1C9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right="1839"/>
        <w:spacing w:after="0" w:line="26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whether the registrant files or will file annual reports under cover Form 20-F or Form 40-F. Form 20-F 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□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⊠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CYBIN INC.</w:t>
            </w:r>
          </w:p>
        </w:tc>
      </w:tr>
      <w:tr>
        <w:trPr>
          <w:trHeight w:val="257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(Registrant)</w:t>
            </w:r>
          </w:p>
        </w:tc>
      </w:tr>
      <w:tr>
        <w:trPr>
          <w:trHeight w:val="520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   August 29, 2024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i w:val="1"/>
                <w:iCs w:val="1"/>
                <w:color w:val="auto"/>
              </w:rPr>
              <w:t>/s/ Doug Drysdale</w:t>
            </w:r>
          </w:p>
        </w:tc>
      </w:tr>
      <w:tr>
        <w:trPr>
          <w:trHeight w:val="243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Doug Drysdale</w:t>
            </w:r>
          </w:p>
        </w:tc>
      </w:tr>
      <w:tr>
        <w:trPr>
          <w:trHeight w:val="256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ectPr>
          <w:pgSz w:w="11900" w:h="16838" w:orient="portrait"/>
          <w:cols w:equalWidth="0" w:num="1">
            <w:col w:w="10920"/>
          </w:cols>
          <w:pgMar w:left="320" w:top="1413" w:right="659" w:bottom="1440" w:gutter="0" w:footer="0" w:header="0"/>
        </w:sectPr>
      </w:pPr>
    </w:p>
    <w:bookmarkStart w:id="2" w:name="page3"/>
    <w:bookmarkEnd w:id="2"/>
    <w:p>
      <w:pPr>
        <w:jc w:val="right"/>
        <w:ind w:right="3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EXHIBIT INDEX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FF"/>
        </w:rPr>
        <w:t>Report on Voting Results</w:t>
      </w:r>
    </w:p>
    <w:p>
      <w:pPr>
        <w:sectPr>
          <w:pgSz w:w="11900" w:h="16838" w:orient="portrait"/>
          <w:cols w:equalWidth="0" w:num="1">
            <w:col w:w="10119"/>
          </w:cols>
          <w:pgMar w:left="340" w:top="1413" w:right="1440" w:bottom="1440" w:gutter="0" w:footer="0" w:header="0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2548255</wp:posOffset>
            </wp:positionH>
            <wp:positionV relativeFrom="page">
              <wp:posOffset>749300</wp:posOffset>
            </wp:positionV>
            <wp:extent cx="2451735" cy="1423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735" cy="142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REPORT OF VOTING RESULTS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SECTION 11.3 OF NATIONAL INSTRUMENT 51-102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In accordance with section 11.3 of National Instrument 51-102 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Continuous Disclosure Obligations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, the following is a summary of the results of matters voted on at the annual and special meeting of the holders of the common shares (the “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Shareholders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”) of Cybin Inc. (“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Cybin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”) held on August 27, 2024 (the “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Meeting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”).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There were 87 Shareholders represented in person or by proxy at the Meeting holding 453,195,063 common shares, representing 59.66% of Cybin’s total issued and outstanding common shares as at the record date for the Meeting. As the Meeting was held virtually, all resolutions were passed by a ballot vote.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Appointment of Auditor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Zeifmans LLP was appointed auditor of Cybin until the next annual meeting of shareholders at renumeration to be fixed by the directors of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Cybin. Voting results are set out below: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10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11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2F2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2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2F2F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Withheld</w:t>
            </w: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447,888,253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99.29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9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3,192,685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0.71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Election of Directors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2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Each of the nominees for election as director listed in Cybin’s management information circular dated July 24, 2024 (the “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Circular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”) were elected as directors of Cybin for the ensuing year or until their successors are elected or appointed. Voting results are set out below: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3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20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  <w:right w:val="single" w:sz="8" w:color="F2F2F2"/>
            </w:tcBorders>
            <w:shd w:val="clear" w:color="auto" w:fill="F2F2F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2F2F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Withheld</w:t>
            </w:r>
          </w:p>
        </w:tc>
      </w:tr>
      <w:tr>
        <w:trPr>
          <w:trHeight w:val="25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center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9"/>
              </w:rPr>
              <w:t>#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9"/>
              </w:rPr>
              <w:t>%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F2F2F2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9"/>
              </w:rPr>
              <w:t>#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center"/>
              <w:ind w:righ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9"/>
              </w:rPr>
              <w:t>%</w:t>
            </w:r>
          </w:p>
        </w:tc>
      </w:tr>
      <w:tr>
        <w:trPr>
          <w:trHeight w:val="25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6"/>
              </w:rPr>
              <w:t>Theresa Firestone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294,246,457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99.30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2,068,215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0.70</w:t>
            </w:r>
          </w:p>
        </w:tc>
      </w:tr>
      <w:tr>
        <w:trPr>
          <w:trHeight w:val="25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Grant Froese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291,239,267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98.29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5,075,405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1.71</w:t>
            </w:r>
          </w:p>
        </w:tc>
      </w:tr>
      <w:tr>
        <w:trPr>
          <w:trHeight w:val="25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Paul Glavine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294,405,593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99.36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1,909,079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0.64</w:t>
            </w:r>
          </w:p>
        </w:tc>
      </w:tr>
      <w:tr>
        <w:trPr>
          <w:trHeight w:val="25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Eric Hoskins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289,686,724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97.76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6,627,948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2.24</w:t>
            </w:r>
          </w:p>
        </w:tc>
      </w:tr>
      <w:tr>
        <w:trPr>
          <w:trHeight w:val="25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Mark Lawson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291,772,251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98.47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4,542,420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1.53</w:t>
            </w:r>
          </w:p>
        </w:tc>
      </w:tr>
      <w:tr>
        <w:trPr>
          <w:trHeight w:val="25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Eric So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294,108,045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99.26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2,206,627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0.74</w:t>
            </w:r>
          </w:p>
        </w:tc>
      </w:tr>
      <w:tr>
        <w:trPr>
          <w:trHeight w:val="25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George Tziras</w:t>
            </w: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289,376,032</w:t>
            </w:r>
          </w:p>
        </w:tc>
        <w:tc>
          <w:tcPr>
            <w:tcW w:w="1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97.66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6,938,640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2.34</w:t>
            </w: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4" w:name="page5"/>
    <w:bookmarkEnd w:id="4"/>
    <w:p>
      <w:pPr>
        <w:ind w:left="660" w:hanging="652"/>
        <w:spacing w:after="0"/>
        <w:tabs>
          <w:tab w:leader="none" w:pos="6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Consolidation of Common Shares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The consolidation of the issued and outstanding common shares of Cybin by a ratio of up to 50:1, as more fully described in the Circular, was approved. Voting results are set out below:</w:t>
      </w:r>
    </w:p>
    <w:p>
      <w:pPr>
        <w:spacing w:after="0" w:line="81" w:lineRule="exact"/>
        <w:rPr>
          <w:sz w:val="20"/>
          <w:szCs w:val="20"/>
          <w:color w:val="auto"/>
        </w:rPr>
      </w:pPr>
    </w:p>
    <w:tbl>
      <w:tblPr>
        <w:tblLayout w:type="fixed"/>
        <w:tblInd w:w="10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11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2F2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2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2F2F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430,616,168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95.46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20,464,958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4.54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Amendments to Equity Incentive Plan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Amendments to Cybin’s equity incentive plan, as more fully described in the Circular, were approved. Voting results are set out below: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10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11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2F2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2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2F2F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204,933,530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69.16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91,381,142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30.84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Amendments to Shareholder Rights Plan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Amendments to Cybin’s shareholder rights plan, as more fully described in the Circular, were approved. Voting results are set out below: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10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11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2F2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2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2F2F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285,100,993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96.22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11,213,679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3.78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Amendments to Common Share Purchase Warrants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20"/>
        <w:spacing w:after="0" w:line="2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Amendments to Cybin’s outstanding common share purchase warrants, as more fully described in the Circular, were approved. Voting results are set out below: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10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11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  <w:shd w:val="clear" w:color="auto" w:fill="F2F2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2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F2F2F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F2F2F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#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F2F2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F2F2F2"/>
          </w:tcPr>
          <w:p>
            <w:pPr>
              <w:jc w:val="right"/>
              <w:ind w:right="1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%</w:t>
            </w:r>
          </w:p>
        </w:tc>
      </w:tr>
      <w:tr>
        <w:trPr>
          <w:trHeight w:val="250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252,224,216</w:t>
            </w: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94.06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15,927,910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0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5.94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- 2 -</w:t>
      </w:r>
    </w:p>
    <w:sectPr>
      <w:pgSz w:w="11900" w:h="16838" w:orient="portrait"/>
      <w:cols w:equalWidth="0" w:num="1">
        <w:col w:w="11240"/>
      </w:cols>
      <w:pgMar w:left="320" w:top="139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2024-08-29T12:54:54Z</dcterms:created>
  <dcterms:modified xsi:type="dcterms:W3CDTF">2024-08-29T12:54:54Z</dcterms:modified>
</cp:coreProperties>
</file>