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23256X407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1,326,185.00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1,326,185.00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1,326,185.00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1,326,185.00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1,326,185.00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1,326,185.00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1,326,185.00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1,326,185.00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1,326,185.00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CYBIN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059"/>
        <w:spacing w:after="0"/>
        <w:rPr>
          <w:sz w:val="20"/>
          <w:szCs w:val="20"/>
          <w:color w:val="auto"/>
        </w:rPr>
      </w:pPr>
      <w:r>
        <w:rPr>
          <w:rFonts w:ascii="Times New Roman" w:cs="Times New Roman" w:eastAsia="Times New Roman" w:hAnsi="Times New Roman"/>
          <w:sz w:val="22"/>
          <w:szCs w:val="22"/>
          <w:color w:val="auto"/>
        </w:rPr>
        <w:t>100 King Street West, Suite 5600, Toronto, Ontario, Canada M5X 1C9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20"/>
        <w:spacing w:after="0" w:line="235" w:lineRule="auto"/>
        <w:rPr>
          <w:sz w:val="20"/>
          <w:szCs w:val="20"/>
          <w:color w:val="auto"/>
        </w:rPr>
      </w:pPr>
      <w:r>
        <w:rPr>
          <w:rFonts w:ascii="Times New Roman" w:cs="Times New Roman" w:eastAsia="Times New Roman" w:hAnsi="Times New Roman"/>
          <w:sz w:val="22"/>
          <w:szCs w:val="22"/>
          <w:color w:val="auto"/>
        </w:rPr>
        <w:t>This statement is filed by: (i) Point72 Asset Management, L.P. ("Point72 Asset Management") with respect to the common shares, no par value ("Shares"), of Cybin Inc. held by Point72 Associates, LLC, an investment fund it manages ("Point72 Associates"); (ii) Point72 Capital Advisors, Inc. ("Point72 Capital Advisors Inc.") with respect to Shares held by Point72 Associates; and (iii) Steven A. Cohen ("Mr. Cohen") with respect to Shares beneficially owned by Point72 Asset Management and Point72 Capital Advisors Inc.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of the principal business office of Point72 Asset Management, Point72 Capital Advisors Inc., and Mr.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98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23256X407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355" w:right="419" w:bottom="181" w:gutter="0" w:footer="0" w:header="0"/>
        </w:sectPr>
      </w:pPr>
    </w:p>
    <w:p>
      <w:pPr>
        <w:spacing w:after="0" w:line="33" w:lineRule="exact"/>
        <w:rPr>
          <w:sz w:val="20"/>
          <w:szCs w:val="20"/>
          <w:color w:val="auto"/>
        </w:rPr>
      </w:pPr>
    </w:p>
    <w:p>
      <w:pPr>
        <w:ind w:left="920" w:right="20"/>
        <w:spacing w:after="0" w:line="241"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Such information is as of the close of business on May 20, 2025. Point72 Asset</w:t>
      </w:r>
    </w:p>
    <w:p>
      <w:pPr>
        <w:spacing w:after="0" w:line="2" w:lineRule="exact"/>
        <w:rPr>
          <w:sz w:val="20"/>
          <w:szCs w:val="20"/>
          <w:color w:val="auto"/>
        </w:rPr>
      </w:pPr>
    </w:p>
    <w:p>
      <w:pPr>
        <w:ind w:left="920" w:right="2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Management, Point72 Capital Advisors Inc., and Mr. Cohen own directly no Shares.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reported herein.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May 20, 2025.</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355" w:right="419" w:bottom="181"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May 20,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May 20,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May 20,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Point72 Associates has the right to receive or the power to direct the receipt of dividends from, or the proceeds from the sale of, more than 5 percent of the outstanding Shares.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05/21/2025</w:t>
      </w:r>
    </w:p>
    <w:p>
      <w:pPr>
        <w:spacing w:after="0" w:line="108"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2" w:right="399" w:bottom="0" w:gutter="0" w:footer="0" w:header="0"/>
          <w:type w:val="continuous"/>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ASSET MANAGEMENT, L.P.</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CAPITAL ADVISORS, INC.</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STEVEN A. COHEN</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2025-05-21T15:54:21Z</dcterms:created>
  <dcterms:modified xsi:type="dcterms:W3CDTF">2025-05-21T15:54:21Z</dcterms:modified>
</cp:coreProperties>
</file>