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Charter)</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70"/>
        </w:trPr>
        <w:tc>
          <w:tcPr>
            <w:tcW w:w="56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June 5, 2023</w:t>
            </w:r>
          </w:p>
        </w:tc>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7"/>
        </w:trPr>
        <w:tc>
          <w:tcPr>
            <w:tcW w:w="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June 5,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1075055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340" w:right="180"/>
        <w:spacing w:after="0" w:line="337" w:lineRule="auto"/>
        <w:rPr>
          <w:sz w:val="20"/>
          <w:szCs w:val="20"/>
          <w:color w:val="auto"/>
        </w:rPr>
      </w:pPr>
      <w:r>
        <w:rPr>
          <w:rFonts w:ascii="Arial" w:cs="Arial" w:eastAsia="Arial" w:hAnsi="Arial"/>
          <w:sz w:val="25"/>
          <w:szCs w:val="25"/>
          <w:b w:val="1"/>
          <w:bCs w:val="1"/>
          <w:color w:val="auto"/>
        </w:rPr>
        <w:t>Cybin Announces Scientific Management Transition Following Achievement of Final Adelia Milestones</w:t>
      </w:r>
    </w:p>
    <w:p>
      <w:pPr>
        <w:spacing w:after="0" w:line="104" w:lineRule="exact"/>
        <w:rPr>
          <w:sz w:val="20"/>
          <w:szCs w:val="20"/>
          <w:color w:val="auto"/>
        </w:rPr>
      </w:pPr>
    </w:p>
    <w:p>
      <w:pPr>
        <w:ind w:left="360" w:hanging="127"/>
        <w:spacing w:after="0"/>
        <w:tabs>
          <w:tab w:leader="none" w:pos="36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Michael Palfreyman Ph.D. and Brett Greene, who joined Cybin as part of the acquisition of Adelia Therapeutics, move into</w:t>
      </w:r>
    </w:p>
    <w:p>
      <w:pPr>
        <w:spacing w:after="0" w:line="40" w:lineRule="exact"/>
        <w:rPr>
          <w:rFonts w:ascii="Arial" w:cs="Arial" w:eastAsia="Arial" w:hAnsi="Arial"/>
          <w:sz w:val="20"/>
          <w:szCs w:val="20"/>
          <w:i w:val="1"/>
          <w:iCs w:val="1"/>
          <w:color w:val="auto"/>
        </w:rPr>
      </w:pPr>
    </w:p>
    <w:p>
      <w:pPr>
        <w:ind w:left="496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advisory roles -</w:t>
      </w:r>
    </w:p>
    <w:p>
      <w:pPr>
        <w:spacing w:after="0" w:line="269" w:lineRule="exact"/>
        <w:rPr>
          <w:rFonts w:ascii="Arial" w:cs="Arial" w:eastAsia="Arial" w:hAnsi="Arial"/>
          <w:sz w:val="20"/>
          <w:szCs w:val="20"/>
          <w:i w:val="1"/>
          <w:iCs w:val="1"/>
          <w:color w:val="auto"/>
        </w:rPr>
      </w:pPr>
    </w:p>
    <w:p>
      <w:pPr>
        <w:ind w:left="3020" w:hanging="108"/>
        <w:spacing w:after="0"/>
        <w:tabs>
          <w:tab w:leader="none" w:pos="302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Alex Nivorozhkin Ph.D. continues as Chief Scientific Officer -</w:t>
      </w:r>
    </w:p>
    <w:p>
      <w:pPr>
        <w:spacing w:after="0" w:line="320"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5, 2023 – Cybin Inc. (NEO:CYBN)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today announced changes to its scientific management team. Following the achievement of the final milestones as contemplated by the terms of a contribution agreement dated December 4, 2020 between Cybin and Adelia Therapeutics Inc. (“Adelia”), a wholly controlled subsidiary of Cybin, Michael Palfreyman Ph.D. and Brett Greene, who joined Cybin as part of the acquisition of Adelia, will leave their roles as Chief R&amp;D Officer and Chief Innovations Officer, respectively, and transition into advisory roles at Cybin. Alex Nivorozhkin Ph.D., one of Adelia’s founders, will continue in his role as Chief Scientific Officer of Cybin.</w:t>
      </w:r>
    </w:p>
    <w:p>
      <w:pPr>
        <w:spacing w:after="0" w:line="21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“We are extremely grateful for the opportunity to work with Mike and Brett, whose deep knowledge of psychedelics and drug development has helped Cybin to advance its programs quickly and efficiently to the clinic,” said Doug Drysdale, Chief Executive Officer of Cybin. “The Adelia acquisition was highly successful, providing us with many of the tools needed to accelerate our programs through the clinic and progressing our novel psychedelic-based therapeutics for patients in need. Cybin and Adelia established ambitious goals at the time of the acquisition, and Mike and Brett were integral to achieving them. We look forward to their continued contributions in their new roles as advisors to Cybin.”</w:t>
      </w:r>
    </w:p>
    <w:p>
      <w:pPr>
        <w:spacing w:after="0" w:line="21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Adelia acquisition and the achievement of these milestones, which were focused on bringing Cybin’s psychedelic programs from the lab to the clinic, have supported Cybin’s transition from a discovery- to clinical-stage development organization. As Cybin has advanced its research and development pipeline, these milestone achievements have contributed to discovering potential new drug formulations and delivery methods, creating clinical protocols for psychedelic compounds, and supporting clinical-stage development of the Company’s CYB003</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0" w:lineRule="auto"/>
        <w:rPr>
          <w:sz w:val="20"/>
          <w:szCs w:val="20"/>
          <w:color w:val="auto"/>
        </w:rPr>
      </w:pPr>
      <w:r>
        <w:rPr>
          <w:rFonts w:ascii="Arial" w:cs="Arial" w:eastAsia="Arial" w:hAnsi="Arial"/>
          <w:sz w:val="20"/>
          <w:szCs w:val="20"/>
          <w:color w:val="auto"/>
        </w:rPr>
        <w:t>and CYB004 programs for major depressive disorder (“MDD”) and generalized anxiety disorder (“GAD”), respectively. The work of Cybin’s research and development team has also helped build a robust intellectual property portfolio, with more than 50 granted or pending patent applications across 6 patent families. The Company’s team of scientists remains focused on advancing its CYB003 and CYB004 programs and discovering new and proprietary psychedelic-based therapeutics for other mental health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Clinical Milestones:</w:t>
      </w:r>
    </w:p>
    <w:p>
      <w:pPr>
        <w:spacing w:after="0" w:line="2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CYB003: Deuterated psilocybin analog for the potential treatment of MDD</w:t>
      </w:r>
    </w:p>
    <w:p>
      <w:pPr>
        <w:spacing w:after="0" w:line="50"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Company plans to provide topline efficacy data from the ongoing Phase 1/2a MDD study in late Q3 2023.</w:t>
      </w:r>
    </w:p>
    <w:p>
      <w:pPr>
        <w:spacing w:after="0" w:line="21"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CYB004: Deuterated DMT for the potential treatment of GAD</w:t>
      </w:r>
    </w:p>
    <w:p>
      <w:pPr>
        <w:spacing w:after="0" w:line="45" w:lineRule="exact"/>
        <w:rPr>
          <w:rFonts w:ascii="Arial" w:cs="Arial" w:eastAsia="Arial" w:hAnsi="Arial"/>
          <w:sz w:val="20"/>
          <w:szCs w:val="20"/>
          <w:color w:val="auto"/>
        </w:rPr>
      </w:pPr>
    </w:p>
    <w:p>
      <w:pPr>
        <w:ind w:left="660"/>
        <w:spacing w:after="0" w:line="289" w:lineRule="auto"/>
        <w:rPr>
          <w:rFonts w:ascii="Arial" w:cs="Arial" w:eastAsia="Arial" w:hAnsi="Arial"/>
          <w:sz w:val="20"/>
          <w:szCs w:val="20"/>
          <w:color w:val="auto"/>
        </w:rPr>
      </w:pPr>
      <w:r>
        <w:rPr>
          <w:rFonts w:ascii="Arial" w:cs="Arial" w:eastAsia="Arial" w:hAnsi="Arial"/>
          <w:sz w:val="20"/>
          <w:szCs w:val="20"/>
          <w:color w:val="auto"/>
        </w:rPr>
        <w:t>CYB004 dosing is currently underway in Part C of the Phase 1 CYB004-E study. The Company expects to report Phase 1 topline safety and efficacy data in Q3 2023.</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w:t>
      </w:r>
    </w:p>
    <w:p>
      <w:pPr>
        <w:sectPr>
          <w:pgSz w:w="11900" w:h="16838" w:orient="portrait"/>
          <w:cols w:equalWidth="0" w:num="1">
            <w:col w:w="11240"/>
          </w:cols>
          <w:pgMar w:left="320" w:top="1431" w:right="339" w:bottom="1440" w:gutter="0" w:footer="0" w:header="0"/>
        </w:sectPr>
      </w:pPr>
    </w:p>
    <w:bookmarkStart w:id="5" w:name="page6"/>
    <w:bookmarkEnd w:id="5"/>
    <w:p>
      <w:pPr>
        <w:jc w:val="both"/>
        <w:spacing w:after="0" w:line="274" w:lineRule="auto"/>
        <w:rPr>
          <w:sz w:val="20"/>
          <w:szCs w:val="20"/>
          <w:color w:val="auto"/>
        </w:rPr>
      </w:pPr>
      <w:r>
        <w:rPr>
          <w:rFonts w:ascii="Arial" w:cs="Arial" w:eastAsia="Arial" w:hAnsi="Arial"/>
          <w:sz w:val="20"/>
          <w:szCs w:val="20"/>
          <w:color w:val="auto"/>
        </w:rPr>
        <w:t>Company’s future clinical trials; the Company’s plan to report top-line results from the complete CYB003 Phase 1/2a clinical trial; the Company’s plan to report top-line results from the complete Phase 1 CYB004-E clinical trial; and the Company’s plans to engineer proprietary drug discovery platforms, innovative drug delivery systems, novel formulation approaches and therapy regimens for mental health conditions.</w:t>
      </w:r>
    </w:p>
    <w:p>
      <w:pPr>
        <w:spacing w:after="0" w:line="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nine month periods ended December 31, 2022, the Company’s annual information form for the year ended March 31, 2022,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  </w:t>
      </w:r>
    </w:p>
    <w:p>
      <w:pPr>
        <w:sectPr>
          <w:pgSz w:w="11900" w:h="16838" w:orient="portrait"/>
          <w:cols w:equalWidth="0" w:num="1">
            <w:col w:w="11240"/>
          </w:cols>
          <w:pgMar w:left="320" w:top="1431" w:right="339" w:bottom="1440" w:gutter="0" w:footer="0" w:header="0"/>
        </w:sectPr>
      </w:pPr>
    </w:p>
    <w:bookmarkStart w:id="6" w:name="page7"/>
    <w:bookmarkEnd w:id="6"/>
    <w:p>
      <w:pPr>
        <w:spacing w:after="0" w:line="31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2023-06-05T09:13:29Z</dcterms:created>
  <dcterms:modified xsi:type="dcterms:W3CDTF">2023-06-05T09:13:29Z</dcterms:modified>
</cp:coreProperties>
</file>