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53492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659"/>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00" w:lineRule="exact"/>
        <w:rPr>
          <w:sz w:val="24"/>
          <w:szCs w:val="24"/>
          <w:color w:val="auto"/>
        </w:rPr>
      </w:pPr>
    </w:p>
    <w:p>
      <w:pPr>
        <w:spacing w:after="0" w:line="21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32"/>
          <w:szCs w:val="32"/>
          <w:b w:val="1"/>
          <w:bCs w:val="1"/>
          <w:color w:val="auto"/>
        </w:rPr>
        <w:t>FORM 40-F/A</w:t>
      </w:r>
    </w:p>
    <w:p>
      <w:pPr>
        <w:spacing w:after="0" w:line="93" w:lineRule="exact"/>
        <w:rPr>
          <w:sz w:val="24"/>
          <w:szCs w:val="24"/>
          <w:color w:val="auto"/>
        </w:rPr>
      </w:pPr>
    </w:p>
    <w:p>
      <w:pPr>
        <w:ind w:left="600" w:right="3860" w:hanging="5806"/>
        <w:spacing w:after="0" w:line="328" w:lineRule="auto"/>
        <w:tabs>
          <w:tab w:leader="none" w:pos="5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Registration statement pursuant to Section 12 of the Securities Exchange Act of 1934 or</w:t>
      </w:r>
    </w:p>
    <w:p>
      <w:pPr>
        <w:spacing w:after="0" w:line="1" w:lineRule="exact"/>
        <w:rPr>
          <w:sz w:val="24"/>
          <w:szCs w:val="24"/>
          <w:color w:val="auto"/>
        </w:rPr>
      </w:pPr>
    </w:p>
    <w:p>
      <w:pPr>
        <w:ind w:left="600" w:hanging="574"/>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pursuant to Section 13(a) or 15(d) of the Securities Exchange Act of 1934</w:t>
      </w:r>
    </w:p>
    <w:p>
      <w:pPr>
        <w:sectPr>
          <w:pgSz w:w="11900" w:h="16838" w:orient="portrait"/>
          <w:cols w:equalWidth="0" w:num="1">
            <w:col w:w="10600"/>
          </w:cols>
          <w:pgMar w:left="320" w:top="1440" w:right="979" w:bottom="1440" w:gutter="0" w:footer="0" w:header="0"/>
        </w:sectPr>
      </w:pPr>
    </w:p>
    <w:p>
      <w:pPr>
        <w:spacing w:after="0" w:line="200" w:lineRule="exact"/>
        <w:rPr>
          <w:sz w:val="24"/>
          <w:szCs w:val="24"/>
          <w:color w:val="auto"/>
        </w:rPr>
      </w:pPr>
    </w:p>
    <w:p>
      <w:pPr>
        <w:spacing w:after="0" w:line="237"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fiscal year ended</w:t>
            </w: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r>
      <w:tr>
        <w:trPr>
          <w:trHeight w:val="41"/>
        </w:trPr>
        <w:tc>
          <w:tcPr>
            <w:tcW w:w="266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372"/>
        </w:trPr>
        <w:tc>
          <w:tcPr>
            <w:tcW w:w="2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4"/>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____________________</w:t>
            </w:r>
          </w:p>
        </w:tc>
      </w:tr>
      <w:tr>
        <w:trPr>
          <w:trHeight w:val="371"/>
        </w:trPr>
        <w:tc>
          <w:tcPr>
            <w:tcW w:w="2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2"/>
          </w:tcPr>
          <w:p>
            <w:pPr>
              <w:jc w:val="center"/>
              <w:ind w:right="1690"/>
              <w:spacing w:after="0" w:line="364" w:lineRule="exact"/>
              <w:rPr>
                <w:sz w:val="20"/>
                <w:szCs w:val="20"/>
                <w:color w:val="auto"/>
              </w:rPr>
            </w:pPr>
            <w:r>
              <w:rPr>
                <w:rFonts w:ascii="Times New Roman" w:cs="Times New Roman" w:eastAsia="Times New Roman" w:hAnsi="Times New Roman"/>
                <w:sz w:val="32"/>
                <w:szCs w:val="32"/>
                <w:b w:val="1"/>
                <w:bCs w:val="1"/>
                <w:color w:val="auto"/>
              </w:rPr>
              <w:t>Cybin Inc.</w:t>
            </w:r>
          </w:p>
        </w:tc>
      </w:tr>
      <w:tr>
        <w:trPr>
          <w:trHeight w:val="234"/>
        </w:trPr>
        <w:tc>
          <w:tcPr>
            <w:tcW w:w="2660" w:type="dxa"/>
            <w:vAlign w:val="bottom"/>
          </w:tcPr>
          <w:p>
            <w:pPr>
              <w:spacing w:after="0"/>
              <w:rPr>
                <w:sz w:val="20"/>
                <w:szCs w:val="20"/>
                <w:color w:val="auto"/>
              </w:rPr>
            </w:pPr>
          </w:p>
        </w:tc>
        <w:tc>
          <w:tcPr>
            <w:tcW w:w="22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(Exact name of</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9"/>
              </w:rPr>
              <w:t>Registrant as specified</w:t>
            </w:r>
          </w:p>
        </w:tc>
        <w:tc>
          <w:tcPr>
            <w:tcW w:w="1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its charter)</w:t>
            </w:r>
          </w:p>
        </w:tc>
      </w:tr>
      <w:tr>
        <w:trPr>
          <w:trHeight w:val="306"/>
        </w:trPr>
        <w:tc>
          <w:tcPr>
            <w:tcW w:w="266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Ontario</w:t>
            </w:r>
          </w:p>
        </w:tc>
        <w:tc>
          <w:tcPr>
            <w:tcW w:w="1340" w:type="dxa"/>
            <w:vAlign w:val="bottom"/>
          </w:tcPr>
          <w:p>
            <w:pPr>
              <w:spacing w:after="0"/>
              <w:rPr>
                <w:sz w:val="24"/>
                <w:szCs w:val="24"/>
                <w:color w:val="auto"/>
              </w:rPr>
            </w:pPr>
          </w:p>
        </w:tc>
        <w:tc>
          <w:tcPr>
            <w:tcW w:w="2340" w:type="dxa"/>
            <w:vAlign w:val="bottom"/>
            <w:gridSpan w:val="3"/>
          </w:tcPr>
          <w:p>
            <w:pPr>
              <w:jc w:val="right"/>
              <w:ind w:right="386"/>
              <w:spacing w:after="0"/>
              <w:rPr>
                <w:sz w:val="20"/>
                <w:szCs w:val="20"/>
                <w:color w:val="auto"/>
              </w:rPr>
            </w:pPr>
            <w:r>
              <w:rPr>
                <w:rFonts w:ascii="Times New Roman" w:cs="Times New Roman" w:eastAsia="Times New Roman" w:hAnsi="Times New Roman"/>
                <w:sz w:val="18"/>
                <w:szCs w:val="18"/>
                <w:b w:val="1"/>
                <w:bCs w:val="1"/>
                <w:color w:val="auto"/>
              </w:rPr>
              <w:t>2834</w:t>
            </w:r>
          </w:p>
        </w:tc>
        <w:tc>
          <w:tcPr>
            <w:tcW w:w="1780" w:type="dxa"/>
            <w:vAlign w:val="bottom"/>
          </w:tcPr>
          <w:p>
            <w:pPr>
              <w:spacing w:after="0"/>
              <w:rPr>
                <w:sz w:val="24"/>
                <w:szCs w:val="24"/>
                <w:color w:val="auto"/>
              </w:rPr>
            </w:pPr>
          </w:p>
        </w:tc>
      </w:tr>
      <w:tr>
        <w:trPr>
          <w:trHeight w:val="283"/>
        </w:trPr>
        <w:tc>
          <w:tcPr>
            <w:tcW w:w="40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(Province or other jurisdiction of incorporation or</w:t>
            </w:r>
          </w:p>
        </w:tc>
        <w:tc>
          <w:tcPr>
            <w:tcW w:w="4120" w:type="dxa"/>
            <w:vAlign w:val="bottom"/>
            <w:gridSpan w:val="4"/>
          </w:tcPr>
          <w:p>
            <w:pPr>
              <w:jc w:val="center"/>
              <w:ind w:right="730"/>
              <w:spacing w:after="0"/>
              <w:rPr>
                <w:sz w:val="20"/>
                <w:szCs w:val="20"/>
                <w:color w:val="auto"/>
              </w:rPr>
            </w:pPr>
            <w:r>
              <w:rPr>
                <w:rFonts w:ascii="Times New Roman" w:cs="Times New Roman" w:eastAsia="Times New Roman" w:hAnsi="Times New Roman"/>
                <w:sz w:val="18"/>
                <w:szCs w:val="18"/>
                <w:color w:val="auto"/>
              </w:rPr>
              <w:t>(Primary Standard Industrial Classification</w:t>
            </w:r>
          </w:p>
        </w:tc>
      </w:tr>
    </w:tbl>
    <w:p>
      <w:pPr>
        <w:ind w:left="1440"/>
        <w:spacing w:after="0"/>
        <w:rPr>
          <w:sz w:val="20"/>
          <w:szCs w:val="20"/>
          <w:color w:val="auto"/>
        </w:rPr>
      </w:pPr>
      <w:r>
        <w:rPr>
          <w:rFonts w:ascii="Times New Roman" w:cs="Times New Roman" w:eastAsia="Times New Roman" w:hAnsi="Times New Roman"/>
          <w:sz w:val="18"/>
          <w:szCs w:val="18"/>
          <w:color w:val="auto"/>
        </w:rPr>
        <w:t>organization)</w:t>
      </w:r>
    </w:p>
    <w:p>
      <w:pPr>
        <w:spacing w:after="0" w:line="58"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color w:val="auto"/>
        </w:rPr>
        <w:t>Code Number)</w:t>
      </w:r>
    </w:p>
    <w:p>
      <w:pPr>
        <w:spacing w:after="0" w:line="20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100 King Street West, Suite 5600</w:t>
      </w:r>
    </w:p>
    <w:p>
      <w:pPr>
        <w:ind w:left="4220"/>
        <w:spacing w:after="0" w:line="210" w:lineRule="auto"/>
        <w:rPr>
          <w:sz w:val="20"/>
          <w:szCs w:val="20"/>
          <w:color w:val="auto"/>
        </w:rPr>
      </w:pPr>
      <w:r>
        <w:rPr>
          <w:rFonts w:ascii="Times New Roman" w:cs="Times New Roman" w:eastAsia="Times New Roman" w:hAnsi="Times New Roman"/>
          <w:sz w:val="18"/>
          <w:szCs w:val="18"/>
          <w:b w:val="1"/>
          <w:bCs w:val="1"/>
          <w:color w:val="auto"/>
        </w:rPr>
        <w:t>Toronto, Ontario, Canada M5X 1C9</w:t>
      </w:r>
    </w:p>
    <w:p>
      <w:pPr>
        <w:jc w:val="center"/>
        <w:ind w:left="2920"/>
        <w:spacing w:after="0" w:line="203" w:lineRule="auto"/>
        <w:rPr>
          <w:sz w:val="20"/>
          <w:szCs w:val="20"/>
          <w:color w:val="auto"/>
        </w:rPr>
      </w:pPr>
      <w:r>
        <w:rPr>
          <w:rFonts w:ascii="Times New Roman" w:cs="Times New Roman" w:eastAsia="Times New Roman" w:hAnsi="Times New Roman"/>
          <w:sz w:val="18"/>
          <w:szCs w:val="18"/>
          <w:b w:val="1"/>
          <w:bCs w:val="1"/>
          <w:color w:val="auto"/>
        </w:rPr>
        <w:t>(908) 764-8385</w:t>
      </w:r>
    </w:p>
    <w:p>
      <w:pPr>
        <w:spacing w:after="0" w:line="1" w:lineRule="exact"/>
        <w:rPr>
          <w:sz w:val="24"/>
          <w:szCs w:val="24"/>
          <w:color w:val="auto"/>
        </w:rPr>
      </w:pPr>
    </w:p>
    <w:p>
      <w:pPr>
        <w:jc w:val="center"/>
        <w:ind w:left="2920"/>
        <w:spacing w:after="0"/>
        <w:rPr>
          <w:sz w:val="20"/>
          <w:szCs w:val="20"/>
          <w:color w:val="auto"/>
        </w:rPr>
      </w:pPr>
      <w:r>
        <w:rPr>
          <w:rFonts w:ascii="Times New Roman" w:cs="Times New Roman" w:eastAsia="Times New Roman" w:hAnsi="Times New Roman"/>
          <w:sz w:val="17"/>
          <w:szCs w:val="17"/>
          <w:color w:val="auto"/>
        </w:rPr>
        <w:t>(Address and telephone number of Registrant’s principal executive offices)</w:t>
      </w:r>
    </w:p>
    <w:p>
      <w:pPr>
        <w:spacing w:after="0" w:line="5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6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CT Corporation System</w:t>
      </w:r>
    </w:p>
    <w:p>
      <w:pPr>
        <w:ind w:left="4340"/>
        <w:spacing w:after="0" w:line="210" w:lineRule="auto"/>
        <w:rPr>
          <w:sz w:val="20"/>
          <w:szCs w:val="20"/>
          <w:color w:val="auto"/>
        </w:rPr>
      </w:pPr>
      <w:r>
        <w:rPr>
          <w:rFonts w:ascii="Times New Roman" w:cs="Times New Roman" w:eastAsia="Times New Roman" w:hAnsi="Times New Roman"/>
          <w:sz w:val="18"/>
          <w:szCs w:val="18"/>
          <w:b w:val="1"/>
          <w:bCs w:val="1"/>
          <w:color w:val="auto"/>
        </w:rPr>
        <w:t>1015 15th Street N.W., Suite 1000</w:t>
      </w:r>
    </w:p>
    <w:p>
      <w:pPr>
        <w:jc w:val="center"/>
        <w:ind w:left="2920"/>
        <w:spacing w:after="0" w:line="203" w:lineRule="auto"/>
        <w:rPr>
          <w:sz w:val="20"/>
          <w:szCs w:val="20"/>
          <w:color w:val="auto"/>
        </w:rPr>
      </w:pPr>
      <w:r>
        <w:rPr>
          <w:rFonts w:ascii="Times New Roman" w:cs="Times New Roman" w:eastAsia="Times New Roman" w:hAnsi="Times New Roman"/>
          <w:sz w:val="18"/>
          <w:szCs w:val="18"/>
          <w:b w:val="1"/>
          <w:bCs w:val="1"/>
          <w:color w:val="auto"/>
        </w:rPr>
        <w:t>Washington, DC 20005</w:t>
      </w:r>
    </w:p>
    <w:p>
      <w:pPr>
        <w:jc w:val="center"/>
        <w:ind w:left="2920"/>
        <w:spacing w:after="0" w:line="220" w:lineRule="auto"/>
        <w:rPr>
          <w:sz w:val="20"/>
          <w:szCs w:val="20"/>
          <w:color w:val="auto"/>
        </w:rPr>
      </w:pPr>
      <w:r>
        <w:rPr>
          <w:rFonts w:ascii="Times New Roman" w:cs="Times New Roman" w:eastAsia="Times New Roman" w:hAnsi="Times New Roman"/>
          <w:sz w:val="18"/>
          <w:szCs w:val="18"/>
          <w:b w:val="1"/>
          <w:bCs w:val="1"/>
          <w:color w:val="auto"/>
        </w:rPr>
        <w:t>(202) 572-3133</w:t>
      </w:r>
    </w:p>
    <w:p>
      <w:pPr>
        <w:jc w:val="center"/>
        <w:ind w:left="2920"/>
        <w:spacing w:after="0" w:line="203" w:lineRule="auto"/>
        <w:rPr>
          <w:sz w:val="20"/>
          <w:szCs w:val="20"/>
          <w:color w:val="auto"/>
        </w:rPr>
      </w:pPr>
      <w:r>
        <w:rPr>
          <w:rFonts w:ascii="Times New Roman" w:cs="Times New Roman" w:eastAsia="Times New Roman" w:hAnsi="Times New Roman"/>
          <w:sz w:val="18"/>
          <w:szCs w:val="18"/>
          <w:color w:val="auto"/>
        </w:rPr>
        <w:t>(Name, address (including zip code) and telephone number (including</w:t>
      </w:r>
    </w:p>
    <w:p>
      <w:pPr>
        <w:spacing w:after="0" w:line="1" w:lineRule="exact"/>
        <w:rPr>
          <w:sz w:val="24"/>
          <w:szCs w:val="24"/>
          <w:color w:val="auto"/>
        </w:rPr>
      </w:pPr>
    </w:p>
    <w:p>
      <w:pPr>
        <w:jc w:val="center"/>
        <w:ind w:left="2920"/>
        <w:spacing w:after="0"/>
        <w:rPr>
          <w:sz w:val="20"/>
          <w:szCs w:val="20"/>
          <w:color w:val="auto"/>
        </w:rPr>
      </w:pPr>
      <w:r>
        <w:rPr>
          <w:rFonts w:ascii="Times New Roman" w:cs="Times New Roman" w:eastAsia="Times New Roman" w:hAnsi="Times New Roman"/>
          <w:sz w:val="18"/>
          <w:szCs w:val="18"/>
          <w:color w:val="auto"/>
        </w:rPr>
        <w:t>area code) of agent for service in the United States)</w:t>
      </w:r>
    </w:p>
    <w:p>
      <w:pPr>
        <w:spacing w:after="0" w:line="3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184150</wp:posOffset>
            </wp:positionH>
            <wp:positionV relativeFrom="paragraph">
              <wp:posOffset>45720</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6"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3389" w:lineRule="exact"/>
        <w:rPr>
          <w:sz w:val="24"/>
          <w:szCs w:val="24"/>
          <w:color w:val="auto"/>
        </w:rPr>
      </w:pPr>
    </w:p>
    <w:p>
      <w:pPr>
        <w:sectPr>
          <w:pgSz w:w="11900" w:h="16838" w:orient="portrait"/>
          <w:cols w:equalWidth="0" w:num="2">
            <w:col w:w="8320" w:space="240"/>
            <w:col w:w="2040"/>
          </w:cols>
          <w:pgMar w:left="320" w:top="1440" w:right="979" w:bottom="1440" w:gutter="0" w:footer="0" w:header="0"/>
          <w:type w:val="continuous"/>
        </w:sectPr>
      </w:pPr>
    </w:p>
    <w:tbl>
      <w:tblPr>
        <w:tblLayout w:type="fixed"/>
        <w:tblInd w:w="8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30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Shares, no par value</w:t>
            </w:r>
          </w:p>
        </w:tc>
        <w:tc>
          <w:tcPr>
            <w:tcW w:w="426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CYBN</w:t>
            </w:r>
          </w:p>
        </w:tc>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NYSE American LLC</w:t>
            </w:r>
          </w:p>
        </w:tc>
      </w:tr>
    </w:tbl>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annual reports, indicate by check mark the information filed with this Form:</w:t>
      </w:r>
    </w:p>
    <w:p>
      <w:pPr>
        <w:spacing w:after="0" w:line="131" w:lineRule="exact"/>
        <w:rPr>
          <w:sz w:val="24"/>
          <w:szCs w:val="24"/>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[X] Annual information form</w:t>
      </w:r>
      <w:r>
        <w:rPr>
          <w:sz w:val="20"/>
          <w:szCs w:val="20"/>
          <w:color w:val="auto"/>
        </w:rPr>
        <w:tab/>
      </w:r>
      <w:r>
        <w:rPr>
          <w:rFonts w:ascii="Times New Roman" w:cs="Times New Roman" w:eastAsia="Times New Roman" w:hAnsi="Times New Roman"/>
          <w:sz w:val="18"/>
          <w:szCs w:val="18"/>
          <w:color w:val="auto"/>
        </w:rPr>
        <w:t>[X] Audited annual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440" w:right="979" w:bottom="1440" w:gutter="0" w:footer="0" w:header="0"/>
          <w:type w:val="continuous"/>
        </w:sectPr>
      </w:pPr>
    </w:p>
    <w:bookmarkStart w:id="1" w:name="page2"/>
    <w:bookmarkEnd w:id="1"/>
    <w:p>
      <w:pPr>
        <w:spacing w:after="0" w:line="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As at March 31, 2022, the Cybin Inc. had 164,640,303 common shares outstanding</w:t>
      </w:r>
    </w:p>
    <w:p>
      <w:pPr>
        <w:spacing w:after="0" w:line="3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 days. [ X ] Yes [ ] No</w:t>
      </w:r>
    </w:p>
    <w:p>
      <w:pPr>
        <w:spacing w:after="0" w:line="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 ] No</w:t>
      </w:r>
    </w:p>
    <w:p>
      <w:pPr>
        <w:spacing w:after="0" w:line="36" w:lineRule="exact"/>
        <w:rPr>
          <w:sz w:val="20"/>
          <w:szCs w:val="20"/>
          <w:color w:val="auto"/>
        </w:rPr>
      </w:pPr>
    </w:p>
    <w:p>
      <w:pPr>
        <w:jc w:val="right"/>
        <w:ind w:right="2200"/>
        <w:spacing w:after="0"/>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12b-2 of the Exchange Act.</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not to use the extended transition period for complying with any new or revised financial accounting standards† provided pursuant to Section 13(a) of the Exchange Act. [ ]</w:t>
      </w:r>
    </w:p>
    <w:p>
      <w:pPr>
        <w:spacing w:after="0" w:line="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over financial reporting under Section 404(b) of the Sarbanes-Oxley Act (15 U.S.C. 7262(b)) by the registered public accounting firm that prepared or issued its audit report.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534924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6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Cybin Inc.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is filing this Amendment No. 1 (the "</w:t>
      </w:r>
      <w:r>
        <w:rPr>
          <w:rFonts w:ascii="Times New Roman" w:cs="Times New Roman" w:eastAsia="Times New Roman" w:hAnsi="Times New Roman"/>
          <w:sz w:val="18"/>
          <w:szCs w:val="18"/>
          <w:b w:val="1"/>
          <w:bCs w:val="1"/>
          <w:color w:val="auto"/>
        </w:rPr>
        <w:t>Form 40-F/A</w:t>
      </w:r>
      <w:r>
        <w:rPr>
          <w:rFonts w:ascii="Times New Roman" w:cs="Times New Roman" w:eastAsia="Times New Roman" w:hAnsi="Times New Roman"/>
          <w:sz w:val="18"/>
          <w:szCs w:val="18"/>
          <w:color w:val="auto"/>
        </w:rPr>
        <w:t>") to its Annual Report on Form 40-F for the year ended March 31, 2022 to furnish Exhibit 101 and Exhibit 104 to the Form-40-F, which provides certain items from our Form 40-F formatted in eXtensible Business Reporting</w:t>
      </w:r>
    </w:p>
    <w:p>
      <w:pPr>
        <w:jc w:val="both"/>
        <w:spacing w:after="0" w:line="218" w:lineRule="auto"/>
        <w:rPr>
          <w:sz w:val="20"/>
          <w:szCs w:val="20"/>
          <w:color w:val="auto"/>
        </w:rPr>
      </w:pPr>
      <w:r>
        <w:rPr>
          <w:rFonts w:ascii="Times New Roman" w:cs="Times New Roman" w:eastAsia="Times New Roman" w:hAnsi="Times New Roman"/>
          <w:sz w:val="18"/>
          <w:szCs w:val="18"/>
          <w:color w:val="auto"/>
        </w:rPr>
        <w:t>Language ("</w:t>
      </w:r>
      <w:r>
        <w:rPr>
          <w:rFonts w:ascii="Times New Roman" w:cs="Times New Roman" w:eastAsia="Times New Roman" w:hAnsi="Times New Roman"/>
          <w:sz w:val="18"/>
          <w:szCs w:val="18"/>
          <w:b w:val="1"/>
          <w:bCs w:val="1"/>
          <w:color w:val="auto"/>
        </w:rPr>
        <w:t>XBRL</w:t>
      </w:r>
      <w:r>
        <w:rPr>
          <w:rFonts w:ascii="Times New Roman" w:cs="Times New Roman" w:eastAsia="Times New Roman" w:hAnsi="Times New Roman"/>
          <w:sz w:val="18"/>
          <w:szCs w:val="18"/>
          <w:color w:val="auto"/>
        </w:rPr>
        <w:t>"). In accordance with the policy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stated in Release No. 33-9002, we are filing this Form 40-F/A within the 30-day period available to first-time XBRL filers following the filing of our Form 40-F, as filed with the Commission on June 22, 2022.</w:t>
      </w:r>
    </w:p>
    <w:p>
      <w:pPr>
        <w:spacing w:after="0" w:line="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 other changes have been made to the Form 40-F other than the furnishing of the exhibit described above. This Form 40-F/A does not reflect subsequent events occurring after the original date of the Form 40-F, or modify or update in any way disclosures made in the Form 40-F.</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certifies that it meets all of the requirements for filing on Form 40-F and has duly caused this Annual Report to be signed on its behalf by the undersigned, thereunto duly authorized.</w:t>
      </w:r>
    </w:p>
    <w:p>
      <w:pPr>
        <w:spacing w:after="0" w:line="9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40" w:type="dxa"/>
            <w:vAlign w:val="bottom"/>
          </w:tcPr>
          <w:p>
            <w:pPr>
              <w:ind w:left="518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Greg Cavers</w:t>
            </w:r>
          </w:p>
        </w:tc>
        <w:tc>
          <w:tcPr>
            <w:tcW w:w="0" w:type="dxa"/>
            <w:vAlign w:val="bottom"/>
          </w:tcPr>
          <w:p>
            <w:pPr>
              <w:spacing w:after="0"/>
              <w:rPr>
                <w:sz w:val="1"/>
                <w:szCs w:val="1"/>
                <w:color w:val="auto"/>
              </w:rPr>
            </w:pPr>
          </w:p>
        </w:tc>
      </w:tr>
      <w:tr>
        <w:trPr>
          <w:trHeight w:val="40"/>
        </w:trPr>
        <w:tc>
          <w:tcPr>
            <w:tcW w:w="5740" w:type="dxa"/>
            <w:vAlign w:val="bottom"/>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Greg Cavers</w:t>
            </w:r>
          </w:p>
        </w:tc>
        <w:tc>
          <w:tcPr>
            <w:tcW w:w="0" w:type="dxa"/>
            <w:vAlign w:val="bottom"/>
          </w:tcPr>
          <w:p>
            <w:pPr>
              <w:spacing w:after="0"/>
              <w:rPr>
                <w:sz w:val="1"/>
                <w:szCs w:val="1"/>
                <w:color w:val="auto"/>
              </w:rPr>
            </w:pPr>
          </w:p>
        </w:tc>
      </w:tr>
      <w:tr>
        <w:trPr>
          <w:trHeight w:val="284"/>
        </w:trPr>
        <w:tc>
          <w:tcPr>
            <w:tcW w:w="5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Date: July 22, 2022</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0" w:type="dxa"/>
            <w:vAlign w:val="bottom"/>
          </w:tcPr>
          <w:p>
            <w:pPr>
              <w:spacing w:after="0"/>
              <w:rPr>
                <w:sz w:val="1"/>
                <w:szCs w:val="1"/>
                <w:color w:val="auto"/>
              </w:rPr>
            </w:pPr>
          </w:p>
        </w:tc>
      </w:tr>
      <w:tr>
        <w:trPr>
          <w:trHeight w:val="68"/>
        </w:trPr>
        <w:tc>
          <w:tcPr>
            <w:tcW w:w="5740" w:type="dxa"/>
            <w:vAlign w:val="bottom"/>
            <w:vMerge w:val="continue"/>
          </w:tcPr>
          <w:p>
            <w:pPr>
              <w:spacing w:after="0"/>
              <w:rPr>
                <w:sz w:val="5"/>
                <w:szCs w:val="5"/>
                <w:color w:val="auto"/>
              </w:rPr>
            </w:pPr>
          </w:p>
        </w:tc>
        <w:tc>
          <w:tcPr>
            <w:tcW w:w="5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0"/>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are being filed with the SEC as Exhibits to this Amendment No. 1 to Form 40-F:</w:t>
      </w:r>
    </w:p>
    <w:p>
      <w:pPr>
        <w:sectPr>
          <w:pgSz w:w="11900" w:h="16838" w:orient="portrait"/>
          <w:cols w:equalWidth="0" w:num="1">
            <w:col w:w="11120"/>
          </w:cols>
          <w:pgMar w:left="320" w:top="1400" w:right="459" w:bottom="1440" w:gutter="0" w:footer="0" w:header="0"/>
        </w:sectPr>
      </w:pPr>
    </w:p>
    <w:p>
      <w:pPr>
        <w:spacing w:after="0" w:line="3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99.1*</w:t>
      </w:r>
    </w:p>
    <w:p>
      <w:pPr>
        <w:spacing w:after="0" w:line="1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99.2*</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99.3*</w:t>
      </w:r>
    </w:p>
    <w:p>
      <w:pPr>
        <w:spacing w:after="0" w:line="2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99.4*</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99.5*</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99.6*</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99.7*</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99.8*</w:t>
      </w:r>
    </w:p>
    <w:p>
      <w:pPr>
        <w:spacing w:after="0" w:line="2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101.INS</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101.SCH</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101.CAL</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101.DEF</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101.LAB</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101.PRE</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Annual Information Form for the fiscal year ended March 31, 2022</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Audited Annual Consolidated Financial Statements for the fiscal years ended March 31, 2022 and March 31, 2021</w:t>
      </w:r>
    </w:p>
    <w:p>
      <w:pPr>
        <w:spacing w:after="0" w:line="104" w:lineRule="exact"/>
        <w:rPr>
          <w:sz w:val="20"/>
          <w:szCs w:val="20"/>
          <w:color w:val="auto"/>
        </w:rPr>
      </w:pPr>
    </w:p>
    <w:p>
      <w:pPr>
        <w:ind w:left="60" w:right="260"/>
        <w:spacing w:after="0" w:line="289"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Operating Performance for the fiscal year ended March 31, 2022</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or 15d-14 of the Securities Exchange Act of 1934, as amended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or 15d-14 of the Securities Exchange Act of 1934, as amended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Consent of Zeifmans LLP and Laurence W. Zeifman</w:t>
      </w:r>
    </w:p>
    <w:p>
      <w:pPr>
        <w:spacing w:after="0" w:line="104" w:lineRule="exact"/>
        <w:rPr>
          <w:sz w:val="20"/>
          <w:szCs w:val="20"/>
          <w:color w:val="auto"/>
        </w:rPr>
      </w:pPr>
    </w:p>
    <w:p>
      <w:pPr>
        <w:ind w:left="60" w:right="260"/>
        <w:spacing w:after="0" w:line="289" w:lineRule="auto"/>
        <w:rPr>
          <w:sz w:val="20"/>
          <w:szCs w:val="20"/>
          <w:color w:val="auto"/>
        </w:rPr>
      </w:pPr>
      <w:r>
        <w:rPr>
          <w:rFonts w:ascii="Times New Roman" w:cs="Times New Roman" w:eastAsia="Times New Roman" w:hAnsi="Times New Roman"/>
          <w:sz w:val="18"/>
          <w:szCs w:val="18"/>
          <w:color w:val="auto"/>
        </w:rPr>
        <w:t>XBRL Instance – the instance document does not appear in the Interactive Data File as its XBRL tags are embedded within the Inline XBRL document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XBRL Taxonomy Extension Schema</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XBRL Taxonomy Extension Calculation Linkbase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XBRL Taxonomy Extension Definition Linkbase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XBRL Taxonomy Extension Label Linkbase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ectPr>
          <w:pgSz w:w="11900" w:h="16838" w:orient="portrait"/>
          <w:cols w:equalWidth="0" w:num="2">
            <w:col w:w="1340" w:space="300"/>
            <w:col w:w="9480"/>
          </w:cols>
          <w:pgMar w:left="320" w:top="1400" w:right="45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2875280</wp:posOffset>
            </wp:positionV>
            <wp:extent cx="1543050" cy="9601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4305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Calibri" w:cs="Calibri" w:eastAsia="Calibri" w:hAnsi="Calibri"/>
          <w:sz w:val="43"/>
          <w:szCs w:val="43"/>
          <w:b w:val="1"/>
          <w:bCs w:val="1"/>
          <w:color w:val="auto"/>
        </w:rPr>
        <w:t>CYBIN INC.</w:t>
      </w:r>
    </w:p>
    <w:p>
      <w:pPr>
        <w:spacing w:after="0" w:line="189"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auto"/>
        </w:rPr>
        <w:t>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auto"/>
        </w:rPr>
        <w:t>FOR THE YEAR ENDED</w:t>
      </w:r>
    </w:p>
    <w:p>
      <w:pPr>
        <w:spacing w:after="0" w:line="167"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1216660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Responsibility for Consolidated Financial Statements</w:t>
      </w: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The Company’s management is responsible for the integrity and fairness of presentation of these consolidated financial statements. The consolidated financial statements have been prepared by management, in accordance with International Financial Reporting Standards as issued by the International Accounting Standards Board, for approval by the Board of Directors.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Where necessary, management has made judgements and estimates in preparing the consolidated financial statements and such statements have been prepared within acceptable limits of materiality. Management maintains a system of internal accounting controls to ensure, on a reasonable and cost-effective basis, that the financial information is timely reported and is accurate and reliable in all material respects and that the Company’s assets are appropriately accounted for and adequately safeguarded.</w:t>
      </w:r>
    </w:p>
    <w:p>
      <w:pPr>
        <w:spacing w:after="0" w:line="20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A firm of independent Chartered Professional Accountants, Zeifmans LLP, appointed by the shareholders, audited the consolidated financial statements in accordance with Canadian generally accepted auditing standards and provided an independent professional opinion on the consolidated financial statements.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 Doug Drysdale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 Cybin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audited the consolidated financial statements of Cybin Inc. and its subsidiaries (together, the “Company”), which comprise the consolidated statements of financial position as at March 31, 2022 and 2021, and the consolidated statements of loss and comprehensive loss, changes in shareholders’ equity and cash flows for the years then ended, and notes to the consolidated financial statements, including a summary of significant accounting policies.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our opinion, the accompanying consolidated financial statements present fairly, in all material respects, the consolidated financial position of the Company as at March 31, 2022 and 2021 and its consolidated financial performance and its consolidated cash flows for the years then ended in accordance with International Financial Reporting Standards (“IFRS”) as issued by the International Accounting Standards Board.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Opinion</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We conducted our audits in accordance with Canadian generally accepted auditing standards (“GAAS”). Our responsibilities under those standards are further described in the </w:t>
      </w:r>
      <w:r>
        <w:rPr>
          <w:rFonts w:ascii="Times New Roman" w:cs="Times New Roman" w:eastAsia="Times New Roman" w:hAnsi="Times New Roman"/>
          <w:sz w:val="18"/>
          <w:szCs w:val="18"/>
          <w:i w:val="1"/>
          <w:iCs w:val="1"/>
          <w:color w:val="auto"/>
        </w:rPr>
        <w:t>Auditors’ Responsibilities for the Audits of the Consolidated Financial Statements</w:t>
      </w:r>
      <w:r>
        <w:rPr>
          <w:rFonts w:ascii="Times New Roman" w:cs="Times New Roman" w:eastAsia="Times New Roman" w:hAnsi="Times New Roman"/>
          <w:sz w:val="18"/>
          <w:szCs w:val="18"/>
          <w:color w:val="auto"/>
        </w:rPr>
        <w:t xml:space="preserve"> section of our report. We are independent of the Company in accordance with the ethical requirements that are relevant to our audits of the consolidated financial statements in Canada, and we have fulfilled our other ethical responsibilities in accordance with these requirements. We believe that the audit evidence we have obtained is sufficient and appropriate to provide a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Uncertainty Related to Going Concern</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draw attention to Note 1 to the consolidated financial statements which indicates that the Company’s operations do not generate cash flow and, as at March 31, 2022, the Company had a cumulative deficit of $100,661,000, cash of $53,641,000 and working capital of $50,447,000. As stated in Note 1, these events or conditions, along with other matters as set forth in Note 1, indicate that a material uncertainty exists that may cast doubt on the Company’s ability to continue as a going concern. Our opinion is not modified in respect of this matter.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is responsible for the other information. The other information comprises the Management’s Discussion and Analysis (“MD&amp;A”), but does not include the consolidated financial statements and our auditors’ report thereon. Our opinion on the consolidated financial statements does not cover the MD&amp;A and we do not express any form of assurance conclusion thereon.</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our audit of the consolidated financial statements, our responsibility is to read the MD&amp;A, and, in doing so, consider whether the MD&amp;A is materially inconsistent with the consolidated financial statements or our knowledge obtained in the audit or otherwise appears to be materially misstated. We obtained the MD&amp;A prior to the date of this auditors’ report. If based on the work we have performed on this other information, we conclude that there is a material misstatement of this other information, we are required to report that fact in this auditors’ report. We have nothing to report in this regard.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1188085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429260</wp:posOffset>
            </wp:positionV>
            <wp:extent cx="534924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4883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Responsibilities of Management and Those Charged with Governance for the Consolidated Financial Statements</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 accordance with IFRS, and for such internal control as management determines is necessary to enable the preparation of consolidated financial statements that are free from material misstatement, whether due to fraud or error.</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responsible for assessing the Company’s ability to continue as a going concern, disclosing, as applicable, matters relating to going concern and using the going concern basis of accounting unless management either intends to liquidate the Company or to cease operations, or has no realistic alternative but to do so.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charged with governance are responsible for overseeing the Company’s financial reporting process.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Auditors’ Responsibilities for the Audits of the Consolidated Financial Statements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GAAS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an audit in accordance with GAAS, we exercise professional judgment and maintain professional skepticism throughout the audits. We also:</w:t>
      </w:r>
    </w:p>
    <w:p>
      <w:pPr>
        <w:spacing w:after="0" w:line="266" w:lineRule="exact"/>
        <w:rPr>
          <w:sz w:val="20"/>
          <w:szCs w:val="20"/>
          <w:color w:val="auto"/>
        </w:rPr>
      </w:pPr>
    </w:p>
    <w:p>
      <w:pPr>
        <w:jc w:val="both"/>
        <w:ind w:left="660" w:hanging="328"/>
        <w:spacing w:after="0" w:line="237"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for error, as fraud may involve collusion, forgery, intentional omissions, misrepresentations, or the override of internal control.</w:t>
      </w:r>
    </w:p>
    <w:p>
      <w:pPr>
        <w:spacing w:after="0" w:line="239" w:lineRule="exact"/>
        <w:rPr>
          <w:rFonts w:ascii="Arial" w:cs="Arial" w:eastAsia="Arial" w:hAnsi="Arial"/>
          <w:sz w:val="20"/>
          <w:szCs w:val="20"/>
          <w:color w:val="auto"/>
        </w:rPr>
      </w:pPr>
    </w:p>
    <w:p>
      <w:pPr>
        <w:ind w:left="660" w:hanging="328"/>
        <w:spacing w:after="0" w:line="232"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Obtain an understanding of internal control relevant to the audits in order to design audit procedures that are appropriate in the circumstances, but not for the purposes of expressing an opinion on the effectiveness of the Company’s internal control.</w:t>
      </w:r>
    </w:p>
    <w:p>
      <w:pPr>
        <w:spacing w:after="0" w:line="239" w:lineRule="exact"/>
        <w:rPr>
          <w:rFonts w:ascii="Arial" w:cs="Arial" w:eastAsia="Arial" w:hAnsi="Arial"/>
          <w:sz w:val="20"/>
          <w:szCs w:val="20"/>
          <w:color w:val="auto"/>
        </w:rPr>
      </w:pPr>
    </w:p>
    <w:p>
      <w:pPr>
        <w:ind w:left="660" w:hanging="328"/>
        <w:spacing w:after="0" w:line="239"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Evaluate the appropriateness of accounting policies used and the reasonableness of accounting estimates and related disclosures made by management.</w:t>
      </w:r>
    </w:p>
    <w:p>
      <w:pPr>
        <w:spacing w:after="0" w:line="239" w:lineRule="exact"/>
        <w:rPr>
          <w:rFonts w:ascii="Arial" w:cs="Arial" w:eastAsia="Arial" w:hAnsi="Arial"/>
          <w:sz w:val="20"/>
          <w:szCs w:val="20"/>
          <w:color w:val="auto"/>
        </w:rPr>
      </w:pPr>
    </w:p>
    <w:p>
      <w:pPr>
        <w:jc w:val="both"/>
        <w:ind w:left="660" w:hanging="328"/>
        <w:spacing w:after="0" w:line="236"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Company to cease to continue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line="239"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Evaluate the overall presentation, structure and content of the consolidated financial statements, including the disclosures, and whether the consolidated financial statements represent the underlying transactions and events in a manner that achieves fair presentation.</w:t>
      </w:r>
    </w:p>
    <w:p>
      <w:pPr>
        <w:spacing w:after="0" w:line="239" w:lineRule="exact"/>
        <w:rPr>
          <w:rFonts w:ascii="Arial" w:cs="Arial" w:eastAsia="Arial" w:hAnsi="Arial"/>
          <w:sz w:val="20"/>
          <w:szCs w:val="20"/>
          <w:color w:val="auto"/>
        </w:rPr>
      </w:pPr>
    </w:p>
    <w:p>
      <w:pPr>
        <w:jc w:val="both"/>
        <w:ind w:left="660" w:hanging="328"/>
        <w:spacing w:after="0" w:line="238"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Obtain sufficient appropriate audit evidence regarding the financial information of the entities or business activities within the Company to express an opinion on the consolidated financial statements. We are responsible for the direction, supervision and performance of the group audit. We remain solely responsible for our audit opinion.</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communicate with those charged with governance regarding, among other matters, the planned scope and timing of the audits and significant audit findings, including any significant deficiencies in internal control that we identify during our audits.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provide those charged with governance with a statement that we have complied with relevant ethical requirements regarding independence, and to communicate with them all relationships and other matters that may reasonably be thought to bear on our independence, and where applicable related safeguards.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engagement partner on the audits resulting in this independent auditors’ report is Laurence W. Zeifman, CPA,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325755</wp:posOffset>
            </wp:positionV>
            <wp:extent cx="1414145"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14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Toronto, Ontario</w:t>
            </w:r>
          </w:p>
        </w:tc>
        <w:tc>
          <w:tcPr>
            <w:tcW w:w="6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Chartered Professional Accountants</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6/20/2022</w:t>
            </w:r>
          </w:p>
        </w:tc>
        <w:tc>
          <w:tcPr>
            <w:tcW w:w="6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Licensed Public Accountants</w:t>
            </w:r>
          </w:p>
        </w:tc>
      </w:tr>
      <w:tr>
        <w:trPr>
          <w:trHeight w:val="234"/>
        </w:trPr>
        <w:tc>
          <w:tcPr>
            <w:tcW w:w="4940" w:type="dxa"/>
            <w:vAlign w:val="bottom"/>
          </w:tcPr>
          <w:p>
            <w:pPr>
              <w:spacing w:after="0"/>
              <w:rPr>
                <w:sz w:val="20"/>
                <w:szCs w:val="20"/>
                <w:color w:val="auto"/>
              </w:rPr>
            </w:pPr>
          </w:p>
        </w:tc>
        <w:tc>
          <w:tcPr>
            <w:tcW w:w="6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1978"/>
        </w:trPr>
        <w:tc>
          <w:tcPr>
            <w:tcW w:w="494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9" w:lineRule="auto"/>
        <w:rPr>
          <w:sz w:val="20"/>
          <w:szCs w:val="20"/>
          <w:color w:val="auto"/>
        </w:rPr>
      </w:pPr>
      <w:r>
        <w:rPr>
          <w:rFonts w:ascii="Calibri" w:cs="Calibri" w:eastAsia="Calibri" w:hAnsi="Calibri"/>
          <w:sz w:val="22"/>
          <w:szCs w:val="22"/>
          <w:b w:val="1"/>
          <w:bCs w:val="1"/>
          <w:color w:val="auto"/>
        </w:rPr>
        <w:t>CONSOLIDATED STATEMENTS OF FINANCIAL POSITION</w:t>
      </w:r>
    </w:p>
    <w:p>
      <w:pPr>
        <w:ind w:left="80"/>
        <w:spacing w:after="0" w:line="229" w:lineRule="auto"/>
        <w:rPr>
          <w:sz w:val="20"/>
          <w:szCs w:val="20"/>
          <w:color w:val="auto"/>
        </w:rPr>
      </w:pPr>
      <w:r>
        <w:rPr>
          <w:rFonts w:ascii="Calibri" w:cs="Calibri" w:eastAsia="Calibri" w:hAnsi="Calibri"/>
          <w:sz w:val="22"/>
          <w:szCs w:val="22"/>
          <w:b w:val="1"/>
          <w:bCs w:val="1"/>
          <w:color w:val="auto"/>
        </w:rPr>
        <w:t>(All amounts expressed in thousands of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As at</w:t>
            </w:r>
          </w:p>
        </w:tc>
        <w:tc>
          <w:tcPr>
            <w:tcW w:w="2340" w:type="dxa"/>
            <w:vAlign w:val="bottom"/>
            <w:tcBorders>
              <w:bottom w:val="single" w:sz="8" w:color="auto"/>
            </w:tcBorders>
          </w:tcPr>
          <w:p>
            <w:pPr>
              <w:ind w:left="1360"/>
              <w:spacing w:after="0"/>
              <w:rPr>
                <w:sz w:val="20"/>
                <w:szCs w:val="20"/>
                <w:color w:val="auto"/>
              </w:rPr>
            </w:pPr>
            <w:r>
              <w:rPr>
                <w:rFonts w:ascii="Calibri" w:cs="Calibri" w:eastAsia="Calibri" w:hAnsi="Calibri"/>
                <w:sz w:val="16"/>
                <w:szCs w:val="16"/>
                <w:i w:val="1"/>
                <w:iCs w:val="1"/>
                <w:color w:val="auto"/>
              </w:rPr>
              <w:t>Notes</w:t>
            </w:r>
          </w:p>
        </w:tc>
        <w:tc>
          <w:tcPr>
            <w:tcW w:w="2040" w:type="dxa"/>
            <w:vAlign w:val="bottom"/>
            <w:tcBorders>
              <w:bottom w:val="single" w:sz="8" w:color="auto"/>
            </w:tcBorders>
          </w:tcPr>
          <w:p>
            <w:pPr>
              <w:jc w:val="right"/>
              <w:ind w:right="339"/>
              <w:spacing w:after="0"/>
              <w:rPr>
                <w:sz w:val="20"/>
                <w:szCs w:val="20"/>
                <w:color w:val="auto"/>
              </w:rPr>
            </w:pPr>
            <w:r>
              <w:rPr>
                <w:rFonts w:ascii="Calibri" w:cs="Calibri" w:eastAsia="Calibri" w:hAnsi="Calibri"/>
                <w:sz w:val="16"/>
                <w:szCs w:val="16"/>
                <w:b w:val="1"/>
                <w:bCs w:val="1"/>
                <w:color w:val="auto"/>
              </w:rPr>
              <w:t>March 31, 2022</w:t>
            </w:r>
          </w:p>
        </w:tc>
        <w:tc>
          <w:tcPr>
            <w:tcW w:w="152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b w:val="1"/>
                <w:bCs w:val="1"/>
                <w:color w:val="auto"/>
              </w:rPr>
              <w:t>March 31, 2021</w:t>
            </w:r>
          </w:p>
        </w:tc>
      </w:tr>
      <w:tr>
        <w:trPr>
          <w:trHeight w:val="402"/>
        </w:trPr>
        <w:tc>
          <w:tcPr>
            <w:tcW w:w="5340" w:type="dxa"/>
            <w:vAlign w:val="bottom"/>
          </w:tcPr>
          <w:p>
            <w:pPr>
              <w:ind w:left="80"/>
              <w:spacing w:after="0"/>
              <w:rPr>
                <w:sz w:val="20"/>
                <w:szCs w:val="20"/>
                <w:color w:val="auto"/>
              </w:rPr>
            </w:pPr>
            <w:r>
              <w:rPr>
                <w:rFonts w:ascii="Calibri" w:cs="Calibri" w:eastAsia="Calibri" w:hAnsi="Calibri"/>
                <w:sz w:val="16"/>
                <w:szCs w:val="16"/>
                <w:b w:val="1"/>
                <w:bCs w:val="1"/>
                <w:color w:val="auto"/>
              </w:rPr>
              <w:t>ASSETS</w:t>
            </w:r>
          </w:p>
        </w:tc>
        <w:tc>
          <w:tcPr>
            <w:tcW w:w="2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9"/>
        </w:trPr>
        <w:tc>
          <w:tcPr>
            <w:tcW w:w="5340" w:type="dxa"/>
            <w:vAlign w:val="bottom"/>
          </w:tcPr>
          <w:p>
            <w:pPr>
              <w:ind w:left="240"/>
              <w:spacing w:after="0"/>
              <w:rPr>
                <w:sz w:val="20"/>
                <w:szCs w:val="20"/>
                <w:color w:val="auto"/>
              </w:rPr>
            </w:pPr>
            <w:r>
              <w:rPr>
                <w:rFonts w:ascii="Calibri" w:cs="Calibri" w:eastAsia="Calibri" w:hAnsi="Calibri"/>
                <w:sz w:val="16"/>
                <w:szCs w:val="16"/>
                <w:b w:val="1"/>
                <w:bCs w:val="1"/>
                <w:color w:val="auto"/>
              </w:rPr>
              <w:t>Current</w:t>
            </w:r>
          </w:p>
        </w:tc>
        <w:tc>
          <w:tcPr>
            <w:tcW w:w="2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7"/>
        </w:trPr>
        <w:tc>
          <w:tcPr>
            <w:tcW w:w="5340" w:type="dxa"/>
            <w:vAlign w:val="bottom"/>
          </w:tcPr>
          <w:p>
            <w:pPr>
              <w:ind w:left="560"/>
              <w:spacing w:after="0"/>
              <w:rPr>
                <w:sz w:val="20"/>
                <w:szCs w:val="20"/>
                <w:color w:val="auto"/>
              </w:rPr>
            </w:pPr>
            <w:r>
              <w:rPr>
                <w:rFonts w:ascii="Calibri" w:cs="Calibri" w:eastAsia="Calibri" w:hAnsi="Calibri"/>
                <w:sz w:val="16"/>
                <w:szCs w:val="16"/>
                <w:color w:val="auto"/>
              </w:rPr>
              <w:t>Cash</w:t>
            </w:r>
          </w:p>
        </w:tc>
        <w:tc>
          <w:tcPr>
            <w:tcW w:w="2340" w:type="dxa"/>
            <w:vAlign w:val="bottom"/>
          </w:tcPr>
          <w:p>
            <w:pPr>
              <w:spacing w:after="0"/>
              <w:rPr>
                <w:sz w:val="22"/>
                <w:szCs w:val="22"/>
                <w:color w:val="auto"/>
              </w:rPr>
            </w:pPr>
          </w:p>
        </w:tc>
        <w:tc>
          <w:tcPr>
            <w:tcW w:w="20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53,641</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64,026</w:t>
            </w:r>
          </w:p>
        </w:tc>
      </w:tr>
      <w:tr>
        <w:trPr>
          <w:trHeight w:val="243"/>
        </w:trPr>
        <w:tc>
          <w:tcPr>
            <w:tcW w:w="5340" w:type="dxa"/>
            <w:vAlign w:val="bottom"/>
          </w:tcPr>
          <w:p>
            <w:pPr>
              <w:ind w:left="560"/>
              <w:spacing w:after="0"/>
              <w:rPr>
                <w:sz w:val="20"/>
                <w:szCs w:val="20"/>
                <w:color w:val="auto"/>
              </w:rPr>
            </w:pPr>
            <w:r>
              <w:rPr>
                <w:rFonts w:ascii="Calibri" w:cs="Calibri" w:eastAsia="Calibri" w:hAnsi="Calibri"/>
                <w:sz w:val="16"/>
                <w:szCs w:val="16"/>
                <w:color w:val="auto"/>
              </w:rPr>
              <w:t>Accounts receivable</w:t>
            </w:r>
          </w:p>
        </w:tc>
        <w:tc>
          <w:tcPr>
            <w:tcW w:w="2340" w:type="dxa"/>
            <w:vAlign w:val="bottom"/>
          </w:tcPr>
          <w:p>
            <w:pPr>
              <w:spacing w:after="0"/>
              <w:rPr>
                <w:sz w:val="21"/>
                <w:szCs w:val="21"/>
                <w:color w:val="auto"/>
              </w:rPr>
            </w:pPr>
          </w:p>
        </w:tc>
        <w:tc>
          <w:tcPr>
            <w:tcW w:w="20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2,102</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1,329</w:t>
            </w:r>
          </w:p>
        </w:tc>
      </w:tr>
      <w:tr>
        <w:trPr>
          <w:trHeight w:val="243"/>
        </w:trPr>
        <w:tc>
          <w:tcPr>
            <w:tcW w:w="5340" w:type="dxa"/>
            <w:vAlign w:val="bottom"/>
          </w:tcPr>
          <w:p>
            <w:pPr>
              <w:ind w:left="560"/>
              <w:spacing w:after="0"/>
              <w:rPr>
                <w:sz w:val="20"/>
                <w:szCs w:val="20"/>
                <w:color w:val="auto"/>
              </w:rPr>
            </w:pPr>
            <w:r>
              <w:rPr>
                <w:rFonts w:ascii="Calibri" w:cs="Calibri" w:eastAsia="Calibri" w:hAnsi="Calibri"/>
                <w:sz w:val="16"/>
                <w:szCs w:val="16"/>
                <w:color w:val="auto"/>
              </w:rPr>
              <w:t>Prepaid expenses</w:t>
            </w:r>
          </w:p>
        </w:tc>
        <w:tc>
          <w:tcPr>
            <w:tcW w:w="2340" w:type="dxa"/>
            <w:vAlign w:val="bottom"/>
          </w:tcPr>
          <w:p>
            <w:pPr>
              <w:spacing w:after="0"/>
              <w:rPr>
                <w:sz w:val="21"/>
                <w:szCs w:val="21"/>
                <w:color w:val="auto"/>
              </w:rPr>
            </w:pPr>
          </w:p>
        </w:tc>
        <w:tc>
          <w:tcPr>
            <w:tcW w:w="20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1,271</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1,129</w:t>
            </w:r>
          </w:p>
        </w:tc>
      </w:tr>
      <w:tr>
        <w:trPr>
          <w:trHeight w:val="243"/>
        </w:trPr>
        <w:tc>
          <w:tcPr>
            <w:tcW w:w="5340" w:type="dxa"/>
            <w:vAlign w:val="bottom"/>
          </w:tcPr>
          <w:p>
            <w:pPr>
              <w:ind w:left="580"/>
              <w:spacing w:after="0"/>
              <w:rPr>
                <w:sz w:val="20"/>
                <w:szCs w:val="20"/>
                <w:color w:val="auto"/>
              </w:rPr>
            </w:pPr>
            <w:r>
              <w:rPr>
                <w:rFonts w:ascii="Calibri" w:cs="Calibri" w:eastAsia="Calibri" w:hAnsi="Calibri"/>
                <w:sz w:val="16"/>
                <w:szCs w:val="16"/>
                <w:color w:val="auto"/>
              </w:rPr>
              <w:t>Other current assets</w:t>
            </w:r>
          </w:p>
        </w:tc>
        <w:tc>
          <w:tcPr>
            <w:tcW w:w="2340" w:type="dxa"/>
            <w:vAlign w:val="bottom"/>
          </w:tcPr>
          <w:p>
            <w:pPr>
              <w:spacing w:after="0"/>
              <w:rPr>
                <w:sz w:val="21"/>
                <w:szCs w:val="21"/>
                <w:color w:val="auto"/>
              </w:rPr>
            </w:pPr>
          </w:p>
        </w:tc>
        <w:tc>
          <w:tcPr>
            <w:tcW w:w="20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1,341</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149"/>
        </w:trPr>
        <w:tc>
          <w:tcPr>
            <w:tcW w:w="53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187"/>
        </w:trPr>
        <w:tc>
          <w:tcPr>
            <w:tcW w:w="5340" w:type="dxa"/>
            <w:vAlign w:val="bottom"/>
          </w:tcPr>
          <w:p>
            <w:pPr>
              <w:ind w:left="80"/>
              <w:spacing w:after="0" w:line="187" w:lineRule="exact"/>
              <w:rPr>
                <w:sz w:val="20"/>
                <w:szCs w:val="20"/>
                <w:color w:val="auto"/>
              </w:rPr>
            </w:pPr>
            <w:r>
              <w:rPr>
                <w:rFonts w:ascii="Calibri" w:cs="Calibri" w:eastAsia="Calibri" w:hAnsi="Calibri"/>
                <w:sz w:val="16"/>
                <w:szCs w:val="16"/>
                <w:b w:val="1"/>
                <w:bCs w:val="1"/>
                <w:color w:val="auto"/>
              </w:rPr>
              <w:t>Total Current Assets</w:t>
            </w:r>
          </w:p>
        </w:tc>
        <w:tc>
          <w:tcPr>
            <w:tcW w:w="2340" w:type="dxa"/>
            <w:vAlign w:val="bottom"/>
          </w:tcPr>
          <w:p>
            <w:pPr>
              <w:spacing w:after="0"/>
              <w:rPr>
                <w:sz w:val="16"/>
                <w:szCs w:val="16"/>
                <w:color w:val="auto"/>
              </w:rPr>
            </w:pPr>
          </w:p>
        </w:tc>
        <w:tc>
          <w:tcPr>
            <w:tcW w:w="2040" w:type="dxa"/>
            <w:vAlign w:val="bottom"/>
          </w:tcPr>
          <w:p>
            <w:pPr>
              <w:jc w:val="right"/>
              <w:ind w:right="399"/>
              <w:spacing w:after="0" w:line="187" w:lineRule="exact"/>
              <w:rPr>
                <w:sz w:val="20"/>
                <w:szCs w:val="20"/>
                <w:color w:val="auto"/>
              </w:rPr>
            </w:pPr>
            <w:r>
              <w:rPr>
                <w:rFonts w:ascii="Calibri" w:cs="Calibri" w:eastAsia="Calibri" w:hAnsi="Calibri"/>
                <w:sz w:val="16"/>
                <w:szCs w:val="16"/>
                <w:b w:val="1"/>
                <w:bCs w:val="1"/>
                <w:color w:val="auto"/>
              </w:rPr>
              <w:t>58,355</w:t>
            </w:r>
          </w:p>
        </w:tc>
        <w:tc>
          <w:tcPr>
            <w:tcW w:w="1520" w:type="dxa"/>
            <w:vAlign w:val="bottom"/>
          </w:tcPr>
          <w:p>
            <w:pPr>
              <w:jc w:val="right"/>
              <w:spacing w:after="0" w:line="187" w:lineRule="exact"/>
              <w:rPr>
                <w:sz w:val="20"/>
                <w:szCs w:val="20"/>
                <w:color w:val="auto"/>
              </w:rPr>
            </w:pPr>
            <w:r>
              <w:rPr>
                <w:rFonts w:ascii="Calibri" w:cs="Calibri" w:eastAsia="Calibri" w:hAnsi="Calibri"/>
                <w:sz w:val="16"/>
                <w:szCs w:val="16"/>
                <w:color w:val="auto"/>
              </w:rPr>
              <w:t>66,484</w:t>
            </w:r>
          </w:p>
        </w:tc>
      </w:tr>
      <w:tr>
        <w:trPr>
          <w:trHeight w:val="23"/>
        </w:trPr>
        <w:tc>
          <w:tcPr>
            <w:tcW w:w="53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71"/>
        </w:trPr>
        <w:tc>
          <w:tcPr>
            <w:tcW w:w="5340" w:type="dxa"/>
            <w:vAlign w:val="bottom"/>
          </w:tcPr>
          <w:p>
            <w:pPr>
              <w:ind w:left="240"/>
              <w:spacing w:after="0"/>
              <w:rPr>
                <w:sz w:val="20"/>
                <w:szCs w:val="20"/>
                <w:color w:val="auto"/>
              </w:rPr>
            </w:pPr>
            <w:r>
              <w:rPr>
                <w:rFonts w:ascii="Calibri" w:cs="Calibri" w:eastAsia="Calibri" w:hAnsi="Calibri"/>
                <w:sz w:val="16"/>
                <w:szCs w:val="16"/>
                <w:b w:val="1"/>
                <w:bCs w:val="1"/>
                <w:color w:val="auto"/>
              </w:rPr>
              <w:t>Non-current</w:t>
            </w:r>
          </w:p>
        </w:tc>
        <w:tc>
          <w:tcPr>
            <w:tcW w:w="2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5340" w:type="dxa"/>
            <w:vAlign w:val="bottom"/>
          </w:tcPr>
          <w:p>
            <w:pPr>
              <w:ind w:left="560"/>
              <w:spacing w:after="0"/>
              <w:rPr>
                <w:sz w:val="20"/>
                <w:szCs w:val="20"/>
                <w:color w:val="auto"/>
              </w:rPr>
            </w:pPr>
            <w:r>
              <w:rPr>
                <w:rFonts w:ascii="Calibri" w:cs="Calibri" w:eastAsia="Calibri" w:hAnsi="Calibri"/>
                <w:sz w:val="16"/>
                <w:szCs w:val="16"/>
                <w:color w:val="auto"/>
              </w:rPr>
              <w:t>Investments</w:t>
            </w:r>
          </w:p>
        </w:tc>
        <w:tc>
          <w:tcPr>
            <w:tcW w:w="2340" w:type="dxa"/>
            <w:vAlign w:val="bottom"/>
          </w:tcPr>
          <w:p>
            <w:pPr>
              <w:jc w:val="center"/>
              <w:ind w:left="699"/>
              <w:spacing w:after="0"/>
              <w:rPr>
                <w:sz w:val="20"/>
                <w:szCs w:val="20"/>
                <w:color w:val="auto"/>
              </w:rPr>
            </w:pPr>
            <w:r>
              <w:rPr>
                <w:rFonts w:ascii="Calibri" w:cs="Calibri" w:eastAsia="Calibri" w:hAnsi="Calibri"/>
                <w:sz w:val="16"/>
                <w:szCs w:val="16"/>
                <w:i w:val="1"/>
                <w:iCs w:val="1"/>
                <w:color w:val="auto"/>
                <w:w w:val="97"/>
              </w:rPr>
              <w:t>5</w:t>
            </w:r>
          </w:p>
        </w:tc>
        <w:tc>
          <w:tcPr>
            <w:tcW w:w="20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242</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43"/>
        </w:trPr>
        <w:tc>
          <w:tcPr>
            <w:tcW w:w="5340" w:type="dxa"/>
            <w:vAlign w:val="bottom"/>
          </w:tcPr>
          <w:p>
            <w:pPr>
              <w:ind w:left="560"/>
              <w:spacing w:after="0"/>
              <w:rPr>
                <w:sz w:val="20"/>
                <w:szCs w:val="20"/>
                <w:color w:val="auto"/>
              </w:rPr>
            </w:pPr>
            <w:r>
              <w:rPr>
                <w:rFonts w:ascii="Calibri" w:cs="Calibri" w:eastAsia="Calibri" w:hAnsi="Calibri"/>
                <w:sz w:val="16"/>
                <w:szCs w:val="16"/>
                <w:color w:val="auto"/>
              </w:rPr>
              <w:t>Equipment</w:t>
            </w:r>
          </w:p>
        </w:tc>
        <w:tc>
          <w:tcPr>
            <w:tcW w:w="2340" w:type="dxa"/>
            <w:vAlign w:val="bottom"/>
          </w:tcPr>
          <w:p>
            <w:pPr>
              <w:jc w:val="center"/>
              <w:ind w:left="699"/>
              <w:spacing w:after="0"/>
              <w:rPr>
                <w:sz w:val="20"/>
                <w:szCs w:val="20"/>
                <w:color w:val="auto"/>
              </w:rPr>
            </w:pPr>
            <w:r>
              <w:rPr>
                <w:rFonts w:ascii="Calibri" w:cs="Calibri" w:eastAsia="Calibri" w:hAnsi="Calibri"/>
                <w:sz w:val="16"/>
                <w:szCs w:val="16"/>
                <w:i w:val="1"/>
                <w:iCs w:val="1"/>
                <w:color w:val="auto"/>
                <w:w w:val="97"/>
              </w:rPr>
              <w:t>6</w:t>
            </w:r>
          </w:p>
        </w:tc>
        <w:tc>
          <w:tcPr>
            <w:tcW w:w="20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491</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557</w:t>
            </w:r>
          </w:p>
        </w:tc>
      </w:tr>
      <w:tr>
        <w:trPr>
          <w:trHeight w:val="243"/>
        </w:trPr>
        <w:tc>
          <w:tcPr>
            <w:tcW w:w="5340" w:type="dxa"/>
            <w:vAlign w:val="bottom"/>
          </w:tcPr>
          <w:p>
            <w:pPr>
              <w:ind w:left="560"/>
              <w:spacing w:after="0"/>
              <w:rPr>
                <w:sz w:val="20"/>
                <w:szCs w:val="20"/>
                <w:color w:val="auto"/>
              </w:rPr>
            </w:pPr>
            <w:r>
              <w:rPr>
                <w:rFonts w:ascii="Calibri" w:cs="Calibri" w:eastAsia="Calibri" w:hAnsi="Calibri"/>
                <w:sz w:val="16"/>
                <w:szCs w:val="16"/>
                <w:color w:val="auto"/>
              </w:rPr>
              <w:t>Intangible assets</w:t>
            </w:r>
          </w:p>
        </w:tc>
        <w:tc>
          <w:tcPr>
            <w:tcW w:w="2340" w:type="dxa"/>
            <w:vAlign w:val="bottom"/>
          </w:tcPr>
          <w:p>
            <w:pPr>
              <w:jc w:val="center"/>
              <w:ind w:left="699"/>
              <w:spacing w:after="0"/>
              <w:rPr>
                <w:sz w:val="20"/>
                <w:szCs w:val="20"/>
                <w:color w:val="auto"/>
              </w:rPr>
            </w:pPr>
            <w:r>
              <w:rPr>
                <w:rFonts w:ascii="Calibri" w:cs="Calibri" w:eastAsia="Calibri" w:hAnsi="Calibri"/>
                <w:sz w:val="16"/>
                <w:szCs w:val="16"/>
                <w:i w:val="1"/>
                <w:iCs w:val="1"/>
                <w:color w:val="auto"/>
                <w:w w:val="97"/>
              </w:rPr>
              <w:t>7</w:t>
            </w:r>
          </w:p>
        </w:tc>
        <w:tc>
          <w:tcPr>
            <w:tcW w:w="20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2,083</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1,701</w:t>
            </w:r>
          </w:p>
        </w:tc>
      </w:tr>
      <w:tr>
        <w:trPr>
          <w:trHeight w:val="243"/>
        </w:trPr>
        <w:tc>
          <w:tcPr>
            <w:tcW w:w="5340" w:type="dxa"/>
            <w:vAlign w:val="bottom"/>
          </w:tcPr>
          <w:p>
            <w:pPr>
              <w:ind w:left="560"/>
              <w:spacing w:after="0"/>
              <w:rPr>
                <w:sz w:val="20"/>
                <w:szCs w:val="20"/>
                <w:color w:val="auto"/>
              </w:rPr>
            </w:pPr>
            <w:r>
              <w:rPr>
                <w:rFonts w:ascii="Calibri" w:cs="Calibri" w:eastAsia="Calibri" w:hAnsi="Calibri"/>
                <w:sz w:val="16"/>
                <w:szCs w:val="16"/>
                <w:color w:val="auto"/>
              </w:rPr>
              <w:t>Goodwill</w:t>
            </w:r>
          </w:p>
        </w:tc>
        <w:tc>
          <w:tcPr>
            <w:tcW w:w="2340" w:type="dxa"/>
            <w:vAlign w:val="bottom"/>
          </w:tcPr>
          <w:p>
            <w:pPr>
              <w:jc w:val="center"/>
              <w:ind w:left="699"/>
              <w:spacing w:after="0"/>
              <w:rPr>
                <w:sz w:val="20"/>
                <w:szCs w:val="20"/>
                <w:color w:val="auto"/>
              </w:rPr>
            </w:pPr>
            <w:r>
              <w:rPr>
                <w:rFonts w:ascii="Calibri" w:cs="Calibri" w:eastAsia="Calibri" w:hAnsi="Calibri"/>
                <w:sz w:val="16"/>
                <w:szCs w:val="16"/>
                <w:i w:val="1"/>
                <w:iCs w:val="1"/>
                <w:color w:val="auto"/>
                <w:w w:val="97"/>
              </w:rPr>
              <w:t>8</w:t>
            </w:r>
          </w:p>
        </w:tc>
        <w:tc>
          <w:tcPr>
            <w:tcW w:w="20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22,892</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23,370</w:t>
            </w:r>
          </w:p>
        </w:tc>
      </w:tr>
      <w:tr>
        <w:trPr>
          <w:trHeight w:val="149"/>
        </w:trPr>
        <w:tc>
          <w:tcPr>
            <w:tcW w:w="53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187"/>
        </w:trPr>
        <w:tc>
          <w:tcPr>
            <w:tcW w:w="5340" w:type="dxa"/>
            <w:vAlign w:val="bottom"/>
          </w:tcPr>
          <w:p>
            <w:pPr>
              <w:ind w:left="80"/>
              <w:spacing w:after="0" w:line="187" w:lineRule="exact"/>
              <w:rPr>
                <w:sz w:val="20"/>
                <w:szCs w:val="20"/>
                <w:color w:val="auto"/>
              </w:rPr>
            </w:pPr>
            <w:r>
              <w:rPr>
                <w:rFonts w:ascii="Calibri" w:cs="Calibri" w:eastAsia="Calibri" w:hAnsi="Calibri"/>
                <w:sz w:val="16"/>
                <w:szCs w:val="16"/>
                <w:b w:val="1"/>
                <w:bCs w:val="1"/>
                <w:color w:val="auto"/>
              </w:rPr>
              <w:t>Total Non-Current Assets</w:t>
            </w:r>
          </w:p>
        </w:tc>
        <w:tc>
          <w:tcPr>
            <w:tcW w:w="2340" w:type="dxa"/>
            <w:vAlign w:val="bottom"/>
          </w:tcPr>
          <w:p>
            <w:pPr>
              <w:spacing w:after="0"/>
              <w:rPr>
                <w:sz w:val="16"/>
                <w:szCs w:val="16"/>
                <w:color w:val="auto"/>
              </w:rPr>
            </w:pPr>
          </w:p>
        </w:tc>
        <w:tc>
          <w:tcPr>
            <w:tcW w:w="2040" w:type="dxa"/>
            <w:vAlign w:val="bottom"/>
          </w:tcPr>
          <w:p>
            <w:pPr>
              <w:jc w:val="right"/>
              <w:ind w:right="399"/>
              <w:spacing w:after="0" w:line="187" w:lineRule="exact"/>
              <w:rPr>
                <w:sz w:val="20"/>
                <w:szCs w:val="20"/>
                <w:color w:val="auto"/>
              </w:rPr>
            </w:pPr>
            <w:r>
              <w:rPr>
                <w:rFonts w:ascii="Calibri" w:cs="Calibri" w:eastAsia="Calibri" w:hAnsi="Calibri"/>
                <w:sz w:val="16"/>
                <w:szCs w:val="16"/>
                <w:b w:val="1"/>
                <w:bCs w:val="1"/>
                <w:color w:val="auto"/>
              </w:rPr>
              <w:t>25,708</w:t>
            </w:r>
          </w:p>
        </w:tc>
        <w:tc>
          <w:tcPr>
            <w:tcW w:w="1520" w:type="dxa"/>
            <w:vAlign w:val="bottom"/>
          </w:tcPr>
          <w:p>
            <w:pPr>
              <w:jc w:val="right"/>
              <w:spacing w:after="0" w:line="187" w:lineRule="exact"/>
              <w:rPr>
                <w:sz w:val="20"/>
                <w:szCs w:val="20"/>
                <w:color w:val="auto"/>
              </w:rPr>
            </w:pPr>
            <w:r>
              <w:rPr>
                <w:rFonts w:ascii="Calibri" w:cs="Calibri" w:eastAsia="Calibri" w:hAnsi="Calibri"/>
                <w:sz w:val="16"/>
                <w:szCs w:val="16"/>
                <w:color w:val="auto"/>
              </w:rPr>
              <w:t>25,628</w:t>
            </w:r>
          </w:p>
        </w:tc>
      </w:tr>
      <w:tr>
        <w:trPr>
          <w:trHeight w:val="23"/>
        </w:trPr>
        <w:tc>
          <w:tcPr>
            <w:tcW w:w="53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4"/>
        </w:trPr>
        <w:tc>
          <w:tcPr>
            <w:tcW w:w="5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1"/>
        </w:trPr>
        <w:tc>
          <w:tcPr>
            <w:tcW w:w="5340" w:type="dxa"/>
            <w:vAlign w:val="bottom"/>
            <w:tcBorders>
              <w:bottom w:val="single" w:sz="8" w:color="D9D9D9"/>
            </w:tcBorders>
            <w:shd w:val="clear" w:color="auto" w:fill="D9D9D9"/>
          </w:tcPr>
          <w:p>
            <w:pPr>
              <w:ind w:left="80"/>
              <w:spacing w:after="0" w:line="193" w:lineRule="exact"/>
              <w:rPr>
                <w:sz w:val="20"/>
                <w:szCs w:val="20"/>
                <w:color w:val="auto"/>
              </w:rPr>
            </w:pPr>
            <w:r>
              <w:rPr>
                <w:rFonts w:ascii="Calibri" w:cs="Calibri" w:eastAsia="Calibri" w:hAnsi="Calibri"/>
                <w:sz w:val="16"/>
                <w:szCs w:val="16"/>
                <w:b w:val="1"/>
                <w:bCs w:val="1"/>
                <w:color w:val="auto"/>
              </w:rPr>
              <w:t>TOTAL ASSETS</w:t>
            </w:r>
          </w:p>
        </w:tc>
        <w:tc>
          <w:tcPr>
            <w:tcW w:w="2340" w:type="dxa"/>
            <w:vAlign w:val="bottom"/>
            <w:tcBorders>
              <w:bottom w:val="single" w:sz="8" w:color="D9D9D9"/>
            </w:tcBorders>
            <w:shd w:val="clear" w:color="auto" w:fill="D9D9D9"/>
          </w:tcPr>
          <w:p>
            <w:pPr>
              <w:spacing w:after="0"/>
              <w:rPr>
                <w:sz w:val="18"/>
                <w:szCs w:val="18"/>
                <w:color w:val="auto"/>
              </w:rPr>
            </w:pPr>
          </w:p>
        </w:tc>
        <w:tc>
          <w:tcPr>
            <w:tcW w:w="2040" w:type="dxa"/>
            <w:vAlign w:val="bottom"/>
            <w:tcBorders>
              <w:bottom w:val="single" w:sz="8" w:color="D9D9D9"/>
            </w:tcBorders>
            <w:shd w:val="clear" w:color="auto" w:fill="D9D9D9"/>
          </w:tcPr>
          <w:p>
            <w:pPr>
              <w:jc w:val="right"/>
              <w:ind w:right="399"/>
              <w:spacing w:after="0" w:line="193" w:lineRule="exact"/>
              <w:rPr>
                <w:sz w:val="20"/>
                <w:szCs w:val="20"/>
                <w:color w:val="auto"/>
              </w:rPr>
            </w:pPr>
            <w:r>
              <w:rPr>
                <w:rFonts w:ascii="Calibri" w:cs="Calibri" w:eastAsia="Calibri" w:hAnsi="Calibri"/>
                <w:sz w:val="16"/>
                <w:szCs w:val="16"/>
                <w:b w:val="1"/>
                <w:bCs w:val="1"/>
                <w:color w:val="auto"/>
              </w:rPr>
              <w:t>84,063</w:t>
            </w:r>
          </w:p>
        </w:tc>
        <w:tc>
          <w:tcPr>
            <w:tcW w:w="1520" w:type="dxa"/>
            <w:vAlign w:val="bottom"/>
            <w:tcBorders>
              <w:bottom w:val="single" w:sz="8" w:color="D9D9D9"/>
            </w:tcBorders>
            <w:shd w:val="clear" w:color="auto" w:fill="D9D9D9"/>
          </w:tcPr>
          <w:p>
            <w:pPr>
              <w:jc w:val="right"/>
              <w:spacing w:after="0" w:line="193" w:lineRule="exact"/>
              <w:rPr>
                <w:sz w:val="20"/>
                <w:szCs w:val="20"/>
                <w:color w:val="auto"/>
              </w:rPr>
            </w:pPr>
            <w:r>
              <w:rPr>
                <w:rFonts w:ascii="Calibri" w:cs="Calibri" w:eastAsia="Calibri" w:hAnsi="Calibri"/>
                <w:sz w:val="16"/>
                <w:szCs w:val="16"/>
                <w:color w:val="auto"/>
              </w:rPr>
              <w:t>92,112</w:t>
            </w:r>
          </w:p>
        </w:tc>
      </w:tr>
      <w:tr>
        <w:trPr>
          <w:trHeight w:val="223"/>
        </w:trPr>
        <w:tc>
          <w:tcPr>
            <w:tcW w:w="5340" w:type="dxa"/>
            <w:vAlign w:val="bottom"/>
            <w:tcBorders>
              <w:top w:val="single" w:sz="8" w:color="auto"/>
            </w:tcBorders>
          </w:tcPr>
          <w:p>
            <w:pPr>
              <w:ind w:left="80"/>
              <w:spacing w:after="0"/>
              <w:rPr>
                <w:sz w:val="20"/>
                <w:szCs w:val="20"/>
                <w:color w:val="auto"/>
              </w:rPr>
            </w:pPr>
            <w:r>
              <w:rPr>
                <w:rFonts w:ascii="Calibri" w:cs="Calibri" w:eastAsia="Calibri" w:hAnsi="Calibri"/>
                <w:sz w:val="16"/>
                <w:szCs w:val="16"/>
                <w:b w:val="1"/>
                <w:bCs w:val="1"/>
                <w:color w:val="auto"/>
              </w:rPr>
              <w:t>LIABILITIES</w:t>
            </w:r>
          </w:p>
        </w:tc>
        <w:tc>
          <w:tcPr>
            <w:tcW w:w="234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r>
      <w:tr>
        <w:trPr>
          <w:trHeight w:val="229"/>
        </w:trPr>
        <w:tc>
          <w:tcPr>
            <w:tcW w:w="5340" w:type="dxa"/>
            <w:vAlign w:val="bottom"/>
          </w:tcPr>
          <w:p>
            <w:pPr>
              <w:ind w:left="240"/>
              <w:spacing w:after="0"/>
              <w:rPr>
                <w:sz w:val="20"/>
                <w:szCs w:val="20"/>
                <w:color w:val="auto"/>
              </w:rPr>
            </w:pPr>
            <w:r>
              <w:rPr>
                <w:rFonts w:ascii="Calibri" w:cs="Calibri" w:eastAsia="Calibri" w:hAnsi="Calibri"/>
                <w:sz w:val="16"/>
                <w:szCs w:val="16"/>
                <w:b w:val="1"/>
                <w:bCs w:val="1"/>
                <w:color w:val="auto"/>
              </w:rPr>
              <w:t>Current</w:t>
            </w:r>
          </w:p>
        </w:tc>
        <w:tc>
          <w:tcPr>
            <w:tcW w:w="2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6"/>
        </w:trPr>
        <w:tc>
          <w:tcPr>
            <w:tcW w:w="5340" w:type="dxa"/>
            <w:vAlign w:val="bottom"/>
          </w:tcPr>
          <w:p>
            <w:pPr>
              <w:ind w:left="560"/>
              <w:spacing w:after="0"/>
              <w:rPr>
                <w:sz w:val="20"/>
                <w:szCs w:val="20"/>
                <w:color w:val="auto"/>
              </w:rPr>
            </w:pPr>
            <w:r>
              <w:rPr>
                <w:rFonts w:ascii="Calibri" w:cs="Calibri" w:eastAsia="Calibri" w:hAnsi="Calibri"/>
                <w:sz w:val="16"/>
                <w:szCs w:val="16"/>
                <w:color w:val="auto"/>
              </w:rPr>
              <w:t>Accounts payable and accrued liabilites</w:t>
            </w:r>
          </w:p>
        </w:tc>
        <w:tc>
          <w:tcPr>
            <w:tcW w:w="2340" w:type="dxa"/>
            <w:vAlign w:val="bottom"/>
          </w:tcPr>
          <w:p>
            <w:pPr>
              <w:spacing w:after="0"/>
              <w:rPr>
                <w:sz w:val="22"/>
                <w:szCs w:val="22"/>
                <w:color w:val="auto"/>
              </w:rPr>
            </w:pPr>
          </w:p>
        </w:tc>
        <w:tc>
          <w:tcPr>
            <w:tcW w:w="20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5,262</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2,793</w:t>
            </w:r>
          </w:p>
        </w:tc>
      </w:tr>
      <w:tr>
        <w:trPr>
          <w:trHeight w:val="243"/>
        </w:trPr>
        <w:tc>
          <w:tcPr>
            <w:tcW w:w="5340" w:type="dxa"/>
            <w:vAlign w:val="bottom"/>
          </w:tcPr>
          <w:p>
            <w:pPr>
              <w:ind w:left="560"/>
              <w:spacing w:after="0"/>
              <w:rPr>
                <w:sz w:val="20"/>
                <w:szCs w:val="20"/>
                <w:color w:val="auto"/>
              </w:rPr>
            </w:pPr>
            <w:r>
              <w:rPr>
                <w:rFonts w:ascii="Calibri" w:cs="Calibri" w:eastAsia="Calibri" w:hAnsi="Calibri"/>
                <w:sz w:val="16"/>
                <w:szCs w:val="16"/>
                <w:color w:val="auto"/>
              </w:rPr>
              <w:t>Current porton of contngent consideraton payable</w:t>
            </w:r>
          </w:p>
        </w:tc>
        <w:tc>
          <w:tcPr>
            <w:tcW w:w="2340" w:type="dxa"/>
            <w:vAlign w:val="bottom"/>
          </w:tcPr>
          <w:p>
            <w:pPr>
              <w:jc w:val="center"/>
              <w:ind w:left="699"/>
              <w:spacing w:after="0"/>
              <w:rPr>
                <w:sz w:val="20"/>
                <w:szCs w:val="20"/>
                <w:color w:val="auto"/>
              </w:rPr>
            </w:pPr>
            <w:r>
              <w:rPr>
                <w:rFonts w:ascii="Calibri" w:cs="Calibri" w:eastAsia="Calibri" w:hAnsi="Calibri"/>
                <w:sz w:val="16"/>
                <w:szCs w:val="16"/>
                <w:i w:val="1"/>
                <w:iCs w:val="1"/>
                <w:color w:val="auto"/>
                <w:w w:val="97"/>
              </w:rPr>
              <w:t>9</w:t>
            </w:r>
          </w:p>
        </w:tc>
        <w:tc>
          <w:tcPr>
            <w:tcW w:w="20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2,646</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2,107</w:t>
            </w:r>
          </w:p>
        </w:tc>
      </w:tr>
      <w:tr>
        <w:trPr>
          <w:trHeight w:val="149"/>
        </w:trPr>
        <w:tc>
          <w:tcPr>
            <w:tcW w:w="53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187"/>
        </w:trPr>
        <w:tc>
          <w:tcPr>
            <w:tcW w:w="5340" w:type="dxa"/>
            <w:vAlign w:val="bottom"/>
          </w:tcPr>
          <w:p>
            <w:pPr>
              <w:ind w:left="80"/>
              <w:spacing w:after="0" w:line="187" w:lineRule="exact"/>
              <w:rPr>
                <w:sz w:val="20"/>
                <w:szCs w:val="20"/>
                <w:color w:val="auto"/>
              </w:rPr>
            </w:pPr>
            <w:r>
              <w:rPr>
                <w:rFonts w:ascii="Calibri" w:cs="Calibri" w:eastAsia="Calibri" w:hAnsi="Calibri"/>
                <w:sz w:val="16"/>
                <w:szCs w:val="16"/>
                <w:b w:val="1"/>
                <w:bCs w:val="1"/>
                <w:color w:val="auto"/>
              </w:rPr>
              <w:t>Total Current Liabilites</w:t>
            </w:r>
          </w:p>
        </w:tc>
        <w:tc>
          <w:tcPr>
            <w:tcW w:w="2340" w:type="dxa"/>
            <w:vAlign w:val="bottom"/>
          </w:tcPr>
          <w:p>
            <w:pPr>
              <w:spacing w:after="0"/>
              <w:rPr>
                <w:sz w:val="16"/>
                <w:szCs w:val="16"/>
                <w:color w:val="auto"/>
              </w:rPr>
            </w:pPr>
          </w:p>
        </w:tc>
        <w:tc>
          <w:tcPr>
            <w:tcW w:w="2040" w:type="dxa"/>
            <w:vAlign w:val="bottom"/>
          </w:tcPr>
          <w:p>
            <w:pPr>
              <w:jc w:val="right"/>
              <w:ind w:right="399"/>
              <w:spacing w:after="0" w:line="187" w:lineRule="exact"/>
              <w:rPr>
                <w:sz w:val="20"/>
                <w:szCs w:val="20"/>
                <w:color w:val="auto"/>
              </w:rPr>
            </w:pPr>
            <w:r>
              <w:rPr>
                <w:rFonts w:ascii="Calibri" w:cs="Calibri" w:eastAsia="Calibri" w:hAnsi="Calibri"/>
                <w:sz w:val="16"/>
                <w:szCs w:val="16"/>
                <w:b w:val="1"/>
                <w:bCs w:val="1"/>
                <w:color w:val="auto"/>
              </w:rPr>
              <w:t>7,908</w:t>
            </w:r>
          </w:p>
        </w:tc>
        <w:tc>
          <w:tcPr>
            <w:tcW w:w="1520" w:type="dxa"/>
            <w:vAlign w:val="bottom"/>
          </w:tcPr>
          <w:p>
            <w:pPr>
              <w:jc w:val="right"/>
              <w:spacing w:after="0" w:line="187" w:lineRule="exact"/>
              <w:rPr>
                <w:sz w:val="20"/>
                <w:szCs w:val="20"/>
                <w:color w:val="auto"/>
              </w:rPr>
            </w:pPr>
            <w:r>
              <w:rPr>
                <w:rFonts w:ascii="Calibri" w:cs="Calibri" w:eastAsia="Calibri" w:hAnsi="Calibri"/>
                <w:sz w:val="16"/>
                <w:szCs w:val="16"/>
                <w:color w:val="auto"/>
              </w:rPr>
              <w:t>4,900</w:t>
            </w:r>
          </w:p>
        </w:tc>
      </w:tr>
      <w:tr>
        <w:trPr>
          <w:trHeight w:val="22"/>
        </w:trPr>
        <w:tc>
          <w:tcPr>
            <w:tcW w:w="53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6"/>
        </w:trPr>
        <w:tc>
          <w:tcPr>
            <w:tcW w:w="5340" w:type="dxa"/>
            <w:vAlign w:val="bottom"/>
          </w:tcPr>
          <w:p>
            <w:pPr>
              <w:ind w:left="240"/>
              <w:spacing w:after="0"/>
              <w:rPr>
                <w:sz w:val="20"/>
                <w:szCs w:val="20"/>
                <w:color w:val="auto"/>
              </w:rPr>
            </w:pPr>
            <w:r>
              <w:rPr>
                <w:rFonts w:ascii="Calibri" w:cs="Calibri" w:eastAsia="Calibri" w:hAnsi="Calibri"/>
                <w:sz w:val="16"/>
                <w:szCs w:val="16"/>
                <w:b w:val="1"/>
                <w:bCs w:val="1"/>
                <w:color w:val="auto"/>
              </w:rPr>
              <w:t>Non-current</w:t>
            </w:r>
          </w:p>
        </w:tc>
        <w:tc>
          <w:tcPr>
            <w:tcW w:w="2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7"/>
        </w:trPr>
        <w:tc>
          <w:tcPr>
            <w:tcW w:w="5340" w:type="dxa"/>
            <w:vAlign w:val="bottom"/>
          </w:tcPr>
          <w:p>
            <w:pPr>
              <w:ind w:left="560"/>
              <w:spacing w:after="0"/>
              <w:rPr>
                <w:sz w:val="20"/>
                <w:szCs w:val="20"/>
                <w:color w:val="auto"/>
              </w:rPr>
            </w:pPr>
            <w:r>
              <w:rPr>
                <w:rFonts w:ascii="Calibri" w:cs="Calibri" w:eastAsia="Calibri" w:hAnsi="Calibri"/>
                <w:sz w:val="16"/>
                <w:szCs w:val="16"/>
                <w:color w:val="auto"/>
              </w:rPr>
              <w:t>Contngent consideraton payable</w:t>
            </w:r>
          </w:p>
        </w:tc>
        <w:tc>
          <w:tcPr>
            <w:tcW w:w="2340" w:type="dxa"/>
            <w:vAlign w:val="bottom"/>
          </w:tcPr>
          <w:p>
            <w:pPr>
              <w:jc w:val="center"/>
              <w:ind w:left="699"/>
              <w:spacing w:after="0"/>
              <w:rPr>
                <w:sz w:val="20"/>
                <w:szCs w:val="20"/>
                <w:color w:val="auto"/>
              </w:rPr>
            </w:pPr>
            <w:r>
              <w:rPr>
                <w:rFonts w:ascii="Calibri" w:cs="Calibri" w:eastAsia="Calibri" w:hAnsi="Calibri"/>
                <w:sz w:val="16"/>
                <w:szCs w:val="16"/>
                <w:i w:val="1"/>
                <w:iCs w:val="1"/>
                <w:color w:val="auto"/>
                <w:w w:val="97"/>
              </w:rPr>
              <w:t>9</w:t>
            </w:r>
          </w:p>
        </w:tc>
        <w:tc>
          <w:tcPr>
            <w:tcW w:w="20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1,094</w:t>
            </w:r>
          </w:p>
        </w:tc>
      </w:tr>
      <w:tr>
        <w:trPr>
          <w:trHeight w:val="149"/>
        </w:trPr>
        <w:tc>
          <w:tcPr>
            <w:tcW w:w="53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187"/>
        </w:trPr>
        <w:tc>
          <w:tcPr>
            <w:tcW w:w="5340" w:type="dxa"/>
            <w:vAlign w:val="bottom"/>
          </w:tcPr>
          <w:p>
            <w:pPr>
              <w:ind w:left="80"/>
              <w:spacing w:after="0" w:line="187" w:lineRule="exact"/>
              <w:rPr>
                <w:sz w:val="20"/>
                <w:szCs w:val="20"/>
                <w:color w:val="auto"/>
              </w:rPr>
            </w:pPr>
            <w:r>
              <w:rPr>
                <w:rFonts w:ascii="Calibri" w:cs="Calibri" w:eastAsia="Calibri" w:hAnsi="Calibri"/>
                <w:sz w:val="16"/>
                <w:szCs w:val="16"/>
                <w:b w:val="1"/>
                <w:bCs w:val="1"/>
                <w:color w:val="auto"/>
              </w:rPr>
              <w:t>Total Non-Current Liabilites</w:t>
            </w:r>
          </w:p>
        </w:tc>
        <w:tc>
          <w:tcPr>
            <w:tcW w:w="2340" w:type="dxa"/>
            <w:vAlign w:val="bottom"/>
          </w:tcPr>
          <w:p>
            <w:pPr>
              <w:spacing w:after="0"/>
              <w:rPr>
                <w:sz w:val="16"/>
                <w:szCs w:val="16"/>
                <w:color w:val="auto"/>
              </w:rPr>
            </w:pPr>
          </w:p>
        </w:tc>
        <w:tc>
          <w:tcPr>
            <w:tcW w:w="2040" w:type="dxa"/>
            <w:vAlign w:val="bottom"/>
          </w:tcPr>
          <w:p>
            <w:pPr>
              <w:jc w:val="right"/>
              <w:ind w:right="399"/>
              <w:spacing w:after="0" w:line="187" w:lineRule="exact"/>
              <w:rPr>
                <w:sz w:val="20"/>
                <w:szCs w:val="20"/>
                <w:color w:val="auto"/>
              </w:rPr>
            </w:pPr>
            <w:r>
              <w:rPr>
                <w:rFonts w:ascii="Calibri" w:cs="Calibri" w:eastAsia="Calibri" w:hAnsi="Calibri"/>
                <w:sz w:val="16"/>
                <w:szCs w:val="16"/>
                <w:b w:val="1"/>
                <w:bCs w:val="1"/>
                <w:color w:val="auto"/>
              </w:rPr>
              <w:t>—</w:t>
            </w:r>
          </w:p>
        </w:tc>
        <w:tc>
          <w:tcPr>
            <w:tcW w:w="1520" w:type="dxa"/>
            <w:vAlign w:val="bottom"/>
          </w:tcPr>
          <w:p>
            <w:pPr>
              <w:jc w:val="right"/>
              <w:spacing w:after="0" w:line="187" w:lineRule="exact"/>
              <w:rPr>
                <w:sz w:val="20"/>
                <w:szCs w:val="20"/>
                <w:color w:val="auto"/>
              </w:rPr>
            </w:pPr>
            <w:r>
              <w:rPr>
                <w:rFonts w:ascii="Calibri" w:cs="Calibri" w:eastAsia="Calibri" w:hAnsi="Calibri"/>
                <w:sz w:val="16"/>
                <w:szCs w:val="16"/>
                <w:color w:val="auto"/>
              </w:rPr>
              <w:t>1,094</w:t>
            </w:r>
          </w:p>
        </w:tc>
      </w:tr>
      <w:tr>
        <w:trPr>
          <w:trHeight w:val="23"/>
        </w:trPr>
        <w:tc>
          <w:tcPr>
            <w:tcW w:w="53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42"/>
        </w:trPr>
        <w:tc>
          <w:tcPr>
            <w:tcW w:w="53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21"/>
        </w:trPr>
        <w:tc>
          <w:tcPr>
            <w:tcW w:w="5340" w:type="dxa"/>
            <w:vAlign w:val="bottom"/>
            <w:tcBorders>
              <w:bottom w:val="single" w:sz="8" w:color="D9D9D9"/>
            </w:tcBorders>
            <w:shd w:val="clear" w:color="auto" w:fill="D9D9D9"/>
          </w:tcPr>
          <w:p>
            <w:pPr>
              <w:ind w:left="80"/>
              <w:spacing w:after="0" w:line="193" w:lineRule="exact"/>
              <w:rPr>
                <w:sz w:val="20"/>
                <w:szCs w:val="20"/>
                <w:color w:val="auto"/>
              </w:rPr>
            </w:pPr>
            <w:r>
              <w:rPr>
                <w:rFonts w:ascii="Calibri" w:cs="Calibri" w:eastAsia="Calibri" w:hAnsi="Calibri"/>
                <w:sz w:val="16"/>
                <w:szCs w:val="16"/>
                <w:b w:val="1"/>
                <w:bCs w:val="1"/>
                <w:color w:val="auto"/>
              </w:rPr>
              <w:t>TOTAL LIABILITIES</w:t>
            </w:r>
          </w:p>
        </w:tc>
        <w:tc>
          <w:tcPr>
            <w:tcW w:w="2340" w:type="dxa"/>
            <w:vAlign w:val="bottom"/>
            <w:tcBorders>
              <w:bottom w:val="single" w:sz="8" w:color="D9D9D9"/>
            </w:tcBorders>
            <w:shd w:val="clear" w:color="auto" w:fill="D9D9D9"/>
          </w:tcPr>
          <w:p>
            <w:pPr>
              <w:spacing w:after="0"/>
              <w:rPr>
                <w:sz w:val="18"/>
                <w:szCs w:val="18"/>
                <w:color w:val="auto"/>
              </w:rPr>
            </w:pPr>
          </w:p>
        </w:tc>
        <w:tc>
          <w:tcPr>
            <w:tcW w:w="2040" w:type="dxa"/>
            <w:vAlign w:val="bottom"/>
            <w:tcBorders>
              <w:bottom w:val="single" w:sz="8" w:color="D9D9D9"/>
            </w:tcBorders>
            <w:shd w:val="clear" w:color="auto" w:fill="D9D9D9"/>
          </w:tcPr>
          <w:p>
            <w:pPr>
              <w:jc w:val="right"/>
              <w:ind w:right="399"/>
              <w:spacing w:after="0" w:line="193" w:lineRule="exact"/>
              <w:rPr>
                <w:sz w:val="20"/>
                <w:szCs w:val="20"/>
                <w:color w:val="auto"/>
              </w:rPr>
            </w:pPr>
            <w:r>
              <w:rPr>
                <w:rFonts w:ascii="Calibri" w:cs="Calibri" w:eastAsia="Calibri" w:hAnsi="Calibri"/>
                <w:sz w:val="16"/>
                <w:szCs w:val="16"/>
                <w:b w:val="1"/>
                <w:bCs w:val="1"/>
                <w:color w:val="auto"/>
              </w:rPr>
              <w:t>7,908</w:t>
            </w:r>
          </w:p>
        </w:tc>
        <w:tc>
          <w:tcPr>
            <w:tcW w:w="1520" w:type="dxa"/>
            <w:vAlign w:val="bottom"/>
            <w:tcBorders>
              <w:bottom w:val="single" w:sz="8" w:color="D9D9D9"/>
            </w:tcBorders>
            <w:shd w:val="clear" w:color="auto" w:fill="D9D9D9"/>
          </w:tcPr>
          <w:p>
            <w:pPr>
              <w:jc w:val="right"/>
              <w:spacing w:after="0" w:line="193" w:lineRule="exact"/>
              <w:rPr>
                <w:sz w:val="20"/>
                <w:szCs w:val="20"/>
                <w:color w:val="auto"/>
              </w:rPr>
            </w:pPr>
            <w:r>
              <w:rPr>
                <w:rFonts w:ascii="Calibri" w:cs="Calibri" w:eastAsia="Calibri" w:hAnsi="Calibri"/>
                <w:sz w:val="16"/>
                <w:szCs w:val="16"/>
                <w:color w:val="auto"/>
              </w:rPr>
              <w:t>5,994</w:t>
            </w:r>
          </w:p>
        </w:tc>
      </w:tr>
      <w:tr>
        <w:trPr>
          <w:trHeight w:val="223"/>
        </w:trPr>
        <w:tc>
          <w:tcPr>
            <w:tcW w:w="5340" w:type="dxa"/>
            <w:vAlign w:val="bottom"/>
            <w:tcBorders>
              <w:top w:val="single" w:sz="8" w:color="auto"/>
            </w:tcBorders>
          </w:tcPr>
          <w:p>
            <w:pPr>
              <w:ind w:left="80"/>
              <w:spacing w:after="0"/>
              <w:rPr>
                <w:sz w:val="20"/>
                <w:szCs w:val="20"/>
                <w:color w:val="auto"/>
              </w:rPr>
            </w:pPr>
            <w:r>
              <w:rPr>
                <w:rFonts w:ascii="Calibri" w:cs="Calibri" w:eastAsia="Calibri" w:hAnsi="Calibri"/>
                <w:sz w:val="16"/>
                <w:szCs w:val="16"/>
                <w:b w:val="1"/>
                <w:bCs w:val="1"/>
                <w:color w:val="auto"/>
              </w:rPr>
              <w:t>SHAREHOLDERS' EQUITY</w:t>
            </w:r>
          </w:p>
        </w:tc>
        <w:tc>
          <w:tcPr>
            <w:tcW w:w="234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r>
      <w:tr>
        <w:trPr>
          <w:trHeight w:val="243"/>
        </w:trPr>
        <w:tc>
          <w:tcPr>
            <w:tcW w:w="5340" w:type="dxa"/>
            <w:vAlign w:val="bottom"/>
          </w:tcPr>
          <w:p>
            <w:pPr>
              <w:ind w:left="560"/>
              <w:spacing w:after="0"/>
              <w:rPr>
                <w:sz w:val="20"/>
                <w:szCs w:val="20"/>
                <w:color w:val="auto"/>
              </w:rPr>
            </w:pPr>
            <w:r>
              <w:rPr>
                <w:rFonts w:ascii="Calibri" w:cs="Calibri" w:eastAsia="Calibri" w:hAnsi="Calibri"/>
                <w:sz w:val="16"/>
                <w:szCs w:val="16"/>
                <w:color w:val="auto"/>
              </w:rPr>
              <w:t>Share capital</w:t>
            </w:r>
          </w:p>
        </w:tc>
        <w:tc>
          <w:tcPr>
            <w:tcW w:w="2340" w:type="dxa"/>
            <w:vAlign w:val="bottom"/>
          </w:tcPr>
          <w:p>
            <w:pPr>
              <w:jc w:val="center"/>
              <w:ind w:left="699"/>
              <w:spacing w:after="0"/>
              <w:rPr>
                <w:sz w:val="20"/>
                <w:szCs w:val="20"/>
                <w:color w:val="auto"/>
              </w:rPr>
            </w:pPr>
            <w:r>
              <w:rPr>
                <w:rFonts w:ascii="Calibri" w:cs="Calibri" w:eastAsia="Calibri" w:hAnsi="Calibri"/>
                <w:sz w:val="16"/>
                <w:szCs w:val="16"/>
                <w:i w:val="1"/>
                <w:iCs w:val="1"/>
                <w:color w:val="auto"/>
                <w:w w:val="98"/>
              </w:rPr>
              <w:t>10</w:t>
            </w:r>
          </w:p>
        </w:tc>
        <w:tc>
          <w:tcPr>
            <w:tcW w:w="20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141,451</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100,676</w:t>
            </w:r>
          </w:p>
        </w:tc>
      </w:tr>
      <w:tr>
        <w:trPr>
          <w:trHeight w:val="243"/>
        </w:trPr>
        <w:tc>
          <w:tcPr>
            <w:tcW w:w="5340" w:type="dxa"/>
            <w:vAlign w:val="bottom"/>
          </w:tcPr>
          <w:p>
            <w:pPr>
              <w:ind w:left="560"/>
              <w:spacing w:after="0"/>
              <w:rPr>
                <w:sz w:val="20"/>
                <w:szCs w:val="20"/>
                <w:color w:val="auto"/>
              </w:rPr>
            </w:pPr>
            <w:r>
              <w:rPr>
                <w:rFonts w:ascii="Calibri" w:cs="Calibri" w:eastAsia="Calibri" w:hAnsi="Calibri"/>
                <w:sz w:val="16"/>
                <w:szCs w:val="16"/>
                <w:color w:val="auto"/>
              </w:rPr>
              <w:t>Contributed surplus</w:t>
            </w:r>
          </w:p>
        </w:tc>
        <w:tc>
          <w:tcPr>
            <w:tcW w:w="2340" w:type="dxa"/>
            <w:vAlign w:val="bottom"/>
          </w:tcPr>
          <w:p>
            <w:pPr>
              <w:spacing w:after="0"/>
              <w:rPr>
                <w:sz w:val="21"/>
                <w:szCs w:val="21"/>
                <w:color w:val="auto"/>
              </w:rPr>
            </w:pPr>
          </w:p>
        </w:tc>
        <w:tc>
          <w:tcPr>
            <w:tcW w:w="20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525</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124</w:t>
            </w:r>
          </w:p>
        </w:tc>
      </w:tr>
      <w:tr>
        <w:trPr>
          <w:trHeight w:val="243"/>
        </w:trPr>
        <w:tc>
          <w:tcPr>
            <w:tcW w:w="5340" w:type="dxa"/>
            <w:vAlign w:val="bottom"/>
          </w:tcPr>
          <w:p>
            <w:pPr>
              <w:ind w:left="560"/>
              <w:spacing w:after="0"/>
              <w:rPr>
                <w:sz w:val="20"/>
                <w:szCs w:val="20"/>
                <w:color w:val="auto"/>
              </w:rPr>
            </w:pPr>
            <w:r>
              <w:rPr>
                <w:rFonts w:ascii="Calibri" w:cs="Calibri" w:eastAsia="Calibri" w:hAnsi="Calibri"/>
                <w:sz w:val="16"/>
                <w:szCs w:val="16"/>
                <w:color w:val="auto"/>
              </w:rPr>
              <w:t>Optons reserve</w:t>
            </w:r>
          </w:p>
        </w:tc>
        <w:tc>
          <w:tcPr>
            <w:tcW w:w="2340" w:type="dxa"/>
            <w:vAlign w:val="bottom"/>
          </w:tcPr>
          <w:p>
            <w:pPr>
              <w:jc w:val="center"/>
              <w:ind w:left="699"/>
              <w:spacing w:after="0"/>
              <w:rPr>
                <w:sz w:val="20"/>
                <w:szCs w:val="20"/>
                <w:color w:val="auto"/>
              </w:rPr>
            </w:pPr>
            <w:r>
              <w:rPr>
                <w:rFonts w:ascii="Calibri" w:cs="Calibri" w:eastAsia="Calibri" w:hAnsi="Calibri"/>
                <w:sz w:val="16"/>
                <w:szCs w:val="16"/>
                <w:i w:val="1"/>
                <w:iCs w:val="1"/>
                <w:color w:val="auto"/>
                <w:w w:val="98"/>
              </w:rPr>
              <w:t>10</w:t>
            </w:r>
          </w:p>
        </w:tc>
        <w:tc>
          <w:tcPr>
            <w:tcW w:w="20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23,783</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7,158</w:t>
            </w:r>
          </w:p>
        </w:tc>
      </w:tr>
      <w:tr>
        <w:trPr>
          <w:trHeight w:val="243"/>
        </w:trPr>
        <w:tc>
          <w:tcPr>
            <w:tcW w:w="5340" w:type="dxa"/>
            <w:vAlign w:val="bottom"/>
          </w:tcPr>
          <w:p>
            <w:pPr>
              <w:ind w:left="560"/>
              <w:spacing w:after="0"/>
              <w:rPr>
                <w:sz w:val="20"/>
                <w:szCs w:val="20"/>
                <w:color w:val="auto"/>
              </w:rPr>
            </w:pPr>
            <w:r>
              <w:rPr>
                <w:rFonts w:ascii="Calibri" w:cs="Calibri" w:eastAsia="Calibri" w:hAnsi="Calibri"/>
                <w:sz w:val="16"/>
                <w:szCs w:val="16"/>
                <w:color w:val="auto"/>
              </w:rPr>
              <w:t>Warrants reserve</w:t>
            </w:r>
          </w:p>
        </w:tc>
        <w:tc>
          <w:tcPr>
            <w:tcW w:w="2340" w:type="dxa"/>
            <w:vAlign w:val="bottom"/>
          </w:tcPr>
          <w:p>
            <w:pPr>
              <w:jc w:val="center"/>
              <w:ind w:left="699"/>
              <w:spacing w:after="0"/>
              <w:rPr>
                <w:sz w:val="20"/>
                <w:szCs w:val="20"/>
                <w:color w:val="auto"/>
              </w:rPr>
            </w:pPr>
            <w:r>
              <w:rPr>
                <w:rFonts w:ascii="Calibri" w:cs="Calibri" w:eastAsia="Calibri" w:hAnsi="Calibri"/>
                <w:sz w:val="16"/>
                <w:szCs w:val="16"/>
                <w:i w:val="1"/>
                <w:iCs w:val="1"/>
                <w:color w:val="auto"/>
                <w:w w:val="98"/>
              </w:rPr>
              <w:t>10</w:t>
            </w:r>
          </w:p>
        </w:tc>
        <w:tc>
          <w:tcPr>
            <w:tcW w:w="20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11,423</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11,166</w:t>
            </w:r>
          </w:p>
        </w:tc>
      </w:tr>
      <w:tr>
        <w:trPr>
          <w:trHeight w:val="243"/>
        </w:trPr>
        <w:tc>
          <w:tcPr>
            <w:tcW w:w="5340" w:type="dxa"/>
            <w:vAlign w:val="bottom"/>
          </w:tcPr>
          <w:p>
            <w:pPr>
              <w:ind w:left="560"/>
              <w:spacing w:after="0"/>
              <w:rPr>
                <w:sz w:val="20"/>
                <w:szCs w:val="20"/>
                <w:color w:val="auto"/>
              </w:rPr>
            </w:pPr>
            <w:r>
              <w:rPr>
                <w:rFonts w:ascii="Calibri" w:cs="Calibri" w:eastAsia="Calibri" w:hAnsi="Calibri"/>
                <w:sz w:val="16"/>
                <w:szCs w:val="16"/>
                <w:color w:val="auto"/>
              </w:rPr>
              <w:t>Accumulated other comprehensive (loss) income</w:t>
            </w:r>
          </w:p>
        </w:tc>
        <w:tc>
          <w:tcPr>
            <w:tcW w:w="2340" w:type="dxa"/>
            <w:vAlign w:val="bottom"/>
          </w:tcPr>
          <w:p>
            <w:pPr>
              <w:spacing w:after="0"/>
              <w:rPr>
                <w:sz w:val="21"/>
                <w:szCs w:val="21"/>
                <w:color w:val="auto"/>
              </w:rPr>
            </w:pPr>
          </w:p>
        </w:tc>
        <w:tc>
          <w:tcPr>
            <w:tcW w:w="204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(366)</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24</w:t>
            </w:r>
          </w:p>
        </w:tc>
      </w:tr>
      <w:tr>
        <w:trPr>
          <w:trHeight w:val="243"/>
        </w:trPr>
        <w:tc>
          <w:tcPr>
            <w:tcW w:w="5340" w:type="dxa"/>
            <w:vAlign w:val="bottom"/>
          </w:tcPr>
          <w:p>
            <w:pPr>
              <w:ind w:left="560"/>
              <w:spacing w:after="0"/>
              <w:rPr>
                <w:sz w:val="20"/>
                <w:szCs w:val="20"/>
                <w:color w:val="auto"/>
              </w:rPr>
            </w:pPr>
            <w:r>
              <w:rPr>
                <w:rFonts w:ascii="Calibri" w:cs="Calibri" w:eastAsia="Calibri" w:hAnsi="Calibri"/>
                <w:sz w:val="16"/>
                <w:szCs w:val="16"/>
                <w:color w:val="auto"/>
              </w:rPr>
              <w:t>Defcit</w:t>
            </w:r>
          </w:p>
        </w:tc>
        <w:tc>
          <w:tcPr>
            <w:tcW w:w="2340" w:type="dxa"/>
            <w:vAlign w:val="bottom"/>
          </w:tcPr>
          <w:p>
            <w:pPr>
              <w:spacing w:after="0"/>
              <w:rPr>
                <w:sz w:val="21"/>
                <w:szCs w:val="21"/>
                <w:color w:val="auto"/>
              </w:rPr>
            </w:pPr>
          </w:p>
        </w:tc>
        <w:tc>
          <w:tcPr>
            <w:tcW w:w="204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(100,661)</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(33,030)</w:t>
            </w:r>
          </w:p>
        </w:tc>
      </w:tr>
      <w:tr>
        <w:trPr>
          <w:trHeight w:val="149"/>
        </w:trPr>
        <w:tc>
          <w:tcPr>
            <w:tcW w:w="53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214"/>
        </w:trPr>
        <w:tc>
          <w:tcPr>
            <w:tcW w:w="5340" w:type="dxa"/>
            <w:vAlign w:val="bottom"/>
            <w:tcBorders>
              <w:bottom w:val="single" w:sz="8" w:color="D9D9D9"/>
            </w:tcBorders>
            <w:shd w:val="clear" w:color="auto" w:fill="D9D9D9"/>
          </w:tcPr>
          <w:p>
            <w:pPr>
              <w:ind w:left="80"/>
              <w:spacing w:after="0" w:line="187" w:lineRule="exact"/>
              <w:rPr>
                <w:sz w:val="20"/>
                <w:szCs w:val="20"/>
                <w:color w:val="auto"/>
              </w:rPr>
            </w:pPr>
            <w:r>
              <w:rPr>
                <w:rFonts w:ascii="Calibri" w:cs="Calibri" w:eastAsia="Calibri" w:hAnsi="Calibri"/>
                <w:sz w:val="16"/>
                <w:szCs w:val="16"/>
                <w:b w:val="1"/>
                <w:bCs w:val="1"/>
                <w:color w:val="auto"/>
              </w:rPr>
              <w:t>TOTAL SHAREHOLDERS' EQUITY</w:t>
            </w:r>
          </w:p>
        </w:tc>
        <w:tc>
          <w:tcPr>
            <w:tcW w:w="2340" w:type="dxa"/>
            <w:vAlign w:val="bottom"/>
            <w:tcBorders>
              <w:bottom w:val="single" w:sz="8" w:color="D9D9D9"/>
            </w:tcBorders>
            <w:shd w:val="clear" w:color="auto" w:fill="D9D9D9"/>
          </w:tcPr>
          <w:p>
            <w:pPr>
              <w:spacing w:after="0"/>
              <w:rPr>
                <w:sz w:val="18"/>
                <w:szCs w:val="18"/>
                <w:color w:val="auto"/>
              </w:rPr>
            </w:pPr>
          </w:p>
        </w:tc>
        <w:tc>
          <w:tcPr>
            <w:tcW w:w="2040" w:type="dxa"/>
            <w:vAlign w:val="bottom"/>
            <w:tcBorders>
              <w:bottom w:val="single" w:sz="8" w:color="D9D9D9"/>
            </w:tcBorders>
            <w:shd w:val="clear" w:color="auto" w:fill="D9D9D9"/>
          </w:tcPr>
          <w:p>
            <w:pPr>
              <w:jc w:val="right"/>
              <w:ind w:right="399"/>
              <w:spacing w:after="0" w:line="187" w:lineRule="exact"/>
              <w:rPr>
                <w:sz w:val="20"/>
                <w:szCs w:val="20"/>
                <w:color w:val="auto"/>
              </w:rPr>
            </w:pPr>
            <w:r>
              <w:rPr>
                <w:rFonts w:ascii="Calibri" w:cs="Calibri" w:eastAsia="Calibri" w:hAnsi="Calibri"/>
                <w:sz w:val="16"/>
                <w:szCs w:val="16"/>
                <w:b w:val="1"/>
                <w:bCs w:val="1"/>
                <w:color w:val="auto"/>
              </w:rPr>
              <w:t>76,155</w:t>
            </w:r>
          </w:p>
        </w:tc>
        <w:tc>
          <w:tcPr>
            <w:tcW w:w="1520" w:type="dxa"/>
            <w:vAlign w:val="bottom"/>
            <w:tcBorders>
              <w:bottom w:val="single" w:sz="8" w:color="D9D9D9"/>
            </w:tcBorders>
            <w:shd w:val="clear" w:color="auto" w:fill="D9D9D9"/>
          </w:tcPr>
          <w:p>
            <w:pPr>
              <w:jc w:val="right"/>
              <w:spacing w:after="0" w:line="187" w:lineRule="exact"/>
              <w:rPr>
                <w:sz w:val="20"/>
                <w:szCs w:val="20"/>
                <w:color w:val="auto"/>
              </w:rPr>
            </w:pPr>
            <w:r>
              <w:rPr>
                <w:rFonts w:ascii="Calibri" w:cs="Calibri" w:eastAsia="Calibri" w:hAnsi="Calibri"/>
                <w:sz w:val="16"/>
                <w:szCs w:val="16"/>
                <w:color w:val="auto"/>
              </w:rPr>
              <w:t>86,118</w:t>
            </w:r>
          </w:p>
        </w:tc>
      </w:tr>
      <w:tr>
        <w:trPr>
          <w:trHeight w:val="34"/>
        </w:trPr>
        <w:tc>
          <w:tcPr>
            <w:tcW w:w="5340" w:type="dxa"/>
            <w:vAlign w:val="bottom"/>
            <w:tcBorders>
              <w:top w:val="single" w:sz="8" w:color="auto"/>
            </w:tcBorders>
          </w:tcPr>
          <w:p>
            <w:pPr>
              <w:spacing w:after="0"/>
              <w:rPr>
                <w:sz w:val="2"/>
                <w:szCs w:val="2"/>
                <w:color w:val="auto"/>
              </w:rPr>
            </w:pPr>
          </w:p>
        </w:tc>
        <w:tc>
          <w:tcPr>
            <w:tcW w:w="2340" w:type="dxa"/>
            <w:vAlign w:val="bottom"/>
            <w:tcBorders>
              <w:top w:val="single" w:sz="8" w:color="auto"/>
            </w:tcBorders>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r>
      <w:tr>
        <w:trPr>
          <w:trHeight w:val="196"/>
        </w:trPr>
        <w:tc>
          <w:tcPr>
            <w:tcW w:w="5340" w:type="dxa"/>
            <w:vAlign w:val="bottom"/>
            <w:tcBorders>
              <w:bottom w:val="single" w:sz="8" w:color="D9D9D9"/>
            </w:tcBorders>
            <w:shd w:val="clear" w:color="auto" w:fill="D9D9D9"/>
          </w:tcPr>
          <w:p>
            <w:pPr>
              <w:ind w:left="80"/>
              <w:spacing w:after="0" w:line="193" w:lineRule="exact"/>
              <w:rPr>
                <w:sz w:val="20"/>
                <w:szCs w:val="20"/>
                <w:color w:val="auto"/>
              </w:rPr>
            </w:pPr>
            <w:r>
              <w:rPr>
                <w:rFonts w:ascii="Calibri" w:cs="Calibri" w:eastAsia="Calibri" w:hAnsi="Calibri"/>
                <w:sz w:val="16"/>
                <w:szCs w:val="16"/>
                <w:b w:val="1"/>
                <w:bCs w:val="1"/>
                <w:color w:val="auto"/>
              </w:rPr>
              <w:t>TOTAL LIABILITIES AND SHAREHOLDERS' EQUITY</w:t>
            </w:r>
          </w:p>
        </w:tc>
        <w:tc>
          <w:tcPr>
            <w:tcW w:w="2340" w:type="dxa"/>
            <w:vAlign w:val="bottom"/>
            <w:tcBorders>
              <w:bottom w:val="single" w:sz="8" w:color="D9D9D9"/>
            </w:tcBorders>
            <w:shd w:val="clear" w:color="auto" w:fill="D9D9D9"/>
          </w:tcPr>
          <w:p>
            <w:pPr>
              <w:spacing w:after="0"/>
              <w:rPr>
                <w:sz w:val="17"/>
                <w:szCs w:val="17"/>
                <w:color w:val="auto"/>
              </w:rPr>
            </w:pPr>
          </w:p>
        </w:tc>
        <w:tc>
          <w:tcPr>
            <w:tcW w:w="2040" w:type="dxa"/>
            <w:vAlign w:val="bottom"/>
            <w:tcBorders>
              <w:bottom w:val="single" w:sz="8" w:color="D9D9D9"/>
            </w:tcBorders>
            <w:shd w:val="clear" w:color="auto" w:fill="D9D9D9"/>
          </w:tcPr>
          <w:p>
            <w:pPr>
              <w:jc w:val="right"/>
              <w:ind w:right="399"/>
              <w:spacing w:after="0" w:line="193" w:lineRule="exact"/>
              <w:rPr>
                <w:sz w:val="20"/>
                <w:szCs w:val="20"/>
                <w:color w:val="auto"/>
              </w:rPr>
            </w:pPr>
            <w:r>
              <w:rPr>
                <w:rFonts w:ascii="Calibri" w:cs="Calibri" w:eastAsia="Calibri" w:hAnsi="Calibri"/>
                <w:sz w:val="16"/>
                <w:szCs w:val="16"/>
                <w:b w:val="1"/>
                <w:bCs w:val="1"/>
                <w:color w:val="auto"/>
              </w:rPr>
              <w:t>84,063</w:t>
            </w:r>
          </w:p>
        </w:tc>
        <w:tc>
          <w:tcPr>
            <w:tcW w:w="1520" w:type="dxa"/>
            <w:vAlign w:val="bottom"/>
            <w:tcBorders>
              <w:bottom w:val="single" w:sz="8" w:color="D9D9D9"/>
            </w:tcBorders>
            <w:shd w:val="clear" w:color="auto" w:fill="D9D9D9"/>
          </w:tcPr>
          <w:p>
            <w:pPr>
              <w:jc w:val="right"/>
              <w:spacing w:after="0" w:line="193" w:lineRule="exact"/>
              <w:rPr>
                <w:sz w:val="20"/>
                <w:szCs w:val="20"/>
                <w:color w:val="auto"/>
              </w:rPr>
            </w:pPr>
            <w:r>
              <w:rPr>
                <w:rFonts w:ascii="Calibri" w:cs="Calibri" w:eastAsia="Calibri" w:hAnsi="Calibri"/>
                <w:sz w:val="16"/>
                <w:szCs w:val="16"/>
                <w:color w:val="auto"/>
              </w:rPr>
              <w:t>92,112</w:t>
            </w:r>
          </w:p>
        </w:tc>
      </w:tr>
      <w:tr>
        <w:trPr>
          <w:trHeight w:val="20"/>
        </w:trPr>
        <w:tc>
          <w:tcPr>
            <w:tcW w:w="534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Corporate informaton (note 1)</w:t>
      </w:r>
    </w:p>
    <w:p>
      <w:pPr>
        <w:spacing w:after="0" w:line="232" w:lineRule="auto"/>
        <w:rPr>
          <w:sz w:val="20"/>
          <w:szCs w:val="20"/>
          <w:color w:val="auto"/>
        </w:rPr>
      </w:pPr>
      <w:r>
        <w:rPr>
          <w:rFonts w:ascii="Calibri" w:cs="Calibri" w:eastAsia="Calibri" w:hAnsi="Calibri"/>
          <w:sz w:val="16"/>
          <w:szCs w:val="16"/>
          <w:i w:val="1"/>
          <w:iCs w:val="1"/>
          <w:color w:val="auto"/>
        </w:rPr>
        <w:t>Contracts and commitments (note 13)</w:t>
      </w:r>
    </w:p>
    <w:p>
      <w:pPr>
        <w:spacing w:after="0" w:line="232" w:lineRule="auto"/>
        <w:rPr>
          <w:sz w:val="20"/>
          <w:szCs w:val="20"/>
          <w:color w:val="auto"/>
        </w:rPr>
      </w:pPr>
      <w:r>
        <w:rPr>
          <w:rFonts w:ascii="Calibri" w:cs="Calibri" w:eastAsia="Calibri" w:hAnsi="Calibri"/>
          <w:sz w:val="16"/>
          <w:szCs w:val="16"/>
          <w:i w:val="1"/>
          <w:iCs w:val="1"/>
          <w:color w:val="auto"/>
        </w:rPr>
        <w:t>Subsequent events (note 17)</w:t>
      </w:r>
    </w:p>
    <w:p>
      <w:pPr>
        <w:spacing w:after="0" w:line="12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consolidated fnancial statements</w:t>
      </w:r>
    </w:p>
    <w:p>
      <w:pPr>
        <w:spacing w:after="0" w:line="122" w:lineRule="exact"/>
        <w:rPr>
          <w:sz w:val="20"/>
          <w:szCs w:val="20"/>
          <w:color w:val="auto"/>
        </w:rPr>
      </w:pPr>
    </w:p>
    <w:p>
      <w:pPr>
        <w:spacing w:after="0"/>
        <w:rPr>
          <w:sz w:val="20"/>
          <w:szCs w:val="20"/>
          <w:color w:val="auto"/>
        </w:rPr>
      </w:pPr>
      <w:r>
        <w:rPr>
          <w:rFonts w:ascii="Calibri" w:cs="Calibri" w:eastAsia="Calibri" w:hAnsi="Calibri"/>
          <w:sz w:val="18"/>
          <w:szCs w:val="18"/>
          <w:color w:val="auto"/>
        </w:rPr>
        <w:t>These consolidaton fnancial statements were approved for issue on June 20, 2022 by the board of directors and signed on its behalf by:</w:t>
      </w:r>
    </w:p>
    <w:p>
      <w:pPr>
        <w:spacing w:after="0" w:line="118" w:lineRule="exact"/>
        <w:rPr>
          <w:sz w:val="20"/>
          <w:szCs w:val="20"/>
          <w:color w:val="auto"/>
        </w:rPr>
      </w:pPr>
    </w:p>
    <w:p>
      <w:pPr>
        <w:spacing w:after="0"/>
        <w:tabs>
          <w:tab w:leader="none" w:pos="3040" w:val="left"/>
        </w:tabs>
        <w:rPr>
          <w:sz w:val="20"/>
          <w:szCs w:val="20"/>
          <w:color w:val="auto"/>
        </w:rPr>
      </w:pPr>
      <w:r>
        <w:rPr>
          <w:rFonts w:ascii="Calibri" w:cs="Calibri" w:eastAsia="Calibri" w:hAnsi="Calibri"/>
          <w:sz w:val="18"/>
          <w:szCs w:val="18"/>
          <w:i w:val="1"/>
          <w:iCs w:val="1"/>
          <w:color w:val="auto"/>
        </w:rPr>
        <w:t xml:space="preserve">/s/ Paul Glavine </w:t>
      </w:r>
      <w:r>
        <w:rPr>
          <w:rFonts w:ascii="Calibri" w:cs="Calibri" w:eastAsia="Calibri" w:hAnsi="Calibri"/>
          <w:sz w:val="18"/>
          <w:szCs w:val="18"/>
          <w:color w:val="auto"/>
        </w:rPr>
        <w:t>Director</w:t>
      </w:r>
      <w:r>
        <w:rPr>
          <w:sz w:val="20"/>
          <w:szCs w:val="20"/>
          <w:color w:val="auto"/>
        </w:rPr>
        <w:tab/>
      </w:r>
      <w:r>
        <w:rPr>
          <w:rFonts w:ascii="Calibri" w:cs="Calibri" w:eastAsia="Calibri" w:hAnsi="Calibri"/>
          <w:sz w:val="17"/>
          <w:szCs w:val="17"/>
          <w:i w:val="1"/>
          <w:iCs w:val="1"/>
          <w:color w:val="auto"/>
        </w:rPr>
        <w:t xml:space="preserve">/s/ Eric So </w:t>
      </w:r>
      <w:r>
        <w:rPr>
          <w:rFonts w:ascii="Calibri" w:cs="Calibri" w:eastAsia="Calibri" w:hAnsi="Calibri"/>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9" w:name="page10"/>
    <w:bookmarkEnd w:id="9"/>
    <w:p>
      <w:pPr>
        <w:ind w:left="80"/>
        <w:spacing w:after="0"/>
        <w:rPr>
          <w:sz w:val="20"/>
          <w:szCs w:val="20"/>
          <w:color w:val="auto"/>
        </w:rPr>
      </w:pPr>
      <w:r>
        <w:rPr>
          <w:rFonts w:ascii="Calibri" w:cs="Calibri" w:eastAsia="Calibri" w:hAnsi="Calibri"/>
          <w:sz w:val="18"/>
          <w:szCs w:val="18"/>
          <w:b w:val="1"/>
          <w:bCs w:val="1"/>
          <w:color w:val="auto"/>
        </w:rPr>
        <w:t>CYBIN INC.</w:t>
      </w:r>
    </w:p>
    <w:p>
      <w:pPr>
        <w:ind w:left="80"/>
        <w:spacing w:after="0" w:line="235" w:lineRule="auto"/>
        <w:rPr>
          <w:sz w:val="20"/>
          <w:szCs w:val="20"/>
          <w:color w:val="auto"/>
        </w:rPr>
      </w:pPr>
      <w:r>
        <w:rPr>
          <w:rFonts w:ascii="Calibri" w:cs="Calibri" w:eastAsia="Calibri" w:hAnsi="Calibri"/>
          <w:sz w:val="18"/>
          <w:szCs w:val="18"/>
          <w:b w:val="1"/>
          <w:bCs w:val="1"/>
          <w:color w:val="auto"/>
        </w:rPr>
        <w:t>CONSOLIDATED STATEMENTS OF LOSS AND COMPREHENSIVE LOSS</w:t>
      </w:r>
    </w:p>
    <w:p>
      <w:pPr>
        <w:ind w:left="80"/>
        <w:spacing w:after="0" w:line="236"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720" w:type="dxa"/>
            <w:vAlign w:val="bottom"/>
            <w:gridSpan w:val="2"/>
          </w:tcPr>
          <w:p>
            <w:pPr>
              <w:jc w:val="right"/>
              <w:ind w:right="719"/>
              <w:spacing w:after="0"/>
              <w:rPr>
                <w:sz w:val="20"/>
                <w:szCs w:val="20"/>
                <w:color w:val="auto"/>
              </w:rPr>
            </w:pPr>
            <w:r>
              <w:rPr>
                <w:rFonts w:ascii="Calibri" w:cs="Calibri" w:eastAsia="Calibri" w:hAnsi="Calibri"/>
                <w:sz w:val="18"/>
                <w:szCs w:val="18"/>
                <w:b w:val="1"/>
                <w:bCs w:val="1"/>
                <w:color w:val="auto"/>
              </w:rPr>
              <w:t>For the year ended</w:t>
            </w:r>
          </w:p>
        </w:tc>
      </w:tr>
      <w:tr>
        <w:trPr>
          <w:trHeight w:val="215"/>
        </w:trPr>
        <w:tc>
          <w:tcPr>
            <w:tcW w:w="6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jc w:val="right"/>
              <w:ind w:right="58"/>
              <w:spacing w:after="0" w:line="215" w:lineRule="exact"/>
              <w:rPr>
                <w:sz w:val="20"/>
                <w:szCs w:val="20"/>
                <w:color w:val="auto"/>
              </w:rPr>
            </w:pPr>
            <w:r>
              <w:rPr>
                <w:rFonts w:ascii="Calibri" w:cs="Calibri" w:eastAsia="Calibri" w:hAnsi="Calibri"/>
                <w:sz w:val="18"/>
                <w:szCs w:val="18"/>
                <w:b w:val="1"/>
                <w:bCs w:val="1"/>
                <w:color w:val="auto"/>
              </w:rPr>
              <w:t>March 31,</w:t>
            </w:r>
          </w:p>
        </w:tc>
        <w:tc>
          <w:tcPr>
            <w:tcW w:w="1000" w:type="dxa"/>
            <w:vAlign w:val="bottom"/>
          </w:tcPr>
          <w:p>
            <w:pPr>
              <w:spacing w:after="0"/>
              <w:rPr>
                <w:sz w:val="18"/>
                <w:szCs w:val="18"/>
                <w:color w:val="auto"/>
              </w:rPr>
            </w:pPr>
          </w:p>
        </w:tc>
      </w:tr>
      <w:tr>
        <w:trPr>
          <w:trHeight w:val="37"/>
        </w:trPr>
        <w:tc>
          <w:tcPr>
            <w:tcW w:w="656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7"/>
        </w:trPr>
        <w:tc>
          <w:tcPr>
            <w:tcW w:w="6560" w:type="dxa"/>
            <w:vAlign w:val="bottom"/>
          </w:tcPr>
          <w:p>
            <w:pPr>
              <w:spacing w:after="0"/>
              <w:rPr>
                <w:sz w:val="16"/>
                <w:szCs w:val="16"/>
                <w:color w:val="auto"/>
              </w:rPr>
            </w:pPr>
          </w:p>
        </w:tc>
        <w:tc>
          <w:tcPr>
            <w:tcW w:w="1960" w:type="dxa"/>
            <w:vAlign w:val="bottom"/>
          </w:tcPr>
          <w:p>
            <w:pPr>
              <w:ind w:left="1240"/>
              <w:spacing w:after="0" w:line="187" w:lineRule="exact"/>
              <w:rPr>
                <w:sz w:val="20"/>
                <w:szCs w:val="20"/>
                <w:color w:val="auto"/>
              </w:rPr>
            </w:pPr>
            <w:r>
              <w:rPr>
                <w:rFonts w:ascii="Calibri" w:cs="Calibri" w:eastAsia="Calibri" w:hAnsi="Calibri"/>
                <w:sz w:val="16"/>
                <w:szCs w:val="16"/>
                <w:i w:val="1"/>
                <w:iCs w:val="1"/>
                <w:color w:val="auto"/>
              </w:rPr>
              <w:t>Notes</w:t>
            </w:r>
          </w:p>
        </w:tc>
        <w:tc>
          <w:tcPr>
            <w:tcW w:w="1720" w:type="dxa"/>
            <w:vAlign w:val="bottom"/>
          </w:tcPr>
          <w:p>
            <w:pPr>
              <w:jc w:val="right"/>
              <w:ind w:right="478"/>
              <w:spacing w:after="0" w:line="187" w:lineRule="exact"/>
              <w:rPr>
                <w:sz w:val="20"/>
                <w:szCs w:val="20"/>
                <w:color w:val="auto"/>
              </w:rPr>
            </w:pPr>
            <w:r>
              <w:rPr>
                <w:rFonts w:ascii="Calibri" w:cs="Calibri" w:eastAsia="Calibri" w:hAnsi="Calibri"/>
                <w:sz w:val="16"/>
                <w:szCs w:val="16"/>
                <w:b w:val="1"/>
                <w:bCs w:val="1"/>
                <w:color w:val="auto"/>
              </w:rPr>
              <w:t>2022</w:t>
            </w:r>
          </w:p>
        </w:tc>
        <w:tc>
          <w:tcPr>
            <w:tcW w:w="100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2021</w:t>
            </w:r>
          </w:p>
        </w:tc>
      </w:tr>
      <w:tr>
        <w:trPr>
          <w:trHeight w:val="23"/>
        </w:trPr>
        <w:tc>
          <w:tcPr>
            <w:tcW w:w="6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81"/>
        </w:trPr>
        <w:tc>
          <w:tcPr>
            <w:tcW w:w="6560" w:type="dxa"/>
            <w:vAlign w:val="bottom"/>
          </w:tcPr>
          <w:p>
            <w:pPr>
              <w:ind w:left="80"/>
              <w:spacing w:after="0"/>
              <w:rPr>
                <w:sz w:val="20"/>
                <w:szCs w:val="20"/>
                <w:color w:val="auto"/>
              </w:rPr>
            </w:pPr>
            <w:r>
              <w:rPr>
                <w:rFonts w:ascii="Calibri" w:cs="Calibri" w:eastAsia="Calibri" w:hAnsi="Calibri"/>
                <w:sz w:val="16"/>
                <w:szCs w:val="16"/>
                <w:b w:val="1"/>
                <w:bCs w:val="1"/>
                <w:color w:val="auto"/>
              </w:rPr>
              <w:t>REVENUE</w:t>
            </w:r>
          </w:p>
        </w:tc>
        <w:tc>
          <w:tcPr>
            <w:tcW w:w="1960" w:type="dxa"/>
            <w:vAlign w:val="bottom"/>
          </w:tcPr>
          <w:p>
            <w:pPr>
              <w:spacing w:after="0"/>
              <w:rPr>
                <w:sz w:val="24"/>
                <w:szCs w:val="24"/>
                <w:color w:val="auto"/>
              </w:rPr>
            </w:pPr>
          </w:p>
        </w:tc>
        <w:tc>
          <w:tcPr>
            <w:tcW w:w="1720" w:type="dxa"/>
            <w:vAlign w:val="bottom"/>
          </w:tcPr>
          <w:p>
            <w:pPr>
              <w:jc w:val="right"/>
              <w:ind w:right="478"/>
              <w:spacing w:after="0"/>
              <w:rPr>
                <w:sz w:val="20"/>
                <w:szCs w:val="20"/>
                <w:color w:val="auto"/>
              </w:rPr>
            </w:pPr>
            <w:r>
              <w:rPr>
                <w:rFonts w:ascii="Calibri" w:cs="Calibri" w:eastAsia="Calibri" w:hAnsi="Calibri"/>
                <w:sz w:val="16"/>
                <w:szCs w:val="16"/>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864</w:t>
            </w:r>
          </w:p>
        </w:tc>
      </w:tr>
      <w:tr>
        <w:trPr>
          <w:trHeight w:val="216"/>
        </w:trPr>
        <w:tc>
          <w:tcPr>
            <w:tcW w:w="6560" w:type="dxa"/>
            <w:vAlign w:val="bottom"/>
          </w:tcPr>
          <w:p>
            <w:pPr>
              <w:ind w:left="80"/>
              <w:spacing w:after="0"/>
              <w:rPr>
                <w:sz w:val="20"/>
                <w:szCs w:val="20"/>
                <w:color w:val="auto"/>
              </w:rPr>
            </w:pPr>
            <w:r>
              <w:rPr>
                <w:rFonts w:ascii="Calibri" w:cs="Calibri" w:eastAsia="Calibri" w:hAnsi="Calibri"/>
                <w:sz w:val="16"/>
                <w:szCs w:val="16"/>
                <w:b w:val="1"/>
                <w:bCs w:val="1"/>
                <w:color w:val="auto"/>
              </w:rPr>
              <w:t>COST OF GOODS SOLD</w:t>
            </w:r>
          </w:p>
        </w:tc>
        <w:tc>
          <w:tcPr>
            <w:tcW w:w="1960" w:type="dxa"/>
            <w:vAlign w:val="bottom"/>
          </w:tcPr>
          <w:p>
            <w:pPr>
              <w:spacing w:after="0"/>
              <w:rPr>
                <w:sz w:val="18"/>
                <w:szCs w:val="18"/>
                <w:color w:val="auto"/>
              </w:rPr>
            </w:pPr>
          </w:p>
        </w:tc>
        <w:tc>
          <w:tcPr>
            <w:tcW w:w="1720" w:type="dxa"/>
            <w:vAlign w:val="bottom"/>
          </w:tcPr>
          <w:p>
            <w:pPr>
              <w:jc w:val="right"/>
              <w:ind w:right="478"/>
              <w:spacing w:after="0"/>
              <w:rPr>
                <w:sz w:val="20"/>
                <w:szCs w:val="20"/>
                <w:color w:val="auto"/>
              </w:rPr>
            </w:pPr>
            <w:r>
              <w:rPr>
                <w:rFonts w:ascii="Calibri" w:cs="Calibri" w:eastAsia="Calibri" w:hAnsi="Calibri"/>
                <w:sz w:val="16"/>
                <w:szCs w:val="16"/>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664</w:t>
            </w:r>
          </w:p>
        </w:tc>
      </w:tr>
      <w:tr>
        <w:trPr>
          <w:trHeight w:val="28"/>
        </w:trPr>
        <w:tc>
          <w:tcPr>
            <w:tcW w:w="65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7"/>
        </w:trPr>
        <w:tc>
          <w:tcPr>
            <w:tcW w:w="6560" w:type="dxa"/>
            <w:vAlign w:val="bottom"/>
          </w:tcPr>
          <w:p>
            <w:pPr>
              <w:ind w:left="80"/>
              <w:spacing w:after="0" w:line="187" w:lineRule="exact"/>
              <w:rPr>
                <w:sz w:val="20"/>
                <w:szCs w:val="20"/>
                <w:color w:val="auto"/>
              </w:rPr>
            </w:pPr>
            <w:r>
              <w:rPr>
                <w:rFonts w:ascii="Calibri" w:cs="Calibri" w:eastAsia="Calibri" w:hAnsi="Calibri"/>
                <w:sz w:val="16"/>
                <w:szCs w:val="16"/>
                <w:b w:val="1"/>
                <w:bCs w:val="1"/>
                <w:color w:val="auto"/>
              </w:rPr>
              <w:t>GROSS PROFIT</w:t>
            </w:r>
          </w:p>
        </w:tc>
        <w:tc>
          <w:tcPr>
            <w:tcW w:w="1960" w:type="dxa"/>
            <w:vAlign w:val="bottom"/>
          </w:tcPr>
          <w:p>
            <w:pPr>
              <w:spacing w:after="0"/>
              <w:rPr>
                <w:sz w:val="16"/>
                <w:szCs w:val="16"/>
                <w:color w:val="auto"/>
              </w:rPr>
            </w:pPr>
          </w:p>
        </w:tc>
        <w:tc>
          <w:tcPr>
            <w:tcW w:w="1720" w:type="dxa"/>
            <w:vAlign w:val="bottom"/>
          </w:tcPr>
          <w:p>
            <w:pPr>
              <w:jc w:val="right"/>
              <w:ind w:right="478"/>
              <w:spacing w:after="0" w:line="187" w:lineRule="exact"/>
              <w:rPr>
                <w:sz w:val="20"/>
                <w:szCs w:val="20"/>
                <w:color w:val="auto"/>
              </w:rPr>
            </w:pPr>
            <w:r>
              <w:rPr>
                <w:rFonts w:ascii="Calibri" w:cs="Calibri" w:eastAsia="Calibri" w:hAnsi="Calibri"/>
                <w:sz w:val="16"/>
                <w:szCs w:val="16"/>
                <w:b w:val="1"/>
                <w:bCs w:val="1"/>
                <w:color w:val="auto"/>
              </w:rPr>
              <w:t>—</w:t>
            </w:r>
          </w:p>
        </w:tc>
        <w:tc>
          <w:tcPr>
            <w:tcW w:w="1000" w:type="dxa"/>
            <w:vAlign w:val="bottom"/>
          </w:tcPr>
          <w:p>
            <w:pPr>
              <w:jc w:val="right"/>
              <w:spacing w:after="0" w:line="187" w:lineRule="exact"/>
              <w:rPr>
                <w:sz w:val="20"/>
                <w:szCs w:val="20"/>
                <w:color w:val="auto"/>
              </w:rPr>
            </w:pPr>
            <w:r>
              <w:rPr>
                <w:rFonts w:ascii="Calibri" w:cs="Calibri" w:eastAsia="Calibri" w:hAnsi="Calibri"/>
                <w:sz w:val="16"/>
                <w:szCs w:val="16"/>
                <w:color w:val="auto"/>
              </w:rPr>
              <w:t>200</w:t>
            </w:r>
          </w:p>
        </w:tc>
      </w:tr>
      <w:tr>
        <w:trPr>
          <w:trHeight w:val="23"/>
        </w:trPr>
        <w:tc>
          <w:tcPr>
            <w:tcW w:w="6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25"/>
        </w:trPr>
        <w:tc>
          <w:tcPr>
            <w:tcW w:w="6560" w:type="dxa"/>
            <w:vAlign w:val="bottom"/>
          </w:tcPr>
          <w:p>
            <w:pPr>
              <w:ind w:left="80"/>
              <w:spacing w:after="0"/>
              <w:rPr>
                <w:sz w:val="20"/>
                <w:szCs w:val="20"/>
                <w:color w:val="auto"/>
              </w:rPr>
            </w:pPr>
            <w:r>
              <w:rPr>
                <w:rFonts w:ascii="Calibri" w:cs="Calibri" w:eastAsia="Calibri" w:hAnsi="Calibri"/>
                <w:sz w:val="16"/>
                <w:szCs w:val="16"/>
                <w:b w:val="1"/>
                <w:bCs w:val="1"/>
                <w:color w:val="auto"/>
              </w:rPr>
              <w:t>EXPENSES</w:t>
            </w: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6560" w:type="dxa"/>
            <w:vAlign w:val="bottom"/>
          </w:tcPr>
          <w:p>
            <w:pPr>
              <w:ind w:left="240"/>
              <w:spacing w:after="0"/>
              <w:rPr>
                <w:sz w:val="20"/>
                <w:szCs w:val="20"/>
                <w:color w:val="auto"/>
              </w:rPr>
            </w:pPr>
            <w:r>
              <w:rPr>
                <w:rFonts w:ascii="Calibri" w:cs="Calibri" w:eastAsia="Calibri" w:hAnsi="Calibri"/>
                <w:sz w:val="16"/>
                <w:szCs w:val="16"/>
                <w:color w:val="auto"/>
              </w:rPr>
              <w:t>Share-based compensaton</w:t>
            </w:r>
          </w:p>
        </w:tc>
        <w:tc>
          <w:tcPr>
            <w:tcW w:w="1960" w:type="dxa"/>
            <w:vAlign w:val="bottom"/>
          </w:tcPr>
          <w:p>
            <w:pPr>
              <w:jc w:val="center"/>
              <w:ind w:left="519"/>
              <w:spacing w:after="0"/>
              <w:rPr>
                <w:sz w:val="20"/>
                <w:szCs w:val="20"/>
                <w:color w:val="auto"/>
              </w:rPr>
            </w:pPr>
            <w:r>
              <w:rPr>
                <w:rFonts w:ascii="Calibri" w:cs="Calibri" w:eastAsia="Calibri" w:hAnsi="Calibri"/>
                <w:sz w:val="16"/>
                <w:szCs w:val="16"/>
                <w:i w:val="1"/>
                <w:iCs w:val="1"/>
                <w:color w:val="auto"/>
                <w:w w:val="99"/>
              </w:rPr>
              <w:t>10, 11</w:t>
            </w:r>
          </w:p>
        </w:tc>
        <w:tc>
          <w:tcPr>
            <w:tcW w:w="1720" w:type="dxa"/>
            <w:vAlign w:val="bottom"/>
          </w:tcPr>
          <w:p>
            <w:pPr>
              <w:jc w:val="right"/>
              <w:ind w:right="478"/>
              <w:spacing w:after="0"/>
              <w:rPr>
                <w:sz w:val="20"/>
                <w:szCs w:val="20"/>
                <w:color w:val="auto"/>
              </w:rPr>
            </w:pPr>
            <w:r>
              <w:rPr>
                <w:rFonts w:ascii="Calibri" w:cs="Calibri" w:eastAsia="Calibri" w:hAnsi="Calibri"/>
                <w:sz w:val="16"/>
                <w:szCs w:val="16"/>
                <w:b w:val="1"/>
                <w:bCs w:val="1"/>
                <w:color w:val="auto"/>
              </w:rPr>
              <w:t>18,030</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11,554</w:t>
            </w:r>
          </w:p>
        </w:tc>
      </w:tr>
      <w:tr>
        <w:trPr>
          <w:trHeight w:val="243"/>
        </w:trPr>
        <w:tc>
          <w:tcPr>
            <w:tcW w:w="6560" w:type="dxa"/>
            <w:vAlign w:val="bottom"/>
          </w:tcPr>
          <w:p>
            <w:pPr>
              <w:ind w:left="240"/>
              <w:spacing w:after="0"/>
              <w:rPr>
                <w:sz w:val="20"/>
                <w:szCs w:val="20"/>
                <w:color w:val="auto"/>
              </w:rPr>
            </w:pPr>
            <w:r>
              <w:rPr>
                <w:rFonts w:ascii="Calibri" w:cs="Calibri" w:eastAsia="Calibri" w:hAnsi="Calibri"/>
                <w:sz w:val="16"/>
                <w:szCs w:val="16"/>
                <w:color w:val="auto"/>
              </w:rPr>
              <w:t>General and administratve costs</w:t>
            </w:r>
          </w:p>
        </w:tc>
        <w:tc>
          <w:tcPr>
            <w:tcW w:w="1960" w:type="dxa"/>
            <w:vAlign w:val="bottom"/>
          </w:tcPr>
          <w:p>
            <w:pPr>
              <w:jc w:val="center"/>
              <w:ind w:left="519"/>
              <w:spacing w:after="0"/>
              <w:rPr>
                <w:sz w:val="20"/>
                <w:szCs w:val="20"/>
                <w:color w:val="auto"/>
              </w:rPr>
            </w:pPr>
            <w:r>
              <w:rPr>
                <w:rFonts w:ascii="Calibri" w:cs="Calibri" w:eastAsia="Calibri" w:hAnsi="Calibri"/>
                <w:sz w:val="16"/>
                <w:szCs w:val="16"/>
                <w:i w:val="1"/>
                <w:iCs w:val="1"/>
                <w:color w:val="auto"/>
                <w:w w:val="98"/>
              </w:rPr>
              <w:t>12</w:t>
            </w:r>
          </w:p>
        </w:tc>
        <w:tc>
          <w:tcPr>
            <w:tcW w:w="1720" w:type="dxa"/>
            <w:vAlign w:val="bottom"/>
          </w:tcPr>
          <w:p>
            <w:pPr>
              <w:jc w:val="right"/>
              <w:ind w:right="478"/>
              <w:spacing w:after="0"/>
              <w:rPr>
                <w:sz w:val="20"/>
                <w:szCs w:val="20"/>
                <w:color w:val="auto"/>
              </w:rPr>
            </w:pPr>
            <w:r>
              <w:rPr>
                <w:rFonts w:ascii="Calibri" w:cs="Calibri" w:eastAsia="Calibri" w:hAnsi="Calibri"/>
                <w:sz w:val="16"/>
                <w:szCs w:val="16"/>
                <w:b w:val="1"/>
                <w:bCs w:val="1"/>
                <w:color w:val="auto"/>
              </w:rPr>
              <w:t>28,222</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15,870</w:t>
            </w:r>
          </w:p>
        </w:tc>
      </w:tr>
      <w:tr>
        <w:trPr>
          <w:trHeight w:val="243"/>
        </w:trPr>
        <w:tc>
          <w:tcPr>
            <w:tcW w:w="6560" w:type="dxa"/>
            <w:vAlign w:val="bottom"/>
          </w:tcPr>
          <w:p>
            <w:pPr>
              <w:ind w:left="240"/>
              <w:spacing w:after="0"/>
              <w:rPr>
                <w:sz w:val="20"/>
                <w:szCs w:val="20"/>
                <w:color w:val="auto"/>
              </w:rPr>
            </w:pPr>
            <w:r>
              <w:rPr>
                <w:rFonts w:ascii="Calibri" w:cs="Calibri" w:eastAsia="Calibri" w:hAnsi="Calibri"/>
                <w:sz w:val="16"/>
                <w:szCs w:val="16"/>
                <w:color w:val="auto"/>
              </w:rPr>
              <w:t>Research</w:t>
            </w:r>
          </w:p>
        </w:tc>
        <w:tc>
          <w:tcPr>
            <w:tcW w:w="1960" w:type="dxa"/>
            <w:vAlign w:val="bottom"/>
          </w:tcPr>
          <w:p>
            <w:pPr>
              <w:spacing w:after="0"/>
              <w:rPr>
                <w:sz w:val="21"/>
                <w:szCs w:val="21"/>
                <w:color w:val="auto"/>
              </w:rPr>
            </w:pPr>
          </w:p>
        </w:tc>
        <w:tc>
          <w:tcPr>
            <w:tcW w:w="1720" w:type="dxa"/>
            <w:vAlign w:val="bottom"/>
          </w:tcPr>
          <w:p>
            <w:pPr>
              <w:jc w:val="right"/>
              <w:ind w:right="478"/>
              <w:spacing w:after="0"/>
              <w:rPr>
                <w:sz w:val="20"/>
                <w:szCs w:val="20"/>
                <w:color w:val="auto"/>
              </w:rPr>
            </w:pPr>
            <w:r>
              <w:rPr>
                <w:rFonts w:ascii="Calibri" w:cs="Calibri" w:eastAsia="Calibri" w:hAnsi="Calibri"/>
                <w:sz w:val="16"/>
                <w:szCs w:val="16"/>
                <w:b w:val="1"/>
                <w:bCs w:val="1"/>
                <w:color w:val="auto"/>
              </w:rPr>
              <w:t>17,586</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3,300</w:t>
            </w:r>
          </w:p>
        </w:tc>
      </w:tr>
      <w:tr>
        <w:trPr>
          <w:trHeight w:val="284"/>
        </w:trPr>
        <w:tc>
          <w:tcPr>
            <w:tcW w:w="65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87"/>
        </w:trPr>
        <w:tc>
          <w:tcPr>
            <w:tcW w:w="6560" w:type="dxa"/>
            <w:vAlign w:val="bottom"/>
          </w:tcPr>
          <w:p>
            <w:pPr>
              <w:ind w:left="80"/>
              <w:spacing w:after="0" w:line="187" w:lineRule="exact"/>
              <w:rPr>
                <w:sz w:val="20"/>
                <w:szCs w:val="20"/>
                <w:color w:val="auto"/>
              </w:rPr>
            </w:pPr>
            <w:r>
              <w:rPr>
                <w:rFonts w:ascii="Calibri" w:cs="Calibri" w:eastAsia="Calibri" w:hAnsi="Calibri"/>
                <w:sz w:val="16"/>
                <w:szCs w:val="16"/>
                <w:b w:val="1"/>
                <w:bCs w:val="1"/>
                <w:color w:val="auto"/>
              </w:rPr>
              <w:t>TOTAL EXPENSES</w:t>
            </w:r>
          </w:p>
        </w:tc>
        <w:tc>
          <w:tcPr>
            <w:tcW w:w="1960" w:type="dxa"/>
            <w:vAlign w:val="bottom"/>
          </w:tcPr>
          <w:p>
            <w:pPr>
              <w:spacing w:after="0"/>
              <w:rPr>
                <w:sz w:val="16"/>
                <w:szCs w:val="16"/>
                <w:color w:val="auto"/>
              </w:rPr>
            </w:pPr>
          </w:p>
        </w:tc>
        <w:tc>
          <w:tcPr>
            <w:tcW w:w="1720" w:type="dxa"/>
            <w:vAlign w:val="bottom"/>
          </w:tcPr>
          <w:p>
            <w:pPr>
              <w:jc w:val="right"/>
              <w:ind w:right="478"/>
              <w:spacing w:after="0" w:line="187" w:lineRule="exact"/>
              <w:rPr>
                <w:sz w:val="20"/>
                <w:szCs w:val="20"/>
                <w:color w:val="auto"/>
              </w:rPr>
            </w:pPr>
            <w:r>
              <w:rPr>
                <w:rFonts w:ascii="Calibri" w:cs="Calibri" w:eastAsia="Calibri" w:hAnsi="Calibri"/>
                <w:sz w:val="16"/>
                <w:szCs w:val="16"/>
                <w:b w:val="1"/>
                <w:bCs w:val="1"/>
                <w:color w:val="auto"/>
              </w:rPr>
              <w:t>63,838</w:t>
            </w:r>
          </w:p>
        </w:tc>
        <w:tc>
          <w:tcPr>
            <w:tcW w:w="1000" w:type="dxa"/>
            <w:vAlign w:val="bottom"/>
          </w:tcPr>
          <w:p>
            <w:pPr>
              <w:jc w:val="right"/>
              <w:spacing w:after="0" w:line="187" w:lineRule="exact"/>
              <w:rPr>
                <w:sz w:val="20"/>
                <w:szCs w:val="20"/>
                <w:color w:val="auto"/>
              </w:rPr>
            </w:pPr>
            <w:r>
              <w:rPr>
                <w:rFonts w:ascii="Calibri" w:cs="Calibri" w:eastAsia="Calibri" w:hAnsi="Calibri"/>
                <w:sz w:val="16"/>
                <w:szCs w:val="16"/>
                <w:color w:val="auto"/>
              </w:rPr>
              <w:t>30,724</w:t>
            </w:r>
          </w:p>
        </w:tc>
      </w:tr>
      <w:tr>
        <w:trPr>
          <w:trHeight w:val="23"/>
        </w:trPr>
        <w:tc>
          <w:tcPr>
            <w:tcW w:w="6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25"/>
        </w:trPr>
        <w:tc>
          <w:tcPr>
            <w:tcW w:w="6560" w:type="dxa"/>
            <w:vAlign w:val="bottom"/>
          </w:tcPr>
          <w:p>
            <w:pPr>
              <w:ind w:left="80"/>
              <w:spacing w:after="0"/>
              <w:rPr>
                <w:sz w:val="20"/>
                <w:szCs w:val="20"/>
                <w:color w:val="auto"/>
              </w:rPr>
            </w:pPr>
            <w:r>
              <w:rPr>
                <w:rFonts w:ascii="Calibri" w:cs="Calibri" w:eastAsia="Calibri" w:hAnsi="Calibri"/>
                <w:sz w:val="16"/>
                <w:szCs w:val="16"/>
                <w:b w:val="1"/>
                <w:bCs w:val="1"/>
                <w:color w:val="auto"/>
              </w:rPr>
              <w:t>OTHER INCOME (EXPENSES)</w:t>
            </w: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6560" w:type="dxa"/>
            <w:vAlign w:val="bottom"/>
          </w:tcPr>
          <w:p>
            <w:pPr>
              <w:ind w:left="240"/>
              <w:spacing w:after="0"/>
              <w:rPr>
                <w:sz w:val="20"/>
                <w:szCs w:val="20"/>
                <w:color w:val="auto"/>
              </w:rPr>
            </w:pPr>
            <w:r>
              <w:rPr>
                <w:rFonts w:ascii="Calibri" w:cs="Calibri" w:eastAsia="Calibri" w:hAnsi="Calibri"/>
                <w:sz w:val="16"/>
                <w:szCs w:val="16"/>
                <w:color w:val="auto"/>
              </w:rPr>
              <w:t>Interest income</w:t>
            </w:r>
          </w:p>
        </w:tc>
        <w:tc>
          <w:tcPr>
            <w:tcW w:w="1960" w:type="dxa"/>
            <w:vAlign w:val="bottom"/>
          </w:tcPr>
          <w:p>
            <w:pPr>
              <w:spacing w:after="0"/>
              <w:rPr>
                <w:sz w:val="21"/>
                <w:szCs w:val="21"/>
                <w:color w:val="auto"/>
              </w:rPr>
            </w:pPr>
          </w:p>
        </w:tc>
        <w:tc>
          <w:tcPr>
            <w:tcW w:w="1720" w:type="dxa"/>
            <w:vAlign w:val="bottom"/>
          </w:tcPr>
          <w:p>
            <w:pPr>
              <w:jc w:val="right"/>
              <w:ind w:right="478"/>
              <w:spacing w:after="0"/>
              <w:rPr>
                <w:sz w:val="20"/>
                <w:szCs w:val="20"/>
                <w:color w:val="auto"/>
              </w:rPr>
            </w:pPr>
            <w:r>
              <w:rPr>
                <w:rFonts w:ascii="Calibri" w:cs="Calibri" w:eastAsia="Calibri" w:hAnsi="Calibri"/>
                <w:sz w:val="16"/>
                <w:szCs w:val="16"/>
                <w:b w:val="1"/>
                <w:bCs w:val="1"/>
                <w:color w:val="auto"/>
              </w:rPr>
              <w:t>241</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60</w:t>
            </w:r>
          </w:p>
        </w:tc>
      </w:tr>
      <w:tr>
        <w:trPr>
          <w:trHeight w:val="243"/>
        </w:trPr>
        <w:tc>
          <w:tcPr>
            <w:tcW w:w="6560" w:type="dxa"/>
            <w:vAlign w:val="bottom"/>
          </w:tcPr>
          <w:p>
            <w:pPr>
              <w:ind w:left="240"/>
              <w:spacing w:after="0"/>
              <w:rPr>
                <w:sz w:val="20"/>
                <w:szCs w:val="20"/>
                <w:color w:val="auto"/>
              </w:rPr>
            </w:pPr>
            <w:r>
              <w:rPr>
                <w:rFonts w:ascii="Calibri" w:cs="Calibri" w:eastAsia="Calibri" w:hAnsi="Calibri"/>
                <w:sz w:val="16"/>
                <w:szCs w:val="16"/>
                <w:color w:val="auto"/>
              </w:rPr>
              <w:t>Accreton on convertble debt</w:t>
            </w:r>
          </w:p>
        </w:tc>
        <w:tc>
          <w:tcPr>
            <w:tcW w:w="1960" w:type="dxa"/>
            <w:vAlign w:val="bottom"/>
          </w:tcPr>
          <w:p>
            <w:pPr>
              <w:spacing w:after="0"/>
              <w:rPr>
                <w:sz w:val="21"/>
                <w:szCs w:val="21"/>
                <w:color w:val="auto"/>
              </w:rPr>
            </w:pPr>
          </w:p>
        </w:tc>
        <w:tc>
          <w:tcPr>
            <w:tcW w:w="1720" w:type="dxa"/>
            <w:vAlign w:val="bottom"/>
          </w:tcPr>
          <w:p>
            <w:pPr>
              <w:jc w:val="right"/>
              <w:ind w:right="478"/>
              <w:spacing w:after="0"/>
              <w:rPr>
                <w:sz w:val="20"/>
                <w:szCs w:val="20"/>
                <w:color w:val="auto"/>
              </w:rPr>
            </w:pPr>
            <w:r>
              <w:rPr>
                <w:rFonts w:ascii="Calibri" w:cs="Calibri" w:eastAsia="Calibri" w:hAnsi="Calibri"/>
                <w:sz w:val="16"/>
                <w:szCs w:val="16"/>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(10)</w:t>
            </w:r>
          </w:p>
        </w:tc>
      </w:tr>
      <w:tr>
        <w:trPr>
          <w:trHeight w:val="216"/>
        </w:trPr>
        <w:tc>
          <w:tcPr>
            <w:tcW w:w="6560" w:type="dxa"/>
            <w:vAlign w:val="bottom"/>
          </w:tcPr>
          <w:p>
            <w:pPr>
              <w:ind w:left="240"/>
              <w:spacing w:after="0"/>
              <w:rPr>
                <w:sz w:val="20"/>
                <w:szCs w:val="20"/>
                <w:color w:val="auto"/>
              </w:rPr>
            </w:pPr>
            <w:r>
              <w:rPr>
                <w:rFonts w:ascii="Calibri" w:cs="Calibri" w:eastAsia="Calibri" w:hAnsi="Calibri"/>
                <w:sz w:val="16"/>
                <w:szCs w:val="16"/>
                <w:color w:val="auto"/>
              </w:rPr>
              <w:t>Impairment of investment</w:t>
            </w:r>
          </w:p>
        </w:tc>
        <w:tc>
          <w:tcPr>
            <w:tcW w:w="1960" w:type="dxa"/>
            <w:vAlign w:val="bottom"/>
          </w:tcPr>
          <w:p>
            <w:pPr>
              <w:spacing w:after="0"/>
              <w:rPr>
                <w:sz w:val="18"/>
                <w:szCs w:val="18"/>
                <w:color w:val="auto"/>
              </w:rPr>
            </w:pPr>
          </w:p>
        </w:tc>
        <w:tc>
          <w:tcPr>
            <w:tcW w:w="1720" w:type="dxa"/>
            <w:vAlign w:val="bottom"/>
          </w:tcPr>
          <w:p>
            <w:pPr>
              <w:jc w:val="right"/>
              <w:ind w:right="478"/>
              <w:spacing w:after="0"/>
              <w:rPr>
                <w:sz w:val="20"/>
                <w:szCs w:val="20"/>
                <w:color w:val="auto"/>
              </w:rPr>
            </w:pPr>
            <w:r>
              <w:rPr>
                <w:rFonts w:ascii="Calibri" w:cs="Calibri" w:eastAsia="Calibri" w:hAnsi="Calibri"/>
                <w:sz w:val="16"/>
                <w:szCs w:val="16"/>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(63)</w:t>
            </w:r>
          </w:p>
        </w:tc>
      </w:tr>
      <w:tr>
        <w:trPr>
          <w:trHeight w:val="216"/>
        </w:trPr>
        <w:tc>
          <w:tcPr>
            <w:tcW w:w="6560" w:type="dxa"/>
            <w:vAlign w:val="bottom"/>
          </w:tcPr>
          <w:p>
            <w:pPr>
              <w:ind w:left="240"/>
              <w:spacing w:after="0"/>
              <w:rPr>
                <w:sz w:val="20"/>
                <w:szCs w:val="20"/>
                <w:color w:val="auto"/>
              </w:rPr>
            </w:pPr>
            <w:r>
              <w:rPr>
                <w:rFonts w:ascii="Calibri" w:cs="Calibri" w:eastAsia="Calibri" w:hAnsi="Calibri"/>
                <w:sz w:val="16"/>
                <w:szCs w:val="16"/>
                <w:color w:val="auto"/>
              </w:rPr>
              <w:t>Impairment of promissory note</w:t>
            </w:r>
          </w:p>
        </w:tc>
        <w:tc>
          <w:tcPr>
            <w:tcW w:w="1960" w:type="dxa"/>
            <w:vAlign w:val="bottom"/>
          </w:tcPr>
          <w:p>
            <w:pPr>
              <w:spacing w:after="0"/>
              <w:rPr>
                <w:sz w:val="18"/>
                <w:szCs w:val="18"/>
                <w:color w:val="auto"/>
              </w:rPr>
            </w:pPr>
          </w:p>
        </w:tc>
        <w:tc>
          <w:tcPr>
            <w:tcW w:w="1720" w:type="dxa"/>
            <w:vAlign w:val="bottom"/>
          </w:tcPr>
          <w:p>
            <w:pPr>
              <w:jc w:val="right"/>
              <w:ind w:right="478"/>
              <w:spacing w:after="0"/>
              <w:rPr>
                <w:sz w:val="20"/>
                <w:szCs w:val="20"/>
                <w:color w:val="auto"/>
              </w:rPr>
            </w:pPr>
            <w:r>
              <w:rPr>
                <w:rFonts w:ascii="Calibri" w:cs="Calibri" w:eastAsia="Calibri" w:hAnsi="Calibri"/>
                <w:sz w:val="16"/>
                <w:szCs w:val="16"/>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(230)</w:t>
            </w:r>
          </w:p>
        </w:tc>
      </w:tr>
      <w:tr>
        <w:trPr>
          <w:trHeight w:val="216"/>
        </w:trPr>
        <w:tc>
          <w:tcPr>
            <w:tcW w:w="6560" w:type="dxa"/>
            <w:vAlign w:val="bottom"/>
          </w:tcPr>
          <w:p>
            <w:pPr>
              <w:ind w:left="240"/>
              <w:spacing w:after="0"/>
              <w:rPr>
                <w:sz w:val="20"/>
                <w:szCs w:val="20"/>
                <w:color w:val="auto"/>
              </w:rPr>
            </w:pPr>
            <w:r>
              <w:rPr>
                <w:rFonts w:ascii="Calibri" w:cs="Calibri" w:eastAsia="Calibri" w:hAnsi="Calibri"/>
                <w:sz w:val="16"/>
                <w:szCs w:val="16"/>
                <w:color w:val="auto"/>
              </w:rPr>
              <w:t>Impairment of inventory</w:t>
            </w:r>
          </w:p>
        </w:tc>
        <w:tc>
          <w:tcPr>
            <w:tcW w:w="1960" w:type="dxa"/>
            <w:vAlign w:val="bottom"/>
          </w:tcPr>
          <w:p>
            <w:pPr>
              <w:spacing w:after="0"/>
              <w:rPr>
                <w:sz w:val="18"/>
                <w:szCs w:val="18"/>
                <w:color w:val="auto"/>
              </w:rPr>
            </w:pPr>
          </w:p>
        </w:tc>
        <w:tc>
          <w:tcPr>
            <w:tcW w:w="1720" w:type="dxa"/>
            <w:vAlign w:val="bottom"/>
          </w:tcPr>
          <w:p>
            <w:pPr>
              <w:jc w:val="right"/>
              <w:ind w:right="478"/>
              <w:spacing w:after="0"/>
              <w:rPr>
                <w:sz w:val="20"/>
                <w:szCs w:val="20"/>
                <w:color w:val="auto"/>
              </w:rPr>
            </w:pPr>
            <w:r>
              <w:rPr>
                <w:rFonts w:ascii="Calibri" w:cs="Calibri" w:eastAsia="Calibri" w:hAnsi="Calibri"/>
                <w:sz w:val="16"/>
                <w:szCs w:val="16"/>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(511)</w:t>
            </w:r>
          </w:p>
        </w:tc>
      </w:tr>
      <w:tr>
        <w:trPr>
          <w:trHeight w:val="216"/>
        </w:trPr>
        <w:tc>
          <w:tcPr>
            <w:tcW w:w="6560" w:type="dxa"/>
            <w:vAlign w:val="bottom"/>
          </w:tcPr>
          <w:p>
            <w:pPr>
              <w:ind w:left="240"/>
              <w:spacing w:after="0"/>
              <w:rPr>
                <w:sz w:val="20"/>
                <w:szCs w:val="20"/>
                <w:color w:val="auto"/>
              </w:rPr>
            </w:pPr>
            <w:r>
              <w:rPr>
                <w:rFonts w:ascii="Calibri" w:cs="Calibri" w:eastAsia="Calibri" w:hAnsi="Calibri"/>
                <w:sz w:val="16"/>
                <w:szCs w:val="16"/>
                <w:color w:val="auto"/>
              </w:rPr>
              <w:t>Change in fair value of investments measured at fair value through proft or loss</w:t>
            </w:r>
          </w:p>
        </w:tc>
        <w:tc>
          <w:tcPr>
            <w:tcW w:w="1960" w:type="dxa"/>
            <w:vAlign w:val="bottom"/>
          </w:tcPr>
          <w:p>
            <w:pPr>
              <w:jc w:val="center"/>
              <w:ind w:left="519"/>
              <w:spacing w:after="0"/>
              <w:rPr>
                <w:sz w:val="20"/>
                <w:szCs w:val="20"/>
                <w:color w:val="auto"/>
              </w:rPr>
            </w:pPr>
            <w:r>
              <w:rPr>
                <w:rFonts w:ascii="Calibri" w:cs="Calibri" w:eastAsia="Calibri" w:hAnsi="Calibri"/>
                <w:sz w:val="16"/>
                <w:szCs w:val="16"/>
                <w:i w:val="1"/>
                <w:iCs w:val="1"/>
                <w:color w:val="auto"/>
                <w:w w:val="97"/>
              </w:rPr>
              <w:t>5</w:t>
            </w:r>
          </w:p>
        </w:tc>
        <w:tc>
          <w:tcPr>
            <w:tcW w:w="1720" w:type="dxa"/>
            <w:vAlign w:val="bottom"/>
          </w:tcPr>
          <w:p>
            <w:pPr>
              <w:jc w:val="right"/>
              <w:ind w:right="478"/>
              <w:spacing w:after="0"/>
              <w:rPr>
                <w:sz w:val="20"/>
                <w:szCs w:val="20"/>
                <w:color w:val="auto"/>
              </w:rPr>
            </w:pPr>
            <w:r>
              <w:rPr>
                <w:rFonts w:ascii="Calibri" w:cs="Calibri" w:eastAsia="Calibri" w:hAnsi="Calibri"/>
                <w:sz w:val="16"/>
                <w:szCs w:val="16"/>
                <w:b w:val="1"/>
                <w:bCs w:val="1"/>
                <w:color w:val="auto"/>
              </w:rPr>
              <w:t>(29)</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43"/>
        </w:trPr>
        <w:tc>
          <w:tcPr>
            <w:tcW w:w="6560" w:type="dxa"/>
            <w:vAlign w:val="bottom"/>
          </w:tcPr>
          <w:p>
            <w:pPr>
              <w:ind w:left="240"/>
              <w:spacing w:after="0"/>
              <w:rPr>
                <w:sz w:val="20"/>
                <w:szCs w:val="20"/>
                <w:color w:val="auto"/>
              </w:rPr>
            </w:pPr>
            <w:r>
              <w:rPr>
                <w:rFonts w:ascii="Calibri" w:cs="Calibri" w:eastAsia="Calibri" w:hAnsi="Calibri"/>
                <w:sz w:val="16"/>
                <w:szCs w:val="16"/>
                <w:color w:val="auto"/>
              </w:rPr>
              <w:t>Foreign currency translaton loss</w:t>
            </w:r>
          </w:p>
        </w:tc>
        <w:tc>
          <w:tcPr>
            <w:tcW w:w="1960" w:type="dxa"/>
            <w:vAlign w:val="bottom"/>
          </w:tcPr>
          <w:p>
            <w:pPr>
              <w:spacing w:after="0"/>
              <w:rPr>
                <w:sz w:val="21"/>
                <w:szCs w:val="21"/>
                <w:color w:val="auto"/>
              </w:rPr>
            </w:pPr>
          </w:p>
        </w:tc>
        <w:tc>
          <w:tcPr>
            <w:tcW w:w="1720" w:type="dxa"/>
            <w:vAlign w:val="bottom"/>
          </w:tcPr>
          <w:p>
            <w:pPr>
              <w:jc w:val="right"/>
              <w:ind w:right="478"/>
              <w:spacing w:after="0"/>
              <w:rPr>
                <w:sz w:val="20"/>
                <w:szCs w:val="20"/>
                <w:color w:val="auto"/>
              </w:rPr>
            </w:pPr>
            <w:r>
              <w:rPr>
                <w:rFonts w:ascii="Calibri" w:cs="Calibri" w:eastAsia="Calibri" w:hAnsi="Calibri"/>
                <w:sz w:val="16"/>
                <w:szCs w:val="16"/>
                <w:b w:val="1"/>
                <w:bCs w:val="1"/>
                <w:color w:val="auto"/>
              </w:rPr>
              <w:t>(309)</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(460)</w:t>
            </w:r>
          </w:p>
        </w:tc>
      </w:tr>
      <w:tr>
        <w:trPr>
          <w:trHeight w:val="243"/>
        </w:trPr>
        <w:tc>
          <w:tcPr>
            <w:tcW w:w="6560" w:type="dxa"/>
            <w:vAlign w:val="bottom"/>
          </w:tcPr>
          <w:p>
            <w:pPr>
              <w:ind w:left="240"/>
              <w:spacing w:after="0"/>
              <w:rPr>
                <w:sz w:val="20"/>
                <w:szCs w:val="20"/>
                <w:color w:val="auto"/>
              </w:rPr>
            </w:pPr>
            <w:r>
              <w:rPr>
                <w:rFonts w:ascii="Calibri" w:cs="Calibri" w:eastAsia="Calibri" w:hAnsi="Calibri"/>
                <w:sz w:val="16"/>
                <w:szCs w:val="16"/>
                <w:color w:val="auto"/>
              </w:rPr>
              <w:t>Contngent consideraton accreton</w:t>
            </w:r>
          </w:p>
        </w:tc>
        <w:tc>
          <w:tcPr>
            <w:tcW w:w="1960" w:type="dxa"/>
            <w:vAlign w:val="bottom"/>
          </w:tcPr>
          <w:p>
            <w:pPr>
              <w:jc w:val="center"/>
              <w:ind w:left="519"/>
              <w:spacing w:after="0"/>
              <w:rPr>
                <w:sz w:val="20"/>
                <w:szCs w:val="20"/>
                <w:color w:val="auto"/>
              </w:rPr>
            </w:pPr>
            <w:r>
              <w:rPr>
                <w:rFonts w:ascii="Calibri" w:cs="Calibri" w:eastAsia="Calibri" w:hAnsi="Calibri"/>
                <w:sz w:val="16"/>
                <w:szCs w:val="16"/>
                <w:i w:val="1"/>
                <w:iCs w:val="1"/>
                <w:color w:val="auto"/>
                <w:w w:val="97"/>
              </w:rPr>
              <w:t>9</w:t>
            </w:r>
          </w:p>
        </w:tc>
        <w:tc>
          <w:tcPr>
            <w:tcW w:w="1720" w:type="dxa"/>
            <w:vAlign w:val="bottom"/>
          </w:tcPr>
          <w:p>
            <w:pPr>
              <w:jc w:val="right"/>
              <w:ind w:right="478"/>
              <w:spacing w:after="0"/>
              <w:rPr>
                <w:sz w:val="20"/>
                <w:szCs w:val="20"/>
                <w:color w:val="auto"/>
              </w:rPr>
            </w:pPr>
            <w:r>
              <w:rPr>
                <w:rFonts w:ascii="Calibri" w:cs="Calibri" w:eastAsia="Calibri" w:hAnsi="Calibri"/>
                <w:sz w:val="16"/>
                <w:szCs w:val="16"/>
                <w:b w:val="1"/>
                <w:bCs w:val="1"/>
                <w:color w:val="auto"/>
              </w:rPr>
              <w:t>(316)</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(482)</w:t>
            </w:r>
          </w:p>
        </w:tc>
      </w:tr>
      <w:tr>
        <w:trPr>
          <w:trHeight w:val="229"/>
        </w:trPr>
        <w:tc>
          <w:tcPr>
            <w:tcW w:w="6560" w:type="dxa"/>
            <w:vAlign w:val="bottom"/>
          </w:tcPr>
          <w:p>
            <w:pPr>
              <w:ind w:left="240"/>
              <w:spacing w:after="0"/>
              <w:rPr>
                <w:sz w:val="20"/>
                <w:szCs w:val="20"/>
                <w:color w:val="auto"/>
              </w:rPr>
            </w:pPr>
            <w:r>
              <w:rPr>
                <w:rFonts w:ascii="Calibri" w:cs="Calibri" w:eastAsia="Calibri" w:hAnsi="Calibri"/>
                <w:sz w:val="16"/>
                <w:szCs w:val="16"/>
                <w:color w:val="auto"/>
              </w:rPr>
              <w:t>Change in fair value of contngent consideraton</w:t>
            </w:r>
          </w:p>
        </w:tc>
        <w:tc>
          <w:tcPr>
            <w:tcW w:w="1960" w:type="dxa"/>
            <w:vAlign w:val="bottom"/>
          </w:tcPr>
          <w:p>
            <w:pPr>
              <w:jc w:val="center"/>
              <w:ind w:left="519"/>
              <w:spacing w:after="0"/>
              <w:rPr>
                <w:sz w:val="20"/>
                <w:szCs w:val="20"/>
                <w:color w:val="auto"/>
              </w:rPr>
            </w:pPr>
            <w:r>
              <w:rPr>
                <w:rFonts w:ascii="Calibri" w:cs="Calibri" w:eastAsia="Calibri" w:hAnsi="Calibri"/>
                <w:sz w:val="16"/>
                <w:szCs w:val="16"/>
                <w:i w:val="1"/>
                <w:iCs w:val="1"/>
                <w:color w:val="auto"/>
                <w:w w:val="97"/>
              </w:rPr>
              <w:t>9</w:t>
            </w:r>
          </w:p>
        </w:tc>
        <w:tc>
          <w:tcPr>
            <w:tcW w:w="1720" w:type="dxa"/>
            <w:vAlign w:val="bottom"/>
          </w:tcPr>
          <w:p>
            <w:pPr>
              <w:jc w:val="right"/>
              <w:ind w:right="478"/>
              <w:spacing w:after="0"/>
              <w:rPr>
                <w:sz w:val="20"/>
                <w:szCs w:val="20"/>
                <w:color w:val="auto"/>
              </w:rPr>
            </w:pPr>
            <w:r>
              <w:rPr>
                <w:rFonts w:ascii="Calibri" w:cs="Calibri" w:eastAsia="Calibri" w:hAnsi="Calibri"/>
                <w:sz w:val="16"/>
                <w:szCs w:val="16"/>
                <w:b w:val="1"/>
                <w:bCs w:val="1"/>
                <w:color w:val="auto"/>
              </w:rPr>
              <w:t>(3,380)</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98"/>
        </w:trPr>
        <w:tc>
          <w:tcPr>
            <w:tcW w:w="65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87"/>
        </w:trPr>
        <w:tc>
          <w:tcPr>
            <w:tcW w:w="6560" w:type="dxa"/>
            <w:vAlign w:val="bottom"/>
          </w:tcPr>
          <w:p>
            <w:pPr>
              <w:ind w:left="80"/>
              <w:spacing w:after="0" w:line="187" w:lineRule="exact"/>
              <w:rPr>
                <w:sz w:val="20"/>
                <w:szCs w:val="20"/>
                <w:color w:val="auto"/>
              </w:rPr>
            </w:pPr>
            <w:r>
              <w:rPr>
                <w:rFonts w:ascii="Calibri" w:cs="Calibri" w:eastAsia="Calibri" w:hAnsi="Calibri"/>
                <w:sz w:val="16"/>
                <w:szCs w:val="16"/>
                <w:b w:val="1"/>
                <w:bCs w:val="1"/>
                <w:color w:val="auto"/>
              </w:rPr>
              <w:t>TOTAL OTHER EXPENSES</w:t>
            </w:r>
          </w:p>
        </w:tc>
        <w:tc>
          <w:tcPr>
            <w:tcW w:w="1960" w:type="dxa"/>
            <w:vAlign w:val="bottom"/>
          </w:tcPr>
          <w:p>
            <w:pPr>
              <w:spacing w:after="0"/>
              <w:rPr>
                <w:sz w:val="16"/>
                <w:szCs w:val="16"/>
                <w:color w:val="auto"/>
              </w:rPr>
            </w:pPr>
          </w:p>
        </w:tc>
        <w:tc>
          <w:tcPr>
            <w:tcW w:w="1720" w:type="dxa"/>
            <w:vAlign w:val="bottom"/>
          </w:tcPr>
          <w:p>
            <w:pPr>
              <w:jc w:val="right"/>
              <w:ind w:right="478"/>
              <w:spacing w:after="0" w:line="187" w:lineRule="exact"/>
              <w:rPr>
                <w:sz w:val="20"/>
                <w:szCs w:val="20"/>
                <w:color w:val="auto"/>
              </w:rPr>
            </w:pPr>
            <w:r>
              <w:rPr>
                <w:rFonts w:ascii="Calibri" w:cs="Calibri" w:eastAsia="Calibri" w:hAnsi="Calibri"/>
                <w:sz w:val="16"/>
                <w:szCs w:val="16"/>
                <w:b w:val="1"/>
                <w:bCs w:val="1"/>
                <w:color w:val="auto"/>
              </w:rPr>
              <w:t>(3,793)</w:t>
            </w:r>
          </w:p>
        </w:tc>
        <w:tc>
          <w:tcPr>
            <w:tcW w:w="1000" w:type="dxa"/>
            <w:vAlign w:val="bottom"/>
          </w:tcPr>
          <w:p>
            <w:pPr>
              <w:jc w:val="right"/>
              <w:spacing w:after="0" w:line="187" w:lineRule="exact"/>
              <w:rPr>
                <w:sz w:val="20"/>
                <w:szCs w:val="20"/>
                <w:color w:val="auto"/>
              </w:rPr>
            </w:pPr>
            <w:r>
              <w:rPr>
                <w:rFonts w:ascii="Calibri" w:cs="Calibri" w:eastAsia="Calibri" w:hAnsi="Calibri"/>
                <w:sz w:val="16"/>
                <w:szCs w:val="16"/>
                <w:color w:val="auto"/>
              </w:rPr>
              <w:t>(1,696)</w:t>
            </w:r>
          </w:p>
        </w:tc>
      </w:tr>
      <w:tr>
        <w:trPr>
          <w:trHeight w:val="23"/>
        </w:trPr>
        <w:tc>
          <w:tcPr>
            <w:tcW w:w="6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65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14"/>
        </w:trPr>
        <w:tc>
          <w:tcPr>
            <w:tcW w:w="6560" w:type="dxa"/>
            <w:vAlign w:val="bottom"/>
            <w:tcBorders>
              <w:bottom w:val="single" w:sz="8" w:color="D9D9D9"/>
            </w:tcBorders>
            <w:shd w:val="clear" w:color="auto" w:fill="D9D9D9"/>
          </w:tcPr>
          <w:p>
            <w:pPr>
              <w:ind w:left="80"/>
              <w:spacing w:after="0" w:line="187" w:lineRule="exact"/>
              <w:rPr>
                <w:sz w:val="20"/>
                <w:szCs w:val="20"/>
                <w:color w:val="auto"/>
              </w:rPr>
            </w:pPr>
            <w:r>
              <w:rPr>
                <w:rFonts w:ascii="Calibri" w:cs="Calibri" w:eastAsia="Calibri" w:hAnsi="Calibri"/>
                <w:sz w:val="16"/>
                <w:szCs w:val="16"/>
                <w:b w:val="1"/>
                <w:bCs w:val="1"/>
                <w:color w:val="auto"/>
              </w:rPr>
              <w:t>NET LOSS FOR THE PERIOD</w:t>
            </w:r>
          </w:p>
        </w:tc>
        <w:tc>
          <w:tcPr>
            <w:tcW w:w="1960" w:type="dxa"/>
            <w:vAlign w:val="bottom"/>
            <w:tcBorders>
              <w:bottom w:val="single" w:sz="8" w:color="D9D9D9"/>
            </w:tcBorders>
            <w:shd w:val="clear" w:color="auto" w:fill="D9D9D9"/>
          </w:tcPr>
          <w:p>
            <w:pPr>
              <w:spacing w:after="0"/>
              <w:rPr>
                <w:sz w:val="18"/>
                <w:szCs w:val="18"/>
                <w:color w:val="auto"/>
              </w:rPr>
            </w:pPr>
          </w:p>
        </w:tc>
        <w:tc>
          <w:tcPr>
            <w:tcW w:w="1720" w:type="dxa"/>
            <w:vAlign w:val="bottom"/>
            <w:tcBorders>
              <w:bottom w:val="single" w:sz="8" w:color="D9D9D9"/>
            </w:tcBorders>
            <w:shd w:val="clear" w:color="auto" w:fill="D9D9D9"/>
          </w:tcPr>
          <w:p>
            <w:pPr>
              <w:jc w:val="right"/>
              <w:ind w:right="478"/>
              <w:spacing w:after="0" w:line="187" w:lineRule="exact"/>
              <w:rPr>
                <w:sz w:val="20"/>
                <w:szCs w:val="20"/>
                <w:color w:val="auto"/>
              </w:rPr>
            </w:pPr>
            <w:r>
              <w:rPr>
                <w:rFonts w:ascii="Calibri" w:cs="Calibri" w:eastAsia="Calibri" w:hAnsi="Calibri"/>
                <w:sz w:val="16"/>
                <w:szCs w:val="16"/>
                <w:b w:val="1"/>
                <w:bCs w:val="1"/>
                <w:color w:val="auto"/>
              </w:rPr>
              <w:t>(67,631)</w:t>
            </w:r>
          </w:p>
        </w:tc>
        <w:tc>
          <w:tcPr>
            <w:tcW w:w="1000" w:type="dxa"/>
            <w:vAlign w:val="bottom"/>
            <w:tcBorders>
              <w:bottom w:val="single" w:sz="8" w:color="D9D9D9"/>
            </w:tcBorders>
            <w:shd w:val="clear" w:color="auto" w:fill="D9D9D9"/>
          </w:tcPr>
          <w:p>
            <w:pPr>
              <w:jc w:val="right"/>
              <w:spacing w:after="0" w:line="187" w:lineRule="exact"/>
              <w:rPr>
                <w:sz w:val="20"/>
                <w:szCs w:val="20"/>
                <w:color w:val="auto"/>
              </w:rPr>
            </w:pPr>
            <w:r>
              <w:rPr>
                <w:rFonts w:ascii="Calibri" w:cs="Calibri" w:eastAsia="Calibri" w:hAnsi="Calibri"/>
                <w:sz w:val="16"/>
                <w:szCs w:val="16"/>
                <w:color w:val="auto"/>
              </w:rPr>
              <w:t>(32,220)</w:t>
            </w:r>
          </w:p>
        </w:tc>
      </w:tr>
      <w:tr>
        <w:trPr>
          <w:trHeight w:val="425"/>
        </w:trPr>
        <w:tc>
          <w:tcPr>
            <w:tcW w:w="6560" w:type="dxa"/>
            <w:vAlign w:val="bottom"/>
            <w:tcBorders>
              <w:top w:val="single" w:sz="8" w:color="auto"/>
            </w:tcBorders>
          </w:tcPr>
          <w:p>
            <w:pPr>
              <w:ind w:left="80"/>
              <w:spacing w:after="0"/>
              <w:rPr>
                <w:sz w:val="20"/>
                <w:szCs w:val="20"/>
                <w:color w:val="auto"/>
              </w:rPr>
            </w:pPr>
            <w:r>
              <w:rPr>
                <w:rFonts w:ascii="Calibri" w:cs="Calibri" w:eastAsia="Calibri" w:hAnsi="Calibri"/>
                <w:sz w:val="16"/>
                <w:szCs w:val="16"/>
                <w:b w:val="1"/>
                <w:bCs w:val="1"/>
                <w:color w:val="auto"/>
              </w:rPr>
              <w:t>OTHER COMPREHENSIVE LOSS</w:t>
            </w:r>
          </w:p>
        </w:tc>
        <w:tc>
          <w:tcPr>
            <w:tcW w:w="196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43"/>
        </w:trPr>
        <w:tc>
          <w:tcPr>
            <w:tcW w:w="6560" w:type="dxa"/>
            <w:vAlign w:val="bottom"/>
          </w:tcPr>
          <w:p>
            <w:pPr>
              <w:ind w:left="180"/>
              <w:spacing w:after="0"/>
              <w:rPr>
                <w:sz w:val="20"/>
                <w:szCs w:val="20"/>
                <w:color w:val="auto"/>
              </w:rPr>
            </w:pPr>
            <w:r>
              <w:rPr>
                <w:rFonts w:ascii="Calibri" w:cs="Calibri" w:eastAsia="Calibri" w:hAnsi="Calibri"/>
                <w:sz w:val="16"/>
                <w:szCs w:val="16"/>
                <w:color w:val="auto"/>
              </w:rPr>
              <w:t>Foreign currency translaton diferences for foreign operatons</w:t>
            </w:r>
          </w:p>
        </w:tc>
        <w:tc>
          <w:tcPr>
            <w:tcW w:w="1960" w:type="dxa"/>
            <w:vAlign w:val="bottom"/>
          </w:tcPr>
          <w:p>
            <w:pPr>
              <w:spacing w:after="0"/>
              <w:rPr>
                <w:sz w:val="21"/>
                <w:szCs w:val="21"/>
                <w:color w:val="auto"/>
              </w:rPr>
            </w:pPr>
          </w:p>
        </w:tc>
        <w:tc>
          <w:tcPr>
            <w:tcW w:w="1720" w:type="dxa"/>
            <w:vAlign w:val="bottom"/>
          </w:tcPr>
          <w:p>
            <w:pPr>
              <w:jc w:val="right"/>
              <w:ind w:right="478"/>
              <w:spacing w:after="0"/>
              <w:rPr>
                <w:sz w:val="20"/>
                <w:szCs w:val="20"/>
                <w:color w:val="auto"/>
              </w:rPr>
            </w:pPr>
            <w:r>
              <w:rPr>
                <w:rFonts w:ascii="Calibri" w:cs="Calibri" w:eastAsia="Calibri" w:hAnsi="Calibri"/>
                <w:sz w:val="16"/>
                <w:szCs w:val="16"/>
                <w:b w:val="1"/>
                <w:bCs w:val="1"/>
                <w:color w:val="auto"/>
              </w:rPr>
              <w:t>(390)</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24</w:t>
            </w:r>
          </w:p>
        </w:tc>
      </w:tr>
      <w:tr>
        <w:trPr>
          <w:trHeight w:val="28"/>
        </w:trPr>
        <w:tc>
          <w:tcPr>
            <w:tcW w:w="65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4"/>
        </w:trPr>
        <w:tc>
          <w:tcPr>
            <w:tcW w:w="6560" w:type="dxa"/>
            <w:vAlign w:val="bottom"/>
            <w:tcBorders>
              <w:bottom w:val="single" w:sz="8" w:color="D9D9D9"/>
            </w:tcBorders>
            <w:shd w:val="clear" w:color="auto" w:fill="D9D9D9"/>
          </w:tcPr>
          <w:p>
            <w:pPr>
              <w:ind w:left="80"/>
              <w:spacing w:after="0" w:line="187" w:lineRule="exact"/>
              <w:rPr>
                <w:sz w:val="20"/>
                <w:szCs w:val="20"/>
                <w:color w:val="auto"/>
              </w:rPr>
            </w:pPr>
            <w:r>
              <w:rPr>
                <w:rFonts w:ascii="Calibri" w:cs="Calibri" w:eastAsia="Calibri" w:hAnsi="Calibri"/>
                <w:sz w:val="16"/>
                <w:szCs w:val="16"/>
                <w:b w:val="1"/>
                <w:bCs w:val="1"/>
                <w:color w:val="auto"/>
              </w:rPr>
              <w:t>COMPREHENSIVE LOSS FOR THE PERIOD</w:t>
            </w:r>
          </w:p>
        </w:tc>
        <w:tc>
          <w:tcPr>
            <w:tcW w:w="1960" w:type="dxa"/>
            <w:vAlign w:val="bottom"/>
            <w:tcBorders>
              <w:bottom w:val="single" w:sz="8" w:color="D9D9D9"/>
            </w:tcBorders>
            <w:shd w:val="clear" w:color="auto" w:fill="D9D9D9"/>
          </w:tcPr>
          <w:p>
            <w:pPr>
              <w:spacing w:after="0"/>
              <w:rPr>
                <w:sz w:val="18"/>
                <w:szCs w:val="18"/>
                <w:color w:val="auto"/>
              </w:rPr>
            </w:pPr>
          </w:p>
        </w:tc>
        <w:tc>
          <w:tcPr>
            <w:tcW w:w="1720" w:type="dxa"/>
            <w:vAlign w:val="bottom"/>
            <w:tcBorders>
              <w:bottom w:val="single" w:sz="8" w:color="D9D9D9"/>
            </w:tcBorders>
            <w:shd w:val="clear" w:color="auto" w:fill="D9D9D9"/>
          </w:tcPr>
          <w:p>
            <w:pPr>
              <w:jc w:val="right"/>
              <w:ind w:right="478"/>
              <w:spacing w:after="0" w:line="187" w:lineRule="exact"/>
              <w:rPr>
                <w:sz w:val="20"/>
                <w:szCs w:val="20"/>
                <w:color w:val="auto"/>
              </w:rPr>
            </w:pPr>
            <w:r>
              <w:rPr>
                <w:rFonts w:ascii="Calibri" w:cs="Calibri" w:eastAsia="Calibri" w:hAnsi="Calibri"/>
                <w:sz w:val="16"/>
                <w:szCs w:val="16"/>
                <w:b w:val="1"/>
                <w:bCs w:val="1"/>
                <w:color w:val="auto"/>
              </w:rPr>
              <w:t>(68,021)</w:t>
            </w:r>
          </w:p>
        </w:tc>
        <w:tc>
          <w:tcPr>
            <w:tcW w:w="1000" w:type="dxa"/>
            <w:vAlign w:val="bottom"/>
            <w:tcBorders>
              <w:bottom w:val="single" w:sz="8" w:color="D9D9D9"/>
            </w:tcBorders>
            <w:shd w:val="clear" w:color="auto" w:fill="D9D9D9"/>
          </w:tcPr>
          <w:p>
            <w:pPr>
              <w:jc w:val="right"/>
              <w:spacing w:after="0" w:line="187" w:lineRule="exact"/>
              <w:rPr>
                <w:sz w:val="20"/>
                <w:szCs w:val="20"/>
                <w:color w:val="auto"/>
              </w:rPr>
            </w:pPr>
            <w:r>
              <w:rPr>
                <w:rFonts w:ascii="Calibri" w:cs="Calibri" w:eastAsia="Calibri" w:hAnsi="Calibri"/>
                <w:sz w:val="16"/>
                <w:szCs w:val="16"/>
                <w:color w:val="auto"/>
              </w:rPr>
              <w:t>(32,196)</w:t>
            </w:r>
          </w:p>
        </w:tc>
      </w:tr>
      <w:tr>
        <w:trPr>
          <w:trHeight w:val="425"/>
        </w:trPr>
        <w:tc>
          <w:tcPr>
            <w:tcW w:w="6560" w:type="dxa"/>
            <w:vAlign w:val="bottom"/>
            <w:tcBorders>
              <w:top w:val="single" w:sz="8" w:color="auto"/>
            </w:tcBorders>
          </w:tcPr>
          <w:p>
            <w:pPr>
              <w:ind w:left="80"/>
              <w:spacing w:after="0"/>
              <w:rPr>
                <w:sz w:val="20"/>
                <w:szCs w:val="20"/>
                <w:color w:val="auto"/>
              </w:rPr>
            </w:pPr>
            <w:r>
              <w:rPr>
                <w:rFonts w:ascii="Calibri" w:cs="Calibri" w:eastAsia="Calibri" w:hAnsi="Calibri"/>
                <w:sz w:val="16"/>
                <w:szCs w:val="16"/>
                <w:b w:val="1"/>
                <w:bCs w:val="1"/>
                <w:color w:val="auto"/>
              </w:rPr>
              <w:t>Basic loss per share for the period atributable to common shareholders</w:t>
            </w:r>
          </w:p>
        </w:tc>
        <w:tc>
          <w:tcPr>
            <w:tcW w:w="196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jc w:val="right"/>
              <w:ind w:right="478"/>
              <w:spacing w:after="0"/>
              <w:rPr>
                <w:sz w:val="20"/>
                <w:szCs w:val="20"/>
                <w:color w:val="auto"/>
              </w:rPr>
            </w:pPr>
            <w:r>
              <w:rPr>
                <w:rFonts w:ascii="Calibri" w:cs="Calibri" w:eastAsia="Calibri" w:hAnsi="Calibri"/>
                <w:sz w:val="16"/>
                <w:szCs w:val="16"/>
                <w:b w:val="1"/>
                <w:bCs w:val="1"/>
                <w:color w:val="auto"/>
              </w:rPr>
              <w:t>(0.40)</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(0.32)</w:t>
            </w:r>
          </w:p>
        </w:tc>
      </w:tr>
      <w:tr>
        <w:trPr>
          <w:trHeight w:val="28"/>
        </w:trPr>
        <w:tc>
          <w:tcPr>
            <w:tcW w:w="65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7"/>
        </w:trPr>
        <w:tc>
          <w:tcPr>
            <w:tcW w:w="6560" w:type="dxa"/>
            <w:vAlign w:val="bottom"/>
          </w:tcPr>
          <w:p>
            <w:pPr>
              <w:ind w:left="80"/>
              <w:spacing w:after="0" w:line="187" w:lineRule="exact"/>
              <w:rPr>
                <w:sz w:val="20"/>
                <w:szCs w:val="20"/>
                <w:color w:val="auto"/>
              </w:rPr>
            </w:pPr>
            <w:r>
              <w:rPr>
                <w:rFonts w:ascii="Calibri" w:cs="Calibri" w:eastAsia="Calibri" w:hAnsi="Calibri"/>
                <w:sz w:val="16"/>
                <w:szCs w:val="16"/>
                <w:b w:val="1"/>
                <w:bCs w:val="1"/>
                <w:color w:val="auto"/>
              </w:rPr>
              <w:t>Weighted average number of common shares outstanding - basic</w:t>
            </w:r>
          </w:p>
        </w:tc>
        <w:tc>
          <w:tcPr>
            <w:tcW w:w="1960" w:type="dxa"/>
            <w:vAlign w:val="bottom"/>
          </w:tcPr>
          <w:p>
            <w:pPr>
              <w:spacing w:after="0"/>
              <w:rPr>
                <w:sz w:val="16"/>
                <w:szCs w:val="16"/>
                <w:color w:val="auto"/>
              </w:rPr>
            </w:pPr>
          </w:p>
        </w:tc>
        <w:tc>
          <w:tcPr>
            <w:tcW w:w="1720" w:type="dxa"/>
            <w:vAlign w:val="bottom"/>
          </w:tcPr>
          <w:p>
            <w:pPr>
              <w:jc w:val="right"/>
              <w:ind w:right="478"/>
              <w:spacing w:after="0" w:line="187" w:lineRule="exact"/>
              <w:rPr>
                <w:sz w:val="20"/>
                <w:szCs w:val="20"/>
                <w:color w:val="auto"/>
              </w:rPr>
            </w:pPr>
            <w:r>
              <w:rPr>
                <w:rFonts w:ascii="Calibri" w:cs="Calibri" w:eastAsia="Calibri" w:hAnsi="Calibri"/>
                <w:sz w:val="16"/>
                <w:szCs w:val="16"/>
                <w:b w:val="1"/>
                <w:bCs w:val="1"/>
                <w:color w:val="auto"/>
              </w:rPr>
              <w:t>167,287,240</w:t>
            </w:r>
          </w:p>
        </w:tc>
        <w:tc>
          <w:tcPr>
            <w:tcW w:w="1000" w:type="dxa"/>
            <w:vAlign w:val="bottom"/>
          </w:tcPr>
          <w:p>
            <w:pPr>
              <w:jc w:val="right"/>
              <w:spacing w:after="0" w:line="187" w:lineRule="exact"/>
              <w:rPr>
                <w:sz w:val="20"/>
                <w:szCs w:val="20"/>
                <w:color w:val="auto"/>
              </w:rPr>
            </w:pPr>
            <w:r>
              <w:rPr>
                <w:rFonts w:ascii="Calibri" w:cs="Calibri" w:eastAsia="Calibri" w:hAnsi="Calibri"/>
                <w:sz w:val="16"/>
                <w:szCs w:val="16"/>
                <w:color w:val="auto"/>
              </w:rPr>
              <w:t>100,010,864</w:t>
            </w:r>
          </w:p>
        </w:tc>
      </w:tr>
      <w:tr>
        <w:trPr>
          <w:trHeight w:val="22"/>
        </w:trPr>
        <w:tc>
          <w:tcPr>
            <w:tcW w:w="6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accompanying notes are an integral part of these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0" w:name="page11"/>
    <w:bookmarkEnd w:id="10"/>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7" w:lineRule="auto"/>
        <w:rPr>
          <w:sz w:val="20"/>
          <w:szCs w:val="20"/>
          <w:color w:val="auto"/>
        </w:rPr>
      </w:pPr>
      <w:r>
        <w:rPr>
          <w:rFonts w:ascii="Calibri" w:cs="Calibri" w:eastAsia="Calibri" w:hAnsi="Calibri"/>
          <w:sz w:val="22"/>
          <w:szCs w:val="22"/>
          <w:b w:val="1"/>
          <w:bCs w:val="1"/>
          <w:color w:val="auto"/>
        </w:rPr>
        <w:t>CONSOLIDATED STATEMENTS OF CHANGES IN SHAREHOLDERS’ EQUITY</w:t>
      </w:r>
    </w:p>
    <w:p>
      <w:pPr>
        <w:spacing w:after="0" w:line="2"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color w:val="auto"/>
        </w:rPr>
        <w:t>(All amounts expressed in thousands of Canadian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328"/>
              <w:spacing w:after="0"/>
              <w:rPr>
                <w:sz w:val="20"/>
                <w:szCs w:val="20"/>
                <w:color w:val="auto"/>
              </w:rPr>
            </w:pPr>
            <w:r>
              <w:rPr>
                <w:rFonts w:ascii="Calibri" w:cs="Calibri" w:eastAsia="Calibri" w:hAnsi="Calibri"/>
                <w:sz w:val="14"/>
                <w:szCs w:val="14"/>
                <w:b w:val="1"/>
                <w:bCs w:val="1"/>
                <w:color w:val="auto"/>
              </w:rPr>
              <w:t>Share capital</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alibri" w:cs="Calibri" w:eastAsia="Calibri" w:hAnsi="Calibri"/>
                <w:sz w:val="14"/>
                <w:szCs w:val="14"/>
                <w:b w:val="1"/>
                <w:bCs w:val="1"/>
                <w:color w:val="auto"/>
              </w:rPr>
              <w:t>Reserves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Accumulated</w:t>
            </w: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jc w:val="center"/>
              <w:spacing w:after="0" w:line="127" w:lineRule="exact"/>
              <w:rPr>
                <w:sz w:val="20"/>
                <w:szCs w:val="20"/>
                <w:color w:val="auto"/>
              </w:rPr>
            </w:pPr>
            <w:r>
              <w:rPr>
                <w:rFonts w:ascii="Calibri" w:cs="Calibri" w:eastAsia="Calibri" w:hAnsi="Calibri"/>
                <w:sz w:val="13"/>
                <w:szCs w:val="13"/>
                <w:b w:val="1"/>
                <w:bCs w:val="1"/>
                <w:color w:val="auto"/>
              </w:rPr>
              <w:t>Equity</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jc w:val="center"/>
              <w:spacing w:after="0" w:line="136" w:lineRule="exact"/>
              <w:rPr>
                <w:sz w:val="20"/>
                <w:szCs w:val="20"/>
                <w:color w:val="auto"/>
              </w:rPr>
            </w:pPr>
            <w:r>
              <w:rPr>
                <w:rFonts w:ascii="Calibri" w:cs="Calibri" w:eastAsia="Calibri" w:hAnsi="Calibri"/>
                <w:sz w:val="14"/>
                <w:szCs w:val="14"/>
                <w:b w:val="1"/>
                <w:bCs w:val="1"/>
                <w:color w:val="auto"/>
              </w:rPr>
              <w:t>component of</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6" w:lineRule="exact"/>
              <w:rPr>
                <w:sz w:val="20"/>
                <w:szCs w:val="20"/>
                <w:color w:val="auto"/>
              </w:rPr>
            </w:pPr>
            <w:r>
              <w:rPr>
                <w:rFonts w:ascii="Calibri" w:cs="Calibri" w:eastAsia="Calibri" w:hAnsi="Calibri"/>
                <w:sz w:val="14"/>
                <w:szCs w:val="14"/>
                <w:b w:val="1"/>
                <w:bCs w:val="1"/>
                <w:color w:val="auto"/>
              </w:rPr>
              <w:t>other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Calibri" w:cs="Calibri" w:eastAsia="Calibri" w:hAnsi="Calibri"/>
                <w:sz w:val="14"/>
                <w:szCs w:val="14"/>
                <w:b w:val="1"/>
                <w:bCs w:val="1"/>
                <w:color w:val="auto"/>
              </w:rPr>
              <w:t>Number 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Calibri" w:cs="Calibri" w:eastAsia="Calibri" w:hAnsi="Calibri"/>
                <w:sz w:val="14"/>
                <w:szCs w:val="14"/>
                <w:b w:val="1"/>
                <w:bCs w:val="1"/>
                <w:color w:val="auto"/>
              </w:rPr>
              <w:t>convertble</w:t>
            </w:r>
          </w:p>
        </w:tc>
        <w:tc>
          <w:tcPr>
            <w:tcW w:w="800" w:type="dxa"/>
            <w:vAlign w:val="bottom"/>
          </w:tcPr>
          <w:p>
            <w:pPr>
              <w:jc w:val="center"/>
              <w:spacing w:after="0" w:line="149" w:lineRule="exact"/>
              <w:rPr>
                <w:sz w:val="20"/>
                <w:szCs w:val="20"/>
                <w:color w:val="auto"/>
              </w:rPr>
            </w:pPr>
            <w:r>
              <w:rPr>
                <w:rFonts w:ascii="Calibri" w:cs="Calibri" w:eastAsia="Calibri" w:hAnsi="Calibri"/>
                <w:sz w:val="14"/>
                <w:szCs w:val="14"/>
                <w:b w:val="1"/>
                <w:bCs w:val="1"/>
                <w:color w:val="auto"/>
              </w:rPr>
              <w:t>Contributed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Calibri" w:cs="Calibri" w:eastAsia="Calibri" w:hAnsi="Calibri"/>
                <w:sz w:val="14"/>
                <w:szCs w:val="14"/>
                <w:b w:val="1"/>
                <w:bCs w:val="1"/>
                <w:color w:val="auto"/>
              </w:rPr>
              <w:t>comprehensive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Calibri" w:cs="Calibri" w:eastAsia="Calibri" w:hAnsi="Calibri"/>
                <w:sz w:val="14"/>
                <w:szCs w:val="14"/>
                <w:b w:val="1"/>
                <w:bCs w:val="1"/>
                <w:color w:val="auto"/>
              </w:rPr>
              <w:t>Note</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Calibri" w:cs="Calibri" w:eastAsia="Calibri" w:hAnsi="Calibri"/>
                <w:sz w:val="14"/>
                <w:szCs w:val="14"/>
                <w:b w:val="1"/>
                <w:bCs w:val="1"/>
                <w:color w:val="auto"/>
              </w:rPr>
              <w:t>shares</w:t>
            </w:r>
          </w:p>
        </w:tc>
        <w:tc>
          <w:tcPr>
            <w:tcW w:w="70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Amount</w:t>
            </w:r>
          </w:p>
        </w:tc>
        <w:tc>
          <w:tcPr>
            <w:tcW w:w="10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Warrants</w:t>
            </w:r>
          </w:p>
        </w:tc>
        <w:tc>
          <w:tcPr>
            <w:tcW w:w="660" w:type="dxa"/>
            <w:vAlign w:val="bottom"/>
          </w:tcPr>
          <w:p>
            <w:pPr>
              <w:jc w:val="right"/>
              <w:ind w:right="28"/>
              <w:spacing w:after="0"/>
              <w:rPr>
                <w:sz w:val="20"/>
                <w:szCs w:val="20"/>
                <w:color w:val="auto"/>
              </w:rPr>
            </w:pPr>
            <w:r>
              <w:rPr>
                <w:rFonts w:ascii="Calibri" w:cs="Calibri" w:eastAsia="Calibri" w:hAnsi="Calibri"/>
                <w:sz w:val="14"/>
                <w:szCs w:val="14"/>
                <w:b w:val="1"/>
                <w:bCs w:val="1"/>
                <w:color w:val="auto"/>
              </w:rPr>
              <w:t>Optons</w:t>
            </w: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6"/>
              </w:rPr>
              <w:t>debt</w:t>
            </w:r>
          </w:p>
        </w:tc>
        <w:tc>
          <w:tcPr>
            <w:tcW w:w="800" w:type="dxa"/>
            <w:vAlign w:val="bottom"/>
          </w:tcPr>
          <w:p>
            <w:pPr>
              <w:jc w:val="center"/>
              <w:spacing w:after="0"/>
              <w:rPr>
                <w:sz w:val="20"/>
                <w:szCs w:val="20"/>
                <w:color w:val="auto"/>
              </w:rPr>
            </w:pPr>
            <w:r>
              <w:rPr>
                <w:rFonts w:ascii="Calibri" w:cs="Calibri" w:eastAsia="Calibri" w:hAnsi="Calibri"/>
                <w:sz w:val="14"/>
                <w:szCs w:val="14"/>
                <w:b w:val="1"/>
                <w:bCs w:val="1"/>
                <w:color w:val="auto"/>
              </w:rPr>
              <w:t>surplus</w:t>
            </w:r>
          </w:p>
        </w:tc>
        <w:tc>
          <w:tcPr>
            <w:tcW w:w="8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Calibri" w:cs="Calibri" w:eastAsia="Calibri" w:hAnsi="Calibri"/>
                <w:sz w:val="14"/>
                <w:szCs w:val="14"/>
                <w:b w:val="1"/>
                <w:bCs w:val="1"/>
                <w:color w:val="auto"/>
              </w:rPr>
              <w:t>Defcit</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income (loss)</w:t>
            </w:r>
          </w:p>
        </w:tc>
        <w:tc>
          <w:tcPr>
            <w:tcW w:w="10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6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w w:val="85"/>
              </w:rPr>
              <w:t>#</w:t>
            </w:r>
          </w:p>
        </w:tc>
        <w:tc>
          <w:tcPr>
            <w:tcW w:w="700" w:type="dxa"/>
            <w:vAlign w:val="bottom"/>
          </w:tcPr>
          <w:p>
            <w:pPr>
              <w:jc w:val="right"/>
              <w:ind w:right="248"/>
              <w:spacing w:after="0" w:line="164" w:lineRule="exact"/>
              <w:rPr>
                <w:sz w:val="20"/>
                <w:szCs w:val="20"/>
                <w:color w:val="auto"/>
              </w:rPr>
            </w:pPr>
            <w:r>
              <w:rPr>
                <w:rFonts w:ascii="Calibri" w:cs="Calibri" w:eastAsia="Calibri" w:hAnsi="Calibri"/>
                <w:sz w:val="14"/>
                <w:szCs w:val="14"/>
                <w:b w:val="1"/>
                <w:bCs w:val="1"/>
                <w:color w:val="auto"/>
              </w:rPr>
              <w:t>$</w:t>
            </w:r>
          </w:p>
        </w:tc>
        <w:tc>
          <w:tcPr>
            <w:tcW w:w="100" w:type="dxa"/>
            <w:vAlign w:val="bottom"/>
            <w:vMerge w:val="continue"/>
          </w:tcPr>
          <w:p>
            <w:pPr>
              <w:spacing w:after="0"/>
              <w:rPr>
                <w:sz w:val="14"/>
                <w:szCs w:val="14"/>
                <w:color w:val="auto"/>
              </w:rPr>
            </w:pPr>
          </w:p>
        </w:tc>
        <w:tc>
          <w:tcPr>
            <w:tcW w:w="700" w:type="dxa"/>
            <w:vAlign w:val="bottom"/>
          </w:tcPr>
          <w:p>
            <w:pPr>
              <w:jc w:val="right"/>
              <w:ind w:right="248"/>
              <w:spacing w:after="0" w:line="164" w:lineRule="exact"/>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ind w:right="228"/>
              <w:spacing w:after="0" w:line="164" w:lineRule="exact"/>
              <w:rPr>
                <w:sz w:val="20"/>
                <w:szCs w:val="20"/>
                <w:color w:val="auto"/>
              </w:rPr>
            </w:pPr>
            <w:r>
              <w:rPr>
                <w:rFonts w:ascii="Calibri" w:cs="Calibri" w:eastAsia="Calibri" w:hAnsi="Calibri"/>
                <w:sz w:val="14"/>
                <w:szCs w:val="14"/>
                <w:b w:val="1"/>
                <w:bCs w:val="1"/>
                <w:color w:val="auto"/>
              </w:rPr>
              <w:t>$</w:t>
            </w:r>
          </w:p>
        </w:tc>
        <w:tc>
          <w:tcPr>
            <w:tcW w:w="94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w w:val="83"/>
              </w:rPr>
              <w:t>$</w:t>
            </w:r>
          </w:p>
        </w:tc>
        <w:tc>
          <w:tcPr>
            <w:tcW w:w="80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rPr>
              <w:t>$</w:t>
            </w:r>
          </w:p>
        </w:tc>
        <w:tc>
          <w:tcPr>
            <w:tcW w:w="80" w:type="dxa"/>
            <w:vAlign w:val="bottom"/>
            <w:vMerge w:val="continue"/>
          </w:tcPr>
          <w:p>
            <w:pPr>
              <w:spacing w:after="0"/>
              <w:rPr>
                <w:sz w:val="14"/>
                <w:szCs w:val="14"/>
                <w:color w:val="auto"/>
              </w:rPr>
            </w:pPr>
          </w:p>
        </w:tc>
        <w:tc>
          <w:tcPr>
            <w:tcW w:w="680" w:type="dxa"/>
            <w:vAlign w:val="bottom"/>
          </w:tcPr>
          <w:p>
            <w:pPr>
              <w:jc w:val="right"/>
              <w:ind w:right="228"/>
              <w:spacing w:after="0" w:line="164" w:lineRule="exact"/>
              <w:rPr>
                <w:sz w:val="20"/>
                <w:szCs w:val="20"/>
                <w:color w:val="auto"/>
              </w:rPr>
            </w:pPr>
            <w:r>
              <w:rPr>
                <w:rFonts w:ascii="Calibri" w:cs="Calibri" w:eastAsia="Calibri" w:hAnsi="Calibri"/>
                <w:sz w:val="14"/>
                <w:szCs w:val="14"/>
                <w:b w:val="1"/>
                <w:bCs w:val="1"/>
                <w:color w:val="auto"/>
              </w:rPr>
              <w:t>$</w:t>
            </w:r>
          </w:p>
        </w:tc>
        <w:tc>
          <w:tcPr>
            <w:tcW w:w="100" w:type="dxa"/>
            <w:vAlign w:val="bottom"/>
            <w:vMerge w:val="continue"/>
          </w:tcPr>
          <w:p>
            <w:pPr>
              <w:spacing w:after="0"/>
              <w:rPr>
                <w:sz w:val="14"/>
                <w:szCs w:val="14"/>
                <w:color w:val="auto"/>
              </w:rPr>
            </w:pPr>
          </w:p>
        </w:tc>
        <w:tc>
          <w:tcPr>
            <w:tcW w:w="1000" w:type="dxa"/>
            <w:vAlign w:val="bottom"/>
          </w:tcPr>
          <w:p>
            <w:pPr>
              <w:jc w:val="right"/>
              <w:ind w:right="348"/>
              <w:spacing w:after="0" w:line="164" w:lineRule="exact"/>
              <w:rPr>
                <w:sz w:val="20"/>
                <w:szCs w:val="20"/>
                <w:color w:val="auto"/>
              </w:rPr>
            </w:pPr>
            <w:r>
              <w:rPr>
                <w:rFonts w:ascii="Calibri" w:cs="Calibri" w:eastAsia="Calibri" w:hAnsi="Calibri"/>
                <w:sz w:val="14"/>
                <w:szCs w:val="14"/>
                <w:b w:val="1"/>
                <w:bCs w:val="1"/>
                <w:color w:val="auto"/>
              </w:rPr>
              <w:t>$</w:t>
            </w:r>
          </w:p>
        </w:tc>
        <w:tc>
          <w:tcPr>
            <w:tcW w:w="780" w:type="dxa"/>
            <w:vAlign w:val="bottom"/>
            <w:gridSpan w:val="2"/>
          </w:tcPr>
          <w:p>
            <w:pPr>
              <w:jc w:val="right"/>
              <w:ind w:right="228"/>
              <w:spacing w:after="0" w:line="164" w:lineRule="exact"/>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33"/>
        </w:trPr>
        <w:tc>
          <w:tcPr>
            <w:tcW w:w="3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D9D9D9"/>
            </w:tcBorders>
            <w:shd w:val="clear" w:color="auto" w:fill="D9D9D9"/>
          </w:tcPr>
          <w:p>
            <w:pPr>
              <w:ind w:left="80"/>
              <w:spacing w:after="0" w:line="164" w:lineRule="exact"/>
              <w:rPr>
                <w:sz w:val="20"/>
                <w:szCs w:val="20"/>
                <w:color w:val="auto"/>
              </w:rPr>
            </w:pPr>
            <w:r>
              <w:rPr>
                <w:rFonts w:ascii="Calibri" w:cs="Calibri" w:eastAsia="Calibri" w:hAnsi="Calibri"/>
                <w:sz w:val="14"/>
                <w:szCs w:val="14"/>
                <w:b w:val="1"/>
                <w:bCs w:val="1"/>
                <w:color w:val="auto"/>
              </w:rPr>
              <w:t>Balance at March 31, 2020</w:t>
            </w:r>
          </w:p>
        </w:tc>
        <w:tc>
          <w:tcPr>
            <w:tcW w:w="600" w:type="dxa"/>
            <w:vAlign w:val="bottom"/>
            <w:tcBorders>
              <w:bottom w:val="single" w:sz="8" w:color="D9D9D9"/>
            </w:tcBorders>
            <w:shd w:val="clear" w:color="auto" w:fill="D9D9D9"/>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D9D9D9"/>
            </w:tcBorders>
            <w:shd w:val="clear" w:color="auto" w:fill="D9D9D9"/>
          </w:tcPr>
          <w:p>
            <w:pPr>
              <w:jc w:val="right"/>
              <w:ind w:right="28"/>
              <w:spacing w:after="0" w:line="164" w:lineRule="exact"/>
              <w:rPr>
                <w:sz w:val="20"/>
                <w:szCs w:val="20"/>
                <w:color w:val="auto"/>
              </w:rPr>
            </w:pPr>
            <w:r>
              <w:rPr>
                <w:rFonts w:ascii="Calibri" w:cs="Calibri" w:eastAsia="Calibri" w:hAnsi="Calibri"/>
                <w:sz w:val="14"/>
                <w:szCs w:val="14"/>
                <w:b w:val="1"/>
                <w:bCs w:val="1"/>
                <w:color w:val="auto"/>
              </w:rPr>
              <w:t>56,503,570</w:t>
            </w:r>
          </w:p>
        </w:tc>
        <w:tc>
          <w:tcPr>
            <w:tcW w:w="700" w:type="dxa"/>
            <w:vAlign w:val="bottom"/>
            <w:tcBorders>
              <w:bottom w:val="single" w:sz="8" w:color="D9D9D9"/>
            </w:tcBorders>
            <w:shd w:val="clear" w:color="auto" w:fill="D9D9D9"/>
          </w:tcPr>
          <w:p>
            <w:pPr>
              <w:jc w:val="right"/>
              <w:spacing w:after="0" w:line="164" w:lineRule="exact"/>
              <w:rPr>
                <w:sz w:val="20"/>
                <w:szCs w:val="20"/>
                <w:color w:val="auto"/>
              </w:rPr>
            </w:pPr>
            <w:r>
              <w:rPr>
                <w:rFonts w:ascii="Calibri" w:cs="Calibri" w:eastAsia="Calibri" w:hAnsi="Calibri"/>
                <w:sz w:val="14"/>
                <w:szCs w:val="14"/>
                <w:b w:val="1"/>
                <w:bCs w:val="1"/>
                <w:color w:val="auto"/>
              </w:rPr>
              <w:t>2,187</w:t>
            </w:r>
          </w:p>
        </w:tc>
        <w:tc>
          <w:tcPr>
            <w:tcW w:w="100" w:type="dxa"/>
            <w:vAlign w:val="bottom"/>
          </w:tcPr>
          <w:p>
            <w:pPr>
              <w:spacing w:after="0"/>
              <w:rPr>
                <w:sz w:val="17"/>
                <w:szCs w:val="17"/>
                <w:color w:val="auto"/>
              </w:rPr>
            </w:pPr>
          </w:p>
        </w:tc>
        <w:tc>
          <w:tcPr>
            <w:tcW w:w="700" w:type="dxa"/>
            <w:vAlign w:val="bottom"/>
            <w:tcBorders>
              <w:bottom w:val="single" w:sz="8" w:color="D9D9D9"/>
            </w:tcBorders>
            <w:shd w:val="clear" w:color="auto" w:fill="D9D9D9"/>
          </w:tcPr>
          <w:p>
            <w:pPr>
              <w:jc w:val="right"/>
              <w:ind w:right="8"/>
              <w:spacing w:after="0" w:line="164" w:lineRule="exact"/>
              <w:rPr>
                <w:sz w:val="20"/>
                <w:szCs w:val="20"/>
                <w:color w:val="auto"/>
              </w:rPr>
            </w:pPr>
            <w:r>
              <w:rPr>
                <w:rFonts w:ascii="Calibri" w:cs="Calibri" w:eastAsia="Calibri" w:hAnsi="Calibri"/>
                <w:sz w:val="14"/>
                <w:szCs w:val="14"/>
                <w:b w:val="1"/>
                <w:bCs w:val="1"/>
                <w:color w:val="auto"/>
              </w:rPr>
              <w:t>7</w:t>
            </w:r>
          </w:p>
        </w:tc>
        <w:tc>
          <w:tcPr>
            <w:tcW w:w="660" w:type="dxa"/>
            <w:vAlign w:val="bottom"/>
            <w:tcBorders>
              <w:bottom w:val="single" w:sz="8" w:color="D9D9D9"/>
            </w:tcBorders>
            <w:shd w:val="clear" w:color="auto" w:fill="D9D9D9"/>
          </w:tcPr>
          <w:p>
            <w:pPr>
              <w:jc w:val="right"/>
              <w:spacing w:after="0" w:line="164" w:lineRule="exact"/>
              <w:rPr>
                <w:sz w:val="20"/>
                <w:szCs w:val="20"/>
                <w:color w:val="auto"/>
              </w:rPr>
            </w:pPr>
            <w:r>
              <w:rPr>
                <w:rFonts w:ascii="Calibri" w:cs="Calibri" w:eastAsia="Calibri" w:hAnsi="Calibri"/>
                <w:sz w:val="14"/>
                <w:szCs w:val="14"/>
                <w:b w:val="1"/>
                <w:bCs w:val="1"/>
                <w:color w:val="auto"/>
              </w:rPr>
              <w:t>64</w:t>
            </w:r>
          </w:p>
        </w:tc>
        <w:tc>
          <w:tcPr>
            <w:tcW w:w="940" w:type="dxa"/>
            <w:vAlign w:val="bottom"/>
            <w:tcBorders>
              <w:bottom w:val="single" w:sz="8" w:color="D9D9D9"/>
            </w:tcBorders>
            <w:shd w:val="clear" w:color="auto" w:fill="D9D9D9"/>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D9D9D9"/>
            </w:tcBorders>
            <w:shd w:val="clear" w:color="auto" w:fill="D9D9D9"/>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7"/>
                <w:szCs w:val="17"/>
                <w:color w:val="auto"/>
              </w:rPr>
            </w:pPr>
          </w:p>
        </w:tc>
        <w:tc>
          <w:tcPr>
            <w:tcW w:w="680" w:type="dxa"/>
            <w:vAlign w:val="bottom"/>
            <w:tcBorders>
              <w:bottom w:val="single" w:sz="8" w:color="D9D9D9"/>
            </w:tcBorders>
            <w:shd w:val="clear" w:color="auto" w:fill="D9D9D9"/>
          </w:tcPr>
          <w:p>
            <w:pPr>
              <w:jc w:val="right"/>
              <w:spacing w:after="0" w:line="164" w:lineRule="exact"/>
              <w:rPr>
                <w:sz w:val="20"/>
                <w:szCs w:val="20"/>
                <w:color w:val="auto"/>
              </w:rPr>
            </w:pPr>
            <w:r>
              <w:rPr>
                <w:rFonts w:ascii="Calibri" w:cs="Calibri" w:eastAsia="Calibri" w:hAnsi="Calibri"/>
                <w:sz w:val="14"/>
                <w:szCs w:val="14"/>
                <w:b w:val="1"/>
                <w:bCs w:val="1"/>
                <w:color w:val="auto"/>
              </w:rPr>
              <w:t>(810)</w:t>
            </w:r>
          </w:p>
        </w:tc>
        <w:tc>
          <w:tcPr>
            <w:tcW w:w="100" w:type="dxa"/>
            <w:vAlign w:val="bottom"/>
          </w:tcPr>
          <w:p>
            <w:pPr>
              <w:spacing w:after="0"/>
              <w:rPr>
                <w:sz w:val="17"/>
                <w:szCs w:val="17"/>
                <w:color w:val="auto"/>
              </w:rPr>
            </w:pPr>
          </w:p>
        </w:tc>
        <w:tc>
          <w:tcPr>
            <w:tcW w:w="1000" w:type="dxa"/>
            <w:vAlign w:val="bottom"/>
            <w:tcBorders>
              <w:bottom w:val="single" w:sz="8" w:color="D9D9D9"/>
            </w:tcBorders>
            <w:shd w:val="clear" w:color="auto" w:fill="D9D9D9"/>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680" w:type="dxa"/>
            <w:vAlign w:val="bottom"/>
            <w:tcBorders>
              <w:bottom w:val="single" w:sz="8" w:color="D9D9D9"/>
            </w:tcBorders>
            <w:shd w:val="clear" w:color="auto" w:fill="D9D9D9"/>
          </w:tcPr>
          <w:p>
            <w:pPr>
              <w:jc w:val="right"/>
              <w:spacing w:after="0" w:line="164" w:lineRule="exact"/>
              <w:rPr>
                <w:sz w:val="20"/>
                <w:szCs w:val="20"/>
                <w:color w:val="auto"/>
              </w:rPr>
            </w:pPr>
            <w:r>
              <w:rPr>
                <w:rFonts w:ascii="Calibri" w:cs="Calibri" w:eastAsia="Calibri" w:hAnsi="Calibri"/>
                <w:sz w:val="14"/>
                <w:szCs w:val="14"/>
                <w:b w:val="1"/>
                <w:bCs w:val="1"/>
                <w:color w:val="auto"/>
              </w:rPr>
              <w:t>1,448</w:t>
            </w:r>
          </w:p>
        </w:tc>
        <w:tc>
          <w:tcPr>
            <w:tcW w:w="0" w:type="dxa"/>
            <w:vAlign w:val="bottom"/>
          </w:tcPr>
          <w:p>
            <w:pPr>
              <w:spacing w:after="0"/>
              <w:rPr>
                <w:sz w:val="1"/>
                <w:szCs w:val="1"/>
                <w:color w:val="auto"/>
              </w:rPr>
            </w:pPr>
          </w:p>
        </w:tc>
      </w:tr>
      <w:tr>
        <w:trPr>
          <w:trHeight w:val="128"/>
        </w:trPr>
        <w:tc>
          <w:tcPr>
            <w:tcW w:w="3160" w:type="dxa"/>
            <w:vAlign w:val="bottom"/>
            <w:tcBorders>
              <w:top w:val="single" w:sz="8" w:color="929292"/>
            </w:tcBorders>
          </w:tcPr>
          <w:p>
            <w:pPr>
              <w:ind w:left="80"/>
              <w:spacing w:after="0" w:line="127" w:lineRule="exact"/>
              <w:rPr>
                <w:sz w:val="20"/>
                <w:szCs w:val="20"/>
                <w:color w:val="auto"/>
              </w:rPr>
            </w:pPr>
            <w:r>
              <w:rPr>
                <w:rFonts w:ascii="Calibri" w:cs="Calibri" w:eastAsia="Calibri" w:hAnsi="Calibri"/>
                <w:sz w:val="13"/>
                <w:szCs w:val="13"/>
                <w:color w:val="auto"/>
              </w:rPr>
              <w:t>Shares issued for cash net of share issuance costs –</w:t>
            </w:r>
          </w:p>
        </w:tc>
        <w:tc>
          <w:tcPr>
            <w:tcW w:w="600" w:type="dxa"/>
            <w:vAlign w:val="bottom"/>
            <w:tcBorders>
              <w:top w:val="single" w:sz="8" w:color="929292"/>
            </w:tcBorders>
          </w:tcPr>
          <w:p>
            <w:pPr>
              <w:spacing w:after="0"/>
              <w:rPr>
                <w:sz w:val="11"/>
                <w:szCs w:val="11"/>
                <w:color w:val="auto"/>
              </w:rPr>
            </w:pPr>
          </w:p>
        </w:tc>
        <w:tc>
          <w:tcPr>
            <w:tcW w:w="940" w:type="dxa"/>
            <w:vAlign w:val="bottom"/>
            <w:tcBorders>
              <w:top w:val="single" w:sz="8" w:color="929292"/>
            </w:tcBorders>
            <w:gridSpan w:val="2"/>
            <w:vMerge w:val="restart"/>
          </w:tcPr>
          <w:p>
            <w:pPr>
              <w:jc w:val="right"/>
              <w:ind w:right="28"/>
              <w:spacing w:after="0"/>
              <w:rPr>
                <w:sz w:val="20"/>
                <w:szCs w:val="20"/>
                <w:color w:val="auto"/>
              </w:rPr>
            </w:pPr>
            <w:r>
              <w:rPr>
                <w:rFonts w:ascii="Calibri" w:cs="Calibri" w:eastAsia="Calibri" w:hAnsi="Calibri"/>
                <w:sz w:val="14"/>
                <w:szCs w:val="14"/>
                <w:color w:val="auto"/>
              </w:rPr>
              <w:t>74,246,666</w:t>
            </w:r>
          </w:p>
        </w:tc>
        <w:tc>
          <w:tcPr>
            <w:tcW w:w="700" w:type="dxa"/>
            <w:vAlign w:val="bottom"/>
            <w:tcBorders>
              <w:top w:val="single" w:sz="8" w:color="929292"/>
            </w:tcBorders>
            <w:vMerge w:val="restart"/>
          </w:tcPr>
          <w:p>
            <w:pPr>
              <w:jc w:val="right"/>
              <w:spacing w:after="0"/>
              <w:rPr>
                <w:sz w:val="20"/>
                <w:szCs w:val="20"/>
                <w:color w:val="auto"/>
              </w:rPr>
            </w:pPr>
            <w:r>
              <w:rPr>
                <w:rFonts w:ascii="Calibri" w:cs="Calibri" w:eastAsia="Calibri" w:hAnsi="Calibri"/>
                <w:sz w:val="14"/>
                <w:szCs w:val="14"/>
                <w:color w:val="auto"/>
              </w:rPr>
              <w:t>50,049</w:t>
            </w:r>
          </w:p>
        </w:tc>
        <w:tc>
          <w:tcPr>
            <w:tcW w:w="100" w:type="dxa"/>
            <w:vAlign w:val="bottom"/>
            <w:tcBorders>
              <w:top w:val="single" w:sz="8" w:color="929292"/>
            </w:tcBorders>
          </w:tcPr>
          <w:p>
            <w:pPr>
              <w:spacing w:after="0"/>
              <w:rPr>
                <w:sz w:val="11"/>
                <w:szCs w:val="11"/>
                <w:color w:val="auto"/>
              </w:rPr>
            </w:pPr>
          </w:p>
        </w:tc>
        <w:tc>
          <w:tcPr>
            <w:tcW w:w="700" w:type="dxa"/>
            <w:vAlign w:val="bottom"/>
            <w:tcBorders>
              <w:top w:val="single" w:sz="8" w:color="929292"/>
            </w:tcBorders>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top w:val="single" w:sz="8" w:color="929292"/>
            </w:tcBorders>
            <w:vMerge w:val="restart"/>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Borders>
              <w:top w:val="single" w:sz="8" w:color="929292"/>
            </w:tcBorders>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Borders>
              <w:top w:val="single" w:sz="8" w:color="929292"/>
            </w:tcBorders>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Borders>
              <w:top w:val="single" w:sz="8" w:color="929292"/>
            </w:tcBorders>
          </w:tcPr>
          <w:p>
            <w:pPr>
              <w:spacing w:after="0"/>
              <w:rPr>
                <w:sz w:val="11"/>
                <w:szCs w:val="11"/>
                <w:color w:val="auto"/>
              </w:rPr>
            </w:pPr>
          </w:p>
        </w:tc>
        <w:tc>
          <w:tcPr>
            <w:tcW w:w="680" w:type="dxa"/>
            <w:vAlign w:val="bottom"/>
            <w:tcBorders>
              <w:top w:val="single" w:sz="8" w:color="929292"/>
            </w:tcBorders>
            <w:vMerge w:val="restart"/>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top w:val="single" w:sz="8" w:color="929292"/>
            </w:tcBorders>
          </w:tcPr>
          <w:p>
            <w:pPr>
              <w:spacing w:after="0"/>
              <w:rPr>
                <w:sz w:val="11"/>
                <w:szCs w:val="11"/>
                <w:color w:val="auto"/>
              </w:rPr>
            </w:pPr>
          </w:p>
        </w:tc>
        <w:tc>
          <w:tcPr>
            <w:tcW w:w="1000" w:type="dxa"/>
            <w:vAlign w:val="bottom"/>
            <w:tcBorders>
              <w:top w:val="single" w:sz="8" w:color="929292"/>
            </w:tcBorders>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tcBorders>
              <w:top w:val="single" w:sz="8" w:color="929292"/>
            </w:tcBorders>
            <w:gridSpan w:val="2"/>
            <w:vMerge w:val="restart"/>
          </w:tcPr>
          <w:p>
            <w:pPr>
              <w:jc w:val="right"/>
              <w:spacing w:after="0"/>
              <w:rPr>
                <w:sz w:val="20"/>
                <w:szCs w:val="20"/>
                <w:color w:val="auto"/>
              </w:rPr>
            </w:pPr>
            <w:r>
              <w:rPr>
                <w:rFonts w:ascii="Calibri" w:cs="Calibri" w:eastAsia="Calibri" w:hAnsi="Calibri"/>
                <w:sz w:val="14"/>
                <w:szCs w:val="14"/>
                <w:color w:val="auto"/>
              </w:rPr>
              <w:t>50,049</w:t>
            </w:r>
          </w:p>
        </w:tc>
        <w:tc>
          <w:tcPr>
            <w:tcW w:w="0" w:type="dxa"/>
            <w:vAlign w:val="bottom"/>
          </w:tcPr>
          <w:p>
            <w:pPr>
              <w:spacing w:after="0"/>
              <w:rPr>
                <w:sz w:val="1"/>
                <w:szCs w:val="1"/>
                <w:color w:val="auto"/>
              </w:rPr>
            </w:pPr>
          </w:p>
        </w:tc>
      </w:tr>
      <w:tr>
        <w:trPr>
          <w:trHeight w:val="89"/>
        </w:trPr>
        <w:tc>
          <w:tcPr>
            <w:tcW w:w="3160" w:type="dxa"/>
            <w:vAlign w:val="bottom"/>
            <w:vMerge w:val="restart"/>
          </w:tcPr>
          <w:p>
            <w:pPr>
              <w:ind w:left="80"/>
              <w:spacing w:after="0"/>
              <w:rPr>
                <w:sz w:val="20"/>
                <w:szCs w:val="20"/>
                <w:color w:val="auto"/>
              </w:rPr>
            </w:pPr>
            <w:r>
              <w:rPr>
                <w:rFonts w:ascii="Calibri" w:cs="Calibri" w:eastAsia="Calibri" w:hAnsi="Calibri"/>
                <w:sz w:val="14"/>
                <w:szCs w:val="14"/>
                <w:color w:val="auto"/>
              </w:rPr>
              <w:t>private placement</w:t>
            </w:r>
          </w:p>
        </w:tc>
        <w:tc>
          <w:tcPr>
            <w:tcW w:w="6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1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80"/>
              <w:spacing w:after="0"/>
              <w:rPr>
                <w:sz w:val="20"/>
                <w:szCs w:val="20"/>
                <w:color w:val="auto"/>
              </w:rPr>
            </w:pPr>
            <w:r>
              <w:rPr>
                <w:rFonts w:ascii="Calibri" w:cs="Calibri" w:eastAsia="Calibri" w:hAnsi="Calibri"/>
                <w:sz w:val="14"/>
                <w:szCs w:val="14"/>
                <w:color w:val="auto"/>
              </w:rPr>
              <w:t>Shares issued for amalgamaton</w:t>
            </w:r>
          </w:p>
        </w:tc>
        <w:tc>
          <w:tcPr>
            <w:tcW w:w="600" w:type="dxa"/>
            <w:vAlign w:val="bottom"/>
          </w:tcPr>
          <w:p>
            <w:pPr>
              <w:spacing w:after="0"/>
              <w:rPr>
                <w:sz w:val="16"/>
                <w:szCs w:val="16"/>
                <w:color w:val="auto"/>
              </w:rPr>
            </w:pPr>
          </w:p>
        </w:tc>
        <w:tc>
          <w:tcPr>
            <w:tcW w:w="940" w:type="dxa"/>
            <w:vAlign w:val="bottom"/>
            <w:gridSpan w:val="2"/>
          </w:tcPr>
          <w:p>
            <w:pPr>
              <w:jc w:val="right"/>
              <w:ind w:right="28"/>
              <w:spacing w:after="0"/>
              <w:rPr>
                <w:sz w:val="20"/>
                <w:szCs w:val="20"/>
                <w:color w:val="auto"/>
              </w:rPr>
            </w:pPr>
            <w:r>
              <w:rPr>
                <w:rFonts w:ascii="Calibri" w:cs="Calibri" w:eastAsia="Calibri" w:hAnsi="Calibri"/>
                <w:sz w:val="14"/>
                <w:szCs w:val="14"/>
                <w:color w:val="auto"/>
              </w:rPr>
              <w:t>2,128,295</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1,596</w:t>
            </w: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23</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spacing w:after="0"/>
              <w:rPr>
                <w:sz w:val="20"/>
                <w:szCs w:val="20"/>
                <w:color w:val="auto"/>
              </w:rPr>
            </w:pPr>
            <w:r>
              <w:rPr>
                <w:rFonts w:ascii="Calibri" w:cs="Calibri" w:eastAsia="Calibri" w:hAnsi="Calibri"/>
                <w:sz w:val="14"/>
                <w:szCs w:val="14"/>
                <w:color w:val="auto"/>
              </w:rPr>
              <w:t>1,619</w:t>
            </w:r>
          </w:p>
        </w:tc>
        <w:tc>
          <w:tcPr>
            <w:tcW w:w="0" w:type="dxa"/>
            <w:vAlign w:val="bottom"/>
          </w:tcPr>
          <w:p>
            <w:pPr>
              <w:spacing w:after="0"/>
              <w:rPr>
                <w:sz w:val="1"/>
                <w:szCs w:val="1"/>
                <w:color w:val="auto"/>
              </w:rPr>
            </w:pPr>
          </w:p>
        </w:tc>
      </w:tr>
      <w:tr>
        <w:trPr>
          <w:trHeight w:val="203"/>
        </w:trPr>
        <w:tc>
          <w:tcPr>
            <w:tcW w:w="3160" w:type="dxa"/>
            <w:vAlign w:val="bottom"/>
          </w:tcPr>
          <w:p>
            <w:pPr>
              <w:ind w:left="80"/>
              <w:spacing w:after="0"/>
              <w:rPr>
                <w:sz w:val="20"/>
                <w:szCs w:val="20"/>
                <w:color w:val="auto"/>
              </w:rPr>
            </w:pPr>
            <w:r>
              <w:rPr>
                <w:rFonts w:ascii="Calibri" w:cs="Calibri" w:eastAsia="Calibri" w:hAnsi="Calibri"/>
                <w:sz w:val="14"/>
                <w:szCs w:val="14"/>
                <w:color w:val="auto"/>
              </w:rPr>
              <w:t>Shares issued for Adelia at acquisiton</w:t>
            </w:r>
          </w:p>
        </w:tc>
        <w:tc>
          <w:tcPr>
            <w:tcW w:w="600" w:type="dxa"/>
            <w:vAlign w:val="bottom"/>
          </w:tcPr>
          <w:p>
            <w:pPr>
              <w:spacing w:after="0"/>
              <w:rPr>
                <w:sz w:val="17"/>
                <w:szCs w:val="17"/>
                <w:color w:val="auto"/>
              </w:rPr>
            </w:pPr>
          </w:p>
        </w:tc>
        <w:tc>
          <w:tcPr>
            <w:tcW w:w="940" w:type="dxa"/>
            <w:vAlign w:val="bottom"/>
            <w:gridSpan w:val="2"/>
          </w:tcPr>
          <w:p>
            <w:pPr>
              <w:jc w:val="right"/>
              <w:ind w:right="28"/>
              <w:spacing w:after="0"/>
              <w:rPr>
                <w:sz w:val="20"/>
                <w:szCs w:val="20"/>
                <w:color w:val="auto"/>
              </w:rPr>
            </w:pPr>
            <w:r>
              <w:rPr>
                <w:rFonts w:ascii="Calibri" w:cs="Calibri" w:eastAsia="Calibri" w:hAnsi="Calibri"/>
                <w:sz w:val="14"/>
                <w:szCs w:val="14"/>
                <w:color w:val="auto"/>
              </w:rPr>
              <w:t>8,688,330</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19,549</w:t>
            </w:r>
          </w:p>
        </w:tc>
        <w:tc>
          <w:tcPr>
            <w:tcW w:w="1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spacing w:after="0"/>
              <w:rPr>
                <w:sz w:val="20"/>
                <w:szCs w:val="20"/>
                <w:color w:val="auto"/>
              </w:rPr>
            </w:pPr>
            <w:r>
              <w:rPr>
                <w:rFonts w:ascii="Calibri" w:cs="Calibri" w:eastAsia="Calibri" w:hAnsi="Calibri"/>
                <w:sz w:val="14"/>
                <w:szCs w:val="14"/>
                <w:color w:val="auto"/>
              </w:rPr>
              <w:t>19,549</w:t>
            </w:r>
          </w:p>
        </w:tc>
        <w:tc>
          <w:tcPr>
            <w:tcW w:w="0" w:type="dxa"/>
            <w:vAlign w:val="bottom"/>
          </w:tcPr>
          <w:p>
            <w:pPr>
              <w:spacing w:after="0"/>
              <w:rPr>
                <w:sz w:val="1"/>
                <w:szCs w:val="1"/>
                <w:color w:val="auto"/>
              </w:rPr>
            </w:pPr>
          </w:p>
        </w:tc>
      </w:tr>
      <w:tr>
        <w:trPr>
          <w:trHeight w:val="181"/>
        </w:trPr>
        <w:tc>
          <w:tcPr>
            <w:tcW w:w="3160" w:type="dxa"/>
            <w:vAlign w:val="bottom"/>
          </w:tcPr>
          <w:p>
            <w:pPr>
              <w:ind w:left="80"/>
              <w:spacing w:after="0"/>
              <w:rPr>
                <w:sz w:val="20"/>
                <w:szCs w:val="20"/>
                <w:color w:val="auto"/>
              </w:rPr>
            </w:pPr>
            <w:r>
              <w:rPr>
                <w:rFonts w:ascii="Calibri" w:cs="Calibri" w:eastAsia="Calibri" w:hAnsi="Calibri"/>
                <w:sz w:val="14"/>
                <w:szCs w:val="14"/>
                <w:color w:val="auto"/>
              </w:rPr>
              <w:t>Shares issued on contngent liability Adelia</w:t>
            </w:r>
          </w:p>
        </w:tc>
        <w:tc>
          <w:tcPr>
            <w:tcW w:w="600" w:type="dxa"/>
            <w:vAlign w:val="bottom"/>
          </w:tcPr>
          <w:p>
            <w:pPr>
              <w:spacing w:after="0"/>
              <w:rPr>
                <w:sz w:val="15"/>
                <w:szCs w:val="15"/>
                <w:color w:val="auto"/>
              </w:rPr>
            </w:pPr>
          </w:p>
        </w:tc>
        <w:tc>
          <w:tcPr>
            <w:tcW w:w="940" w:type="dxa"/>
            <w:vAlign w:val="bottom"/>
            <w:gridSpan w:val="2"/>
          </w:tcPr>
          <w:p>
            <w:pPr>
              <w:jc w:val="right"/>
              <w:ind w:right="28"/>
              <w:spacing w:after="0"/>
              <w:rPr>
                <w:sz w:val="20"/>
                <w:szCs w:val="20"/>
                <w:color w:val="auto"/>
              </w:rPr>
            </w:pPr>
            <w:r>
              <w:rPr>
                <w:rFonts w:ascii="Calibri" w:cs="Calibri" w:eastAsia="Calibri" w:hAnsi="Calibri"/>
                <w:sz w:val="14"/>
                <w:szCs w:val="14"/>
                <w:color w:val="auto"/>
              </w:rPr>
              <w:t>934,103</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1,539</w:t>
            </w:r>
          </w:p>
        </w:tc>
        <w:tc>
          <w:tcPr>
            <w:tcW w:w="100" w:type="dxa"/>
            <w:vAlign w:val="bottom"/>
          </w:tcPr>
          <w:p>
            <w:pPr>
              <w:spacing w:after="0"/>
              <w:rPr>
                <w:sz w:val="15"/>
                <w:szCs w:val="15"/>
                <w:color w:val="auto"/>
              </w:rPr>
            </w:pPr>
          </w:p>
        </w:tc>
        <w:tc>
          <w:tcPr>
            <w:tcW w:w="70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gridSpan w:val="2"/>
            <w:vMerge w:val="restart"/>
          </w:tcPr>
          <w:p>
            <w:pPr>
              <w:jc w:val="right"/>
              <w:spacing w:after="0"/>
              <w:rPr>
                <w:sz w:val="20"/>
                <w:szCs w:val="20"/>
                <w:color w:val="auto"/>
              </w:rPr>
            </w:pPr>
            <w:r>
              <w:rPr>
                <w:rFonts w:ascii="Calibri" w:cs="Calibri" w:eastAsia="Calibri" w:hAnsi="Calibri"/>
                <w:sz w:val="14"/>
                <w:szCs w:val="14"/>
                <w:color w:val="auto"/>
              </w:rPr>
              <w:t>1,539</w:t>
            </w:r>
          </w:p>
        </w:tc>
        <w:tc>
          <w:tcPr>
            <w:tcW w:w="0" w:type="dxa"/>
            <w:vAlign w:val="bottom"/>
          </w:tcPr>
          <w:p>
            <w:pPr>
              <w:spacing w:after="0"/>
              <w:rPr>
                <w:sz w:val="1"/>
                <w:szCs w:val="1"/>
                <w:color w:val="auto"/>
              </w:rPr>
            </w:pPr>
          </w:p>
        </w:tc>
      </w:tr>
      <w:tr>
        <w:trPr>
          <w:trHeight w:val="89"/>
        </w:trPr>
        <w:tc>
          <w:tcPr>
            <w:tcW w:w="3160" w:type="dxa"/>
            <w:vAlign w:val="bottom"/>
            <w:vMerge w:val="restart"/>
          </w:tcPr>
          <w:p>
            <w:pPr>
              <w:ind w:left="80"/>
              <w:spacing w:after="0"/>
              <w:rPr>
                <w:sz w:val="20"/>
                <w:szCs w:val="20"/>
                <w:color w:val="auto"/>
              </w:rPr>
            </w:pPr>
            <w:r>
              <w:rPr>
                <w:rFonts w:ascii="Calibri" w:cs="Calibri" w:eastAsia="Calibri" w:hAnsi="Calibri"/>
                <w:sz w:val="14"/>
                <w:szCs w:val="14"/>
                <w:color w:val="auto"/>
              </w:rPr>
              <w:t>milestones</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1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80"/>
              <w:spacing w:after="0"/>
              <w:rPr>
                <w:sz w:val="20"/>
                <w:szCs w:val="20"/>
                <w:color w:val="auto"/>
              </w:rPr>
            </w:pPr>
            <w:r>
              <w:rPr>
                <w:rFonts w:ascii="Calibri" w:cs="Calibri" w:eastAsia="Calibri" w:hAnsi="Calibri"/>
                <w:sz w:val="14"/>
                <w:szCs w:val="14"/>
                <w:color w:val="auto"/>
              </w:rPr>
              <w:t>Reversal of share subscriptons</w:t>
            </w:r>
          </w:p>
        </w:tc>
        <w:tc>
          <w:tcPr>
            <w:tcW w:w="600" w:type="dxa"/>
            <w:vAlign w:val="bottom"/>
          </w:tcPr>
          <w:p>
            <w:pPr>
              <w:spacing w:after="0"/>
              <w:rPr>
                <w:sz w:val="16"/>
                <w:szCs w:val="16"/>
                <w:color w:val="auto"/>
              </w:rPr>
            </w:pPr>
          </w:p>
        </w:tc>
        <w:tc>
          <w:tcPr>
            <w:tcW w:w="940" w:type="dxa"/>
            <w:vAlign w:val="bottom"/>
            <w:gridSpan w:val="2"/>
          </w:tcPr>
          <w:p>
            <w:pPr>
              <w:jc w:val="right"/>
              <w:ind w:right="28"/>
              <w:spacing w:after="0"/>
              <w:rPr>
                <w:sz w:val="20"/>
                <w:szCs w:val="20"/>
                <w:color w:val="auto"/>
              </w:rPr>
            </w:pPr>
            <w:r>
              <w:rPr>
                <w:rFonts w:ascii="Calibri" w:cs="Calibri" w:eastAsia="Calibri" w:hAnsi="Calibri"/>
                <w:sz w:val="14"/>
                <w:szCs w:val="14"/>
                <w:color w:val="auto"/>
              </w:rPr>
              <w:t>(2,799,982)</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(700)</w:t>
            </w: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spacing w:after="0"/>
              <w:rPr>
                <w:sz w:val="20"/>
                <w:szCs w:val="20"/>
                <w:color w:val="auto"/>
              </w:rPr>
            </w:pPr>
            <w:r>
              <w:rPr>
                <w:rFonts w:ascii="Calibri" w:cs="Calibri" w:eastAsia="Calibri" w:hAnsi="Calibri"/>
                <w:sz w:val="14"/>
                <w:szCs w:val="14"/>
                <w:color w:val="auto"/>
              </w:rPr>
              <w:t>(700)</w:t>
            </w:r>
          </w:p>
        </w:tc>
        <w:tc>
          <w:tcPr>
            <w:tcW w:w="0" w:type="dxa"/>
            <w:vAlign w:val="bottom"/>
          </w:tcPr>
          <w:p>
            <w:pPr>
              <w:spacing w:after="0"/>
              <w:rPr>
                <w:sz w:val="1"/>
                <w:szCs w:val="1"/>
                <w:color w:val="auto"/>
              </w:rPr>
            </w:pPr>
          </w:p>
        </w:tc>
      </w:tr>
      <w:tr>
        <w:trPr>
          <w:trHeight w:val="203"/>
        </w:trPr>
        <w:tc>
          <w:tcPr>
            <w:tcW w:w="3160" w:type="dxa"/>
            <w:vAlign w:val="bottom"/>
          </w:tcPr>
          <w:p>
            <w:pPr>
              <w:ind w:left="80"/>
              <w:spacing w:after="0"/>
              <w:rPr>
                <w:sz w:val="20"/>
                <w:szCs w:val="20"/>
                <w:color w:val="auto"/>
              </w:rPr>
            </w:pPr>
            <w:r>
              <w:rPr>
                <w:rFonts w:ascii="Calibri" w:cs="Calibri" w:eastAsia="Calibri" w:hAnsi="Calibri"/>
                <w:sz w:val="14"/>
                <w:szCs w:val="14"/>
                <w:color w:val="auto"/>
              </w:rPr>
              <w:t>Issuance of convertble debt</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spacing w:after="0"/>
              <w:rPr>
                <w:sz w:val="20"/>
                <w:szCs w:val="20"/>
                <w:color w:val="auto"/>
              </w:rPr>
            </w:pPr>
            <w:r>
              <w:rPr>
                <w:rFonts w:ascii="Calibri" w:cs="Calibri" w:eastAsia="Calibri" w:hAnsi="Calibri"/>
                <w:sz w:val="14"/>
                <w:szCs w:val="14"/>
                <w:color w:val="auto"/>
              </w:rPr>
              <w:t>15</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spacing w:after="0"/>
              <w:rPr>
                <w:sz w:val="20"/>
                <w:szCs w:val="20"/>
                <w:color w:val="auto"/>
              </w:rPr>
            </w:pPr>
            <w:r>
              <w:rPr>
                <w:rFonts w:ascii="Calibri" w:cs="Calibri" w:eastAsia="Calibri" w:hAnsi="Calibri"/>
                <w:sz w:val="14"/>
                <w:szCs w:val="14"/>
                <w:color w:val="auto"/>
              </w:rPr>
              <w:t>15</w:t>
            </w:r>
          </w:p>
        </w:tc>
        <w:tc>
          <w:tcPr>
            <w:tcW w:w="0" w:type="dxa"/>
            <w:vAlign w:val="bottom"/>
          </w:tcPr>
          <w:p>
            <w:pPr>
              <w:spacing w:after="0"/>
              <w:rPr>
                <w:sz w:val="1"/>
                <w:szCs w:val="1"/>
                <w:color w:val="auto"/>
              </w:rPr>
            </w:pPr>
          </w:p>
        </w:tc>
      </w:tr>
      <w:tr>
        <w:trPr>
          <w:trHeight w:val="203"/>
        </w:trPr>
        <w:tc>
          <w:tcPr>
            <w:tcW w:w="3160" w:type="dxa"/>
            <w:vAlign w:val="bottom"/>
          </w:tcPr>
          <w:p>
            <w:pPr>
              <w:ind w:left="80"/>
              <w:spacing w:after="0"/>
              <w:rPr>
                <w:sz w:val="20"/>
                <w:szCs w:val="20"/>
                <w:color w:val="auto"/>
              </w:rPr>
            </w:pPr>
            <w:r>
              <w:rPr>
                <w:rFonts w:ascii="Calibri" w:cs="Calibri" w:eastAsia="Calibri" w:hAnsi="Calibri"/>
                <w:sz w:val="14"/>
                <w:szCs w:val="14"/>
                <w:color w:val="auto"/>
              </w:rPr>
              <w:t>Shares issued on conversion of debt</w:t>
            </w:r>
          </w:p>
        </w:tc>
        <w:tc>
          <w:tcPr>
            <w:tcW w:w="600" w:type="dxa"/>
            <w:vAlign w:val="bottom"/>
          </w:tcPr>
          <w:p>
            <w:pPr>
              <w:spacing w:after="0"/>
              <w:rPr>
                <w:sz w:val="17"/>
                <w:szCs w:val="17"/>
                <w:color w:val="auto"/>
              </w:rPr>
            </w:pPr>
          </w:p>
        </w:tc>
        <w:tc>
          <w:tcPr>
            <w:tcW w:w="940" w:type="dxa"/>
            <w:vAlign w:val="bottom"/>
            <w:gridSpan w:val="2"/>
          </w:tcPr>
          <w:p>
            <w:pPr>
              <w:jc w:val="right"/>
              <w:ind w:right="28"/>
              <w:spacing w:after="0"/>
              <w:rPr>
                <w:sz w:val="20"/>
                <w:szCs w:val="20"/>
                <w:color w:val="auto"/>
              </w:rPr>
            </w:pPr>
            <w:r>
              <w:rPr>
                <w:rFonts w:ascii="Calibri" w:cs="Calibri" w:eastAsia="Calibri" w:hAnsi="Calibri"/>
                <w:sz w:val="14"/>
                <w:szCs w:val="14"/>
                <w:color w:val="auto"/>
              </w:rPr>
              <w:t>1,200,000</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310</w:t>
            </w:r>
          </w:p>
        </w:tc>
        <w:tc>
          <w:tcPr>
            <w:tcW w:w="1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spacing w:after="0"/>
              <w:rPr>
                <w:sz w:val="20"/>
                <w:szCs w:val="20"/>
                <w:color w:val="auto"/>
              </w:rPr>
            </w:pPr>
            <w:r>
              <w:rPr>
                <w:rFonts w:ascii="Calibri" w:cs="Calibri" w:eastAsia="Calibri" w:hAnsi="Calibri"/>
                <w:sz w:val="14"/>
                <w:szCs w:val="14"/>
                <w:color w:val="auto"/>
              </w:rPr>
              <w:t>(15)</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spacing w:after="0"/>
              <w:rPr>
                <w:sz w:val="20"/>
                <w:szCs w:val="20"/>
                <w:color w:val="auto"/>
              </w:rPr>
            </w:pPr>
            <w:r>
              <w:rPr>
                <w:rFonts w:ascii="Calibri" w:cs="Calibri" w:eastAsia="Calibri" w:hAnsi="Calibri"/>
                <w:sz w:val="14"/>
                <w:szCs w:val="14"/>
                <w:color w:val="auto"/>
              </w:rPr>
              <w:t>295</w:t>
            </w:r>
          </w:p>
        </w:tc>
        <w:tc>
          <w:tcPr>
            <w:tcW w:w="0" w:type="dxa"/>
            <w:vAlign w:val="bottom"/>
          </w:tcPr>
          <w:p>
            <w:pPr>
              <w:spacing w:after="0"/>
              <w:rPr>
                <w:sz w:val="1"/>
                <w:szCs w:val="1"/>
                <w:color w:val="auto"/>
              </w:rPr>
            </w:pPr>
          </w:p>
        </w:tc>
      </w:tr>
      <w:tr>
        <w:trPr>
          <w:trHeight w:val="203"/>
        </w:trPr>
        <w:tc>
          <w:tcPr>
            <w:tcW w:w="3160" w:type="dxa"/>
            <w:vAlign w:val="bottom"/>
          </w:tcPr>
          <w:p>
            <w:pPr>
              <w:ind w:left="80"/>
              <w:spacing w:after="0"/>
              <w:rPr>
                <w:sz w:val="20"/>
                <w:szCs w:val="20"/>
                <w:color w:val="auto"/>
              </w:rPr>
            </w:pPr>
            <w:r>
              <w:rPr>
                <w:rFonts w:ascii="Calibri" w:cs="Calibri" w:eastAsia="Calibri" w:hAnsi="Calibri"/>
                <w:sz w:val="14"/>
                <w:szCs w:val="14"/>
                <w:color w:val="auto"/>
              </w:rPr>
              <w:t>Founders' round additonal capital</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164</w:t>
            </w:r>
          </w:p>
        </w:tc>
        <w:tc>
          <w:tcPr>
            <w:tcW w:w="1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spacing w:after="0"/>
              <w:rPr>
                <w:sz w:val="20"/>
                <w:szCs w:val="20"/>
                <w:color w:val="auto"/>
              </w:rPr>
            </w:pPr>
            <w:r>
              <w:rPr>
                <w:rFonts w:ascii="Calibri" w:cs="Calibri" w:eastAsia="Calibri" w:hAnsi="Calibri"/>
                <w:sz w:val="14"/>
                <w:szCs w:val="14"/>
                <w:color w:val="auto"/>
              </w:rPr>
              <w:t>164</w:t>
            </w:r>
          </w:p>
        </w:tc>
        <w:tc>
          <w:tcPr>
            <w:tcW w:w="0" w:type="dxa"/>
            <w:vAlign w:val="bottom"/>
          </w:tcPr>
          <w:p>
            <w:pPr>
              <w:spacing w:after="0"/>
              <w:rPr>
                <w:sz w:val="1"/>
                <w:szCs w:val="1"/>
                <w:color w:val="auto"/>
              </w:rPr>
            </w:pPr>
          </w:p>
        </w:tc>
      </w:tr>
      <w:tr>
        <w:trPr>
          <w:trHeight w:val="203"/>
        </w:trPr>
        <w:tc>
          <w:tcPr>
            <w:tcW w:w="3160" w:type="dxa"/>
            <w:vAlign w:val="bottom"/>
          </w:tcPr>
          <w:p>
            <w:pPr>
              <w:ind w:left="80"/>
              <w:spacing w:after="0"/>
              <w:rPr>
                <w:sz w:val="20"/>
                <w:szCs w:val="20"/>
                <w:color w:val="auto"/>
              </w:rPr>
            </w:pPr>
            <w:r>
              <w:rPr>
                <w:rFonts w:ascii="Calibri" w:cs="Calibri" w:eastAsia="Calibri" w:hAnsi="Calibri"/>
                <w:sz w:val="14"/>
                <w:szCs w:val="14"/>
                <w:color w:val="auto"/>
              </w:rPr>
              <w:t>Finders' warrants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(1,225)</w:t>
            </w:r>
          </w:p>
        </w:tc>
        <w:tc>
          <w:tcPr>
            <w:tcW w:w="800" w:type="dxa"/>
            <w:vAlign w:val="bottom"/>
            <w:gridSpan w:val="2"/>
          </w:tcPr>
          <w:p>
            <w:pPr>
              <w:jc w:val="right"/>
              <w:ind w:right="8"/>
              <w:spacing w:after="0"/>
              <w:rPr>
                <w:sz w:val="20"/>
                <w:szCs w:val="20"/>
                <w:color w:val="auto"/>
              </w:rPr>
            </w:pPr>
            <w:r>
              <w:rPr>
                <w:rFonts w:ascii="Calibri" w:cs="Calibri" w:eastAsia="Calibri" w:hAnsi="Calibri"/>
                <w:sz w:val="14"/>
                <w:szCs w:val="14"/>
                <w:color w:val="auto"/>
              </w:rPr>
              <w:t>1,225</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80"/>
              <w:spacing w:after="0"/>
              <w:rPr>
                <w:sz w:val="20"/>
                <w:szCs w:val="20"/>
                <w:color w:val="auto"/>
              </w:rPr>
            </w:pPr>
            <w:r>
              <w:rPr>
                <w:rFonts w:ascii="Calibri" w:cs="Calibri" w:eastAsia="Calibri" w:hAnsi="Calibri"/>
                <w:sz w:val="14"/>
                <w:szCs w:val="14"/>
                <w:color w:val="auto"/>
              </w:rPr>
              <w:t>Warrants exercised</w:t>
            </w:r>
          </w:p>
        </w:tc>
        <w:tc>
          <w:tcPr>
            <w:tcW w:w="600" w:type="dxa"/>
            <w:vAlign w:val="bottom"/>
          </w:tcPr>
          <w:p>
            <w:pPr>
              <w:spacing w:after="0"/>
              <w:rPr>
                <w:sz w:val="17"/>
                <w:szCs w:val="17"/>
                <w:color w:val="auto"/>
              </w:rPr>
            </w:pPr>
          </w:p>
        </w:tc>
        <w:tc>
          <w:tcPr>
            <w:tcW w:w="940" w:type="dxa"/>
            <w:vAlign w:val="bottom"/>
            <w:gridSpan w:val="2"/>
          </w:tcPr>
          <w:p>
            <w:pPr>
              <w:jc w:val="right"/>
              <w:ind w:right="28"/>
              <w:spacing w:after="0"/>
              <w:rPr>
                <w:sz w:val="20"/>
                <w:szCs w:val="20"/>
                <w:color w:val="auto"/>
              </w:rPr>
            </w:pPr>
            <w:r>
              <w:rPr>
                <w:rFonts w:ascii="Calibri" w:cs="Calibri" w:eastAsia="Calibri" w:hAnsi="Calibri"/>
                <w:sz w:val="14"/>
                <w:szCs w:val="14"/>
                <w:color w:val="auto"/>
              </w:rPr>
              <w:t>815,047</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615</w:t>
            </w:r>
          </w:p>
        </w:tc>
        <w:tc>
          <w:tcPr>
            <w:tcW w:w="800" w:type="dxa"/>
            <w:vAlign w:val="bottom"/>
            <w:gridSpan w:val="2"/>
          </w:tcPr>
          <w:p>
            <w:pPr>
              <w:jc w:val="right"/>
              <w:ind w:right="8"/>
              <w:spacing w:after="0"/>
              <w:rPr>
                <w:sz w:val="20"/>
                <w:szCs w:val="20"/>
                <w:color w:val="auto"/>
              </w:rPr>
            </w:pPr>
            <w:r>
              <w:rPr>
                <w:rFonts w:ascii="Calibri" w:cs="Calibri" w:eastAsia="Calibri" w:hAnsi="Calibri"/>
                <w:sz w:val="14"/>
                <w:szCs w:val="14"/>
                <w:color w:val="auto"/>
              </w:rPr>
              <w:t>(208)</w:t>
            </w:r>
          </w:p>
        </w:tc>
        <w:tc>
          <w:tcPr>
            <w:tcW w:w="6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spacing w:after="0"/>
              <w:rPr>
                <w:sz w:val="20"/>
                <w:szCs w:val="20"/>
                <w:color w:val="auto"/>
              </w:rPr>
            </w:pPr>
            <w:r>
              <w:rPr>
                <w:rFonts w:ascii="Calibri" w:cs="Calibri" w:eastAsia="Calibri" w:hAnsi="Calibri"/>
                <w:sz w:val="14"/>
                <w:szCs w:val="14"/>
                <w:color w:val="auto"/>
              </w:rPr>
              <w:t>407</w:t>
            </w:r>
          </w:p>
        </w:tc>
        <w:tc>
          <w:tcPr>
            <w:tcW w:w="0" w:type="dxa"/>
            <w:vAlign w:val="bottom"/>
          </w:tcPr>
          <w:p>
            <w:pPr>
              <w:spacing w:after="0"/>
              <w:rPr>
                <w:sz w:val="1"/>
                <w:szCs w:val="1"/>
                <w:color w:val="auto"/>
              </w:rPr>
            </w:pPr>
          </w:p>
        </w:tc>
      </w:tr>
      <w:tr>
        <w:trPr>
          <w:trHeight w:val="203"/>
        </w:trPr>
        <w:tc>
          <w:tcPr>
            <w:tcW w:w="3160" w:type="dxa"/>
            <w:vAlign w:val="bottom"/>
          </w:tcPr>
          <w:p>
            <w:pPr>
              <w:ind w:left="80"/>
              <w:spacing w:after="0"/>
              <w:rPr>
                <w:sz w:val="20"/>
                <w:szCs w:val="20"/>
                <w:color w:val="auto"/>
              </w:rPr>
            </w:pPr>
            <w:r>
              <w:rPr>
                <w:rFonts w:ascii="Calibri" w:cs="Calibri" w:eastAsia="Calibri" w:hAnsi="Calibri"/>
                <w:sz w:val="14"/>
                <w:szCs w:val="14"/>
                <w:color w:val="auto"/>
              </w:rPr>
              <w:t>Optons exercised</w:t>
            </w:r>
          </w:p>
        </w:tc>
        <w:tc>
          <w:tcPr>
            <w:tcW w:w="600" w:type="dxa"/>
            <w:vAlign w:val="bottom"/>
          </w:tcPr>
          <w:p>
            <w:pPr>
              <w:spacing w:after="0"/>
              <w:rPr>
                <w:sz w:val="17"/>
                <w:szCs w:val="17"/>
                <w:color w:val="auto"/>
              </w:rPr>
            </w:pPr>
          </w:p>
        </w:tc>
        <w:tc>
          <w:tcPr>
            <w:tcW w:w="940" w:type="dxa"/>
            <w:vAlign w:val="bottom"/>
            <w:gridSpan w:val="2"/>
          </w:tcPr>
          <w:p>
            <w:pPr>
              <w:jc w:val="right"/>
              <w:ind w:right="28"/>
              <w:spacing w:after="0"/>
              <w:rPr>
                <w:sz w:val="20"/>
                <w:szCs w:val="20"/>
                <w:color w:val="auto"/>
              </w:rPr>
            </w:pPr>
            <w:r>
              <w:rPr>
                <w:rFonts w:ascii="Calibri" w:cs="Calibri" w:eastAsia="Calibri" w:hAnsi="Calibri"/>
                <w:sz w:val="14"/>
                <w:szCs w:val="14"/>
                <w:color w:val="auto"/>
              </w:rPr>
              <w:t>492,386</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299</w:t>
            </w:r>
          </w:p>
        </w:tc>
        <w:tc>
          <w:tcPr>
            <w:tcW w:w="1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(117)</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spacing w:after="0"/>
              <w:rPr>
                <w:sz w:val="20"/>
                <w:szCs w:val="20"/>
                <w:color w:val="auto"/>
              </w:rPr>
            </w:pPr>
            <w:r>
              <w:rPr>
                <w:rFonts w:ascii="Calibri" w:cs="Calibri" w:eastAsia="Calibri" w:hAnsi="Calibri"/>
                <w:sz w:val="14"/>
                <w:szCs w:val="14"/>
                <w:color w:val="auto"/>
              </w:rPr>
              <w:t>182</w:t>
            </w:r>
          </w:p>
        </w:tc>
        <w:tc>
          <w:tcPr>
            <w:tcW w:w="0" w:type="dxa"/>
            <w:vAlign w:val="bottom"/>
          </w:tcPr>
          <w:p>
            <w:pPr>
              <w:spacing w:after="0"/>
              <w:rPr>
                <w:sz w:val="1"/>
                <w:szCs w:val="1"/>
                <w:color w:val="auto"/>
              </w:rPr>
            </w:pPr>
          </w:p>
        </w:tc>
      </w:tr>
      <w:tr>
        <w:trPr>
          <w:trHeight w:val="203"/>
        </w:trPr>
        <w:tc>
          <w:tcPr>
            <w:tcW w:w="3160" w:type="dxa"/>
            <w:vAlign w:val="bottom"/>
          </w:tcPr>
          <w:p>
            <w:pPr>
              <w:ind w:left="80"/>
              <w:spacing w:after="0"/>
              <w:rPr>
                <w:sz w:val="20"/>
                <w:szCs w:val="20"/>
                <w:color w:val="auto"/>
              </w:rPr>
            </w:pPr>
            <w:r>
              <w:rPr>
                <w:rFonts w:ascii="Calibri" w:cs="Calibri" w:eastAsia="Calibri" w:hAnsi="Calibri"/>
                <w:sz w:val="14"/>
                <w:szCs w:val="14"/>
                <w:color w:val="auto"/>
              </w:rPr>
              <w:t>Optons forfeited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(124)</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124</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80"/>
              <w:spacing w:after="0"/>
              <w:rPr>
                <w:sz w:val="20"/>
                <w:szCs w:val="20"/>
                <w:color w:val="auto"/>
              </w:rPr>
            </w:pPr>
            <w:r>
              <w:rPr>
                <w:rFonts w:ascii="Calibri" w:cs="Calibri" w:eastAsia="Calibri" w:hAnsi="Calibri"/>
                <w:sz w:val="14"/>
                <w:szCs w:val="14"/>
                <w:color w:val="auto"/>
              </w:rPr>
              <w:t>Share-based compensaton</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00" w:type="dxa"/>
            <w:vAlign w:val="bottom"/>
            <w:gridSpan w:val="2"/>
          </w:tcPr>
          <w:p>
            <w:pPr>
              <w:jc w:val="right"/>
              <w:ind w:right="8"/>
              <w:spacing w:after="0"/>
              <w:rPr>
                <w:sz w:val="20"/>
                <w:szCs w:val="20"/>
                <w:color w:val="auto"/>
              </w:rPr>
            </w:pPr>
            <w:r>
              <w:rPr>
                <w:rFonts w:ascii="Calibri" w:cs="Calibri" w:eastAsia="Calibri" w:hAnsi="Calibri"/>
                <w:sz w:val="14"/>
                <w:szCs w:val="14"/>
                <w:color w:val="auto"/>
              </w:rPr>
              <w:t>4,242</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7,312</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spacing w:after="0"/>
              <w:rPr>
                <w:sz w:val="20"/>
                <w:szCs w:val="20"/>
                <w:color w:val="auto"/>
              </w:rPr>
            </w:pPr>
            <w:r>
              <w:rPr>
                <w:rFonts w:ascii="Calibri" w:cs="Calibri" w:eastAsia="Calibri" w:hAnsi="Calibri"/>
                <w:sz w:val="14"/>
                <w:szCs w:val="14"/>
                <w:color w:val="auto"/>
              </w:rPr>
              <w:t>11,554</w:t>
            </w:r>
          </w:p>
        </w:tc>
        <w:tc>
          <w:tcPr>
            <w:tcW w:w="0" w:type="dxa"/>
            <w:vAlign w:val="bottom"/>
          </w:tcPr>
          <w:p>
            <w:pPr>
              <w:spacing w:after="0"/>
              <w:rPr>
                <w:sz w:val="1"/>
                <w:szCs w:val="1"/>
                <w:color w:val="auto"/>
              </w:rPr>
            </w:pPr>
          </w:p>
        </w:tc>
      </w:tr>
      <w:tr>
        <w:trPr>
          <w:trHeight w:val="181"/>
        </w:trPr>
        <w:tc>
          <w:tcPr>
            <w:tcW w:w="3160" w:type="dxa"/>
            <w:vAlign w:val="bottom"/>
          </w:tcPr>
          <w:p>
            <w:pPr>
              <w:ind w:left="80"/>
              <w:spacing w:after="0"/>
              <w:rPr>
                <w:sz w:val="20"/>
                <w:szCs w:val="20"/>
                <w:color w:val="auto"/>
              </w:rPr>
            </w:pPr>
            <w:r>
              <w:rPr>
                <w:rFonts w:ascii="Calibri" w:cs="Calibri" w:eastAsia="Calibri" w:hAnsi="Calibri"/>
                <w:sz w:val="14"/>
                <w:szCs w:val="14"/>
                <w:color w:val="auto"/>
              </w:rPr>
              <w:t>Bought deal share ofering - net of share issuance</w:t>
            </w:r>
          </w:p>
        </w:tc>
        <w:tc>
          <w:tcPr>
            <w:tcW w:w="600" w:type="dxa"/>
            <w:vAlign w:val="bottom"/>
          </w:tcPr>
          <w:p>
            <w:pPr>
              <w:spacing w:after="0"/>
              <w:rPr>
                <w:sz w:val="15"/>
                <w:szCs w:val="15"/>
                <w:color w:val="auto"/>
              </w:rPr>
            </w:pPr>
          </w:p>
        </w:tc>
        <w:tc>
          <w:tcPr>
            <w:tcW w:w="940" w:type="dxa"/>
            <w:vAlign w:val="bottom"/>
            <w:gridSpan w:val="2"/>
          </w:tcPr>
          <w:p>
            <w:pPr>
              <w:jc w:val="right"/>
              <w:ind w:right="28"/>
              <w:spacing w:after="0"/>
              <w:rPr>
                <w:sz w:val="20"/>
                <w:szCs w:val="20"/>
                <w:color w:val="auto"/>
              </w:rPr>
            </w:pPr>
            <w:r>
              <w:rPr>
                <w:rFonts w:ascii="Calibri" w:cs="Calibri" w:eastAsia="Calibri" w:hAnsi="Calibri"/>
                <w:sz w:val="14"/>
                <w:szCs w:val="14"/>
                <w:color w:val="auto"/>
              </w:rPr>
              <w:t>15,246,000</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26,293</w:t>
            </w:r>
          </w:p>
        </w:tc>
        <w:tc>
          <w:tcPr>
            <w:tcW w:w="800" w:type="dxa"/>
            <w:vAlign w:val="bottom"/>
            <w:gridSpan w:val="2"/>
            <w:vMerge w:val="restart"/>
          </w:tcPr>
          <w:p>
            <w:pPr>
              <w:jc w:val="right"/>
              <w:ind w:right="8"/>
              <w:spacing w:after="0"/>
              <w:rPr>
                <w:sz w:val="20"/>
                <w:szCs w:val="20"/>
                <w:color w:val="auto"/>
              </w:rPr>
            </w:pPr>
            <w:r>
              <w:rPr>
                <w:rFonts w:ascii="Calibri" w:cs="Calibri" w:eastAsia="Calibri" w:hAnsi="Calibri"/>
                <w:sz w:val="14"/>
                <w:szCs w:val="14"/>
                <w:color w:val="auto"/>
              </w:rPr>
              <w:t>5,900</w:t>
            </w:r>
          </w:p>
        </w:tc>
        <w:tc>
          <w:tcPr>
            <w:tcW w:w="66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100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vMerge w:val="restart"/>
          </w:tcPr>
          <w:p>
            <w:pPr>
              <w:jc w:val="right"/>
              <w:spacing w:after="0"/>
              <w:rPr>
                <w:sz w:val="20"/>
                <w:szCs w:val="20"/>
                <w:color w:val="auto"/>
              </w:rPr>
            </w:pPr>
            <w:r>
              <w:rPr>
                <w:rFonts w:ascii="Calibri" w:cs="Calibri" w:eastAsia="Calibri" w:hAnsi="Calibri"/>
                <w:sz w:val="14"/>
                <w:szCs w:val="14"/>
                <w:color w:val="auto"/>
              </w:rPr>
              <w:t>32,193</w:t>
            </w:r>
          </w:p>
        </w:tc>
        <w:tc>
          <w:tcPr>
            <w:tcW w:w="0" w:type="dxa"/>
            <w:vAlign w:val="bottom"/>
          </w:tcPr>
          <w:p>
            <w:pPr>
              <w:spacing w:after="0"/>
              <w:rPr>
                <w:sz w:val="1"/>
                <w:szCs w:val="1"/>
                <w:color w:val="auto"/>
              </w:rPr>
            </w:pPr>
          </w:p>
        </w:tc>
      </w:tr>
      <w:tr>
        <w:trPr>
          <w:trHeight w:val="89"/>
        </w:trPr>
        <w:tc>
          <w:tcPr>
            <w:tcW w:w="3160" w:type="dxa"/>
            <w:vAlign w:val="bottom"/>
            <w:vMerge w:val="restart"/>
          </w:tcPr>
          <w:p>
            <w:pPr>
              <w:ind w:left="80"/>
              <w:spacing w:after="0"/>
              <w:rPr>
                <w:sz w:val="20"/>
                <w:szCs w:val="20"/>
                <w:color w:val="auto"/>
              </w:rPr>
            </w:pPr>
            <w:r>
              <w:rPr>
                <w:rFonts w:ascii="Calibri" w:cs="Calibri" w:eastAsia="Calibri" w:hAnsi="Calibri"/>
                <w:sz w:val="14"/>
                <w:szCs w:val="14"/>
                <w:color w:val="auto"/>
              </w:rPr>
              <w:t>costs</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1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160" w:type="dxa"/>
            <w:vAlign w:val="bottom"/>
            <w:vMerge w:val="restart"/>
          </w:tcPr>
          <w:p>
            <w:pPr>
              <w:ind w:left="80"/>
              <w:spacing w:after="0"/>
              <w:rPr>
                <w:sz w:val="20"/>
                <w:szCs w:val="20"/>
                <w:color w:val="auto"/>
              </w:rPr>
            </w:pPr>
            <w:r>
              <w:rPr>
                <w:rFonts w:ascii="Calibri" w:cs="Calibri" w:eastAsia="Calibri" w:hAnsi="Calibri"/>
                <w:sz w:val="14"/>
                <w:szCs w:val="14"/>
                <w:color w:val="auto"/>
              </w:rPr>
              <w:t>Unrealized gain on translaton of foreign operatons</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restart"/>
          </w:tcPr>
          <w:p>
            <w:pPr>
              <w:jc w:val="right"/>
              <w:ind w:right="28"/>
              <w:spacing w:after="0"/>
              <w:rPr>
                <w:sz w:val="20"/>
                <w:szCs w:val="20"/>
                <w:color w:val="auto"/>
              </w:rPr>
            </w:pPr>
            <w:r>
              <w:rPr>
                <w:rFonts w:ascii="Calibri" w:cs="Calibri" w:eastAsia="Calibri" w:hAnsi="Calibri"/>
                <w:sz w:val="14"/>
                <w:szCs w:val="14"/>
                <w:color w:val="auto"/>
              </w:rPr>
              <w:t>—</w:t>
            </w:r>
          </w:p>
        </w:tc>
        <w:tc>
          <w:tcPr>
            <w:tcW w:w="70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2"/>
                <w:szCs w:val="2"/>
                <w:color w:val="auto"/>
              </w:rPr>
            </w:pPr>
          </w:p>
        </w:tc>
        <w:tc>
          <w:tcPr>
            <w:tcW w:w="70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Borders>
              <w:bottom w:val="single" w:sz="8" w:color="auto"/>
            </w:tcBorders>
          </w:tcPr>
          <w:p>
            <w:pPr>
              <w:spacing w:after="0"/>
              <w:rPr>
                <w:sz w:val="2"/>
                <w:szCs w:val="2"/>
                <w:color w:val="auto"/>
              </w:rPr>
            </w:pPr>
          </w:p>
        </w:tc>
        <w:tc>
          <w:tcPr>
            <w:tcW w:w="68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gridSpan w:val="2"/>
            <w:vMerge w:val="restart"/>
          </w:tcPr>
          <w:p>
            <w:pPr>
              <w:jc w:val="right"/>
              <w:ind w:right="8"/>
              <w:spacing w:after="0"/>
              <w:rPr>
                <w:sz w:val="20"/>
                <w:szCs w:val="20"/>
                <w:color w:val="auto"/>
              </w:rPr>
            </w:pPr>
            <w:r>
              <w:rPr>
                <w:rFonts w:ascii="Calibri" w:cs="Calibri" w:eastAsia="Calibri" w:hAnsi="Calibri"/>
                <w:sz w:val="14"/>
                <w:szCs w:val="14"/>
                <w:color w:val="auto"/>
              </w:rPr>
              <w:t>24</w:t>
            </w:r>
          </w:p>
        </w:tc>
        <w:tc>
          <w:tcPr>
            <w:tcW w:w="780" w:type="dxa"/>
            <w:vAlign w:val="bottom"/>
            <w:gridSpan w:val="2"/>
            <w:vMerge w:val="restart"/>
          </w:tcPr>
          <w:p>
            <w:pPr>
              <w:jc w:val="right"/>
              <w:spacing w:after="0"/>
              <w:rPr>
                <w:sz w:val="20"/>
                <w:szCs w:val="20"/>
                <w:color w:val="auto"/>
              </w:rPr>
            </w:pPr>
            <w:r>
              <w:rPr>
                <w:rFonts w:ascii="Calibri" w:cs="Calibri" w:eastAsia="Calibri" w:hAnsi="Calibri"/>
                <w:sz w:val="14"/>
                <w:szCs w:val="14"/>
                <w:color w:val="auto"/>
              </w:rPr>
              <w:t>24</w:t>
            </w:r>
          </w:p>
        </w:tc>
        <w:tc>
          <w:tcPr>
            <w:tcW w:w="0" w:type="dxa"/>
            <w:vAlign w:val="bottom"/>
          </w:tcPr>
          <w:p>
            <w:pPr>
              <w:spacing w:after="0"/>
              <w:rPr>
                <w:sz w:val="1"/>
                <w:szCs w:val="1"/>
                <w:color w:val="auto"/>
              </w:rPr>
            </w:pPr>
          </w:p>
        </w:tc>
      </w:tr>
      <w:tr>
        <w:trPr>
          <w:trHeight w:val="136"/>
        </w:trPr>
        <w:tc>
          <w:tcPr>
            <w:tcW w:w="316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3160" w:type="dxa"/>
            <w:vAlign w:val="bottom"/>
            <w:vMerge w:val="restart"/>
          </w:tcPr>
          <w:p>
            <w:pPr>
              <w:ind w:left="80"/>
              <w:spacing w:after="0"/>
              <w:rPr>
                <w:sz w:val="20"/>
                <w:szCs w:val="20"/>
                <w:color w:val="auto"/>
              </w:rPr>
            </w:pPr>
            <w:r>
              <w:rPr>
                <w:rFonts w:ascii="Calibri" w:cs="Calibri" w:eastAsia="Calibri" w:hAnsi="Calibri"/>
                <w:sz w:val="14"/>
                <w:szCs w:val="14"/>
                <w:color w:val="auto"/>
              </w:rPr>
              <w:t>Net loss and comprehensive loss for the period</w:t>
            </w: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restart"/>
          </w:tcPr>
          <w:p>
            <w:pPr>
              <w:jc w:val="right"/>
              <w:ind w:right="28"/>
              <w:spacing w:after="0"/>
              <w:rPr>
                <w:sz w:val="20"/>
                <w:szCs w:val="20"/>
                <w:color w:val="auto"/>
              </w:rPr>
            </w:pPr>
            <w:r>
              <w:rPr>
                <w:rFonts w:ascii="Calibri" w:cs="Calibri" w:eastAsia="Calibri" w:hAnsi="Calibri"/>
                <w:sz w:val="14"/>
                <w:szCs w:val="14"/>
                <w:color w:val="auto"/>
              </w:rPr>
              <w:t>—</w:t>
            </w:r>
          </w:p>
        </w:tc>
        <w:tc>
          <w:tcPr>
            <w:tcW w:w="70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4"/>
                <w:szCs w:val="4"/>
                <w:color w:val="auto"/>
              </w:rPr>
            </w:pPr>
          </w:p>
        </w:tc>
        <w:tc>
          <w:tcPr>
            <w:tcW w:w="70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Borders>
              <w:bottom w:val="single" w:sz="8" w:color="auto"/>
            </w:tcBorders>
          </w:tcPr>
          <w:p>
            <w:pPr>
              <w:spacing w:after="0"/>
              <w:rPr>
                <w:sz w:val="4"/>
                <w:szCs w:val="4"/>
                <w:color w:val="auto"/>
              </w:rPr>
            </w:pPr>
          </w:p>
        </w:tc>
        <w:tc>
          <w:tcPr>
            <w:tcW w:w="680" w:type="dxa"/>
            <w:vAlign w:val="bottom"/>
            <w:vMerge w:val="restart"/>
          </w:tcPr>
          <w:p>
            <w:pPr>
              <w:jc w:val="right"/>
              <w:spacing w:after="0"/>
              <w:rPr>
                <w:sz w:val="20"/>
                <w:szCs w:val="20"/>
                <w:color w:val="auto"/>
              </w:rPr>
            </w:pPr>
            <w:r>
              <w:rPr>
                <w:rFonts w:ascii="Calibri" w:cs="Calibri" w:eastAsia="Calibri" w:hAnsi="Calibri"/>
                <w:sz w:val="14"/>
                <w:szCs w:val="14"/>
                <w:color w:val="auto"/>
              </w:rPr>
              <w:t>(32,220)</w:t>
            </w:r>
          </w:p>
        </w:tc>
        <w:tc>
          <w:tcPr>
            <w:tcW w:w="100" w:type="dxa"/>
            <w:vAlign w:val="bottom"/>
          </w:tcPr>
          <w:p>
            <w:pPr>
              <w:spacing w:after="0"/>
              <w:rPr>
                <w:sz w:val="4"/>
                <w:szCs w:val="4"/>
                <w:color w:val="auto"/>
              </w:rPr>
            </w:pPr>
          </w:p>
        </w:tc>
        <w:tc>
          <w:tcPr>
            <w:tcW w:w="100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vMerge w:val="restart"/>
          </w:tcPr>
          <w:p>
            <w:pPr>
              <w:jc w:val="right"/>
              <w:spacing w:after="0"/>
              <w:rPr>
                <w:sz w:val="20"/>
                <w:szCs w:val="20"/>
                <w:color w:val="auto"/>
              </w:rPr>
            </w:pPr>
            <w:r>
              <w:rPr>
                <w:rFonts w:ascii="Calibri" w:cs="Calibri" w:eastAsia="Calibri" w:hAnsi="Calibri"/>
                <w:sz w:val="14"/>
                <w:szCs w:val="14"/>
                <w:color w:val="auto"/>
              </w:rPr>
              <w:t>(32,220)</w:t>
            </w:r>
          </w:p>
        </w:tc>
        <w:tc>
          <w:tcPr>
            <w:tcW w:w="0" w:type="dxa"/>
            <w:vAlign w:val="bottom"/>
          </w:tcPr>
          <w:p>
            <w:pPr>
              <w:spacing w:after="0"/>
              <w:rPr>
                <w:sz w:val="1"/>
                <w:szCs w:val="1"/>
                <w:color w:val="auto"/>
              </w:rPr>
            </w:pPr>
          </w:p>
        </w:tc>
      </w:tr>
      <w:tr>
        <w:trPr>
          <w:trHeight w:val="136"/>
        </w:trPr>
        <w:tc>
          <w:tcPr>
            <w:tcW w:w="316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3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D9D9D9"/>
            </w:tcBorders>
            <w:shd w:val="clear" w:color="auto" w:fill="D9D9D9"/>
          </w:tcPr>
          <w:p>
            <w:pPr>
              <w:ind w:left="80"/>
              <w:spacing w:after="0" w:line="164" w:lineRule="exact"/>
              <w:rPr>
                <w:sz w:val="20"/>
                <w:szCs w:val="20"/>
                <w:color w:val="auto"/>
              </w:rPr>
            </w:pPr>
            <w:r>
              <w:rPr>
                <w:rFonts w:ascii="Calibri" w:cs="Calibri" w:eastAsia="Calibri" w:hAnsi="Calibri"/>
                <w:sz w:val="14"/>
                <w:szCs w:val="14"/>
                <w:b w:val="1"/>
                <w:bCs w:val="1"/>
                <w:color w:val="auto"/>
              </w:rPr>
              <w:t>Balance at March 31, 2021</w:t>
            </w:r>
          </w:p>
        </w:tc>
        <w:tc>
          <w:tcPr>
            <w:tcW w:w="600" w:type="dxa"/>
            <w:vAlign w:val="bottom"/>
            <w:tcBorders>
              <w:bottom w:val="single" w:sz="8" w:color="D9D9D9"/>
            </w:tcBorders>
            <w:shd w:val="clear" w:color="auto" w:fill="D9D9D9"/>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D9D9D9"/>
            </w:tcBorders>
            <w:shd w:val="clear" w:color="auto" w:fill="D9D9D9"/>
          </w:tcPr>
          <w:p>
            <w:pPr>
              <w:jc w:val="right"/>
              <w:ind w:right="28"/>
              <w:spacing w:after="0" w:line="164" w:lineRule="exact"/>
              <w:rPr>
                <w:sz w:val="20"/>
                <w:szCs w:val="20"/>
                <w:color w:val="auto"/>
              </w:rPr>
            </w:pPr>
            <w:r>
              <w:rPr>
                <w:rFonts w:ascii="Calibri" w:cs="Calibri" w:eastAsia="Calibri" w:hAnsi="Calibri"/>
                <w:sz w:val="14"/>
                <w:szCs w:val="14"/>
                <w:b w:val="1"/>
                <w:bCs w:val="1"/>
                <w:color w:val="auto"/>
              </w:rPr>
              <w:t>157,454,415</w:t>
            </w:r>
          </w:p>
        </w:tc>
        <w:tc>
          <w:tcPr>
            <w:tcW w:w="700" w:type="dxa"/>
            <w:vAlign w:val="bottom"/>
            <w:tcBorders>
              <w:bottom w:val="single" w:sz="8" w:color="D9D9D9"/>
            </w:tcBorders>
            <w:shd w:val="clear" w:color="auto" w:fill="D9D9D9"/>
          </w:tcPr>
          <w:p>
            <w:pPr>
              <w:jc w:val="right"/>
              <w:spacing w:after="0" w:line="164" w:lineRule="exact"/>
              <w:rPr>
                <w:sz w:val="20"/>
                <w:szCs w:val="20"/>
                <w:color w:val="auto"/>
              </w:rPr>
            </w:pPr>
            <w:r>
              <w:rPr>
                <w:rFonts w:ascii="Calibri" w:cs="Calibri" w:eastAsia="Calibri" w:hAnsi="Calibri"/>
                <w:sz w:val="14"/>
                <w:szCs w:val="14"/>
                <w:b w:val="1"/>
                <w:bCs w:val="1"/>
                <w:color w:val="auto"/>
              </w:rPr>
              <w:t>100,676</w:t>
            </w:r>
          </w:p>
        </w:tc>
        <w:tc>
          <w:tcPr>
            <w:tcW w:w="800" w:type="dxa"/>
            <w:vAlign w:val="bottom"/>
            <w:tcBorders>
              <w:bottom w:val="single" w:sz="8" w:color="D9D9D9"/>
            </w:tcBorders>
            <w:gridSpan w:val="2"/>
            <w:shd w:val="clear" w:color="auto" w:fill="D9D9D9"/>
          </w:tcPr>
          <w:p>
            <w:pPr>
              <w:jc w:val="right"/>
              <w:ind w:right="8"/>
              <w:spacing w:after="0" w:line="164" w:lineRule="exact"/>
              <w:rPr>
                <w:sz w:val="20"/>
                <w:szCs w:val="20"/>
                <w:color w:val="auto"/>
              </w:rPr>
            </w:pPr>
            <w:r>
              <w:rPr>
                <w:rFonts w:ascii="Calibri" w:cs="Calibri" w:eastAsia="Calibri" w:hAnsi="Calibri"/>
                <w:sz w:val="14"/>
                <w:szCs w:val="14"/>
                <w:b w:val="1"/>
                <w:bCs w:val="1"/>
                <w:color w:val="auto"/>
              </w:rPr>
              <w:t>11,166</w:t>
            </w:r>
          </w:p>
        </w:tc>
        <w:tc>
          <w:tcPr>
            <w:tcW w:w="660" w:type="dxa"/>
            <w:vAlign w:val="bottom"/>
            <w:tcBorders>
              <w:bottom w:val="single" w:sz="8" w:color="D9D9D9"/>
            </w:tcBorders>
            <w:shd w:val="clear" w:color="auto" w:fill="D9D9D9"/>
          </w:tcPr>
          <w:p>
            <w:pPr>
              <w:jc w:val="right"/>
              <w:spacing w:after="0" w:line="164" w:lineRule="exact"/>
              <w:rPr>
                <w:sz w:val="20"/>
                <w:szCs w:val="20"/>
                <w:color w:val="auto"/>
              </w:rPr>
            </w:pPr>
            <w:r>
              <w:rPr>
                <w:rFonts w:ascii="Calibri" w:cs="Calibri" w:eastAsia="Calibri" w:hAnsi="Calibri"/>
                <w:sz w:val="14"/>
                <w:szCs w:val="14"/>
                <w:b w:val="1"/>
                <w:bCs w:val="1"/>
                <w:color w:val="auto"/>
              </w:rPr>
              <w:t>7,158</w:t>
            </w:r>
          </w:p>
        </w:tc>
        <w:tc>
          <w:tcPr>
            <w:tcW w:w="940" w:type="dxa"/>
            <w:vAlign w:val="bottom"/>
            <w:tcBorders>
              <w:bottom w:val="single" w:sz="8" w:color="D9D9D9"/>
            </w:tcBorders>
            <w:shd w:val="clear" w:color="auto" w:fill="D9D9D9"/>
          </w:tcPr>
          <w:p>
            <w:pPr>
              <w:jc w:val="right"/>
              <w:ind w:right="8"/>
              <w:spacing w:after="0" w:line="164" w:lineRule="exact"/>
              <w:rPr>
                <w:sz w:val="20"/>
                <w:szCs w:val="20"/>
                <w:color w:val="auto"/>
              </w:rPr>
            </w:pPr>
            <w:r>
              <w:rPr>
                <w:rFonts w:ascii="Calibri" w:cs="Calibri" w:eastAsia="Calibri" w:hAnsi="Calibri"/>
                <w:sz w:val="14"/>
                <w:szCs w:val="14"/>
                <w:b w:val="1"/>
                <w:bCs w:val="1"/>
                <w:color w:val="auto"/>
              </w:rPr>
              <w:t>—</w:t>
            </w:r>
          </w:p>
        </w:tc>
        <w:tc>
          <w:tcPr>
            <w:tcW w:w="800" w:type="dxa"/>
            <w:vAlign w:val="bottom"/>
            <w:tcBorders>
              <w:bottom w:val="single" w:sz="8" w:color="D9D9D9"/>
            </w:tcBorders>
            <w:shd w:val="clear" w:color="auto" w:fill="D9D9D9"/>
          </w:tcPr>
          <w:p>
            <w:pPr>
              <w:jc w:val="right"/>
              <w:ind w:right="8"/>
              <w:spacing w:after="0" w:line="164" w:lineRule="exact"/>
              <w:rPr>
                <w:sz w:val="20"/>
                <w:szCs w:val="20"/>
                <w:color w:val="auto"/>
              </w:rPr>
            </w:pPr>
            <w:r>
              <w:rPr>
                <w:rFonts w:ascii="Calibri" w:cs="Calibri" w:eastAsia="Calibri" w:hAnsi="Calibri"/>
                <w:sz w:val="14"/>
                <w:szCs w:val="14"/>
                <w:b w:val="1"/>
                <w:bCs w:val="1"/>
                <w:color w:val="auto"/>
              </w:rPr>
              <w:t>124</w:t>
            </w:r>
          </w:p>
        </w:tc>
        <w:tc>
          <w:tcPr>
            <w:tcW w:w="80" w:type="dxa"/>
            <w:vAlign w:val="bottom"/>
          </w:tcPr>
          <w:p>
            <w:pPr>
              <w:spacing w:after="0"/>
              <w:rPr>
                <w:sz w:val="17"/>
                <w:szCs w:val="17"/>
                <w:color w:val="auto"/>
              </w:rPr>
            </w:pPr>
          </w:p>
        </w:tc>
        <w:tc>
          <w:tcPr>
            <w:tcW w:w="680" w:type="dxa"/>
            <w:vAlign w:val="bottom"/>
            <w:tcBorders>
              <w:bottom w:val="single" w:sz="8" w:color="D9D9D9"/>
            </w:tcBorders>
            <w:shd w:val="clear" w:color="auto" w:fill="D9D9D9"/>
          </w:tcPr>
          <w:p>
            <w:pPr>
              <w:jc w:val="right"/>
              <w:spacing w:after="0" w:line="164" w:lineRule="exact"/>
              <w:rPr>
                <w:sz w:val="20"/>
                <w:szCs w:val="20"/>
                <w:color w:val="auto"/>
              </w:rPr>
            </w:pPr>
            <w:r>
              <w:rPr>
                <w:rFonts w:ascii="Calibri" w:cs="Calibri" w:eastAsia="Calibri" w:hAnsi="Calibri"/>
                <w:sz w:val="14"/>
                <w:szCs w:val="14"/>
                <w:b w:val="1"/>
                <w:bCs w:val="1"/>
                <w:color w:val="auto"/>
              </w:rPr>
              <w:t>(33,030)</w:t>
            </w:r>
          </w:p>
        </w:tc>
        <w:tc>
          <w:tcPr>
            <w:tcW w:w="100" w:type="dxa"/>
            <w:vAlign w:val="bottom"/>
          </w:tcPr>
          <w:p>
            <w:pPr>
              <w:spacing w:after="0"/>
              <w:rPr>
                <w:sz w:val="17"/>
                <w:szCs w:val="17"/>
                <w:color w:val="auto"/>
              </w:rPr>
            </w:pPr>
          </w:p>
        </w:tc>
        <w:tc>
          <w:tcPr>
            <w:tcW w:w="1000" w:type="dxa"/>
            <w:vAlign w:val="bottom"/>
            <w:tcBorders>
              <w:bottom w:val="single" w:sz="8" w:color="D9D9D9"/>
            </w:tcBorders>
            <w:shd w:val="clear" w:color="auto" w:fill="D9D9D9"/>
          </w:tcPr>
          <w:p>
            <w:pPr>
              <w:jc w:val="right"/>
              <w:ind w:right="8"/>
              <w:spacing w:after="0" w:line="164" w:lineRule="exact"/>
              <w:rPr>
                <w:sz w:val="20"/>
                <w:szCs w:val="20"/>
                <w:color w:val="auto"/>
              </w:rPr>
            </w:pPr>
            <w:r>
              <w:rPr>
                <w:rFonts w:ascii="Calibri" w:cs="Calibri" w:eastAsia="Calibri" w:hAnsi="Calibri"/>
                <w:sz w:val="14"/>
                <w:szCs w:val="14"/>
                <w:b w:val="1"/>
                <w:bCs w:val="1"/>
                <w:color w:val="auto"/>
              </w:rPr>
              <w:t>24</w:t>
            </w:r>
          </w:p>
        </w:tc>
        <w:tc>
          <w:tcPr>
            <w:tcW w:w="100" w:type="dxa"/>
            <w:vAlign w:val="bottom"/>
          </w:tcPr>
          <w:p>
            <w:pPr>
              <w:spacing w:after="0"/>
              <w:rPr>
                <w:sz w:val="17"/>
                <w:szCs w:val="17"/>
                <w:color w:val="auto"/>
              </w:rPr>
            </w:pPr>
          </w:p>
        </w:tc>
        <w:tc>
          <w:tcPr>
            <w:tcW w:w="680" w:type="dxa"/>
            <w:vAlign w:val="bottom"/>
            <w:tcBorders>
              <w:bottom w:val="single" w:sz="8" w:color="D9D9D9"/>
            </w:tcBorders>
            <w:shd w:val="clear" w:color="auto" w:fill="D9D9D9"/>
          </w:tcPr>
          <w:p>
            <w:pPr>
              <w:jc w:val="right"/>
              <w:spacing w:after="0" w:line="164" w:lineRule="exact"/>
              <w:rPr>
                <w:sz w:val="20"/>
                <w:szCs w:val="20"/>
                <w:color w:val="auto"/>
              </w:rPr>
            </w:pPr>
            <w:r>
              <w:rPr>
                <w:rFonts w:ascii="Calibri" w:cs="Calibri" w:eastAsia="Calibri" w:hAnsi="Calibri"/>
                <w:sz w:val="14"/>
                <w:szCs w:val="14"/>
                <w:b w:val="1"/>
                <w:bCs w:val="1"/>
                <w:color w:val="auto"/>
              </w:rPr>
              <w:t>86,118</w:t>
            </w:r>
          </w:p>
        </w:tc>
        <w:tc>
          <w:tcPr>
            <w:tcW w:w="0" w:type="dxa"/>
            <w:vAlign w:val="bottom"/>
          </w:tcPr>
          <w:p>
            <w:pPr>
              <w:spacing w:after="0"/>
              <w:rPr>
                <w:sz w:val="1"/>
                <w:szCs w:val="1"/>
                <w:color w:val="auto"/>
              </w:rPr>
            </w:pPr>
          </w:p>
        </w:tc>
      </w:tr>
      <w:tr>
        <w:trPr>
          <w:trHeight w:val="128"/>
        </w:trPr>
        <w:tc>
          <w:tcPr>
            <w:tcW w:w="3160" w:type="dxa"/>
            <w:vAlign w:val="bottom"/>
            <w:tcBorders>
              <w:top w:val="single" w:sz="8" w:color="auto"/>
            </w:tcBorders>
          </w:tcPr>
          <w:p>
            <w:pPr>
              <w:ind w:left="80"/>
              <w:spacing w:after="0" w:line="127" w:lineRule="exact"/>
              <w:rPr>
                <w:sz w:val="20"/>
                <w:szCs w:val="20"/>
                <w:color w:val="auto"/>
              </w:rPr>
            </w:pPr>
            <w:r>
              <w:rPr>
                <w:rFonts w:ascii="Calibri" w:cs="Calibri" w:eastAsia="Calibri" w:hAnsi="Calibri"/>
                <w:sz w:val="13"/>
                <w:szCs w:val="13"/>
                <w:color w:val="auto"/>
              </w:rPr>
              <w:t>Bought deal share ofering - net of share issuance</w:t>
            </w:r>
          </w:p>
        </w:tc>
        <w:tc>
          <w:tcPr>
            <w:tcW w:w="600" w:type="dxa"/>
            <w:vAlign w:val="bottom"/>
            <w:tcBorders>
              <w:top w:val="single" w:sz="8" w:color="auto"/>
            </w:tcBorders>
            <w:vMerge w:val="restart"/>
          </w:tcPr>
          <w:p>
            <w:pPr>
              <w:jc w:val="center"/>
              <w:spacing w:after="0"/>
              <w:rPr>
                <w:sz w:val="20"/>
                <w:szCs w:val="20"/>
                <w:color w:val="auto"/>
              </w:rPr>
            </w:pPr>
            <w:r>
              <w:rPr>
                <w:rFonts w:ascii="Calibri" w:cs="Calibri" w:eastAsia="Calibri" w:hAnsi="Calibri"/>
                <w:sz w:val="14"/>
                <w:szCs w:val="14"/>
                <w:color w:val="auto"/>
              </w:rPr>
              <w:t>10</w:t>
            </w:r>
          </w:p>
        </w:tc>
        <w:tc>
          <w:tcPr>
            <w:tcW w:w="80" w:type="dxa"/>
            <w:vAlign w:val="bottom"/>
            <w:vMerge w:val="restart"/>
          </w:tcPr>
          <w:p>
            <w:pPr>
              <w:spacing w:after="0"/>
              <w:rPr>
                <w:sz w:val="11"/>
                <w:szCs w:val="11"/>
                <w:color w:val="auto"/>
              </w:rPr>
            </w:pPr>
          </w:p>
        </w:tc>
        <w:tc>
          <w:tcPr>
            <w:tcW w:w="860" w:type="dxa"/>
            <w:vAlign w:val="bottom"/>
            <w:tcBorders>
              <w:top w:val="single" w:sz="8" w:color="auto"/>
            </w:tcBorders>
            <w:vMerge w:val="restart"/>
          </w:tcPr>
          <w:p>
            <w:pPr>
              <w:jc w:val="right"/>
              <w:ind w:right="28"/>
              <w:spacing w:after="0"/>
              <w:rPr>
                <w:sz w:val="20"/>
                <w:szCs w:val="20"/>
                <w:color w:val="auto"/>
              </w:rPr>
            </w:pPr>
            <w:r>
              <w:rPr>
                <w:rFonts w:ascii="Calibri" w:cs="Calibri" w:eastAsia="Calibri" w:hAnsi="Calibri"/>
                <w:sz w:val="14"/>
                <w:szCs w:val="14"/>
                <w:color w:val="auto"/>
              </w:rPr>
              <w:t>10,147,600</w:t>
            </w:r>
          </w:p>
        </w:tc>
        <w:tc>
          <w:tcPr>
            <w:tcW w:w="7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4"/>
                <w:szCs w:val="14"/>
                <w:color w:val="auto"/>
              </w:rPr>
              <w:t>31,507</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Borders>
              <w:top w:val="single" w:sz="8" w:color="auto"/>
            </w:tcBorders>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Borders>
              <w:top w:val="single" w:sz="8" w:color="auto"/>
            </w:tcBorders>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tcBorders>
              <w:top w:val="single" w:sz="8" w:color="auto"/>
            </w:tcBorders>
            <w:gridSpan w:val="2"/>
            <w:vMerge w:val="restart"/>
          </w:tcPr>
          <w:p>
            <w:pPr>
              <w:jc w:val="right"/>
              <w:spacing w:after="0"/>
              <w:rPr>
                <w:sz w:val="20"/>
                <w:szCs w:val="20"/>
                <w:color w:val="auto"/>
              </w:rPr>
            </w:pPr>
            <w:r>
              <w:rPr>
                <w:rFonts w:ascii="Calibri" w:cs="Calibri" w:eastAsia="Calibri" w:hAnsi="Calibri"/>
                <w:sz w:val="14"/>
                <w:szCs w:val="14"/>
                <w:color w:val="auto"/>
              </w:rPr>
              <w:t>31,507</w:t>
            </w:r>
          </w:p>
        </w:tc>
        <w:tc>
          <w:tcPr>
            <w:tcW w:w="0" w:type="dxa"/>
            <w:vAlign w:val="bottom"/>
          </w:tcPr>
          <w:p>
            <w:pPr>
              <w:spacing w:after="0"/>
              <w:rPr>
                <w:sz w:val="1"/>
                <w:szCs w:val="1"/>
                <w:color w:val="auto"/>
              </w:rPr>
            </w:pPr>
          </w:p>
        </w:tc>
      </w:tr>
      <w:tr>
        <w:trPr>
          <w:trHeight w:val="89"/>
        </w:trPr>
        <w:tc>
          <w:tcPr>
            <w:tcW w:w="3160" w:type="dxa"/>
            <w:vAlign w:val="bottom"/>
            <w:vMerge w:val="restart"/>
          </w:tcPr>
          <w:p>
            <w:pPr>
              <w:ind w:left="80"/>
              <w:spacing w:after="0"/>
              <w:rPr>
                <w:sz w:val="20"/>
                <w:szCs w:val="20"/>
                <w:color w:val="auto"/>
              </w:rPr>
            </w:pPr>
            <w:r>
              <w:rPr>
                <w:rFonts w:ascii="Calibri" w:cs="Calibri" w:eastAsia="Calibri" w:hAnsi="Calibri"/>
                <w:sz w:val="14"/>
                <w:szCs w:val="14"/>
                <w:color w:val="auto"/>
              </w:rPr>
              <w:t>costs</w:t>
            </w:r>
          </w:p>
        </w:tc>
        <w:tc>
          <w:tcPr>
            <w:tcW w:w="60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1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80"/>
              <w:spacing w:after="0"/>
              <w:rPr>
                <w:sz w:val="20"/>
                <w:szCs w:val="20"/>
                <w:color w:val="auto"/>
              </w:rPr>
            </w:pPr>
            <w:r>
              <w:rPr>
                <w:rFonts w:ascii="Calibri" w:cs="Calibri" w:eastAsia="Calibri" w:hAnsi="Calibri"/>
                <w:sz w:val="14"/>
                <w:szCs w:val="14"/>
                <w:color w:val="auto"/>
              </w:rPr>
              <w:t>Shares issued on Adelia milestones</w:t>
            </w:r>
          </w:p>
        </w:tc>
        <w:tc>
          <w:tcPr>
            <w:tcW w:w="600" w:type="dxa"/>
            <w:vAlign w:val="bottom"/>
          </w:tcPr>
          <w:p>
            <w:pPr>
              <w:jc w:val="center"/>
              <w:spacing w:after="0"/>
              <w:rPr>
                <w:sz w:val="20"/>
                <w:szCs w:val="20"/>
                <w:color w:val="auto"/>
              </w:rPr>
            </w:pPr>
            <w:r>
              <w:rPr>
                <w:rFonts w:ascii="Calibri" w:cs="Calibri" w:eastAsia="Calibri" w:hAnsi="Calibri"/>
                <w:sz w:val="14"/>
                <w:szCs w:val="14"/>
                <w:color w:val="auto"/>
                <w:w w:val="99"/>
              </w:rPr>
              <w:t>9, 10</w:t>
            </w:r>
          </w:p>
        </w:tc>
        <w:tc>
          <w:tcPr>
            <w:tcW w:w="940" w:type="dxa"/>
            <w:vAlign w:val="bottom"/>
            <w:gridSpan w:val="2"/>
          </w:tcPr>
          <w:p>
            <w:pPr>
              <w:jc w:val="right"/>
              <w:ind w:right="28"/>
              <w:spacing w:after="0"/>
              <w:rPr>
                <w:sz w:val="20"/>
                <w:szCs w:val="20"/>
                <w:color w:val="auto"/>
              </w:rPr>
            </w:pPr>
            <w:r>
              <w:rPr>
                <w:rFonts w:ascii="Calibri" w:cs="Calibri" w:eastAsia="Calibri" w:hAnsi="Calibri"/>
                <w:sz w:val="14"/>
                <w:szCs w:val="14"/>
                <w:color w:val="auto"/>
              </w:rPr>
              <w:t>2,690,078</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4,251</w:t>
            </w: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spacing w:after="0"/>
              <w:rPr>
                <w:sz w:val="20"/>
                <w:szCs w:val="20"/>
                <w:color w:val="auto"/>
              </w:rPr>
            </w:pPr>
            <w:r>
              <w:rPr>
                <w:rFonts w:ascii="Calibri" w:cs="Calibri" w:eastAsia="Calibri" w:hAnsi="Calibri"/>
                <w:sz w:val="14"/>
                <w:szCs w:val="14"/>
                <w:color w:val="auto"/>
              </w:rPr>
              <w:t>4,251</w:t>
            </w:r>
          </w:p>
        </w:tc>
        <w:tc>
          <w:tcPr>
            <w:tcW w:w="0" w:type="dxa"/>
            <w:vAlign w:val="bottom"/>
          </w:tcPr>
          <w:p>
            <w:pPr>
              <w:spacing w:after="0"/>
              <w:rPr>
                <w:sz w:val="1"/>
                <w:szCs w:val="1"/>
                <w:color w:val="auto"/>
              </w:rPr>
            </w:pPr>
          </w:p>
        </w:tc>
      </w:tr>
      <w:tr>
        <w:trPr>
          <w:trHeight w:val="203"/>
        </w:trPr>
        <w:tc>
          <w:tcPr>
            <w:tcW w:w="3160" w:type="dxa"/>
            <w:vAlign w:val="bottom"/>
          </w:tcPr>
          <w:p>
            <w:pPr>
              <w:ind w:left="80"/>
              <w:spacing w:after="0"/>
              <w:rPr>
                <w:sz w:val="20"/>
                <w:szCs w:val="20"/>
                <w:color w:val="auto"/>
              </w:rPr>
            </w:pPr>
            <w:r>
              <w:rPr>
                <w:rFonts w:ascii="Calibri" w:cs="Calibri" w:eastAsia="Calibri" w:hAnsi="Calibri"/>
                <w:sz w:val="14"/>
                <w:szCs w:val="14"/>
                <w:color w:val="auto"/>
              </w:rPr>
              <w:t>Warrants exercised</w:t>
            </w:r>
          </w:p>
        </w:tc>
        <w:tc>
          <w:tcPr>
            <w:tcW w:w="600" w:type="dxa"/>
            <w:vAlign w:val="bottom"/>
          </w:tcPr>
          <w:p>
            <w:pPr>
              <w:jc w:val="center"/>
              <w:spacing w:after="0"/>
              <w:rPr>
                <w:sz w:val="20"/>
                <w:szCs w:val="20"/>
                <w:color w:val="auto"/>
              </w:rPr>
            </w:pPr>
            <w:r>
              <w:rPr>
                <w:rFonts w:ascii="Calibri" w:cs="Calibri" w:eastAsia="Calibri" w:hAnsi="Calibri"/>
                <w:sz w:val="14"/>
                <w:szCs w:val="14"/>
                <w:color w:val="auto"/>
              </w:rPr>
              <w:t>10</w:t>
            </w:r>
          </w:p>
        </w:tc>
        <w:tc>
          <w:tcPr>
            <w:tcW w:w="940" w:type="dxa"/>
            <w:vAlign w:val="bottom"/>
            <w:gridSpan w:val="2"/>
          </w:tcPr>
          <w:p>
            <w:pPr>
              <w:jc w:val="right"/>
              <w:ind w:right="28"/>
              <w:spacing w:after="0"/>
              <w:rPr>
                <w:sz w:val="20"/>
                <w:szCs w:val="20"/>
                <w:color w:val="auto"/>
              </w:rPr>
            </w:pPr>
            <w:r>
              <w:rPr>
                <w:rFonts w:ascii="Calibri" w:cs="Calibri" w:eastAsia="Calibri" w:hAnsi="Calibri"/>
                <w:sz w:val="14"/>
                <w:szCs w:val="14"/>
                <w:color w:val="auto"/>
              </w:rPr>
              <w:t>3,231,261</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4,043</w:t>
            </w:r>
          </w:p>
        </w:tc>
        <w:tc>
          <w:tcPr>
            <w:tcW w:w="800" w:type="dxa"/>
            <w:vAlign w:val="bottom"/>
            <w:gridSpan w:val="2"/>
          </w:tcPr>
          <w:p>
            <w:pPr>
              <w:jc w:val="right"/>
              <w:ind w:right="8"/>
              <w:spacing w:after="0"/>
              <w:rPr>
                <w:sz w:val="20"/>
                <w:szCs w:val="20"/>
                <w:color w:val="auto"/>
              </w:rPr>
            </w:pPr>
            <w:r>
              <w:rPr>
                <w:rFonts w:ascii="Calibri" w:cs="Calibri" w:eastAsia="Calibri" w:hAnsi="Calibri"/>
                <w:sz w:val="14"/>
                <w:szCs w:val="14"/>
                <w:color w:val="auto"/>
              </w:rPr>
              <w:t>(1,115)</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spacing w:after="0"/>
              <w:rPr>
                <w:sz w:val="20"/>
                <w:szCs w:val="20"/>
                <w:color w:val="auto"/>
              </w:rPr>
            </w:pPr>
            <w:r>
              <w:rPr>
                <w:rFonts w:ascii="Calibri" w:cs="Calibri" w:eastAsia="Calibri" w:hAnsi="Calibri"/>
                <w:sz w:val="14"/>
                <w:szCs w:val="14"/>
                <w:color w:val="auto"/>
              </w:rPr>
              <w:t>2,928</w:t>
            </w:r>
          </w:p>
        </w:tc>
        <w:tc>
          <w:tcPr>
            <w:tcW w:w="0" w:type="dxa"/>
            <w:vAlign w:val="bottom"/>
          </w:tcPr>
          <w:p>
            <w:pPr>
              <w:spacing w:after="0"/>
              <w:rPr>
                <w:sz w:val="1"/>
                <w:szCs w:val="1"/>
                <w:color w:val="auto"/>
              </w:rPr>
            </w:pPr>
          </w:p>
        </w:tc>
      </w:tr>
      <w:tr>
        <w:trPr>
          <w:trHeight w:val="203"/>
        </w:trPr>
        <w:tc>
          <w:tcPr>
            <w:tcW w:w="3160" w:type="dxa"/>
            <w:vAlign w:val="bottom"/>
          </w:tcPr>
          <w:p>
            <w:pPr>
              <w:ind w:left="80"/>
              <w:spacing w:after="0"/>
              <w:rPr>
                <w:sz w:val="20"/>
                <w:szCs w:val="20"/>
                <w:color w:val="auto"/>
              </w:rPr>
            </w:pPr>
            <w:r>
              <w:rPr>
                <w:rFonts w:ascii="Calibri" w:cs="Calibri" w:eastAsia="Calibri" w:hAnsi="Calibri"/>
                <w:sz w:val="14"/>
                <w:szCs w:val="14"/>
                <w:color w:val="auto"/>
              </w:rPr>
              <w:t>Optons exercised</w:t>
            </w:r>
          </w:p>
        </w:tc>
        <w:tc>
          <w:tcPr>
            <w:tcW w:w="600" w:type="dxa"/>
            <w:vAlign w:val="bottom"/>
          </w:tcPr>
          <w:p>
            <w:pPr>
              <w:jc w:val="center"/>
              <w:spacing w:after="0"/>
              <w:rPr>
                <w:sz w:val="20"/>
                <w:szCs w:val="20"/>
                <w:color w:val="auto"/>
              </w:rPr>
            </w:pPr>
            <w:r>
              <w:rPr>
                <w:rFonts w:ascii="Calibri" w:cs="Calibri" w:eastAsia="Calibri" w:hAnsi="Calibri"/>
                <w:sz w:val="14"/>
                <w:szCs w:val="14"/>
                <w:color w:val="auto"/>
              </w:rPr>
              <w:t>10</w:t>
            </w:r>
          </w:p>
        </w:tc>
        <w:tc>
          <w:tcPr>
            <w:tcW w:w="940" w:type="dxa"/>
            <w:vAlign w:val="bottom"/>
            <w:gridSpan w:val="2"/>
          </w:tcPr>
          <w:p>
            <w:pPr>
              <w:jc w:val="right"/>
              <w:ind w:right="28"/>
              <w:spacing w:after="0"/>
              <w:rPr>
                <w:sz w:val="20"/>
                <w:szCs w:val="20"/>
                <w:color w:val="auto"/>
              </w:rPr>
            </w:pPr>
            <w:r>
              <w:rPr>
                <w:rFonts w:ascii="Calibri" w:cs="Calibri" w:eastAsia="Calibri" w:hAnsi="Calibri"/>
                <w:sz w:val="14"/>
                <w:szCs w:val="14"/>
                <w:color w:val="auto"/>
              </w:rPr>
              <w:t>1,588,300</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2,306</w:t>
            </w:r>
          </w:p>
        </w:tc>
        <w:tc>
          <w:tcPr>
            <w:tcW w:w="1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(964)</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spacing w:after="0"/>
              <w:rPr>
                <w:sz w:val="20"/>
                <w:szCs w:val="20"/>
                <w:color w:val="auto"/>
              </w:rPr>
            </w:pPr>
            <w:r>
              <w:rPr>
                <w:rFonts w:ascii="Calibri" w:cs="Calibri" w:eastAsia="Calibri" w:hAnsi="Calibri"/>
                <w:sz w:val="14"/>
                <w:szCs w:val="14"/>
                <w:color w:val="auto"/>
              </w:rPr>
              <w:t>1,342</w:t>
            </w:r>
          </w:p>
        </w:tc>
        <w:tc>
          <w:tcPr>
            <w:tcW w:w="0" w:type="dxa"/>
            <w:vAlign w:val="bottom"/>
          </w:tcPr>
          <w:p>
            <w:pPr>
              <w:spacing w:after="0"/>
              <w:rPr>
                <w:sz w:val="1"/>
                <w:szCs w:val="1"/>
                <w:color w:val="auto"/>
              </w:rPr>
            </w:pPr>
          </w:p>
        </w:tc>
      </w:tr>
      <w:tr>
        <w:trPr>
          <w:trHeight w:val="203"/>
        </w:trPr>
        <w:tc>
          <w:tcPr>
            <w:tcW w:w="3160" w:type="dxa"/>
            <w:vAlign w:val="bottom"/>
          </w:tcPr>
          <w:p>
            <w:pPr>
              <w:ind w:left="80"/>
              <w:spacing w:after="0"/>
              <w:rPr>
                <w:sz w:val="20"/>
                <w:szCs w:val="20"/>
                <w:color w:val="auto"/>
              </w:rPr>
            </w:pPr>
            <w:r>
              <w:rPr>
                <w:rFonts w:ascii="Calibri" w:cs="Calibri" w:eastAsia="Calibri" w:hAnsi="Calibri"/>
                <w:sz w:val="14"/>
                <w:szCs w:val="14"/>
                <w:color w:val="auto"/>
              </w:rPr>
              <w:t>Optons forfeited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(401)</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401</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80"/>
              <w:spacing w:after="0"/>
              <w:rPr>
                <w:sz w:val="20"/>
                <w:szCs w:val="20"/>
                <w:color w:val="auto"/>
              </w:rPr>
            </w:pPr>
            <w:r>
              <w:rPr>
                <w:rFonts w:ascii="Calibri" w:cs="Calibri" w:eastAsia="Calibri" w:hAnsi="Calibri"/>
                <w:sz w:val="14"/>
                <w:szCs w:val="14"/>
                <w:color w:val="auto"/>
              </w:rPr>
              <w:t>Finders' warrants</w:t>
            </w:r>
          </w:p>
        </w:tc>
        <w:tc>
          <w:tcPr>
            <w:tcW w:w="600" w:type="dxa"/>
            <w:vAlign w:val="bottom"/>
          </w:tcPr>
          <w:p>
            <w:pPr>
              <w:jc w:val="center"/>
              <w:spacing w:after="0"/>
              <w:rPr>
                <w:sz w:val="20"/>
                <w:szCs w:val="20"/>
                <w:color w:val="auto"/>
              </w:rPr>
            </w:pPr>
            <w:r>
              <w:rPr>
                <w:rFonts w:ascii="Calibri" w:cs="Calibri" w:eastAsia="Calibri" w:hAnsi="Calibri"/>
                <w:sz w:val="14"/>
                <w:szCs w:val="14"/>
                <w:color w:val="auto"/>
              </w:rPr>
              <w:t>10</w:t>
            </w:r>
          </w:p>
        </w:tc>
        <w:tc>
          <w:tcPr>
            <w:tcW w:w="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(1,332)</w:t>
            </w:r>
          </w:p>
        </w:tc>
        <w:tc>
          <w:tcPr>
            <w:tcW w:w="800" w:type="dxa"/>
            <w:vAlign w:val="bottom"/>
            <w:gridSpan w:val="2"/>
          </w:tcPr>
          <w:p>
            <w:pPr>
              <w:jc w:val="right"/>
              <w:ind w:right="8"/>
              <w:spacing w:after="0"/>
              <w:rPr>
                <w:sz w:val="20"/>
                <w:szCs w:val="20"/>
                <w:color w:val="auto"/>
              </w:rPr>
            </w:pPr>
            <w:r>
              <w:rPr>
                <w:rFonts w:ascii="Calibri" w:cs="Calibri" w:eastAsia="Calibri" w:hAnsi="Calibri"/>
                <w:sz w:val="14"/>
                <w:szCs w:val="14"/>
                <w:color w:val="auto"/>
              </w:rPr>
              <w:t>1,332</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80"/>
              <w:spacing w:after="0"/>
              <w:rPr>
                <w:sz w:val="20"/>
                <w:szCs w:val="20"/>
                <w:color w:val="auto"/>
              </w:rPr>
            </w:pPr>
            <w:r>
              <w:rPr>
                <w:rFonts w:ascii="Calibri" w:cs="Calibri" w:eastAsia="Calibri" w:hAnsi="Calibri"/>
                <w:sz w:val="14"/>
                <w:szCs w:val="14"/>
                <w:color w:val="auto"/>
              </w:rPr>
              <w:t>Share-based compensaton</w:t>
            </w:r>
          </w:p>
        </w:tc>
        <w:tc>
          <w:tcPr>
            <w:tcW w:w="600" w:type="dxa"/>
            <w:vAlign w:val="bottom"/>
          </w:tcPr>
          <w:p>
            <w:pPr>
              <w:jc w:val="center"/>
              <w:spacing w:after="0"/>
              <w:rPr>
                <w:sz w:val="20"/>
                <w:szCs w:val="20"/>
                <w:color w:val="auto"/>
              </w:rPr>
            </w:pPr>
            <w:r>
              <w:rPr>
                <w:rFonts w:ascii="Calibri" w:cs="Calibri" w:eastAsia="Calibri" w:hAnsi="Calibri"/>
                <w:sz w:val="14"/>
                <w:szCs w:val="14"/>
                <w:color w:val="auto"/>
              </w:rPr>
              <w:t>10, 11</w:t>
            </w:r>
          </w:p>
        </w:tc>
        <w:tc>
          <w:tcPr>
            <w:tcW w:w="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700" w:type="dxa"/>
            <w:vAlign w:val="bottom"/>
          </w:tcPr>
          <w:p>
            <w:pPr>
              <w:spacing w:after="0"/>
              <w:rPr>
                <w:sz w:val="17"/>
                <w:szCs w:val="17"/>
                <w:color w:val="auto"/>
              </w:rPr>
            </w:pPr>
          </w:p>
        </w:tc>
        <w:tc>
          <w:tcPr>
            <w:tcW w:w="800" w:type="dxa"/>
            <w:vAlign w:val="bottom"/>
            <w:gridSpan w:val="2"/>
          </w:tcPr>
          <w:p>
            <w:pPr>
              <w:jc w:val="right"/>
              <w:ind w:right="8"/>
              <w:spacing w:after="0"/>
              <w:rPr>
                <w:sz w:val="20"/>
                <w:szCs w:val="20"/>
                <w:color w:val="auto"/>
              </w:rPr>
            </w:pPr>
            <w:r>
              <w:rPr>
                <w:rFonts w:ascii="Calibri" w:cs="Calibri" w:eastAsia="Calibri" w:hAnsi="Calibri"/>
                <w:sz w:val="14"/>
                <w:szCs w:val="14"/>
                <w:color w:val="auto"/>
              </w:rPr>
              <w:t>40</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17,990</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spacing w:after="0"/>
              <w:rPr>
                <w:sz w:val="20"/>
                <w:szCs w:val="20"/>
                <w:color w:val="auto"/>
              </w:rPr>
            </w:pPr>
            <w:r>
              <w:rPr>
                <w:rFonts w:ascii="Calibri" w:cs="Calibri" w:eastAsia="Calibri" w:hAnsi="Calibri"/>
                <w:sz w:val="14"/>
                <w:szCs w:val="14"/>
                <w:color w:val="auto"/>
              </w:rPr>
              <w:t>18,030</w:t>
            </w:r>
          </w:p>
        </w:tc>
        <w:tc>
          <w:tcPr>
            <w:tcW w:w="0" w:type="dxa"/>
            <w:vAlign w:val="bottom"/>
          </w:tcPr>
          <w:p>
            <w:pPr>
              <w:spacing w:after="0"/>
              <w:rPr>
                <w:sz w:val="1"/>
                <w:szCs w:val="1"/>
                <w:color w:val="auto"/>
              </w:rPr>
            </w:pPr>
          </w:p>
        </w:tc>
      </w:tr>
      <w:tr>
        <w:trPr>
          <w:trHeight w:val="202"/>
        </w:trPr>
        <w:tc>
          <w:tcPr>
            <w:tcW w:w="3160" w:type="dxa"/>
            <w:vAlign w:val="bottom"/>
          </w:tcPr>
          <w:p>
            <w:pPr>
              <w:ind w:left="80"/>
              <w:spacing w:after="0"/>
              <w:rPr>
                <w:sz w:val="20"/>
                <w:szCs w:val="20"/>
                <w:color w:val="auto"/>
              </w:rPr>
            </w:pPr>
            <w:r>
              <w:rPr>
                <w:rFonts w:ascii="Calibri" w:cs="Calibri" w:eastAsia="Calibri" w:hAnsi="Calibri"/>
                <w:sz w:val="14"/>
                <w:szCs w:val="14"/>
                <w:color w:val="auto"/>
              </w:rPr>
              <w:t>Unrealized loss on translaton of foreign operatons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gridSpan w:val="2"/>
          </w:tcPr>
          <w:p>
            <w:pPr>
              <w:jc w:val="right"/>
              <w:ind w:right="8"/>
              <w:spacing w:after="0"/>
              <w:rPr>
                <w:sz w:val="20"/>
                <w:szCs w:val="20"/>
                <w:color w:val="auto"/>
              </w:rPr>
            </w:pPr>
            <w:r>
              <w:rPr>
                <w:rFonts w:ascii="Calibri" w:cs="Calibri" w:eastAsia="Calibri" w:hAnsi="Calibri"/>
                <w:sz w:val="14"/>
                <w:szCs w:val="14"/>
                <w:color w:val="auto"/>
              </w:rPr>
              <w:t>(390)</w:t>
            </w:r>
          </w:p>
        </w:tc>
        <w:tc>
          <w:tcPr>
            <w:tcW w:w="780" w:type="dxa"/>
            <w:vAlign w:val="bottom"/>
            <w:gridSpan w:val="2"/>
          </w:tcPr>
          <w:p>
            <w:pPr>
              <w:jc w:val="right"/>
              <w:spacing w:after="0"/>
              <w:rPr>
                <w:sz w:val="20"/>
                <w:szCs w:val="20"/>
                <w:color w:val="auto"/>
              </w:rPr>
            </w:pPr>
            <w:r>
              <w:rPr>
                <w:rFonts w:ascii="Calibri" w:cs="Calibri" w:eastAsia="Calibri" w:hAnsi="Calibri"/>
                <w:sz w:val="14"/>
                <w:szCs w:val="14"/>
                <w:color w:val="auto"/>
              </w:rPr>
              <w:t>(390)</w:t>
            </w:r>
          </w:p>
        </w:tc>
        <w:tc>
          <w:tcPr>
            <w:tcW w:w="0" w:type="dxa"/>
            <w:vAlign w:val="bottom"/>
          </w:tcPr>
          <w:p>
            <w:pPr>
              <w:spacing w:after="0"/>
              <w:rPr>
                <w:sz w:val="1"/>
                <w:szCs w:val="1"/>
                <w:color w:val="auto"/>
              </w:rPr>
            </w:pPr>
          </w:p>
        </w:tc>
      </w:tr>
      <w:tr>
        <w:trPr>
          <w:trHeight w:val="203"/>
        </w:trPr>
        <w:tc>
          <w:tcPr>
            <w:tcW w:w="3160" w:type="dxa"/>
            <w:vAlign w:val="bottom"/>
          </w:tcPr>
          <w:p>
            <w:pPr>
              <w:ind w:left="80"/>
              <w:spacing w:after="0"/>
              <w:rPr>
                <w:sz w:val="20"/>
                <w:szCs w:val="20"/>
                <w:color w:val="auto"/>
              </w:rPr>
            </w:pPr>
            <w:r>
              <w:rPr>
                <w:rFonts w:ascii="Calibri" w:cs="Calibri" w:eastAsia="Calibri" w:hAnsi="Calibri"/>
                <w:sz w:val="14"/>
                <w:szCs w:val="14"/>
                <w:color w:val="auto"/>
              </w:rPr>
              <w:t>Net loss for the period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60" w:type="dxa"/>
            <w:vAlign w:val="bottom"/>
            <w:gridSpan w:val="2"/>
          </w:tcPr>
          <w:p>
            <w:pPr>
              <w:jc w:val="right"/>
              <w:spacing w:after="0"/>
              <w:rPr>
                <w:sz w:val="20"/>
                <w:szCs w:val="20"/>
                <w:color w:val="auto"/>
              </w:rPr>
            </w:pPr>
            <w:r>
              <w:rPr>
                <w:rFonts w:ascii="Calibri" w:cs="Calibri" w:eastAsia="Calibri" w:hAnsi="Calibri"/>
                <w:sz w:val="14"/>
                <w:szCs w:val="14"/>
                <w:color w:val="auto"/>
              </w:rPr>
              <w:t>(67,631)</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spacing w:after="0"/>
              <w:rPr>
                <w:sz w:val="20"/>
                <w:szCs w:val="20"/>
                <w:color w:val="auto"/>
              </w:rPr>
            </w:pPr>
            <w:r>
              <w:rPr>
                <w:rFonts w:ascii="Calibri" w:cs="Calibri" w:eastAsia="Calibri" w:hAnsi="Calibri"/>
                <w:sz w:val="14"/>
                <w:szCs w:val="14"/>
                <w:color w:val="auto"/>
              </w:rPr>
              <w:t>(67,631)</w:t>
            </w:r>
          </w:p>
        </w:tc>
        <w:tc>
          <w:tcPr>
            <w:tcW w:w="0" w:type="dxa"/>
            <w:vAlign w:val="bottom"/>
          </w:tcPr>
          <w:p>
            <w:pPr>
              <w:spacing w:after="0"/>
              <w:rPr>
                <w:sz w:val="1"/>
                <w:szCs w:val="1"/>
                <w:color w:val="auto"/>
              </w:rPr>
            </w:pPr>
          </w:p>
        </w:tc>
      </w:tr>
      <w:tr>
        <w:trPr>
          <w:trHeight w:val="47"/>
        </w:trPr>
        <w:tc>
          <w:tcPr>
            <w:tcW w:w="3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D9D9D9"/>
            </w:tcBorders>
            <w:shd w:val="clear" w:color="auto" w:fill="D9D9D9"/>
          </w:tcPr>
          <w:p>
            <w:pPr>
              <w:ind w:left="80"/>
              <w:spacing w:after="0" w:line="164" w:lineRule="exact"/>
              <w:rPr>
                <w:sz w:val="20"/>
                <w:szCs w:val="20"/>
                <w:color w:val="auto"/>
              </w:rPr>
            </w:pPr>
            <w:r>
              <w:rPr>
                <w:rFonts w:ascii="Calibri" w:cs="Calibri" w:eastAsia="Calibri" w:hAnsi="Calibri"/>
                <w:sz w:val="14"/>
                <w:szCs w:val="14"/>
                <w:b w:val="1"/>
                <w:bCs w:val="1"/>
                <w:color w:val="auto"/>
              </w:rPr>
              <w:t>Balance at March 31, 2022</w:t>
            </w:r>
          </w:p>
        </w:tc>
        <w:tc>
          <w:tcPr>
            <w:tcW w:w="600" w:type="dxa"/>
            <w:vAlign w:val="bottom"/>
            <w:tcBorders>
              <w:bottom w:val="single" w:sz="8" w:color="D9D9D9"/>
            </w:tcBorders>
            <w:shd w:val="clear" w:color="auto" w:fill="D9D9D9"/>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D9D9D9"/>
            </w:tcBorders>
            <w:shd w:val="clear" w:color="auto" w:fill="D9D9D9"/>
          </w:tcPr>
          <w:p>
            <w:pPr>
              <w:jc w:val="right"/>
              <w:ind w:right="28"/>
              <w:spacing w:after="0" w:line="164" w:lineRule="exact"/>
              <w:rPr>
                <w:sz w:val="20"/>
                <w:szCs w:val="20"/>
                <w:color w:val="auto"/>
              </w:rPr>
            </w:pPr>
            <w:r>
              <w:rPr>
                <w:rFonts w:ascii="Calibri" w:cs="Calibri" w:eastAsia="Calibri" w:hAnsi="Calibri"/>
                <w:sz w:val="14"/>
                <w:szCs w:val="14"/>
                <w:b w:val="1"/>
                <w:bCs w:val="1"/>
                <w:color w:val="auto"/>
              </w:rPr>
              <w:t>175,111,654</w:t>
            </w:r>
          </w:p>
        </w:tc>
        <w:tc>
          <w:tcPr>
            <w:tcW w:w="700" w:type="dxa"/>
            <w:vAlign w:val="bottom"/>
            <w:tcBorders>
              <w:bottom w:val="single" w:sz="8" w:color="D9D9D9"/>
            </w:tcBorders>
            <w:shd w:val="clear" w:color="auto" w:fill="D9D9D9"/>
          </w:tcPr>
          <w:p>
            <w:pPr>
              <w:jc w:val="right"/>
              <w:spacing w:after="0" w:line="164" w:lineRule="exact"/>
              <w:rPr>
                <w:sz w:val="20"/>
                <w:szCs w:val="20"/>
                <w:color w:val="auto"/>
              </w:rPr>
            </w:pPr>
            <w:r>
              <w:rPr>
                <w:rFonts w:ascii="Calibri" w:cs="Calibri" w:eastAsia="Calibri" w:hAnsi="Calibri"/>
                <w:sz w:val="14"/>
                <w:szCs w:val="14"/>
                <w:b w:val="1"/>
                <w:bCs w:val="1"/>
                <w:color w:val="auto"/>
              </w:rPr>
              <w:t>141,451</w:t>
            </w:r>
          </w:p>
        </w:tc>
        <w:tc>
          <w:tcPr>
            <w:tcW w:w="100" w:type="dxa"/>
            <w:vAlign w:val="bottom"/>
          </w:tcPr>
          <w:p>
            <w:pPr>
              <w:spacing w:after="0"/>
              <w:rPr>
                <w:sz w:val="17"/>
                <w:szCs w:val="17"/>
                <w:color w:val="auto"/>
              </w:rPr>
            </w:pPr>
          </w:p>
        </w:tc>
        <w:tc>
          <w:tcPr>
            <w:tcW w:w="700" w:type="dxa"/>
            <w:vAlign w:val="bottom"/>
            <w:tcBorders>
              <w:bottom w:val="single" w:sz="8" w:color="D9D9D9"/>
            </w:tcBorders>
            <w:shd w:val="clear" w:color="auto" w:fill="D9D9D9"/>
          </w:tcPr>
          <w:p>
            <w:pPr>
              <w:jc w:val="right"/>
              <w:ind w:right="8"/>
              <w:spacing w:after="0" w:line="164" w:lineRule="exact"/>
              <w:rPr>
                <w:sz w:val="20"/>
                <w:szCs w:val="20"/>
                <w:color w:val="auto"/>
              </w:rPr>
            </w:pPr>
            <w:r>
              <w:rPr>
                <w:rFonts w:ascii="Calibri" w:cs="Calibri" w:eastAsia="Calibri" w:hAnsi="Calibri"/>
                <w:sz w:val="14"/>
                <w:szCs w:val="14"/>
                <w:b w:val="1"/>
                <w:bCs w:val="1"/>
                <w:color w:val="auto"/>
              </w:rPr>
              <w:t>11,423</w:t>
            </w:r>
          </w:p>
        </w:tc>
        <w:tc>
          <w:tcPr>
            <w:tcW w:w="660" w:type="dxa"/>
            <w:vAlign w:val="bottom"/>
            <w:tcBorders>
              <w:bottom w:val="single" w:sz="8" w:color="D9D9D9"/>
            </w:tcBorders>
            <w:shd w:val="clear" w:color="auto" w:fill="D9D9D9"/>
          </w:tcPr>
          <w:p>
            <w:pPr>
              <w:jc w:val="right"/>
              <w:spacing w:after="0" w:line="164" w:lineRule="exact"/>
              <w:rPr>
                <w:sz w:val="20"/>
                <w:szCs w:val="20"/>
                <w:color w:val="auto"/>
              </w:rPr>
            </w:pPr>
            <w:r>
              <w:rPr>
                <w:rFonts w:ascii="Calibri" w:cs="Calibri" w:eastAsia="Calibri" w:hAnsi="Calibri"/>
                <w:sz w:val="14"/>
                <w:szCs w:val="14"/>
                <w:b w:val="1"/>
                <w:bCs w:val="1"/>
                <w:color w:val="auto"/>
              </w:rPr>
              <w:t>23,783</w:t>
            </w:r>
          </w:p>
        </w:tc>
        <w:tc>
          <w:tcPr>
            <w:tcW w:w="940" w:type="dxa"/>
            <w:vAlign w:val="bottom"/>
            <w:tcBorders>
              <w:bottom w:val="single" w:sz="8" w:color="D9D9D9"/>
            </w:tcBorders>
            <w:shd w:val="clear" w:color="auto" w:fill="D9D9D9"/>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D9D9D9"/>
            </w:tcBorders>
            <w:shd w:val="clear" w:color="auto" w:fill="D9D9D9"/>
          </w:tcPr>
          <w:p>
            <w:pPr>
              <w:jc w:val="right"/>
              <w:ind w:right="8"/>
              <w:spacing w:after="0" w:line="164" w:lineRule="exact"/>
              <w:rPr>
                <w:sz w:val="20"/>
                <w:szCs w:val="20"/>
                <w:color w:val="auto"/>
              </w:rPr>
            </w:pPr>
            <w:r>
              <w:rPr>
                <w:rFonts w:ascii="Calibri" w:cs="Calibri" w:eastAsia="Calibri" w:hAnsi="Calibri"/>
                <w:sz w:val="14"/>
                <w:szCs w:val="14"/>
                <w:b w:val="1"/>
                <w:bCs w:val="1"/>
                <w:color w:val="auto"/>
              </w:rPr>
              <w:t>525</w:t>
            </w:r>
          </w:p>
        </w:tc>
        <w:tc>
          <w:tcPr>
            <w:tcW w:w="80" w:type="dxa"/>
            <w:vAlign w:val="bottom"/>
          </w:tcPr>
          <w:p>
            <w:pPr>
              <w:spacing w:after="0"/>
              <w:rPr>
                <w:sz w:val="17"/>
                <w:szCs w:val="17"/>
                <w:color w:val="auto"/>
              </w:rPr>
            </w:pPr>
          </w:p>
        </w:tc>
        <w:tc>
          <w:tcPr>
            <w:tcW w:w="680" w:type="dxa"/>
            <w:vAlign w:val="bottom"/>
            <w:tcBorders>
              <w:bottom w:val="single" w:sz="8" w:color="D9D9D9"/>
            </w:tcBorders>
            <w:shd w:val="clear" w:color="auto" w:fill="D9D9D9"/>
          </w:tcPr>
          <w:p>
            <w:pPr>
              <w:jc w:val="right"/>
              <w:spacing w:after="0" w:line="164" w:lineRule="exact"/>
              <w:rPr>
                <w:sz w:val="20"/>
                <w:szCs w:val="20"/>
                <w:color w:val="auto"/>
              </w:rPr>
            </w:pPr>
            <w:r>
              <w:rPr>
                <w:rFonts w:ascii="Calibri" w:cs="Calibri" w:eastAsia="Calibri" w:hAnsi="Calibri"/>
                <w:sz w:val="14"/>
                <w:szCs w:val="14"/>
                <w:b w:val="1"/>
                <w:bCs w:val="1"/>
                <w:color w:val="auto"/>
              </w:rPr>
              <w:t>(100,661)</w:t>
            </w:r>
          </w:p>
        </w:tc>
        <w:tc>
          <w:tcPr>
            <w:tcW w:w="100" w:type="dxa"/>
            <w:vAlign w:val="bottom"/>
          </w:tcPr>
          <w:p>
            <w:pPr>
              <w:spacing w:after="0"/>
              <w:rPr>
                <w:sz w:val="17"/>
                <w:szCs w:val="17"/>
                <w:color w:val="auto"/>
              </w:rPr>
            </w:pPr>
          </w:p>
        </w:tc>
        <w:tc>
          <w:tcPr>
            <w:tcW w:w="1000" w:type="dxa"/>
            <w:vAlign w:val="bottom"/>
            <w:tcBorders>
              <w:bottom w:val="single" w:sz="8" w:color="D9D9D9"/>
            </w:tcBorders>
            <w:shd w:val="clear" w:color="auto" w:fill="D9D9D9"/>
          </w:tcPr>
          <w:p>
            <w:pPr>
              <w:jc w:val="right"/>
              <w:ind w:right="8"/>
              <w:spacing w:after="0" w:line="164" w:lineRule="exact"/>
              <w:rPr>
                <w:sz w:val="20"/>
                <w:szCs w:val="20"/>
                <w:color w:val="auto"/>
              </w:rPr>
            </w:pPr>
            <w:r>
              <w:rPr>
                <w:rFonts w:ascii="Calibri" w:cs="Calibri" w:eastAsia="Calibri" w:hAnsi="Calibri"/>
                <w:sz w:val="14"/>
                <w:szCs w:val="14"/>
                <w:b w:val="1"/>
                <w:bCs w:val="1"/>
                <w:color w:val="auto"/>
              </w:rPr>
              <w:t>(366)</w:t>
            </w:r>
          </w:p>
        </w:tc>
        <w:tc>
          <w:tcPr>
            <w:tcW w:w="100" w:type="dxa"/>
            <w:vAlign w:val="bottom"/>
          </w:tcPr>
          <w:p>
            <w:pPr>
              <w:spacing w:after="0"/>
              <w:rPr>
                <w:sz w:val="17"/>
                <w:szCs w:val="17"/>
                <w:color w:val="auto"/>
              </w:rPr>
            </w:pPr>
          </w:p>
        </w:tc>
        <w:tc>
          <w:tcPr>
            <w:tcW w:w="680" w:type="dxa"/>
            <w:vAlign w:val="bottom"/>
            <w:tcBorders>
              <w:bottom w:val="single" w:sz="8" w:color="D9D9D9"/>
            </w:tcBorders>
            <w:shd w:val="clear" w:color="auto" w:fill="D9D9D9"/>
          </w:tcPr>
          <w:p>
            <w:pPr>
              <w:jc w:val="right"/>
              <w:spacing w:after="0" w:line="164" w:lineRule="exact"/>
              <w:rPr>
                <w:sz w:val="20"/>
                <w:szCs w:val="20"/>
                <w:color w:val="auto"/>
              </w:rPr>
            </w:pPr>
            <w:r>
              <w:rPr>
                <w:rFonts w:ascii="Calibri" w:cs="Calibri" w:eastAsia="Calibri" w:hAnsi="Calibri"/>
                <w:sz w:val="14"/>
                <w:szCs w:val="14"/>
                <w:b w:val="1"/>
                <w:bCs w:val="1"/>
                <w:color w:val="auto"/>
              </w:rPr>
              <w:t>76,155</w:t>
            </w:r>
          </w:p>
        </w:tc>
        <w:tc>
          <w:tcPr>
            <w:tcW w:w="0" w:type="dxa"/>
            <w:vAlign w:val="bottom"/>
          </w:tcPr>
          <w:p>
            <w:pPr>
              <w:spacing w:after="0"/>
              <w:rPr>
                <w:sz w:val="1"/>
                <w:szCs w:val="1"/>
                <w:color w:val="auto"/>
              </w:rPr>
            </w:pPr>
          </w:p>
        </w:tc>
      </w:tr>
      <w:tr>
        <w:trPr>
          <w:trHeight w:val="1607"/>
        </w:trPr>
        <w:tc>
          <w:tcPr>
            <w:tcW w:w="316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top w:val="single" w:sz="8" w:color="auto"/>
              <w:bottom w:val="single" w:sz="8" w:color="9A9A9A"/>
            </w:tcBorders>
          </w:tcPr>
          <w:p>
            <w:pPr>
              <w:spacing w:after="0"/>
              <w:rPr>
                <w:sz w:val="24"/>
                <w:szCs w:val="24"/>
                <w:color w:val="auto"/>
              </w:rPr>
            </w:pPr>
          </w:p>
        </w:tc>
        <w:tc>
          <w:tcPr>
            <w:tcW w:w="700" w:type="dxa"/>
            <w:vAlign w:val="bottom"/>
            <w:tcBorders>
              <w:top w:val="single" w:sz="8" w:color="auto"/>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top w:val="single" w:sz="8" w:color="auto"/>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11" w:name="page12"/>
    <w:bookmarkEnd w:id="11"/>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7" w:lineRule="auto"/>
        <w:rPr>
          <w:sz w:val="20"/>
          <w:szCs w:val="20"/>
          <w:color w:val="auto"/>
        </w:rPr>
      </w:pPr>
      <w:r>
        <w:rPr>
          <w:rFonts w:ascii="Calibri" w:cs="Calibri" w:eastAsia="Calibri" w:hAnsi="Calibri"/>
          <w:sz w:val="22"/>
          <w:szCs w:val="22"/>
          <w:b w:val="1"/>
          <w:bCs w:val="1"/>
          <w:color w:val="auto"/>
        </w:rPr>
        <w:t>CONSOLIDATED STATEMENT OF CASH FLOWS</w:t>
      </w:r>
    </w:p>
    <w:p>
      <w:pPr>
        <w:spacing w:after="0" w:line="2"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color w:val="auto"/>
        </w:rPr>
        <w:t>(All amounts expressed in thousands of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860" w:type="dxa"/>
            <w:vAlign w:val="bottom"/>
            <w:gridSpan w:val="2"/>
          </w:tcPr>
          <w:p>
            <w:pPr>
              <w:jc w:val="right"/>
              <w:ind w:right="424"/>
              <w:spacing w:after="0"/>
              <w:rPr>
                <w:sz w:val="20"/>
                <w:szCs w:val="20"/>
                <w:color w:val="auto"/>
              </w:rPr>
            </w:pPr>
            <w:r>
              <w:rPr>
                <w:rFonts w:ascii="Calibri" w:cs="Calibri" w:eastAsia="Calibri" w:hAnsi="Calibri"/>
                <w:sz w:val="15"/>
                <w:szCs w:val="15"/>
                <w:b w:val="1"/>
                <w:bCs w:val="1"/>
                <w:color w:val="auto"/>
              </w:rPr>
              <w:t>For the year ended March 31,</w:t>
            </w:r>
          </w:p>
        </w:tc>
      </w:tr>
      <w:tr>
        <w:trPr>
          <w:trHeight w:val="203"/>
        </w:trPr>
        <w:tc>
          <w:tcPr>
            <w:tcW w:w="6580" w:type="dxa"/>
            <w:vAlign w:val="bottom"/>
          </w:tcPr>
          <w:p>
            <w:pPr>
              <w:spacing w:after="0"/>
              <w:rPr>
                <w:sz w:val="17"/>
                <w:szCs w:val="17"/>
                <w:color w:val="auto"/>
              </w:rPr>
            </w:pPr>
          </w:p>
        </w:tc>
        <w:tc>
          <w:tcPr>
            <w:tcW w:w="1800" w:type="dxa"/>
            <w:vAlign w:val="bottom"/>
          </w:tcPr>
          <w:p>
            <w:pPr>
              <w:ind w:left="1260"/>
              <w:spacing w:after="0"/>
              <w:rPr>
                <w:sz w:val="20"/>
                <w:szCs w:val="20"/>
                <w:color w:val="auto"/>
              </w:rPr>
            </w:pPr>
            <w:r>
              <w:rPr>
                <w:rFonts w:ascii="Calibri" w:cs="Calibri" w:eastAsia="Calibri" w:hAnsi="Calibri"/>
                <w:sz w:val="15"/>
                <w:szCs w:val="15"/>
                <w:b w:val="1"/>
                <w:bCs w:val="1"/>
                <w:color w:val="auto"/>
              </w:rPr>
              <w:t>Notes</w:t>
            </w: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2022</w:t>
            </w:r>
          </w:p>
        </w:tc>
        <w:tc>
          <w:tcPr>
            <w:tcW w:w="1040" w:type="dxa"/>
            <w:vAlign w:val="bottom"/>
          </w:tcPr>
          <w:p>
            <w:pPr>
              <w:jc w:val="right"/>
              <w:spacing w:after="0"/>
              <w:rPr>
                <w:sz w:val="20"/>
                <w:szCs w:val="20"/>
                <w:color w:val="auto"/>
              </w:rPr>
            </w:pPr>
            <w:r>
              <w:rPr>
                <w:rFonts w:ascii="Calibri" w:cs="Calibri" w:eastAsia="Calibri" w:hAnsi="Calibri"/>
                <w:sz w:val="15"/>
                <w:szCs w:val="15"/>
                <w:b w:val="1"/>
                <w:bCs w:val="1"/>
                <w:color w:val="auto"/>
              </w:rPr>
              <w:t>2021</w:t>
            </w:r>
          </w:p>
        </w:tc>
      </w:tr>
      <w:tr>
        <w:trPr>
          <w:trHeight w:val="29"/>
        </w:trPr>
        <w:tc>
          <w:tcPr>
            <w:tcW w:w="6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8"/>
        </w:trPr>
        <w:tc>
          <w:tcPr>
            <w:tcW w:w="6580" w:type="dxa"/>
            <w:vAlign w:val="bottom"/>
          </w:tcPr>
          <w:p>
            <w:pPr>
              <w:ind w:left="80"/>
              <w:spacing w:after="0"/>
              <w:rPr>
                <w:sz w:val="20"/>
                <w:szCs w:val="20"/>
                <w:color w:val="auto"/>
              </w:rPr>
            </w:pPr>
            <w:r>
              <w:rPr>
                <w:rFonts w:ascii="Calibri" w:cs="Calibri" w:eastAsia="Calibri" w:hAnsi="Calibri"/>
                <w:sz w:val="15"/>
                <w:szCs w:val="15"/>
                <w:b w:val="1"/>
                <w:bCs w:val="1"/>
                <w:color w:val="auto"/>
              </w:rPr>
              <w:t>OPERATING ACTIVITIES</w:t>
            </w:r>
          </w:p>
        </w:tc>
        <w:tc>
          <w:tcPr>
            <w:tcW w:w="18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03"/>
        </w:trPr>
        <w:tc>
          <w:tcPr>
            <w:tcW w:w="6580" w:type="dxa"/>
            <w:vAlign w:val="bottom"/>
          </w:tcPr>
          <w:p>
            <w:pPr>
              <w:ind w:left="80"/>
              <w:spacing w:after="0"/>
              <w:rPr>
                <w:sz w:val="20"/>
                <w:szCs w:val="20"/>
                <w:color w:val="auto"/>
              </w:rPr>
            </w:pPr>
            <w:r>
              <w:rPr>
                <w:rFonts w:ascii="Calibri" w:cs="Calibri" w:eastAsia="Calibri" w:hAnsi="Calibri"/>
                <w:sz w:val="15"/>
                <w:szCs w:val="15"/>
                <w:b w:val="1"/>
                <w:bCs w:val="1"/>
                <w:color w:val="auto"/>
              </w:rPr>
              <w:t>Net loss for the period</w:t>
            </w:r>
          </w:p>
        </w:tc>
        <w:tc>
          <w:tcPr>
            <w:tcW w:w="1800" w:type="dxa"/>
            <w:vAlign w:val="bottom"/>
          </w:tcPr>
          <w:p>
            <w:pPr>
              <w:spacing w:after="0"/>
              <w:rPr>
                <w:sz w:val="17"/>
                <w:szCs w:val="17"/>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(67,631)</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(32,220)</w:t>
            </w:r>
          </w:p>
        </w:tc>
      </w:tr>
      <w:tr>
        <w:trPr>
          <w:trHeight w:val="203"/>
        </w:trPr>
        <w:tc>
          <w:tcPr>
            <w:tcW w:w="6580" w:type="dxa"/>
            <w:vAlign w:val="bottom"/>
          </w:tcPr>
          <w:p>
            <w:pPr>
              <w:ind w:left="180"/>
              <w:spacing w:after="0"/>
              <w:rPr>
                <w:sz w:val="20"/>
                <w:szCs w:val="20"/>
                <w:color w:val="auto"/>
              </w:rPr>
            </w:pPr>
            <w:r>
              <w:rPr>
                <w:rFonts w:ascii="Calibri" w:cs="Calibri" w:eastAsia="Calibri" w:hAnsi="Calibri"/>
                <w:sz w:val="15"/>
                <w:szCs w:val="15"/>
                <w:b w:val="1"/>
                <w:bCs w:val="1"/>
                <w:color w:val="auto"/>
              </w:rPr>
              <w:t>Adjustments for items not afectng cash:</w:t>
            </w:r>
          </w:p>
        </w:tc>
        <w:tc>
          <w:tcPr>
            <w:tcW w:w="1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580" w:type="dxa"/>
            <w:vAlign w:val="bottom"/>
          </w:tcPr>
          <w:p>
            <w:pPr>
              <w:ind w:left="400"/>
              <w:spacing w:after="0"/>
              <w:rPr>
                <w:sz w:val="20"/>
                <w:szCs w:val="20"/>
                <w:color w:val="auto"/>
              </w:rPr>
            </w:pPr>
            <w:r>
              <w:rPr>
                <w:rFonts w:ascii="Calibri" w:cs="Calibri" w:eastAsia="Calibri" w:hAnsi="Calibri"/>
                <w:sz w:val="15"/>
                <w:szCs w:val="15"/>
                <w:color w:val="auto"/>
              </w:rPr>
              <w:t>Interest income</w:t>
            </w:r>
          </w:p>
        </w:tc>
        <w:tc>
          <w:tcPr>
            <w:tcW w:w="1800" w:type="dxa"/>
            <w:vAlign w:val="bottom"/>
          </w:tcPr>
          <w:p>
            <w:pPr>
              <w:spacing w:after="0"/>
              <w:rPr>
                <w:sz w:val="17"/>
                <w:szCs w:val="17"/>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(21)</w:t>
            </w:r>
          </w:p>
        </w:tc>
        <w:tc>
          <w:tcPr>
            <w:tcW w:w="1040" w:type="dxa"/>
            <w:vAlign w:val="bottom"/>
          </w:tcPr>
          <w:p>
            <w:pPr>
              <w:jc w:val="right"/>
              <w:spacing w:after="0"/>
              <w:rPr>
                <w:sz w:val="20"/>
                <w:szCs w:val="20"/>
                <w:color w:val="auto"/>
              </w:rPr>
            </w:pPr>
            <w:r>
              <w:rPr>
                <w:rFonts w:ascii="Calibri" w:cs="Calibri" w:eastAsia="Calibri" w:hAnsi="Calibri"/>
                <w:sz w:val="15"/>
                <w:szCs w:val="15"/>
                <w:b w:val="1"/>
                <w:bCs w:val="1"/>
                <w:color w:val="auto"/>
              </w:rPr>
              <w:t>—</w:t>
            </w:r>
          </w:p>
        </w:tc>
      </w:tr>
      <w:tr>
        <w:trPr>
          <w:trHeight w:val="203"/>
        </w:trPr>
        <w:tc>
          <w:tcPr>
            <w:tcW w:w="6580" w:type="dxa"/>
            <w:vAlign w:val="bottom"/>
          </w:tcPr>
          <w:p>
            <w:pPr>
              <w:ind w:left="400"/>
              <w:spacing w:after="0"/>
              <w:rPr>
                <w:sz w:val="20"/>
                <w:szCs w:val="20"/>
                <w:color w:val="auto"/>
              </w:rPr>
            </w:pPr>
            <w:r>
              <w:rPr>
                <w:rFonts w:ascii="Calibri" w:cs="Calibri" w:eastAsia="Calibri" w:hAnsi="Calibri"/>
                <w:sz w:val="15"/>
                <w:szCs w:val="15"/>
                <w:color w:val="auto"/>
              </w:rPr>
              <w:t>Non-cash porton of listng fees</w:t>
            </w:r>
          </w:p>
        </w:tc>
        <w:tc>
          <w:tcPr>
            <w:tcW w:w="1800" w:type="dxa"/>
            <w:vAlign w:val="bottom"/>
          </w:tcPr>
          <w:p>
            <w:pPr>
              <w:spacing w:after="0"/>
              <w:rPr>
                <w:sz w:val="17"/>
                <w:szCs w:val="17"/>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1,467</w:t>
            </w:r>
          </w:p>
        </w:tc>
      </w:tr>
      <w:tr>
        <w:trPr>
          <w:trHeight w:val="243"/>
        </w:trPr>
        <w:tc>
          <w:tcPr>
            <w:tcW w:w="6580" w:type="dxa"/>
            <w:vAlign w:val="bottom"/>
          </w:tcPr>
          <w:p>
            <w:pPr>
              <w:ind w:left="80"/>
              <w:spacing w:after="0"/>
              <w:rPr>
                <w:sz w:val="20"/>
                <w:szCs w:val="20"/>
                <w:color w:val="auto"/>
              </w:rPr>
            </w:pPr>
            <w:r>
              <w:rPr>
                <w:rFonts w:ascii="Calibri" w:cs="Calibri" w:eastAsia="Calibri" w:hAnsi="Calibri"/>
                <w:sz w:val="15"/>
                <w:szCs w:val="15"/>
                <w:color w:val="auto"/>
              </w:rPr>
              <w:t>Depreciaton</w:t>
            </w:r>
          </w:p>
        </w:tc>
        <w:tc>
          <w:tcPr>
            <w:tcW w:w="1800" w:type="dxa"/>
            <w:vAlign w:val="bottom"/>
          </w:tcPr>
          <w:p>
            <w:pPr>
              <w:jc w:val="center"/>
              <w:ind w:left="1004"/>
              <w:spacing w:after="0"/>
              <w:rPr>
                <w:sz w:val="20"/>
                <w:szCs w:val="20"/>
                <w:color w:val="auto"/>
              </w:rPr>
            </w:pPr>
            <w:r>
              <w:rPr>
                <w:rFonts w:ascii="Calibri" w:cs="Calibri" w:eastAsia="Calibri" w:hAnsi="Calibri"/>
                <w:sz w:val="15"/>
                <w:szCs w:val="15"/>
                <w:i w:val="1"/>
                <w:iCs w:val="1"/>
                <w:color w:val="auto"/>
              </w:rPr>
              <w:t>6</w:t>
            </w: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168</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49</w:t>
            </w:r>
          </w:p>
        </w:tc>
      </w:tr>
      <w:tr>
        <w:trPr>
          <w:trHeight w:val="243"/>
        </w:trPr>
        <w:tc>
          <w:tcPr>
            <w:tcW w:w="6580" w:type="dxa"/>
            <w:vAlign w:val="bottom"/>
          </w:tcPr>
          <w:p>
            <w:pPr>
              <w:ind w:left="80"/>
              <w:spacing w:after="0"/>
              <w:rPr>
                <w:sz w:val="20"/>
                <w:szCs w:val="20"/>
                <w:color w:val="auto"/>
              </w:rPr>
            </w:pPr>
            <w:r>
              <w:rPr>
                <w:rFonts w:ascii="Calibri" w:cs="Calibri" w:eastAsia="Calibri" w:hAnsi="Calibri"/>
                <w:sz w:val="15"/>
                <w:szCs w:val="15"/>
                <w:color w:val="auto"/>
              </w:rPr>
              <w:t>Share-based compensaton</w:t>
            </w:r>
          </w:p>
        </w:tc>
        <w:tc>
          <w:tcPr>
            <w:tcW w:w="1800" w:type="dxa"/>
            <w:vAlign w:val="bottom"/>
          </w:tcPr>
          <w:p>
            <w:pPr>
              <w:spacing w:after="0"/>
              <w:rPr>
                <w:sz w:val="21"/>
                <w:szCs w:val="21"/>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18,030</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11,554</w:t>
            </w:r>
          </w:p>
        </w:tc>
      </w:tr>
      <w:tr>
        <w:trPr>
          <w:trHeight w:val="203"/>
        </w:trPr>
        <w:tc>
          <w:tcPr>
            <w:tcW w:w="6580" w:type="dxa"/>
            <w:vAlign w:val="bottom"/>
          </w:tcPr>
          <w:p>
            <w:pPr>
              <w:ind w:left="400"/>
              <w:spacing w:after="0"/>
              <w:rPr>
                <w:sz w:val="20"/>
                <w:szCs w:val="20"/>
                <w:color w:val="auto"/>
              </w:rPr>
            </w:pPr>
            <w:r>
              <w:rPr>
                <w:rFonts w:ascii="Calibri" w:cs="Calibri" w:eastAsia="Calibri" w:hAnsi="Calibri"/>
                <w:sz w:val="15"/>
                <w:szCs w:val="15"/>
                <w:color w:val="auto"/>
              </w:rPr>
              <w:t>Opton issuance</w:t>
            </w:r>
          </w:p>
        </w:tc>
        <w:tc>
          <w:tcPr>
            <w:tcW w:w="1800" w:type="dxa"/>
            <w:vAlign w:val="bottom"/>
          </w:tcPr>
          <w:p>
            <w:pPr>
              <w:spacing w:after="0"/>
              <w:rPr>
                <w:sz w:val="17"/>
                <w:szCs w:val="17"/>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color w:val="auto"/>
              </w:rPr>
              <w:t>—</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23</w:t>
            </w:r>
          </w:p>
        </w:tc>
      </w:tr>
      <w:tr>
        <w:trPr>
          <w:trHeight w:val="243"/>
        </w:trPr>
        <w:tc>
          <w:tcPr>
            <w:tcW w:w="6580" w:type="dxa"/>
            <w:vAlign w:val="bottom"/>
          </w:tcPr>
          <w:p>
            <w:pPr>
              <w:ind w:left="80"/>
              <w:spacing w:after="0"/>
              <w:rPr>
                <w:sz w:val="20"/>
                <w:szCs w:val="20"/>
                <w:color w:val="auto"/>
              </w:rPr>
            </w:pPr>
            <w:r>
              <w:rPr>
                <w:rFonts w:ascii="Calibri" w:cs="Calibri" w:eastAsia="Calibri" w:hAnsi="Calibri"/>
                <w:sz w:val="15"/>
                <w:szCs w:val="15"/>
                <w:color w:val="auto"/>
              </w:rPr>
              <w:t>Accreton of convertble debt</w:t>
            </w:r>
          </w:p>
        </w:tc>
        <w:tc>
          <w:tcPr>
            <w:tcW w:w="1800" w:type="dxa"/>
            <w:vAlign w:val="bottom"/>
          </w:tcPr>
          <w:p>
            <w:pPr>
              <w:spacing w:after="0"/>
              <w:rPr>
                <w:sz w:val="21"/>
                <w:szCs w:val="21"/>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color w:val="auto"/>
              </w:rPr>
              <w:t>—</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10</w:t>
            </w:r>
          </w:p>
        </w:tc>
      </w:tr>
      <w:tr>
        <w:trPr>
          <w:trHeight w:val="203"/>
        </w:trPr>
        <w:tc>
          <w:tcPr>
            <w:tcW w:w="6580" w:type="dxa"/>
            <w:vAlign w:val="bottom"/>
          </w:tcPr>
          <w:p>
            <w:pPr>
              <w:ind w:left="380"/>
              <w:spacing w:after="0"/>
              <w:rPr>
                <w:sz w:val="20"/>
                <w:szCs w:val="20"/>
                <w:color w:val="auto"/>
              </w:rPr>
            </w:pPr>
            <w:r>
              <w:rPr>
                <w:rFonts w:ascii="Calibri" w:cs="Calibri" w:eastAsia="Calibri" w:hAnsi="Calibri"/>
                <w:sz w:val="15"/>
                <w:szCs w:val="15"/>
                <w:color w:val="auto"/>
              </w:rPr>
              <w:t>Change in fair value of investments measured at fair value through proft or loss</w:t>
            </w:r>
          </w:p>
        </w:tc>
        <w:tc>
          <w:tcPr>
            <w:tcW w:w="1800" w:type="dxa"/>
            <w:vAlign w:val="bottom"/>
          </w:tcPr>
          <w:p>
            <w:pPr>
              <w:jc w:val="center"/>
              <w:ind w:left="1004"/>
              <w:spacing w:after="0"/>
              <w:rPr>
                <w:sz w:val="20"/>
                <w:szCs w:val="20"/>
                <w:color w:val="auto"/>
              </w:rPr>
            </w:pPr>
            <w:r>
              <w:rPr>
                <w:rFonts w:ascii="Calibri" w:cs="Calibri" w:eastAsia="Calibri" w:hAnsi="Calibri"/>
                <w:sz w:val="15"/>
                <w:szCs w:val="15"/>
                <w:i w:val="1"/>
                <w:iCs w:val="1"/>
                <w:color w:val="auto"/>
              </w:rPr>
              <w:t>5</w:t>
            </w: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29</w:t>
            </w:r>
          </w:p>
        </w:tc>
        <w:tc>
          <w:tcPr>
            <w:tcW w:w="1040" w:type="dxa"/>
            <w:vAlign w:val="bottom"/>
          </w:tcPr>
          <w:p>
            <w:pPr>
              <w:jc w:val="right"/>
              <w:spacing w:after="0"/>
              <w:rPr>
                <w:sz w:val="20"/>
                <w:szCs w:val="20"/>
                <w:color w:val="auto"/>
              </w:rPr>
            </w:pPr>
            <w:r>
              <w:rPr>
                <w:rFonts w:ascii="Calibri" w:cs="Calibri" w:eastAsia="Calibri" w:hAnsi="Calibri"/>
                <w:sz w:val="15"/>
                <w:szCs w:val="15"/>
                <w:b w:val="1"/>
                <w:bCs w:val="1"/>
                <w:color w:val="auto"/>
              </w:rPr>
              <w:t>—</w:t>
            </w:r>
          </w:p>
        </w:tc>
      </w:tr>
      <w:tr>
        <w:trPr>
          <w:trHeight w:val="243"/>
        </w:trPr>
        <w:tc>
          <w:tcPr>
            <w:tcW w:w="6580" w:type="dxa"/>
            <w:vAlign w:val="bottom"/>
          </w:tcPr>
          <w:p>
            <w:pPr>
              <w:ind w:left="80"/>
              <w:spacing w:after="0"/>
              <w:rPr>
                <w:sz w:val="20"/>
                <w:szCs w:val="20"/>
                <w:color w:val="auto"/>
              </w:rPr>
            </w:pPr>
            <w:r>
              <w:rPr>
                <w:rFonts w:ascii="Calibri" w:cs="Calibri" w:eastAsia="Calibri" w:hAnsi="Calibri"/>
                <w:sz w:val="15"/>
                <w:szCs w:val="15"/>
                <w:color w:val="auto"/>
              </w:rPr>
              <w:t>Contngent consideraton accreton</w:t>
            </w:r>
          </w:p>
        </w:tc>
        <w:tc>
          <w:tcPr>
            <w:tcW w:w="1800" w:type="dxa"/>
            <w:vAlign w:val="bottom"/>
          </w:tcPr>
          <w:p>
            <w:pPr>
              <w:jc w:val="center"/>
              <w:ind w:left="1004"/>
              <w:spacing w:after="0"/>
              <w:rPr>
                <w:sz w:val="20"/>
                <w:szCs w:val="20"/>
                <w:color w:val="auto"/>
              </w:rPr>
            </w:pPr>
            <w:r>
              <w:rPr>
                <w:rFonts w:ascii="Calibri" w:cs="Calibri" w:eastAsia="Calibri" w:hAnsi="Calibri"/>
                <w:sz w:val="15"/>
                <w:szCs w:val="15"/>
                <w:i w:val="1"/>
                <w:iCs w:val="1"/>
                <w:color w:val="auto"/>
              </w:rPr>
              <w:t>9</w:t>
            </w: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316</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482</w:t>
            </w:r>
          </w:p>
        </w:tc>
      </w:tr>
      <w:tr>
        <w:trPr>
          <w:trHeight w:val="243"/>
        </w:trPr>
        <w:tc>
          <w:tcPr>
            <w:tcW w:w="6580" w:type="dxa"/>
            <w:vAlign w:val="bottom"/>
          </w:tcPr>
          <w:p>
            <w:pPr>
              <w:ind w:left="80"/>
              <w:spacing w:after="0"/>
              <w:rPr>
                <w:sz w:val="20"/>
                <w:szCs w:val="20"/>
                <w:color w:val="auto"/>
              </w:rPr>
            </w:pPr>
            <w:r>
              <w:rPr>
                <w:rFonts w:ascii="Calibri" w:cs="Calibri" w:eastAsia="Calibri" w:hAnsi="Calibri"/>
                <w:sz w:val="15"/>
                <w:szCs w:val="15"/>
                <w:color w:val="auto"/>
              </w:rPr>
              <w:t>Change in fair value of contngent consideraton</w:t>
            </w:r>
          </w:p>
        </w:tc>
        <w:tc>
          <w:tcPr>
            <w:tcW w:w="1800" w:type="dxa"/>
            <w:vAlign w:val="bottom"/>
          </w:tcPr>
          <w:p>
            <w:pPr>
              <w:jc w:val="center"/>
              <w:ind w:left="1004"/>
              <w:spacing w:after="0"/>
              <w:rPr>
                <w:sz w:val="20"/>
                <w:szCs w:val="20"/>
                <w:color w:val="auto"/>
              </w:rPr>
            </w:pPr>
            <w:r>
              <w:rPr>
                <w:rFonts w:ascii="Calibri" w:cs="Calibri" w:eastAsia="Calibri" w:hAnsi="Calibri"/>
                <w:sz w:val="15"/>
                <w:szCs w:val="15"/>
                <w:i w:val="1"/>
                <w:iCs w:val="1"/>
                <w:color w:val="auto"/>
              </w:rPr>
              <w:t>9</w:t>
            </w: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3,380</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243"/>
        </w:trPr>
        <w:tc>
          <w:tcPr>
            <w:tcW w:w="6580" w:type="dxa"/>
            <w:vAlign w:val="bottom"/>
          </w:tcPr>
          <w:p>
            <w:pPr>
              <w:ind w:left="440"/>
              <w:spacing w:after="0"/>
              <w:rPr>
                <w:sz w:val="20"/>
                <w:szCs w:val="20"/>
                <w:color w:val="auto"/>
              </w:rPr>
            </w:pPr>
            <w:r>
              <w:rPr>
                <w:rFonts w:ascii="Calibri" w:cs="Calibri" w:eastAsia="Calibri" w:hAnsi="Calibri"/>
                <w:sz w:val="15"/>
                <w:szCs w:val="15"/>
                <w:color w:val="auto"/>
              </w:rPr>
              <w:t>Impairment of promissory note</w:t>
            </w:r>
          </w:p>
        </w:tc>
        <w:tc>
          <w:tcPr>
            <w:tcW w:w="1800" w:type="dxa"/>
            <w:vAlign w:val="bottom"/>
          </w:tcPr>
          <w:p>
            <w:pPr>
              <w:spacing w:after="0"/>
              <w:rPr>
                <w:sz w:val="21"/>
                <w:szCs w:val="21"/>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230</w:t>
            </w:r>
          </w:p>
        </w:tc>
      </w:tr>
      <w:tr>
        <w:trPr>
          <w:trHeight w:val="243"/>
        </w:trPr>
        <w:tc>
          <w:tcPr>
            <w:tcW w:w="6580" w:type="dxa"/>
            <w:vAlign w:val="bottom"/>
          </w:tcPr>
          <w:p>
            <w:pPr>
              <w:ind w:left="440"/>
              <w:spacing w:after="0"/>
              <w:rPr>
                <w:sz w:val="20"/>
                <w:szCs w:val="20"/>
                <w:color w:val="auto"/>
              </w:rPr>
            </w:pPr>
            <w:r>
              <w:rPr>
                <w:rFonts w:ascii="Calibri" w:cs="Calibri" w:eastAsia="Calibri" w:hAnsi="Calibri"/>
                <w:sz w:val="15"/>
                <w:szCs w:val="15"/>
                <w:color w:val="auto"/>
              </w:rPr>
              <w:t>Impairment of inventory</w:t>
            </w:r>
          </w:p>
        </w:tc>
        <w:tc>
          <w:tcPr>
            <w:tcW w:w="1800" w:type="dxa"/>
            <w:vAlign w:val="bottom"/>
          </w:tcPr>
          <w:p>
            <w:pPr>
              <w:spacing w:after="0"/>
              <w:rPr>
                <w:sz w:val="21"/>
                <w:szCs w:val="21"/>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511</w:t>
            </w:r>
          </w:p>
        </w:tc>
      </w:tr>
      <w:tr>
        <w:trPr>
          <w:trHeight w:val="243"/>
        </w:trPr>
        <w:tc>
          <w:tcPr>
            <w:tcW w:w="6580" w:type="dxa"/>
            <w:vAlign w:val="bottom"/>
          </w:tcPr>
          <w:p>
            <w:pPr>
              <w:ind w:left="440"/>
              <w:spacing w:after="0"/>
              <w:rPr>
                <w:sz w:val="20"/>
                <w:szCs w:val="20"/>
                <w:color w:val="auto"/>
              </w:rPr>
            </w:pPr>
            <w:r>
              <w:rPr>
                <w:rFonts w:ascii="Calibri" w:cs="Calibri" w:eastAsia="Calibri" w:hAnsi="Calibri"/>
                <w:sz w:val="15"/>
                <w:szCs w:val="15"/>
                <w:color w:val="auto"/>
              </w:rPr>
              <w:t>Impairment of investment</w:t>
            </w:r>
          </w:p>
        </w:tc>
        <w:tc>
          <w:tcPr>
            <w:tcW w:w="1800" w:type="dxa"/>
            <w:vAlign w:val="bottom"/>
          </w:tcPr>
          <w:p>
            <w:pPr>
              <w:spacing w:after="0"/>
              <w:rPr>
                <w:sz w:val="21"/>
                <w:szCs w:val="21"/>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63</w:t>
            </w:r>
          </w:p>
        </w:tc>
      </w:tr>
      <w:tr>
        <w:trPr>
          <w:trHeight w:val="243"/>
        </w:trPr>
        <w:tc>
          <w:tcPr>
            <w:tcW w:w="6580" w:type="dxa"/>
            <w:vAlign w:val="bottom"/>
          </w:tcPr>
          <w:p>
            <w:pPr>
              <w:ind w:left="440"/>
              <w:spacing w:after="0"/>
              <w:rPr>
                <w:sz w:val="20"/>
                <w:szCs w:val="20"/>
                <w:color w:val="auto"/>
              </w:rPr>
            </w:pPr>
            <w:r>
              <w:rPr>
                <w:rFonts w:ascii="Calibri" w:cs="Calibri" w:eastAsia="Calibri" w:hAnsi="Calibri"/>
                <w:sz w:val="15"/>
                <w:szCs w:val="15"/>
                <w:color w:val="auto"/>
              </w:rPr>
              <w:t>Unrealized foreign currency translaton loss</w:t>
            </w:r>
          </w:p>
        </w:tc>
        <w:tc>
          <w:tcPr>
            <w:tcW w:w="1800" w:type="dxa"/>
            <w:vAlign w:val="bottom"/>
          </w:tcPr>
          <w:p>
            <w:pPr>
              <w:spacing w:after="0"/>
              <w:rPr>
                <w:sz w:val="21"/>
                <w:szCs w:val="21"/>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309</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71</w:t>
            </w:r>
          </w:p>
        </w:tc>
      </w:tr>
      <w:tr>
        <w:trPr>
          <w:trHeight w:val="29"/>
        </w:trPr>
        <w:tc>
          <w:tcPr>
            <w:tcW w:w="6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6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20" w:type="dxa"/>
            <w:vAlign w:val="bottom"/>
          </w:tcPr>
          <w:p>
            <w:pPr>
              <w:jc w:val="right"/>
              <w:ind w:right="384"/>
              <w:spacing w:after="0" w:line="176" w:lineRule="exact"/>
              <w:rPr>
                <w:sz w:val="20"/>
                <w:szCs w:val="20"/>
                <w:color w:val="auto"/>
              </w:rPr>
            </w:pPr>
            <w:r>
              <w:rPr>
                <w:rFonts w:ascii="Calibri" w:cs="Calibri" w:eastAsia="Calibri" w:hAnsi="Calibri"/>
                <w:sz w:val="15"/>
                <w:szCs w:val="15"/>
                <w:b w:val="1"/>
                <w:bCs w:val="1"/>
                <w:color w:val="auto"/>
              </w:rPr>
              <w:t>(45,420)</w:t>
            </w:r>
          </w:p>
        </w:tc>
        <w:tc>
          <w:tcPr>
            <w:tcW w:w="1040" w:type="dxa"/>
            <w:vAlign w:val="bottom"/>
          </w:tcPr>
          <w:p>
            <w:pPr>
              <w:jc w:val="right"/>
              <w:spacing w:after="0" w:line="176" w:lineRule="exact"/>
              <w:rPr>
                <w:sz w:val="20"/>
                <w:szCs w:val="20"/>
                <w:color w:val="auto"/>
              </w:rPr>
            </w:pPr>
            <w:r>
              <w:rPr>
                <w:rFonts w:ascii="Calibri" w:cs="Calibri" w:eastAsia="Calibri" w:hAnsi="Calibri"/>
                <w:sz w:val="15"/>
                <w:szCs w:val="15"/>
                <w:color w:val="auto"/>
              </w:rPr>
              <w:t>(17,760)</w:t>
            </w:r>
          </w:p>
        </w:tc>
      </w:tr>
      <w:tr>
        <w:trPr>
          <w:trHeight w:val="193"/>
        </w:trPr>
        <w:tc>
          <w:tcPr>
            <w:tcW w:w="6580" w:type="dxa"/>
            <w:vAlign w:val="bottom"/>
          </w:tcPr>
          <w:p>
            <w:pPr>
              <w:ind w:left="180"/>
              <w:spacing w:after="0"/>
              <w:rPr>
                <w:sz w:val="20"/>
                <w:szCs w:val="20"/>
                <w:color w:val="auto"/>
              </w:rPr>
            </w:pPr>
            <w:r>
              <w:rPr>
                <w:rFonts w:ascii="Calibri" w:cs="Calibri" w:eastAsia="Calibri" w:hAnsi="Calibri"/>
                <w:sz w:val="15"/>
                <w:szCs w:val="15"/>
                <w:b w:val="1"/>
                <w:bCs w:val="1"/>
                <w:color w:val="auto"/>
              </w:rPr>
              <w:t>Net changes in non-cash working capital items:</w:t>
            </w:r>
          </w:p>
        </w:tc>
        <w:tc>
          <w:tcPr>
            <w:tcW w:w="1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3"/>
        </w:trPr>
        <w:tc>
          <w:tcPr>
            <w:tcW w:w="6580" w:type="dxa"/>
            <w:vAlign w:val="bottom"/>
          </w:tcPr>
          <w:p>
            <w:pPr>
              <w:ind w:left="80"/>
              <w:spacing w:after="0"/>
              <w:rPr>
                <w:sz w:val="20"/>
                <w:szCs w:val="20"/>
                <w:color w:val="auto"/>
              </w:rPr>
            </w:pPr>
            <w:r>
              <w:rPr>
                <w:rFonts w:ascii="Calibri" w:cs="Calibri" w:eastAsia="Calibri" w:hAnsi="Calibri"/>
                <w:sz w:val="15"/>
                <w:szCs w:val="15"/>
                <w:color w:val="auto"/>
              </w:rPr>
              <w:t>Accounts receivable</w:t>
            </w:r>
          </w:p>
        </w:tc>
        <w:tc>
          <w:tcPr>
            <w:tcW w:w="1800" w:type="dxa"/>
            <w:vAlign w:val="bottom"/>
          </w:tcPr>
          <w:p>
            <w:pPr>
              <w:spacing w:after="0"/>
              <w:rPr>
                <w:sz w:val="21"/>
                <w:szCs w:val="21"/>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(773)</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(1,485)</w:t>
            </w:r>
          </w:p>
        </w:tc>
      </w:tr>
      <w:tr>
        <w:trPr>
          <w:trHeight w:val="243"/>
        </w:trPr>
        <w:tc>
          <w:tcPr>
            <w:tcW w:w="6580" w:type="dxa"/>
            <w:vAlign w:val="bottom"/>
          </w:tcPr>
          <w:p>
            <w:pPr>
              <w:ind w:left="80"/>
              <w:spacing w:after="0"/>
              <w:rPr>
                <w:sz w:val="20"/>
                <w:szCs w:val="20"/>
                <w:color w:val="auto"/>
              </w:rPr>
            </w:pPr>
            <w:r>
              <w:rPr>
                <w:rFonts w:ascii="Calibri" w:cs="Calibri" w:eastAsia="Calibri" w:hAnsi="Calibri"/>
                <w:sz w:val="15"/>
                <w:szCs w:val="15"/>
                <w:color w:val="auto"/>
              </w:rPr>
              <w:t>Prepaid expenses</w:t>
            </w:r>
          </w:p>
        </w:tc>
        <w:tc>
          <w:tcPr>
            <w:tcW w:w="1800" w:type="dxa"/>
            <w:vAlign w:val="bottom"/>
          </w:tcPr>
          <w:p>
            <w:pPr>
              <w:spacing w:after="0"/>
              <w:rPr>
                <w:sz w:val="21"/>
                <w:szCs w:val="21"/>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(142)</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(1,066)</w:t>
            </w:r>
          </w:p>
        </w:tc>
      </w:tr>
      <w:tr>
        <w:trPr>
          <w:trHeight w:val="243"/>
        </w:trPr>
        <w:tc>
          <w:tcPr>
            <w:tcW w:w="6580" w:type="dxa"/>
            <w:vAlign w:val="bottom"/>
          </w:tcPr>
          <w:p>
            <w:pPr>
              <w:ind w:left="80"/>
              <w:spacing w:after="0"/>
              <w:rPr>
                <w:sz w:val="20"/>
                <w:szCs w:val="20"/>
                <w:color w:val="auto"/>
              </w:rPr>
            </w:pPr>
            <w:r>
              <w:rPr>
                <w:rFonts w:ascii="Calibri" w:cs="Calibri" w:eastAsia="Calibri" w:hAnsi="Calibri"/>
                <w:sz w:val="15"/>
                <w:szCs w:val="15"/>
                <w:color w:val="auto"/>
              </w:rPr>
              <w:t>Inventory</w:t>
            </w:r>
          </w:p>
        </w:tc>
        <w:tc>
          <w:tcPr>
            <w:tcW w:w="1800" w:type="dxa"/>
            <w:vAlign w:val="bottom"/>
          </w:tcPr>
          <w:p>
            <w:pPr>
              <w:spacing w:after="0"/>
              <w:rPr>
                <w:sz w:val="21"/>
                <w:szCs w:val="21"/>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color w:val="auto"/>
              </w:rPr>
              <w:t>—</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(511)</w:t>
            </w:r>
          </w:p>
        </w:tc>
      </w:tr>
      <w:tr>
        <w:trPr>
          <w:trHeight w:val="203"/>
        </w:trPr>
        <w:tc>
          <w:tcPr>
            <w:tcW w:w="6580" w:type="dxa"/>
            <w:vAlign w:val="bottom"/>
          </w:tcPr>
          <w:p>
            <w:pPr>
              <w:ind w:left="80"/>
              <w:spacing w:after="0"/>
              <w:rPr>
                <w:sz w:val="20"/>
                <w:szCs w:val="20"/>
                <w:color w:val="auto"/>
              </w:rPr>
            </w:pPr>
            <w:r>
              <w:rPr>
                <w:rFonts w:ascii="Calibri" w:cs="Calibri" w:eastAsia="Calibri" w:hAnsi="Calibri"/>
                <w:sz w:val="15"/>
                <w:szCs w:val="15"/>
                <w:color w:val="auto"/>
              </w:rPr>
              <w:t>Other current assets</w:t>
            </w:r>
          </w:p>
        </w:tc>
        <w:tc>
          <w:tcPr>
            <w:tcW w:w="1800" w:type="dxa"/>
            <w:vAlign w:val="bottom"/>
          </w:tcPr>
          <w:p>
            <w:pPr>
              <w:spacing w:after="0"/>
              <w:rPr>
                <w:sz w:val="17"/>
                <w:szCs w:val="17"/>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(1,341)</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243"/>
        </w:trPr>
        <w:tc>
          <w:tcPr>
            <w:tcW w:w="6580" w:type="dxa"/>
            <w:vAlign w:val="bottom"/>
          </w:tcPr>
          <w:p>
            <w:pPr>
              <w:ind w:left="80"/>
              <w:spacing w:after="0"/>
              <w:rPr>
                <w:sz w:val="20"/>
                <w:szCs w:val="20"/>
                <w:color w:val="auto"/>
              </w:rPr>
            </w:pPr>
            <w:r>
              <w:rPr>
                <w:rFonts w:ascii="Calibri" w:cs="Calibri" w:eastAsia="Calibri" w:hAnsi="Calibri"/>
                <w:sz w:val="15"/>
                <w:szCs w:val="15"/>
                <w:color w:val="auto"/>
              </w:rPr>
              <w:t>Accounts payable and accrued liabilites</w:t>
            </w:r>
          </w:p>
        </w:tc>
        <w:tc>
          <w:tcPr>
            <w:tcW w:w="1800" w:type="dxa"/>
            <w:vAlign w:val="bottom"/>
          </w:tcPr>
          <w:p>
            <w:pPr>
              <w:spacing w:after="0"/>
              <w:rPr>
                <w:sz w:val="21"/>
                <w:szCs w:val="21"/>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2,469</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1,795</w:t>
            </w:r>
          </w:p>
        </w:tc>
      </w:tr>
      <w:tr>
        <w:trPr>
          <w:trHeight w:val="30"/>
        </w:trPr>
        <w:tc>
          <w:tcPr>
            <w:tcW w:w="6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6580" w:type="dxa"/>
            <w:vAlign w:val="bottom"/>
            <w:tcBorders>
              <w:bottom w:val="single" w:sz="8" w:color="auto"/>
            </w:tcBorders>
          </w:tcPr>
          <w:p>
            <w:pPr>
              <w:ind w:left="80"/>
              <w:spacing w:after="0"/>
              <w:rPr>
                <w:sz w:val="20"/>
                <w:szCs w:val="20"/>
                <w:color w:val="auto"/>
              </w:rPr>
            </w:pPr>
            <w:r>
              <w:rPr>
                <w:rFonts w:ascii="Calibri" w:cs="Calibri" w:eastAsia="Calibri" w:hAnsi="Calibri"/>
                <w:sz w:val="15"/>
                <w:szCs w:val="15"/>
                <w:b w:val="1"/>
                <w:bCs w:val="1"/>
                <w:color w:val="auto"/>
              </w:rPr>
              <w:t>Net cash fows used in operatng actvites</w:t>
            </w:r>
          </w:p>
        </w:tc>
        <w:tc>
          <w:tcPr>
            <w:tcW w:w="18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84"/>
              <w:spacing w:after="0"/>
              <w:rPr>
                <w:sz w:val="20"/>
                <w:szCs w:val="20"/>
                <w:color w:val="auto"/>
              </w:rPr>
            </w:pPr>
            <w:r>
              <w:rPr>
                <w:rFonts w:ascii="Calibri" w:cs="Calibri" w:eastAsia="Calibri" w:hAnsi="Calibri"/>
                <w:sz w:val="15"/>
                <w:szCs w:val="15"/>
                <w:b w:val="1"/>
                <w:bCs w:val="1"/>
                <w:color w:val="auto"/>
              </w:rPr>
              <w:t>(45,207)</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(19,027)</w:t>
            </w:r>
          </w:p>
        </w:tc>
      </w:tr>
      <w:tr>
        <w:trPr>
          <w:trHeight w:val="254"/>
        </w:trPr>
        <w:tc>
          <w:tcPr>
            <w:tcW w:w="6580" w:type="dxa"/>
            <w:vAlign w:val="bottom"/>
          </w:tcPr>
          <w:p>
            <w:pPr>
              <w:ind w:left="80"/>
              <w:spacing w:after="0"/>
              <w:rPr>
                <w:sz w:val="20"/>
                <w:szCs w:val="20"/>
                <w:color w:val="auto"/>
              </w:rPr>
            </w:pPr>
            <w:r>
              <w:rPr>
                <w:rFonts w:ascii="Calibri" w:cs="Calibri" w:eastAsia="Calibri" w:hAnsi="Calibri"/>
                <w:sz w:val="15"/>
                <w:szCs w:val="15"/>
                <w:b w:val="1"/>
                <w:bCs w:val="1"/>
                <w:color w:val="auto"/>
              </w:rPr>
              <w:t>INVESTING ACTIVITIES</w:t>
            </w:r>
          </w:p>
        </w:tc>
        <w:tc>
          <w:tcPr>
            <w:tcW w:w="1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03"/>
        </w:trPr>
        <w:tc>
          <w:tcPr>
            <w:tcW w:w="6580" w:type="dxa"/>
            <w:vAlign w:val="bottom"/>
          </w:tcPr>
          <w:p>
            <w:pPr>
              <w:ind w:left="380"/>
              <w:spacing w:after="0"/>
              <w:rPr>
                <w:sz w:val="20"/>
                <w:szCs w:val="20"/>
                <w:color w:val="auto"/>
              </w:rPr>
            </w:pPr>
            <w:r>
              <w:rPr>
                <w:rFonts w:ascii="Calibri" w:cs="Calibri" w:eastAsia="Calibri" w:hAnsi="Calibri"/>
                <w:sz w:val="15"/>
                <w:szCs w:val="15"/>
                <w:color w:val="auto"/>
              </w:rPr>
              <w:t>Pre-acquisiton cash advances to Adelia</w:t>
            </w:r>
          </w:p>
        </w:tc>
        <w:tc>
          <w:tcPr>
            <w:tcW w:w="1800" w:type="dxa"/>
            <w:vAlign w:val="bottom"/>
          </w:tcPr>
          <w:p>
            <w:pPr>
              <w:spacing w:after="0"/>
              <w:rPr>
                <w:sz w:val="17"/>
                <w:szCs w:val="17"/>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(958)</w:t>
            </w:r>
          </w:p>
        </w:tc>
      </w:tr>
      <w:tr>
        <w:trPr>
          <w:trHeight w:val="203"/>
        </w:trPr>
        <w:tc>
          <w:tcPr>
            <w:tcW w:w="6580" w:type="dxa"/>
            <w:vAlign w:val="bottom"/>
          </w:tcPr>
          <w:p>
            <w:pPr>
              <w:ind w:left="380"/>
              <w:spacing w:after="0"/>
              <w:rPr>
                <w:sz w:val="20"/>
                <w:szCs w:val="20"/>
                <w:color w:val="auto"/>
              </w:rPr>
            </w:pPr>
            <w:r>
              <w:rPr>
                <w:rFonts w:ascii="Calibri" w:cs="Calibri" w:eastAsia="Calibri" w:hAnsi="Calibri"/>
                <w:sz w:val="15"/>
                <w:szCs w:val="15"/>
                <w:color w:val="auto"/>
              </w:rPr>
              <w:t>Purchase of investment</w:t>
            </w:r>
          </w:p>
        </w:tc>
        <w:tc>
          <w:tcPr>
            <w:tcW w:w="1800" w:type="dxa"/>
            <w:vAlign w:val="bottom"/>
          </w:tcPr>
          <w:p>
            <w:pPr>
              <w:jc w:val="center"/>
              <w:ind w:left="1004"/>
              <w:spacing w:after="0"/>
              <w:rPr>
                <w:sz w:val="20"/>
                <w:szCs w:val="20"/>
                <w:color w:val="auto"/>
              </w:rPr>
            </w:pPr>
            <w:r>
              <w:rPr>
                <w:rFonts w:ascii="Calibri" w:cs="Calibri" w:eastAsia="Calibri" w:hAnsi="Calibri"/>
                <w:sz w:val="15"/>
                <w:szCs w:val="15"/>
                <w:i w:val="1"/>
                <w:iCs w:val="1"/>
                <w:color w:val="auto"/>
              </w:rPr>
              <w:t>5</w:t>
            </w: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(250)</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203"/>
        </w:trPr>
        <w:tc>
          <w:tcPr>
            <w:tcW w:w="6580" w:type="dxa"/>
            <w:vAlign w:val="bottom"/>
          </w:tcPr>
          <w:p>
            <w:pPr>
              <w:ind w:left="380"/>
              <w:spacing w:after="0"/>
              <w:rPr>
                <w:sz w:val="20"/>
                <w:szCs w:val="20"/>
                <w:color w:val="auto"/>
              </w:rPr>
            </w:pPr>
            <w:r>
              <w:rPr>
                <w:rFonts w:ascii="Calibri" w:cs="Calibri" w:eastAsia="Calibri" w:hAnsi="Calibri"/>
                <w:sz w:val="15"/>
                <w:szCs w:val="15"/>
                <w:color w:val="auto"/>
              </w:rPr>
              <w:t>Purchase of intangible assets</w:t>
            </w:r>
          </w:p>
        </w:tc>
        <w:tc>
          <w:tcPr>
            <w:tcW w:w="1800" w:type="dxa"/>
            <w:vAlign w:val="bottom"/>
          </w:tcPr>
          <w:p>
            <w:pPr>
              <w:jc w:val="center"/>
              <w:ind w:left="1004"/>
              <w:spacing w:after="0"/>
              <w:rPr>
                <w:sz w:val="20"/>
                <w:szCs w:val="20"/>
                <w:color w:val="auto"/>
              </w:rPr>
            </w:pPr>
            <w:r>
              <w:rPr>
                <w:rFonts w:ascii="Calibri" w:cs="Calibri" w:eastAsia="Calibri" w:hAnsi="Calibri"/>
                <w:sz w:val="15"/>
                <w:szCs w:val="15"/>
                <w:i w:val="1"/>
                <w:iCs w:val="1"/>
                <w:color w:val="auto"/>
              </w:rPr>
              <w:t>7</w:t>
            </w: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(415)</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(96)</w:t>
            </w:r>
          </w:p>
        </w:tc>
      </w:tr>
      <w:tr>
        <w:trPr>
          <w:trHeight w:val="243"/>
        </w:trPr>
        <w:tc>
          <w:tcPr>
            <w:tcW w:w="6580" w:type="dxa"/>
            <w:vAlign w:val="bottom"/>
          </w:tcPr>
          <w:p>
            <w:pPr>
              <w:ind w:left="80"/>
              <w:spacing w:after="0"/>
              <w:rPr>
                <w:sz w:val="20"/>
                <w:szCs w:val="20"/>
                <w:color w:val="auto"/>
              </w:rPr>
            </w:pPr>
            <w:r>
              <w:rPr>
                <w:rFonts w:ascii="Calibri" w:cs="Calibri" w:eastAsia="Calibri" w:hAnsi="Calibri"/>
                <w:sz w:val="15"/>
                <w:szCs w:val="15"/>
                <w:color w:val="auto"/>
              </w:rPr>
              <w:t>Purchase of equipment</w:t>
            </w:r>
          </w:p>
        </w:tc>
        <w:tc>
          <w:tcPr>
            <w:tcW w:w="1800" w:type="dxa"/>
            <w:vAlign w:val="bottom"/>
          </w:tcPr>
          <w:p>
            <w:pPr>
              <w:jc w:val="center"/>
              <w:ind w:left="1004"/>
              <w:spacing w:after="0"/>
              <w:rPr>
                <w:sz w:val="20"/>
                <w:szCs w:val="20"/>
                <w:color w:val="auto"/>
              </w:rPr>
            </w:pPr>
            <w:r>
              <w:rPr>
                <w:rFonts w:ascii="Calibri" w:cs="Calibri" w:eastAsia="Calibri" w:hAnsi="Calibri"/>
                <w:sz w:val="15"/>
                <w:szCs w:val="15"/>
                <w:i w:val="1"/>
                <w:iCs w:val="1"/>
                <w:color w:val="auto"/>
              </w:rPr>
              <w:t>6</w:t>
            </w: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(105)</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(135)</w:t>
            </w:r>
          </w:p>
        </w:tc>
      </w:tr>
      <w:tr>
        <w:trPr>
          <w:trHeight w:val="30"/>
        </w:trPr>
        <w:tc>
          <w:tcPr>
            <w:tcW w:w="6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580" w:type="dxa"/>
            <w:vAlign w:val="bottom"/>
            <w:tcBorders>
              <w:bottom w:val="single" w:sz="8" w:color="auto"/>
            </w:tcBorders>
          </w:tcPr>
          <w:p>
            <w:pPr>
              <w:ind w:left="80"/>
              <w:spacing w:after="0"/>
              <w:rPr>
                <w:sz w:val="20"/>
                <w:szCs w:val="20"/>
                <w:color w:val="auto"/>
              </w:rPr>
            </w:pPr>
            <w:r>
              <w:rPr>
                <w:rFonts w:ascii="Calibri" w:cs="Calibri" w:eastAsia="Calibri" w:hAnsi="Calibri"/>
                <w:sz w:val="15"/>
                <w:szCs w:val="15"/>
                <w:b w:val="1"/>
                <w:bCs w:val="1"/>
                <w:color w:val="auto"/>
              </w:rPr>
              <w:t>Net cash fows used in investng actvites</w:t>
            </w:r>
          </w:p>
        </w:tc>
        <w:tc>
          <w:tcPr>
            <w:tcW w:w="18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84"/>
              <w:spacing w:after="0"/>
              <w:rPr>
                <w:sz w:val="20"/>
                <w:szCs w:val="20"/>
                <w:color w:val="auto"/>
              </w:rPr>
            </w:pPr>
            <w:r>
              <w:rPr>
                <w:rFonts w:ascii="Calibri" w:cs="Calibri" w:eastAsia="Calibri" w:hAnsi="Calibri"/>
                <w:sz w:val="15"/>
                <w:szCs w:val="15"/>
                <w:b w:val="1"/>
                <w:bCs w:val="1"/>
                <w:color w:val="auto"/>
              </w:rPr>
              <w:t>(770)</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(1,189)</w:t>
            </w:r>
          </w:p>
        </w:tc>
      </w:tr>
      <w:tr>
        <w:trPr>
          <w:trHeight w:val="254"/>
        </w:trPr>
        <w:tc>
          <w:tcPr>
            <w:tcW w:w="6580" w:type="dxa"/>
            <w:vAlign w:val="bottom"/>
          </w:tcPr>
          <w:p>
            <w:pPr>
              <w:ind w:left="80"/>
              <w:spacing w:after="0"/>
              <w:rPr>
                <w:sz w:val="20"/>
                <w:szCs w:val="20"/>
                <w:color w:val="auto"/>
              </w:rPr>
            </w:pPr>
            <w:r>
              <w:rPr>
                <w:rFonts w:ascii="Calibri" w:cs="Calibri" w:eastAsia="Calibri" w:hAnsi="Calibri"/>
                <w:sz w:val="15"/>
                <w:szCs w:val="15"/>
                <w:b w:val="1"/>
                <w:bCs w:val="1"/>
                <w:color w:val="auto"/>
              </w:rPr>
              <w:t>FINANCING ACTIVITIES</w:t>
            </w:r>
          </w:p>
        </w:tc>
        <w:tc>
          <w:tcPr>
            <w:tcW w:w="1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43"/>
        </w:trPr>
        <w:tc>
          <w:tcPr>
            <w:tcW w:w="6580" w:type="dxa"/>
            <w:vAlign w:val="bottom"/>
          </w:tcPr>
          <w:p>
            <w:pPr>
              <w:ind w:left="80"/>
              <w:spacing w:after="0"/>
              <w:rPr>
                <w:sz w:val="20"/>
                <w:szCs w:val="20"/>
                <w:color w:val="auto"/>
              </w:rPr>
            </w:pPr>
            <w:r>
              <w:rPr>
                <w:rFonts w:ascii="Calibri" w:cs="Calibri" w:eastAsia="Calibri" w:hAnsi="Calibri"/>
                <w:sz w:val="15"/>
                <w:szCs w:val="15"/>
                <w:color w:val="auto"/>
              </w:rPr>
              <w:t>Proceeds from issuance of common shares, net</w:t>
            </w:r>
          </w:p>
        </w:tc>
        <w:tc>
          <w:tcPr>
            <w:tcW w:w="1800" w:type="dxa"/>
            <w:vAlign w:val="bottom"/>
          </w:tcPr>
          <w:p>
            <w:pPr>
              <w:spacing w:after="0"/>
              <w:rPr>
                <w:sz w:val="21"/>
                <w:szCs w:val="21"/>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31,507</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76,236</w:t>
            </w:r>
          </w:p>
        </w:tc>
      </w:tr>
      <w:tr>
        <w:trPr>
          <w:trHeight w:val="243"/>
        </w:trPr>
        <w:tc>
          <w:tcPr>
            <w:tcW w:w="6580" w:type="dxa"/>
            <w:vAlign w:val="bottom"/>
          </w:tcPr>
          <w:p>
            <w:pPr>
              <w:ind w:left="380"/>
              <w:spacing w:after="0"/>
              <w:rPr>
                <w:sz w:val="20"/>
                <w:szCs w:val="20"/>
                <w:color w:val="auto"/>
              </w:rPr>
            </w:pPr>
            <w:r>
              <w:rPr>
                <w:rFonts w:ascii="Calibri" w:cs="Calibri" w:eastAsia="Calibri" w:hAnsi="Calibri"/>
                <w:sz w:val="15"/>
                <w:szCs w:val="15"/>
                <w:color w:val="auto"/>
              </w:rPr>
              <w:t>Proceeds from issuance of warrants, net</w:t>
            </w:r>
          </w:p>
        </w:tc>
        <w:tc>
          <w:tcPr>
            <w:tcW w:w="1800" w:type="dxa"/>
            <w:vAlign w:val="bottom"/>
          </w:tcPr>
          <w:p>
            <w:pPr>
              <w:spacing w:after="0"/>
              <w:rPr>
                <w:sz w:val="21"/>
                <w:szCs w:val="21"/>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5,900</w:t>
            </w:r>
          </w:p>
        </w:tc>
      </w:tr>
      <w:tr>
        <w:trPr>
          <w:trHeight w:val="243"/>
        </w:trPr>
        <w:tc>
          <w:tcPr>
            <w:tcW w:w="6580" w:type="dxa"/>
            <w:vAlign w:val="bottom"/>
          </w:tcPr>
          <w:p>
            <w:pPr>
              <w:ind w:left="80"/>
              <w:spacing w:after="0"/>
              <w:rPr>
                <w:sz w:val="20"/>
                <w:szCs w:val="20"/>
                <w:color w:val="auto"/>
              </w:rPr>
            </w:pPr>
            <w:r>
              <w:rPr>
                <w:rFonts w:ascii="Calibri" w:cs="Calibri" w:eastAsia="Calibri" w:hAnsi="Calibri"/>
                <w:sz w:val="15"/>
                <w:szCs w:val="15"/>
                <w:color w:val="auto"/>
              </w:rPr>
              <w:t>Shares issued for cash - warrant exercise</w:t>
            </w:r>
          </w:p>
        </w:tc>
        <w:tc>
          <w:tcPr>
            <w:tcW w:w="1800" w:type="dxa"/>
            <w:vAlign w:val="bottom"/>
          </w:tcPr>
          <w:p>
            <w:pPr>
              <w:jc w:val="center"/>
              <w:ind w:left="1004"/>
              <w:spacing w:after="0"/>
              <w:rPr>
                <w:sz w:val="20"/>
                <w:szCs w:val="20"/>
                <w:color w:val="auto"/>
              </w:rPr>
            </w:pPr>
            <w:r>
              <w:rPr>
                <w:rFonts w:ascii="Calibri" w:cs="Calibri" w:eastAsia="Calibri" w:hAnsi="Calibri"/>
                <w:sz w:val="15"/>
                <w:szCs w:val="15"/>
                <w:i w:val="1"/>
                <w:iCs w:val="1"/>
                <w:color w:val="auto"/>
              </w:rPr>
              <w:t>10</w:t>
            </w: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2,928</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407</w:t>
            </w:r>
          </w:p>
        </w:tc>
      </w:tr>
      <w:tr>
        <w:trPr>
          <w:trHeight w:val="243"/>
        </w:trPr>
        <w:tc>
          <w:tcPr>
            <w:tcW w:w="6580" w:type="dxa"/>
            <w:vAlign w:val="bottom"/>
          </w:tcPr>
          <w:p>
            <w:pPr>
              <w:ind w:left="80"/>
              <w:spacing w:after="0"/>
              <w:rPr>
                <w:sz w:val="20"/>
                <w:szCs w:val="20"/>
                <w:color w:val="auto"/>
              </w:rPr>
            </w:pPr>
            <w:r>
              <w:rPr>
                <w:rFonts w:ascii="Calibri" w:cs="Calibri" w:eastAsia="Calibri" w:hAnsi="Calibri"/>
                <w:sz w:val="15"/>
                <w:szCs w:val="15"/>
                <w:color w:val="auto"/>
              </w:rPr>
              <w:t>Shares issued for cash - optons exercise</w:t>
            </w:r>
          </w:p>
        </w:tc>
        <w:tc>
          <w:tcPr>
            <w:tcW w:w="1800" w:type="dxa"/>
            <w:vAlign w:val="bottom"/>
          </w:tcPr>
          <w:p>
            <w:pPr>
              <w:jc w:val="center"/>
              <w:ind w:left="1004"/>
              <w:spacing w:after="0"/>
              <w:rPr>
                <w:sz w:val="20"/>
                <w:szCs w:val="20"/>
                <w:color w:val="auto"/>
              </w:rPr>
            </w:pPr>
            <w:r>
              <w:rPr>
                <w:rFonts w:ascii="Calibri" w:cs="Calibri" w:eastAsia="Calibri" w:hAnsi="Calibri"/>
                <w:sz w:val="15"/>
                <w:szCs w:val="15"/>
                <w:i w:val="1"/>
                <w:iCs w:val="1"/>
                <w:color w:val="auto"/>
              </w:rPr>
              <w:t>10</w:t>
            </w: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1,342</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182</w:t>
            </w:r>
          </w:p>
        </w:tc>
      </w:tr>
      <w:tr>
        <w:trPr>
          <w:trHeight w:val="30"/>
        </w:trPr>
        <w:tc>
          <w:tcPr>
            <w:tcW w:w="6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6580" w:type="dxa"/>
            <w:vAlign w:val="bottom"/>
            <w:tcBorders>
              <w:bottom w:val="single" w:sz="8" w:color="auto"/>
            </w:tcBorders>
          </w:tcPr>
          <w:p>
            <w:pPr>
              <w:ind w:left="80"/>
              <w:spacing w:after="0"/>
              <w:rPr>
                <w:sz w:val="20"/>
                <w:szCs w:val="20"/>
                <w:color w:val="auto"/>
              </w:rPr>
            </w:pPr>
            <w:r>
              <w:rPr>
                <w:rFonts w:ascii="Calibri" w:cs="Calibri" w:eastAsia="Calibri" w:hAnsi="Calibri"/>
                <w:sz w:val="15"/>
                <w:szCs w:val="15"/>
                <w:b w:val="1"/>
                <w:bCs w:val="1"/>
                <w:color w:val="auto"/>
              </w:rPr>
              <w:t>Net cash fows from fnancing actvites</w:t>
            </w:r>
          </w:p>
        </w:tc>
        <w:tc>
          <w:tcPr>
            <w:tcW w:w="18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84"/>
              <w:spacing w:after="0"/>
              <w:rPr>
                <w:sz w:val="20"/>
                <w:szCs w:val="20"/>
                <w:color w:val="auto"/>
              </w:rPr>
            </w:pPr>
            <w:r>
              <w:rPr>
                <w:rFonts w:ascii="Calibri" w:cs="Calibri" w:eastAsia="Calibri" w:hAnsi="Calibri"/>
                <w:sz w:val="15"/>
                <w:szCs w:val="15"/>
                <w:b w:val="1"/>
                <w:bCs w:val="1"/>
                <w:color w:val="auto"/>
              </w:rPr>
              <w:t>35,777</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82,725</w:t>
            </w:r>
          </w:p>
        </w:tc>
      </w:tr>
      <w:tr>
        <w:trPr>
          <w:trHeight w:val="416"/>
        </w:trPr>
        <w:tc>
          <w:tcPr>
            <w:tcW w:w="6580" w:type="dxa"/>
            <w:vAlign w:val="bottom"/>
          </w:tcPr>
          <w:p>
            <w:pPr>
              <w:ind w:left="80"/>
              <w:spacing w:after="0"/>
              <w:rPr>
                <w:sz w:val="20"/>
                <w:szCs w:val="20"/>
                <w:color w:val="auto"/>
              </w:rPr>
            </w:pPr>
            <w:r>
              <w:rPr>
                <w:rFonts w:ascii="Calibri" w:cs="Calibri" w:eastAsia="Calibri" w:hAnsi="Calibri"/>
                <w:sz w:val="15"/>
                <w:szCs w:val="15"/>
                <w:b w:val="1"/>
                <w:bCs w:val="1"/>
                <w:color w:val="auto"/>
              </w:rPr>
              <w:t>Efects of exchange rate changes on cash</w:t>
            </w:r>
          </w:p>
        </w:tc>
        <w:tc>
          <w:tcPr>
            <w:tcW w:w="1800" w:type="dxa"/>
            <w:vAlign w:val="bottom"/>
          </w:tcPr>
          <w:p>
            <w:pPr>
              <w:spacing w:after="0"/>
              <w:rPr>
                <w:sz w:val="24"/>
                <w:szCs w:val="24"/>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(185)</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(28)</w:t>
            </w:r>
          </w:p>
        </w:tc>
      </w:tr>
      <w:tr>
        <w:trPr>
          <w:trHeight w:val="30"/>
        </w:trPr>
        <w:tc>
          <w:tcPr>
            <w:tcW w:w="6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10"/>
        </w:trPr>
        <w:tc>
          <w:tcPr>
            <w:tcW w:w="6580" w:type="dxa"/>
            <w:vAlign w:val="bottom"/>
          </w:tcPr>
          <w:p>
            <w:pPr>
              <w:ind w:left="80"/>
              <w:spacing w:after="0"/>
              <w:rPr>
                <w:sz w:val="20"/>
                <w:szCs w:val="20"/>
                <w:color w:val="auto"/>
              </w:rPr>
            </w:pPr>
            <w:r>
              <w:rPr>
                <w:rFonts w:ascii="Calibri" w:cs="Calibri" w:eastAsia="Calibri" w:hAnsi="Calibri"/>
                <w:sz w:val="15"/>
                <w:szCs w:val="15"/>
                <w:b w:val="1"/>
                <w:bCs w:val="1"/>
                <w:color w:val="auto"/>
              </w:rPr>
              <w:t>Change in cash</w:t>
            </w:r>
          </w:p>
        </w:tc>
        <w:tc>
          <w:tcPr>
            <w:tcW w:w="1800" w:type="dxa"/>
            <w:vAlign w:val="bottom"/>
          </w:tcPr>
          <w:p>
            <w:pPr>
              <w:spacing w:after="0"/>
              <w:rPr>
                <w:sz w:val="24"/>
                <w:szCs w:val="24"/>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(10,385)</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62,481</w:t>
            </w:r>
          </w:p>
        </w:tc>
      </w:tr>
      <w:tr>
        <w:trPr>
          <w:trHeight w:val="203"/>
        </w:trPr>
        <w:tc>
          <w:tcPr>
            <w:tcW w:w="6580" w:type="dxa"/>
            <w:vAlign w:val="bottom"/>
          </w:tcPr>
          <w:p>
            <w:pPr>
              <w:ind w:left="80"/>
              <w:spacing w:after="0"/>
              <w:rPr>
                <w:sz w:val="20"/>
                <w:szCs w:val="20"/>
                <w:color w:val="auto"/>
              </w:rPr>
            </w:pPr>
            <w:r>
              <w:rPr>
                <w:rFonts w:ascii="Calibri" w:cs="Calibri" w:eastAsia="Calibri" w:hAnsi="Calibri"/>
                <w:sz w:val="15"/>
                <w:szCs w:val="15"/>
                <w:b w:val="1"/>
                <w:bCs w:val="1"/>
                <w:color w:val="auto"/>
              </w:rPr>
              <w:t>Cash, beginning of period</w:t>
            </w:r>
          </w:p>
        </w:tc>
        <w:tc>
          <w:tcPr>
            <w:tcW w:w="1800" w:type="dxa"/>
            <w:vAlign w:val="bottom"/>
          </w:tcPr>
          <w:p>
            <w:pPr>
              <w:spacing w:after="0"/>
              <w:rPr>
                <w:sz w:val="17"/>
                <w:szCs w:val="17"/>
                <w:color w:val="auto"/>
              </w:rPr>
            </w:pPr>
          </w:p>
        </w:tc>
        <w:tc>
          <w:tcPr>
            <w:tcW w:w="1820" w:type="dxa"/>
            <w:vAlign w:val="bottom"/>
          </w:tcPr>
          <w:p>
            <w:pPr>
              <w:jc w:val="right"/>
              <w:ind w:right="384"/>
              <w:spacing w:after="0"/>
              <w:rPr>
                <w:sz w:val="20"/>
                <w:szCs w:val="20"/>
                <w:color w:val="auto"/>
              </w:rPr>
            </w:pPr>
            <w:r>
              <w:rPr>
                <w:rFonts w:ascii="Calibri" w:cs="Calibri" w:eastAsia="Calibri" w:hAnsi="Calibri"/>
                <w:sz w:val="15"/>
                <w:szCs w:val="15"/>
                <w:b w:val="1"/>
                <w:bCs w:val="1"/>
                <w:color w:val="auto"/>
              </w:rPr>
              <w:t>64,026</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1,545</w:t>
            </w:r>
          </w:p>
        </w:tc>
      </w:tr>
      <w:tr>
        <w:trPr>
          <w:trHeight w:val="30"/>
        </w:trPr>
        <w:tc>
          <w:tcPr>
            <w:tcW w:w="6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20" w:type="dxa"/>
            <w:vAlign w:val="bottom"/>
            <w:tcBorders>
              <w:bottom w:val="single" w:sz="8" w:color="6D6D6D"/>
            </w:tcBorders>
          </w:tcPr>
          <w:p>
            <w:pPr>
              <w:spacing w:after="0"/>
              <w:rPr>
                <w:sz w:val="2"/>
                <w:szCs w:val="2"/>
                <w:color w:val="auto"/>
              </w:rPr>
            </w:pPr>
          </w:p>
        </w:tc>
        <w:tc>
          <w:tcPr>
            <w:tcW w:w="1040" w:type="dxa"/>
            <w:vAlign w:val="bottom"/>
            <w:tcBorders>
              <w:bottom w:val="single" w:sz="8" w:color="6D6D6D"/>
            </w:tcBorders>
          </w:tcPr>
          <w:p>
            <w:pPr>
              <w:spacing w:after="0"/>
              <w:rPr>
                <w:sz w:val="2"/>
                <w:szCs w:val="2"/>
                <w:color w:val="auto"/>
              </w:rPr>
            </w:pPr>
          </w:p>
        </w:tc>
      </w:tr>
      <w:tr>
        <w:trPr>
          <w:trHeight w:val="189"/>
        </w:trPr>
        <w:tc>
          <w:tcPr>
            <w:tcW w:w="6580" w:type="dxa"/>
            <w:vAlign w:val="bottom"/>
            <w:tcBorders>
              <w:bottom w:val="single" w:sz="8" w:color="auto"/>
            </w:tcBorders>
          </w:tcPr>
          <w:p>
            <w:pPr>
              <w:ind w:left="80"/>
              <w:spacing w:after="0"/>
              <w:rPr>
                <w:sz w:val="20"/>
                <w:szCs w:val="20"/>
                <w:color w:val="auto"/>
              </w:rPr>
            </w:pPr>
            <w:r>
              <w:rPr>
                <w:rFonts w:ascii="Calibri" w:cs="Calibri" w:eastAsia="Calibri" w:hAnsi="Calibri"/>
                <w:sz w:val="15"/>
                <w:szCs w:val="15"/>
                <w:b w:val="1"/>
                <w:bCs w:val="1"/>
                <w:color w:val="auto"/>
              </w:rPr>
              <w:t>Cash, end of period</w:t>
            </w:r>
          </w:p>
        </w:tc>
        <w:tc>
          <w:tcPr>
            <w:tcW w:w="18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84"/>
              <w:spacing w:after="0"/>
              <w:rPr>
                <w:sz w:val="20"/>
                <w:szCs w:val="20"/>
                <w:color w:val="auto"/>
              </w:rPr>
            </w:pPr>
            <w:r>
              <w:rPr>
                <w:rFonts w:ascii="Calibri" w:cs="Calibri" w:eastAsia="Calibri" w:hAnsi="Calibri"/>
                <w:sz w:val="15"/>
                <w:szCs w:val="15"/>
                <w:b w:val="1"/>
                <w:bCs w:val="1"/>
                <w:color w:val="auto"/>
              </w:rPr>
              <w:t>53,641</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64,026</w:t>
            </w:r>
          </w:p>
        </w:tc>
      </w:tr>
    </w:tbl>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accompanying notes are an integral part of these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12" w:name="page13"/>
    <w:bookmarkEnd w:id="12"/>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7"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31"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left="80"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280" w:val="left"/>
        </w:tabs>
        <w:rPr>
          <w:sz w:val="20"/>
          <w:szCs w:val="20"/>
          <w:color w:val="auto"/>
        </w:rPr>
      </w:pPr>
      <w:r>
        <w:rPr>
          <w:rFonts w:ascii="Calibri" w:cs="Calibri" w:eastAsia="Calibri" w:hAnsi="Calibri"/>
          <w:sz w:val="18"/>
          <w:szCs w:val="18"/>
          <w:b w:val="1"/>
          <w:bCs w:val="1"/>
          <w:color w:val="2D5F91"/>
        </w:rPr>
        <w:t>1.</w:t>
      </w:r>
      <w:r>
        <w:rPr>
          <w:sz w:val="20"/>
          <w:szCs w:val="20"/>
          <w:color w:val="auto"/>
        </w:rPr>
        <w:tab/>
      </w:r>
      <w:r>
        <w:rPr>
          <w:rFonts w:ascii="Calibri" w:cs="Calibri" w:eastAsia="Calibri" w:hAnsi="Calibri"/>
          <w:sz w:val="17"/>
          <w:szCs w:val="17"/>
          <w:b w:val="1"/>
          <w:bCs w:val="1"/>
          <w:color w:val="2D5F91"/>
        </w:rPr>
        <w:t>CORPORATE INFORMATION</w:t>
      </w:r>
    </w:p>
    <w:p>
      <w:pPr>
        <w:spacing w:after="0" w:line="190"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Cybin Inc. (“Cybin”), was incorporated under the Business Corporatons Act (Britsh Columbia) on October 13, 2016. These consolidated fnancial statements include the accounts of Cybin’s six subsidiaries (together, with Cybin, the “Company”): Cybin Corp., Natures Journey Inc. (“Journey”), Serenity Life Sciences Inc. (“Serenity”), Cybin US Holdings Inc. (“Cybin US”), Adelia Therapeutcs Inc. (“Adelia”) and Cybin IRL Limited. Cybin’s head ofce, principal address and registered address and records ofce is 100 King Street West, Suite 5600, Toronto, Ontario M5X 1C9.</w:t>
      </w:r>
    </w:p>
    <w:p>
      <w:pPr>
        <w:spacing w:after="0" w:line="179"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The Company is a biotechnology company focused on progressing psychedelic therapeutcs. The Company is structuring and supportng clinical studies in North America and other regions, through strategic academic and insttutonal partnerships and plans to launch psilocybin-based products in jurisdictons where the substance is not banned.</w:t>
      </w:r>
    </w:p>
    <w:p>
      <w:pPr>
        <w:spacing w:after="0" w:line="178" w:lineRule="exact"/>
        <w:rPr>
          <w:sz w:val="20"/>
          <w:szCs w:val="20"/>
          <w:color w:val="auto"/>
        </w:rPr>
      </w:pPr>
    </w:p>
    <w:p>
      <w:pPr>
        <w:jc w:val="both"/>
        <w:ind w:left="340" w:right="20"/>
        <w:spacing w:after="0" w:line="235" w:lineRule="auto"/>
        <w:rPr>
          <w:sz w:val="20"/>
          <w:szCs w:val="20"/>
          <w:color w:val="auto"/>
        </w:rPr>
      </w:pPr>
      <w:r>
        <w:rPr>
          <w:rFonts w:ascii="Calibri" w:cs="Calibri" w:eastAsia="Calibri" w:hAnsi="Calibri"/>
          <w:sz w:val="18"/>
          <w:szCs w:val="18"/>
          <w:color w:val="auto"/>
        </w:rPr>
        <w:t>These consolidated fnancial statements as at, and for the year ended, March 31, 2022 were approved and authorized for issue by the board of directors on June 20, 2022.</w:t>
      </w:r>
    </w:p>
    <w:p>
      <w:pPr>
        <w:spacing w:after="0" w:line="186"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u w:val="single" w:color="auto"/>
          <w:color w:val="auto"/>
        </w:rPr>
        <w:t>COVID 19</w:t>
      </w:r>
    </w:p>
    <w:p>
      <w:pPr>
        <w:spacing w:after="0" w:line="177"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In March 2020, the outbreak of the novel strain of coronavirus, specifcally identfed as “COVID-19”, resulted in governments worldwide enactng emergency measures to combat the spread of the virus. These measures, which include the implementaton of travel bans, self-imposed quarantne periods and social distancing, have caused material disrupton to businesses globally resultng in an economic slowdown. Global equity markets have experienced signifcant volatlity and weakness. Governments and central banks have reacted with signifcant monetary and fscal interventons designed to stabilize economic conditons. The duraton and impact of the COVID-19 outbreak is unknown at this tme, as is the efcacy of the government and central bank interventons. It is not possible to reliably estmate the length and severity of these developments and the impact on the fnancial results and conditon of the Company in future periods.</w:t>
      </w:r>
    </w:p>
    <w:p>
      <w:pPr>
        <w:spacing w:after="0" w:line="181"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The Company is not currently aware of any changes in laws, regulatons or guidelines, including tax and accountng requirements, arising from COVID-19 which would be reasonably antcipated to materially afect the Company’s business.</w:t>
      </w:r>
    </w:p>
    <w:p>
      <w:pPr>
        <w:spacing w:after="0" w:line="186"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u w:val="single" w:color="auto"/>
          <w:color w:val="auto"/>
        </w:rPr>
        <w:t>Reverse takeover</w:t>
      </w:r>
    </w:p>
    <w:p>
      <w:pPr>
        <w:spacing w:after="0" w:line="177"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On November 5, 2020, Cybin completed a reverse takeover transacton (the “Reverse Takeover”) pursuant to the terms of an amalgamaton agreement dated June 26, 2020, as amended on October 21, 2020, among Cybin, Cybin Corp. and 2762898 Ontario Inc. (“SubCo”), a wholly-owned subsidiary of a listed company Clarmin Exploratons Inc. (“Clarmin”). The Reverse Takeover was completed by way of a “three-cornered” amalgamaton pursuant to the provisions of the Business Corporatons Act (Ontario) whereby Cybin Corp. amalgamated with SubCo to form an amalgamated corporaton and a wholly owned subsidiary of Cybin. Efectve November 5, 2020, Cybin completed a common share consolidaton on the basis of 6.672 old common shares into one new common share of the Company (a “Common Share”). Any relevant shares and per share amounts in these consolidated fnancial statements have been restated to refect the share consolidaton retrospectvely.</w:t>
      </w:r>
    </w:p>
    <w:p>
      <w:pPr>
        <w:spacing w:after="0" w:line="181"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In accordance with IFRS 3, Business Combinatons, the substance of the reverse takeover is a takeover of a nonoperatng company. The transacton does not consttute a business combinaton as Clarmin did not meet the defniton of a business under IFRS 3. As a result, the transacton was accounted for as a capital transacton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Page 10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13" w:name="page14"/>
    <w:bookmarkEnd w:id="13"/>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7"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31"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left="80"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right="20"/>
        <w:spacing w:after="0" w:line="235" w:lineRule="auto"/>
        <w:rPr>
          <w:sz w:val="20"/>
          <w:szCs w:val="20"/>
          <w:color w:val="auto"/>
        </w:rPr>
      </w:pPr>
      <w:r>
        <w:rPr>
          <w:rFonts w:ascii="Calibri" w:cs="Calibri" w:eastAsia="Calibri" w:hAnsi="Calibri"/>
          <w:sz w:val="18"/>
          <w:szCs w:val="18"/>
          <w:color w:val="auto"/>
        </w:rPr>
        <w:t>with Cybin being identfed as the acquirer and the equity consideraton being measured at fair value. The resultng consolidated statement fnancial statements are presented as a contnuaton of Cybin Corp.</w:t>
      </w:r>
    </w:p>
    <w:p>
      <w:pPr>
        <w:spacing w:after="0" w:line="186"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u w:val="single" w:color="auto"/>
          <w:color w:val="auto"/>
        </w:rPr>
        <w:t>Stock exchange listng</w:t>
      </w:r>
    </w:p>
    <w:p>
      <w:pPr>
        <w:spacing w:after="0" w:line="177"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Cybin’s Common Shares are listed for trading on the Neo Exchange Inc., and NYSE American LLC under the symbol “CYBN” and are quoted on the Frankfurt Stock Exchange under the symbol “R7E1”.</w:t>
      </w:r>
    </w:p>
    <w:p>
      <w:pPr>
        <w:spacing w:after="0" w:line="172"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u w:val="single" w:color="auto"/>
          <w:color w:val="auto"/>
        </w:rPr>
        <w:t>Acquisiton</w:t>
      </w:r>
    </w:p>
    <w:p>
      <w:pPr>
        <w:spacing w:after="0" w:line="190"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On December 14, 2020, the Company completed its acquisiton of Adelia by issuing class B common shares of Cybin US (“Class B Shares”) that are exchangeable into Common Shares (the “Adelia Transacton”) (see note 4). The Class B Shares were issued in place of Common Shares to permit the deferral of US tax by the former shareholders of Adelia (the “Former Adelia Shareholders”). These consolidated fnancial statements refect the Class B Shares as if they have already been exchanged for Common Shares.</w:t>
      </w:r>
    </w:p>
    <w:p>
      <w:pPr>
        <w:spacing w:after="0" w:line="174"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u w:val="single" w:color="auto"/>
          <w:color w:val="auto"/>
        </w:rPr>
        <w:t>Going Concern</w:t>
      </w:r>
    </w:p>
    <w:p>
      <w:pPr>
        <w:spacing w:after="0" w:line="163" w:lineRule="exact"/>
        <w:rPr>
          <w:sz w:val="20"/>
          <w:szCs w:val="20"/>
          <w:color w:val="auto"/>
        </w:rPr>
      </w:pPr>
    </w:p>
    <w:p>
      <w:pPr>
        <w:jc w:val="both"/>
        <w:ind w:left="340"/>
        <w:spacing w:after="0" w:line="223" w:lineRule="auto"/>
        <w:rPr>
          <w:sz w:val="20"/>
          <w:szCs w:val="20"/>
          <w:color w:val="auto"/>
        </w:rPr>
      </w:pPr>
      <w:r>
        <w:rPr>
          <w:rFonts w:ascii="Calibri" w:cs="Calibri" w:eastAsia="Calibri" w:hAnsi="Calibri"/>
          <w:sz w:val="18"/>
          <w:szCs w:val="18"/>
          <w:color w:val="auto"/>
        </w:rPr>
        <w:t>These consolidated fnancial statements are prepared on a going concern basis, which contemplates that the Company will contnue in operaton for the foreseeable future and will be able to realize its assets and discharge its liabilites in the normal course of business. At present, the Company’s operatons do not generate cash fow. The Company has incurred losses since incepton and had an accumulated defcit of $100,661 as at March 31, 2022 (March 31, 2021 - $33,030). As at March 31, 2022, the Company had a cash balance of $53,641 (2021 - $64,026) and working capital of $50,447 (2021 - $61,584). In order to contnue as a going concern and meet its corporate objectves, the Company is dependent on its ability to obtain additonal fnancing. Although the Company has been successful in the past in obtaining fnancing, there is no assurance that the Company will be able to obtain adequate fnancing in the future or that such fnancing will be on terms advantageous to the Company.</w:t>
      </w:r>
    </w:p>
    <w:p>
      <w:pPr>
        <w:spacing w:after="0" w:line="164" w:lineRule="exact"/>
        <w:rPr>
          <w:sz w:val="20"/>
          <w:szCs w:val="20"/>
          <w:color w:val="auto"/>
        </w:rPr>
      </w:pPr>
    </w:p>
    <w:p>
      <w:pPr>
        <w:jc w:val="both"/>
        <w:ind w:left="340"/>
        <w:spacing w:after="0" w:line="225" w:lineRule="auto"/>
        <w:rPr>
          <w:sz w:val="20"/>
          <w:szCs w:val="20"/>
          <w:color w:val="auto"/>
        </w:rPr>
      </w:pPr>
      <w:r>
        <w:rPr>
          <w:rFonts w:ascii="Calibri" w:cs="Calibri" w:eastAsia="Calibri" w:hAnsi="Calibri"/>
          <w:sz w:val="18"/>
          <w:szCs w:val="18"/>
          <w:color w:val="auto"/>
        </w:rPr>
        <w:t>These consolidated fnancial statements do not refect the adjustments or reclassifcatons of assets and liabilites which would be necessary if the Company were unable to contnue as a going concern and therefore were required to realize its assets and liquidate its liabilites and commitments in the normal course of business operatons and at amounts diferent from those in the accompanying consolidated fnancial statements.</w:t>
      </w:r>
    </w:p>
    <w:p>
      <w:pPr>
        <w:spacing w:after="0" w:line="200" w:lineRule="exact"/>
        <w:rPr>
          <w:sz w:val="20"/>
          <w:szCs w:val="20"/>
          <w:color w:val="auto"/>
        </w:rPr>
      </w:pPr>
    </w:p>
    <w:p>
      <w:pPr>
        <w:spacing w:after="0" w:line="217" w:lineRule="exact"/>
        <w:rPr>
          <w:sz w:val="20"/>
          <w:szCs w:val="20"/>
          <w:color w:val="auto"/>
        </w:rPr>
      </w:pPr>
    </w:p>
    <w:p>
      <w:pPr>
        <w:spacing w:after="0"/>
        <w:tabs>
          <w:tab w:leader="none" w:pos="280" w:val="left"/>
        </w:tabs>
        <w:rPr>
          <w:sz w:val="20"/>
          <w:szCs w:val="20"/>
          <w:color w:val="auto"/>
        </w:rPr>
      </w:pPr>
      <w:r>
        <w:rPr>
          <w:rFonts w:ascii="Calibri" w:cs="Calibri" w:eastAsia="Calibri" w:hAnsi="Calibri"/>
          <w:sz w:val="18"/>
          <w:szCs w:val="18"/>
          <w:b w:val="1"/>
          <w:bCs w:val="1"/>
          <w:color w:val="2D5F91"/>
        </w:rPr>
        <w:t>2.</w:t>
      </w:r>
      <w:r>
        <w:rPr>
          <w:sz w:val="20"/>
          <w:szCs w:val="20"/>
          <w:color w:val="auto"/>
        </w:rPr>
        <w:tab/>
      </w:r>
      <w:r>
        <w:rPr>
          <w:rFonts w:ascii="Calibri" w:cs="Calibri" w:eastAsia="Calibri" w:hAnsi="Calibri"/>
          <w:sz w:val="17"/>
          <w:szCs w:val="17"/>
          <w:b w:val="1"/>
          <w:bCs w:val="1"/>
          <w:color w:val="2D5F91"/>
        </w:rPr>
        <w:t>SIGNIFICANT ACCOUNTING POLICIES AND BASIS OF PREPARATION</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Statement of compliance</w:t>
      </w:r>
    </w:p>
    <w:p>
      <w:pPr>
        <w:spacing w:after="0" w:line="231" w:lineRule="exact"/>
        <w:rPr>
          <w:sz w:val="20"/>
          <w:szCs w:val="20"/>
          <w:color w:val="auto"/>
        </w:rPr>
      </w:pPr>
    </w:p>
    <w:p>
      <w:pPr>
        <w:jc w:val="both"/>
        <w:ind w:left="340"/>
        <w:spacing w:after="0" w:line="221" w:lineRule="auto"/>
        <w:rPr>
          <w:sz w:val="20"/>
          <w:szCs w:val="20"/>
          <w:color w:val="auto"/>
        </w:rPr>
      </w:pPr>
      <w:r>
        <w:rPr>
          <w:rFonts w:ascii="Calibri" w:cs="Calibri" w:eastAsia="Calibri" w:hAnsi="Calibri"/>
          <w:sz w:val="18"/>
          <w:szCs w:val="18"/>
          <w:color w:val="auto"/>
        </w:rPr>
        <w:t>The Company’s consolidated fnancial statements have been prepared in accordance with Internatonal Financial Reportng Standards (IFRS), as issued by the Internatonal Accountng Standards Board (IASB)</w:t>
      </w:r>
      <w:r>
        <w:rPr>
          <w:rFonts w:ascii="Calibri" w:cs="Calibri" w:eastAsia="Calibri" w:hAnsi="Calibri"/>
          <w:sz w:val="21"/>
          <w:szCs w:val="21"/>
          <w:i w:val="1"/>
          <w:iCs w:val="1"/>
          <w:color w:val="auto"/>
        </w:rPr>
        <w:t>.</w:t>
      </w:r>
    </w:p>
    <w:p>
      <w:pPr>
        <w:spacing w:after="0" w:line="169" w:lineRule="exact"/>
        <w:rPr>
          <w:sz w:val="20"/>
          <w:szCs w:val="20"/>
          <w:color w:val="auto"/>
        </w:rPr>
      </w:pPr>
    </w:p>
    <w:p>
      <w:pPr>
        <w:jc w:val="both"/>
        <w:ind w:left="340"/>
        <w:spacing w:after="0" w:line="215" w:lineRule="auto"/>
        <w:rPr>
          <w:sz w:val="20"/>
          <w:szCs w:val="20"/>
          <w:color w:val="auto"/>
        </w:rPr>
      </w:pPr>
      <w:r>
        <w:rPr>
          <w:rFonts w:ascii="Calibri" w:cs="Calibri" w:eastAsia="Calibri" w:hAnsi="Calibri"/>
          <w:sz w:val="18"/>
          <w:szCs w:val="18"/>
          <w:color w:val="auto"/>
        </w:rPr>
        <w:t>The policies applied to these consolidated fnancial statements are based on IFRS, which have been applied consistently to all periods presented. These consolidated fnancial statements were issued and efectve as at June 20, 2022, the date the Board of Directors approved these consolidated fnancial statements.</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Basis of measurement</w:t>
      </w:r>
    </w:p>
    <w:p>
      <w:pPr>
        <w:spacing w:after="0" w:line="231" w:lineRule="exact"/>
        <w:rPr>
          <w:sz w:val="20"/>
          <w:szCs w:val="20"/>
          <w:color w:val="auto"/>
        </w:rPr>
      </w:pPr>
    </w:p>
    <w:p>
      <w:pPr>
        <w:jc w:val="both"/>
        <w:ind w:left="340"/>
        <w:spacing w:after="0" w:line="220" w:lineRule="auto"/>
        <w:rPr>
          <w:sz w:val="20"/>
          <w:szCs w:val="20"/>
          <w:color w:val="auto"/>
        </w:rPr>
      </w:pPr>
      <w:r>
        <w:rPr>
          <w:rFonts w:ascii="Calibri" w:cs="Calibri" w:eastAsia="Calibri" w:hAnsi="Calibri"/>
          <w:sz w:val="18"/>
          <w:szCs w:val="18"/>
          <w:color w:val="auto"/>
        </w:rPr>
        <w:t>These consolidated fnancial statements have been prepared on a going concern basis, under the historical cost conventon, except for certain fnancial instruments classifed at fair value upon inital recogniton.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Page 11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14" w:name="page15"/>
    <w:bookmarkEnd w:id="14"/>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7"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31"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left="80"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Functonal and presentaton currency</w:t>
      </w:r>
    </w:p>
    <w:p>
      <w:pPr>
        <w:spacing w:after="0" w:line="163" w:lineRule="exact"/>
        <w:rPr>
          <w:sz w:val="20"/>
          <w:szCs w:val="20"/>
          <w:color w:val="auto"/>
        </w:rPr>
      </w:pPr>
    </w:p>
    <w:p>
      <w:pPr>
        <w:jc w:val="both"/>
        <w:ind w:left="340"/>
        <w:spacing w:after="0" w:line="227" w:lineRule="auto"/>
        <w:rPr>
          <w:sz w:val="20"/>
          <w:szCs w:val="20"/>
          <w:color w:val="auto"/>
        </w:rPr>
      </w:pPr>
      <w:r>
        <w:rPr>
          <w:rFonts w:ascii="Calibri" w:cs="Calibri" w:eastAsia="Calibri" w:hAnsi="Calibri"/>
          <w:sz w:val="18"/>
          <w:szCs w:val="18"/>
          <w:color w:val="auto"/>
        </w:rPr>
        <w:t>The functonal currency of a company is the currency of the primary economic environment in which the company operates. The presentaton currency for a company is the currency in which the company chooses to present its fnancial statements.</w:t>
      </w:r>
    </w:p>
    <w:p>
      <w:pPr>
        <w:spacing w:after="0" w:line="165" w:lineRule="exact"/>
        <w:rPr>
          <w:sz w:val="20"/>
          <w:szCs w:val="20"/>
          <w:color w:val="auto"/>
        </w:rPr>
      </w:pPr>
    </w:p>
    <w:p>
      <w:pPr>
        <w:jc w:val="both"/>
        <w:ind w:left="340"/>
        <w:spacing w:after="0" w:line="227" w:lineRule="auto"/>
        <w:rPr>
          <w:sz w:val="20"/>
          <w:szCs w:val="20"/>
          <w:color w:val="auto"/>
        </w:rPr>
      </w:pPr>
      <w:r>
        <w:rPr>
          <w:rFonts w:ascii="Calibri" w:cs="Calibri" w:eastAsia="Calibri" w:hAnsi="Calibri"/>
          <w:sz w:val="18"/>
          <w:szCs w:val="18"/>
          <w:color w:val="auto"/>
        </w:rPr>
        <w:t>These consolidated fnancial statements are presented in Canadian dollars, the Company’s presentaton currency. The Company’s and its subsidiaries functonal currencies are as follows:</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2360" w:type="dxa"/>
            <w:vAlign w:val="bottom"/>
          </w:tcPr>
          <w:p>
            <w:pPr>
              <w:ind w:left="20"/>
              <w:spacing w:after="0"/>
              <w:rPr>
                <w:sz w:val="20"/>
                <w:szCs w:val="20"/>
                <w:color w:val="auto"/>
              </w:rPr>
            </w:pPr>
            <w:r>
              <w:rPr>
                <w:rFonts w:ascii="Calibri" w:cs="Calibri" w:eastAsia="Calibri" w:hAnsi="Calibri"/>
                <w:sz w:val="18"/>
                <w:szCs w:val="18"/>
                <w:b w:val="1"/>
                <w:bCs w:val="1"/>
                <w:color w:val="auto"/>
              </w:rPr>
              <w:t>Entty</w:t>
            </w:r>
          </w:p>
        </w:tc>
        <w:tc>
          <w:tcPr>
            <w:tcW w:w="3480" w:type="dxa"/>
            <w:vAlign w:val="bottom"/>
          </w:tcPr>
          <w:p>
            <w:pPr>
              <w:ind w:left="1140"/>
              <w:spacing w:after="0"/>
              <w:rPr>
                <w:sz w:val="20"/>
                <w:szCs w:val="20"/>
                <w:color w:val="auto"/>
              </w:rPr>
            </w:pPr>
            <w:r>
              <w:rPr>
                <w:rFonts w:ascii="Calibri" w:cs="Calibri" w:eastAsia="Calibri" w:hAnsi="Calibri"/>
                <w:sz w:val="18"/>
                <w:szCs w:val="18"/>
                <w:b w:val="1"/>
                <w:bCs w:val="1"/>
                <w:color w:val="auto"/>
              </w:rPr>
              <w:t>Currency</w:t>
            </w:r>
          </w:p>
        </w:tc>
        <w:tc>
          <w:tcPr>
            <w:tcW w:w="4620" w:type="dxa"/>
            <w:vAlign w:val="bottom"/>
          </w:tcPr>
          <w:p>
            <w:pPr>
              <w:ind w:left="1140"/>
              <w:spacing w:after="0"/>
              <w:rPr>
                <w:sz w:val="20"/>
                <w:szCs w:val="20"/>
                <w:color w:val="auto"/>
              </w:rPr>
            </w:pPr>
            <w:r>
              <w:rPr>
                <w:rFonts w:ascii="Calibri" w:cs="Calibri" w:eastAsia="Calibri" w:hAnsi="Calibri"/>
                <w:sz w:val="18"/>
                <w:szCs w:val="18"/>
                <w:b w:val="1"/>
                <w:bCs w:val="1"/>
                <w:color w:val="auto"/>
              </w:rPr>
              <w:t>Ownership</w:t>
            </w:r>
          </w:p>
        </w:tc>
      </w:tr>
      <w:tr>
        <w:trPr>
          <w:trHeight w:val="23"/>
        </w:trPr>
        <w:tc>
          <w:tcPr>
            <w:tcW w:w="23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08"/>
        </w:trPr>
        <w:tc>
          <w:tcPr>
            <w:tcW w:w="2360" w:type="dxa"/>
            <w:vAlign w:val="bottom"/>
          </w:tcPr>
          <w:p>
            <w:pPr>
              <w:ind w:left="20"/>
              <w:spacing w:after="0" w:line="208" w:lineRule="exact"/>
              <w:rPr>
                <w:sz w:val="20"/>
                <w:szCs w:val="20"/>
                <w:color w:val="auto"/>
              </w:rPr>
            </w:pPr>
            <w:r>
              <w:rPr>
                <w:rFonts w:ascii="Calibri" w:cs="Calibri" w:eastAsia="Calibri" w:hAnsi="Calibri"/>
                <w:sz w:val="18"/>
                <w:szCs w:val="18"/>
                <w:color w:val="auto"/>
              </w:rPr>
              <w:t>Cybin Corp.</w:t>
            </w:r>
          </w:p>
        </w:tc>
        <w:tc>
          <w:tcPr>
            <w:tcW w:w="3480" w:type="dxa"/>
            <w:vAlign w:val="bottom"/>
          </w:tcPr>
          <w:p>
            <w:pPr>
              <w:ind w:left="1140"/>
              <w:spacing w:after="0" w:line="208" w:lineRule="exact"/>
              <w:rPr>
                <w:sz w:val="20"/>
                <w:szCs w:val="20"/>
                <w:color w:val="auto"/>
              </w:rPr>
            </w:pPr>
            <w:r>
              <w:rPr>
                <w:rFonts w:ascii="Calibri" w:cs="Calibri" w:eastAsia="Calibri" w:hAnsi="Calibri"/>
                <w:sz w:val="18"/>
                <w:szCs w:val="18"/>
                <w:color w:val="auto"/>
              </w:rPr>
              <w:t>Canadian dollars</w:t>
            </w:r>
          </w:p>
        </w:tc>
        <w:tc>
          <w:tcPr>
            <w:tcW w:w="4620" w:type="dxa"/>
            <w:vAlign w:val="bottom"/>
          </w:tcPr>
          <w:p>
            <w:pPr>
              <w:ind w:left="1140"/>
              <w:spacing w:after="0" w:line="208" w:lineRule="exact"/>
              <w:rPr>
                <w:sz w:val="20"/>
                <w:szCs w:val="20"/>
                <w:color w:val="auto"/>
              </w:rPr>
            </w:pPr>
            <w:r>
              <w:rPr>
                <w:rFonts w:ascii="Calibri" w:cs="Calibri" w:eastAsia="Calibri" w:hAnsi="Calibri"/>
                <w:sz w:val="18"/>
                <w:szCs w:val="18"/>
                <w:color w:val="auto"/>
              </w:rPr>
              <w:t>100%</w:t>
            </w:r>
          </w:p>
        </w:tc>
      </w:tr>
      <w:tr>
        <w:trPr>
          <w:trHeight w:val="221"/>
        </w:trPr>
        <w:tc>
          <w:tcPr>
            <w:tcW w:w="2360" w:type="dxa"/>
            <w:vAlign w:val="bottom"/>
          </w:tcPr>
          <w:p>
            <w:pPr>
              <w:ind w:left="20"/>
              <w:spacing w:after="0"/>
              <w:rPr>
                <w:sz w:val="20"/>
                <w:szCs w:val="20"/>
                <w:color w:val="auto"/>
              </w:rPr>
            </w:pPr>
            <w:r>
              <w:rPr>
                <w:rFonts w:ascii="Calibri" w:cs="Calibri" w:eastAsia="Calibri" w:hAnsi="Calibri"/>
                <w:sz w:val="18"/>
                <w:szCs w:val="18"/>
                <w:color w:val="auto"/>
              </w:rPr>
              <w:t>Journey</w:t>
            </w:r>
          </w:p>
        </w:tc>
        <w:tc>
          <w:tcPr>
            <w:tcW w:w="3480" w:type="dxa"/>
            <w:vAlign w:val="bottom"/>
          </w:tcPr>
          <w:p>
            <w:pPr>
              <w:ind w:left="1140"/>
              <w:spacing w:after="0"/>
              <w:rPr>
                <w:sz w:val="20"/>
                <w:szCs w:val="20"/>
                <w:color w:val="auto"/>
              </w:rPr>
            </w:pPr>
            <w:r>
              <w:rPr>
                <w:rFonts w:ascii="Calibri" w:cs="Calibri" w:eastAsia="Calibri" w:hAnsi="Calibri"/>
                <w:sz w:val="18"/>
                <w:szCs w:val="18"/>
                <w:color w:val="auto"/>
              </w:rPr>
              <w:t>Canadian dollars</w:t>
            </w:r>
          </w:p>
        </w:tc>
        <w:tc>
          <w:tcPr>
            <w:tcW w:w="4620" w:type="dxa"/>
            <w:vAlign w:val="bottom"/>
          </w:tcPr>
          <w:p>
            <w:pPr>
              <w:ind w:left="1140"/>
              <w:spacing w:after="0"/>
              <w:rPr>
                <w:sz w:val="20"/>
                <w:szCs w:val="20"/>
                <w:color w:val="auto"/>
              </w:rPr>
            </w:pPr>
            <w:r>
              <w:rPr>
                <w:rFonts w:ascii="Calibri" w:cs="Calibri" w:eastAsia="Calibri" w:hAnsi="Calibri"/>
                <w:sz w:val="18"/>
                <w:szCs w:val="18"/>
                <w:color w:val="auto"/>
              </w:rPr>
              <w:t>100%</w:t>
            </w:r>
          </w:p>
        </w:tc>
      </w:tr>
      <w:tr>
        <w:trPr>
          <w:trHeight w:val="230"/>
        </w:trPr>
        <w:tc>
          <w:tcPr>
            <w:tcW w:w="2360" w:type="dxa"/>
            <w:vAlign w:val="bottom"/>
          </w:tcPr>
          <w:p>
            <w:pPr>
              <w:ind w:left="20"/>
              <w:spacing w:after="0"/>
              <w:rPr>
                <w:sz w:val="20"/>
                <w:szCs w:val="20"/>
                <w:color w:val="auto"/>
              </w:rPr>
            </w:pPr>
            <w:r>
              <w:rPr>
                <w:rFonts w:ascii="Calibri" w:cs="Calibri" w:eastAsia="Calibri" w:hAnsi="Calibri"/>
                <w:sz w:val="18"/>
                <w:szCs w:val="18"/>
                <w:color w:val="auto"/>
              </w:rPr>
              <w:t>Serenity</w:t>
            </w:r>
          </w:p>
        </w:tc>
        <w:tc>
          <w:tcPr>
            <w:tcW w:w="3480" w:type="dxa"/>
            <w:vAlign w:val="bottom"/>
          </w:tcPr>
          <w:p>
            <w:pPr>
              <w:ind w:left="1140"/>
              <w:spacing w:after="0"/>
              <w:rPr>
                <w:sz w:val="20"/>
                <w:szCs w:val="20"/>
                <w:color w:val="auto"/>
              </w:rPr>
            </w:pPr>
            <w:r>
              <w:rPr>
                <w:rFonts w:ascii="Calibri" w:cs="Calibri" w:eastAsia="Calibri" w:hAnsi="Calibri"/>
                <w:sz w:val="18"/>
                <w:szCs w:val="18"/>
                <w:color w:val="auto"/>
              </w:rPr>
              <w:t>Canadian dollars</w:t>
            </w:r>
          </w:p>
        </w:tc>
        <w:tc>
          <w:tcPr>
            <w:tcW w:w="4620" w:type="dxa"/>
            <w:vAlign w:val="bottom"/>
          </w:tcPr>
          <w:p>
            <w:pPr>
              <w:ind w:left="1140"/>
              <w:spacing w:after="0"/>
              <w:rPr>
                <w:sz w:val="20"/>
                <w:szCs w:val="20"/>
                <w:color w:val="auto"/>
              </w:rPr>
            </w:pPr>
            <w:r>
              <w:rPr>
                <w:rFonts w:ascii="Calibri" w:cs="Calibri" w:eastAsia="Calibri" w:hAnsi="Calibri"/>
                <w:sz w:val="18"/>
                <w:szCs w:val="18"/>
                <w:color w:val="auto"/>
              </w:rPr>
              <w:t>100%</w:t>
            </w:r>
          </w:p>
        </w:tc>
      </w:tr>
      <w:tr>
        <w:trPr>
          <w:trHeight w:val="244"/>
        </w:trPr>
        <w:tc>
          <w:tcPr>
            <w:tcW w:w="2360" w:type="dxa"/>
            <w:vAlign w:val="bottom"/>
          </w:tcPr>
          <w:p>
            <w:pPr>
              <w:ind w:left="20"/>
              <w:spacing w:after="0" w:line="244" w:lineRule="exact"/>
              <w:rPr>
                <w:sz w:val="20"/>
                <w:szCs w:val="20"/>
                <w:color w:val="auto"/>
              </w:rPr>
            </w:pPr>
            <w:r>
              <w:rPr>
                <w:rFonts w:ascii="Calibri" w:cs="Calibri" w:eastAsia="Calibri" w:hAnsi="Calibri"/>
                <w:sz w:val="18"/>
                <w:szCs w:val="18"/>
                <w:color w:val="auto"/>
              </w:rPr>
              <w:t>Cybin US</w:t>
            </w:r>
            <w:r>
              <w:rPr>
                <w:rFonts w:ascii="Calibri" w:cs="Calibri" w:eastAsia="Calibri" w:hAnsi="Calibri"/>
                <w:sz w:val="23"/>
                <w:szCs w:val="23"/>
                <w:color w:val="auto"/>
                <w:vertAlign w:val="superscript"/>
              </w:rPr>
              <w:t>1</w:t>
            </w:r>
          </w:p>
        </w:tc>
        <w:tc>
          <w:tcPr>
            <w:tcW w:w="3480" w:type="dxa"/>
            <w:vAlign w:val="bottom"/>
          </w:tcPr>
          <w:p>
            <w:pPr>
              <w:ind w:left="1140"/>
              <w:spacing w:after="0"/>
              <w:rPr>
                <w:sz w:val="20"/>
                <w:szCs w:val="20"/>
                <w:color w:val="auto"/>
              </w:rPr>
            </w:pPr>
            <w:r>
              <w:rPr>
                <w:rFonts w:ascii="Calibri" w:cs="Calibri" w:eastAsia="Calibri" w:hAnsi="Calibri"/>
                <w:sz w:val="18"/>
                <w:szCs w:val="18"/>
                <w:color w:val="auto"/>
              </w:rPr>
              <w:t>Canadian dollars</w:t>
            </w:r>
          </w:p>
        </w:tc>
        <w:tc>
          <w:tcPr>
            <w:tcW w:w="4620" w:type="dxa"/>
            <w:vAlign w:val="bottom"/>
          </w:tcPr>
          <w:p>
            <w:pPr>
              <w:ind w:left="1140"/>
              <w:spacing w:after="0"/>
              <w:rPr>
                <w:sz w:val="20"/>
                <w:szCs w:val="20"/>
                <w:color w:val="auto"/>
              </w:rPr>
            </w:pPr>
            <w:r>
              <w:rPr>
                <w:rFonts w:ascii="Calibri" w:cs="Calibri" w:eastAsia="Calibri" w:hAnsi="Calibri"/>
                <w:sz w:val="18"/>
                <w:szCs w:val="18"/>
                <w:color w:val="auto"/>
              </w:rPr>
              <w:t>100%</w:t>
            </w:r>
          </w:p>
        </w:tc>
      </w:tr>
      <w:tr>
        <w:trPr>
          <w:trHeight w:val="215"/>
        </w:trPr>
        <w:tc>
          <w:tcPr>
            <w:tcW w:w="2360" w:type="dxa"/>
            <w:vAlign w:val="bottom"/>
          </w:tcPr>
          <w:p>
            <w:pPr>
              <w:ind w:left="20"/>
              <w:spacing w:after="0" w:line="215" w:lineRule="exact"/>
              <w:rPr>
                <w:sz w:val="20"/>
                <w:szCs w:val="20"/>
                <w:color w:val="auto"/>
              </w:rPr>
            </w:pPr>
            <w:r>
              <w:rPr>
                <w:rFonts w:ascii="Calibri" w:cs="Calibri" w:eastAsia="Calibri" w:hAnsi="Calibri"/>
                <w:sz w:val="18"/>
                <w:szCs w:val="18"/>
                <w:color w:val="auto"/>
              </w:rPr>
              <w:t>Adelia</w:t>
            </w:r>
          </w:p>
        </w:tc>
        <w:tc>
          <w:tcPr>
            <w:tcW w:w="3480" w:type="dxa"/>
            <w:vAlign w:val="bottom"/>
          </w:tcPr>
          <w:p>
            <w:pPr>
              <w:ind w:left="1140"/>
              <w:spacing w:after="0" w:line="215" w:lineRule="exact"/>
              <w:rPr>
                <w:sz w:val="20"/>
                <w:szCs w:val="20"/>
                <w:color w:val="auto"/>
              </w:rPr>
            </w:pPr>
            <w:r>
              <w:rPr>
                <w:rFonts w:ascii="Calibri" w:cs="Calibri" w:eastAsia="Calibri" w:hAnsi="Calibri"/>
                <w:sz w:val="18"/>
                <w:szCs w:val="18"/>
                <w:color w:val="auto"/>
              </w:rPr>
              <w:t>U.S. dollars</w:t>
            </w:r>
          </w:p>
        </w:tc>
        <w:tc>
          <w:tcPr>
            <w:tcW w:w="4620" w:type="dxa"/>
            <w:vAlign w:val="bottom"/>
          </w:tcPr>
          <w:p>
            <w:pPr>
              <w:ind w:left="1140"/>
              <w:spacing w:after="0" w:line="215" w:lineRule="exact"/>
              <w:rPr>
                <w:sz w:val="20"/>
                <w:szCs w:val="20"/>
                <w:color w:val="auto"/>
              </w:rPr>
            </w:pPr>
            <w:r>
              <w:rPr>
                <w:rFonts w:ascii="Calibri" w:cs="Calibri" w:eastAsia="Calibri" w:hAnsi="Calibri"/>
                <w:sz w:val="18"/>
                <w:szCs w:val="18"/>
                <w:color w:val="auto"/>
              </w:rPr>
              <w:t>100%</w:t>
            </w:r>
          </w:p>
        </w:tc>
      </w:tr>
      <w:tr>
        <w:trPr>
          <w:trHeight w:val="210"/>
        </w:trPr>
        <w:tc>
          <w:tcPr>
            <w:tcW w:w="2360" w:type="dxa"/>
            <w:vAlign w:val="bottom"/>
          </w:tcPr>
          <w:p>
            <w:pPr>
              <w:ind w:left="20"/>
              <w:spacing w:after="0" w:line="210" w:lineRule="exact"/>
              <w:rPr>
                <w:sz w:val="20"/>
                <w:szCs w:val="20"/>
                <w:color w:val="auto"/>
              </w:rPr>
            </w:pPr>
            <w:r>
              <w:rPr>
                <w:rFonts w:ascii="Calibri" w:cs="Calibri" w:eastAsia="Calibri" w:hAnsi="Calibri"/>
                <w:sz w:val="18"/>
                <w:szCs w:val="18"/>
                <w:color w:val="auto"/>
              </w:rPr>
              <w:t>Cybin IRL Limited</w:t>
            </w:r>
          </w:p>
        </w:tc>
        <w:tc>
          <w:tcPr>
            <w:tcW w:w="3480" w:type="dxa"/>
            <w:vAlign w:val="bottom"/>
          </w:tcPr>
          <w:p>
            <w:pPr>
              <w:ind w:left="1140"/>
              <w:spacing w:after="0" w:line="210" w:lineRule="exact"/>
              <w:rPr>
                <w:sz w:val="20"/>
                <w:szCs w:val="20"/>
                <w:color w:val="auto"/>
              </w:rPr>
            </w:pPr>
            <w:r>
              <w:rPr>
                <w:rFonts w:ascii="Calibri" w:cs="Calibri" w:eastAsia="Calibri" w:hAnsi="Calibri"/>
                <w:sz w:val="18"/>
                <w:szCs w:val="18"/>
                <w:color w:val="auto"/>
              </w:rPr>
              <w:t>U.S. dollars</w:t>
            </w:r>
          </w:p>
        </w:tc>
        <w:tc>
          <w:tcPr>
            <w:tcW w:w="4620" w:type="dxa"/>
            <w:vAlign w:val="bottom"/>
          </w:tcPr>
          <w:p>
            <w:pPr>
              <w:ind w:left="1140"/>
              <w:spacing w:after="0" w:line="210" w:lineRule="exact"/>
              <w:rPr>
                <w:sz w:val="20"/>
                <w:szCs w:val="20"/>
                <w:color w:val="auto"/>
              </w:rPr>
            </w:pPr>
            <w:r>
              <w:rPr>
                <w:rFonts w:ascii="Calibri" w:cs="Calibri" w:eastAsia="Calibri" w:hAnsi="Calibri"/>
                <w:sz w:val="18"/>
                <w:szCs w:val="18"/>
                <w:color w:val="auto"/>
              </w:rPr>
              <w:t>100%</w:t>
            </w:r>
          </w:p>
        </w:tc>
      </w:tr>
    </w:tbl>
    <w:p>
      <w:pPr>
        <w:ind w:left="10800"/>
        <w:spacing w:after="0" w:line="209" w:lineRule="auto"/>
        <w:rPr>
          <w:sz w:val="20"/>
          <w:szCs w:val="20"/>
          <w:color w:val="auto"/>
        </w:rPr>
      </w:pPr>
      <w:r>
        <w:rPr>
          <w:rFonts w:ascii="Calibri" w:cs="Calibri" w:eastAsia="Calibri" w:hAnsi="Calibri"/>
          <w:sz w:val="18"/>
          <w:szCs w:val="18"/>
          <w:color w:val="auto"/>
          <w:vertAlign w:val="superscript"/>
        </w:rPr>
        <w:t>1</w:t>
      </w:r>
      <w:r>
        <w:rPr>
          <w:rFonts w:ascii="Calibri" w:cs="Calibri" w:eastAsia="Calibri" w:hAnsi="Calibri"/>
          <w:sz w:val="14"/>
          <w:szCs w:val="14"/>
          <w:color w:val="auto"/>
        </w:rPr>
        <w:t xml:space="preserve"> For</w:t>
      </w:r>
    </w:p>
    <w:p>
      <w:pPr>
        <w:ind w:left="340"/>
        <w:spacing w:after="0" w:line="199" w:lineRule="auto"/>
        <w:rPr>
          <w:sz w:val="20"/>
          <w:szCs w:val="20"/>
          <w:color w:val="auto"/>
        </w:rPr>
      </w:pPr>
      <w:r>
        <w:rPr>
          <w:rFonts w:ascii="Calibri" w:cs="Calibri" w:eastAsia="Calibri" w:hAnsi="Calibri"/>
          <w:sz w:val="14"/>
          <w:szCs w:val="14"/>
          <w:color w:val="auto"/>
        </w:rPr>
        <w:t>accountng purposes, Cybin US is a wholly-owned subsidiary of Cybin. Certain Former Adelia Shareholders hold Class B Shares in Cybin US (see note 4).</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u w:val="single" w:color="auto"/>
          <w:color w:val="auto"/>
        </w:rPr>
        <w:t>Basis of consolidaton</w:t>
      </w:r>
    </w:p>
    <w:p>
      <w:pPr>
        <w:spacing w:after="0" w:line="217" w:lineRule="exact"/>
        <w:rPr>
          <w:sz w:val="20"/>
          <w:szCs w:val="20"/>
          <w:color w:val="auto"/>
        </w:rPr>
      </w:pPr>
    </w:p>
    <w:p>
      <w:pPr>
        <w:jc w:val="both"/>
        <w:ind w:left="340"/>
        <w:spacing w:after="0" w:line="225" w:lineRule="auto"/>
        <w:rPr>
          <w:sz w:val="20"/>
          <w:szCs w:val="20"/>
          <w:color w:val="auto"/>
        </w:rPr>
      </w:pPr>
      <w:r>
        <w:rPr>
          <w:rFonts w:ascii="Calibri" w:cs="Calibri" w:eastAsia="Calibri" w:hAnsi="Calibri"/>
          <w:sz w:val="18"/>
          <w:szCs w:val="18"/>
          <w:color w:val="auto"/>
        </w:rPr>
        <w:t>The Company consolidates enttes which it controls. Control exists when the Company has the power, directly and indirectly to govern the fnancial and operatng policies of an entty and be exposed to the variable returns from its actvites. The fnancial statements of the wholly owned subsidiaries are included in the consolidated fnancial statements from the date that control commences untl the date that control ceases.</w:t>
      </w:r>
    </w:p>
    <w:p>
      <w:pPr>
        <w:spacing w:after="0" w:line="233" w:lineRule="exact"/>
        <w:rPr>
          <w:sz w:val="20"/>
          <w:szCs w:val="20"/>
          <w:color w:val="auto"/>
        </w:rPr>
      </w:pPr>
    </w:p>
    <w:p>
      <w:pPr>
        <w:jc w:val="both"/>
        <w:ind w:left="340"/>
        <w:spacing w:after="0" w:line="227" w:lineRule="auto"/>
        <w:rPr>
          <w:sz w:val="20"/>
          <w:szCs w:val="20"/>
          <w:color w:val="auto"/>
        </w:rPr>
      </w:pPr>
      <w:r>
        <w:rPr>
          <w:rFonts w:ascii="Calibri" w:cs="Calibri" w:eastAsia="Calibri" w:hAnsi="Calibri"/>
          <w:sz w:val="18"/>
          <w:szCs w:val="18"/>
          <w:color w:val="auto"/>
        </w:rPr>
        <w:t>Intercompany balances, and any unrealized gains and losses or income and expenses arising from transactons with controlled enttes are eliminated to the extent of the Company’s interest in they entty.</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u w:val="single" w:color="auto"/>
          <w:color w:val="auto"/>
        </w:rPr>
        <w:t>Cash and cash equivalents</w:t>
      </w:r>
    </w:p>
    <w:p>
      <w:pPr>
        <w:spacing w:after="0" w:line="231" w:lineRule="exact"/>
        <w:rPr>
          <w:sz w:val="20"/>
          <w:szCs w:val="20"/>
          <w:color w:val="auto"/>
        </w:rPr>
      </w:pPr>
    </w:p>
    <w:p>
      <w:pPr>
        <w:jc w:val="both"/>
        <w:ind w:left="340"/>
        <w:spacing w:after="0" w:line="225" w:lineRule="auto"/>
        <w:rPr>
          <w:sz w:val="20"/>
          <w:szCs w:val="20"/>
          <w:color w:val="auto"/>
        </w:rPr>
      </w:pPr>
      <w:r>
        <w:rPr>
          <w:rFonts w:ascii="Calibri" w:cs="Calibri" w:eastAsia="Calibri" w:hAnsi="Calibri"/>
          <w:sz w:val="18"/>
          <w:szCs w:val="18"/>
          <w:color w:val="auto"/>
        </w:rPr>
        <w:t>Cash and cash equivalents are comprised of cash on deposit and highly liquid short-term interest-bearing variable rate investments with an original maturity of three months or less, or which are readily convertble into a known amount of cash with no signifcant changes. As at March 31, 2022 and March 31, 2021 there were no cash equivalents.</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Inventories</w:t>
      </w:r>
    </w:p>
    <w:p>
      <w:pPr>
        <w:spacing w:after="0" w:line="231" w:lineRule="exact"/>
        <w:rPr>
          <w:sz w:val="20"/>
          <w:szCs w:val="20"/>
          <w:color w:val="auto"/>
        </w:rPr>
      </w:pPr>
    </w:p>
    <w:p>
      <w:pPr>
        <w:jc w:val="both"/>
        <w:ind w:left="340" w:right="20"/>
        <w:spacing w:after="0" w:line="225" w:lineRule="auto"/>
        <w:rPr>
          <w:sz w:val="20"/>
          <w:szCs w:val="20"/>
          <w:color w:val="auto"/>
        </w:rPr>
      </w:pPr>
      <w:r>
        <w:rPr>
          <w:rFonts w:ascii="Calibri" w:cs="Calibri" w:eastAsia="Calibri" w:hAnsi="Calibri"/>
          <w:sz w:val="18"/>
          <w:szCs w:val="18"/>
          <w:color w:val="auto"/>
        </w:rPr>
        <w:t>Inventories include raw materials and fnished goods. Raw materials are stated at the lower of cost and replacement cost with cost determined on a frst-in, frst-out basis. The Company monitors the shelf life and expiry of fnished goods to determine when inventory values are not recoverable and a write-down is necessary.</w:t>
      </w:r>
    </w:p>
    <w:p>
      <w:pPr>
        <w:spacing w:after="0" w:line="214"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u w:val="single" w:color="auto"/>
          <w:color w:val="auto"/>
        </w:rPr>
        <w:t>Equipment</w:t>
      </w:r>
    </w:p>
    <w:p>
      <w:pPr>
        <w:spacing w:after="0" w:line="231" w:lineRule="exact"/>
        <w:rPr>
          <w:sz w:val="20"/>
          <w:szCs w:val="20"/>
          <w:color w:val="auto"/>
        </w:rPr>
      </w:pPr>
    </w:p>
    <w:p>
      <w:pPr>
        <w:jc w:val="both"/>
        <w:ind w:left="340"/>
        <w:spacing w:after="0" w:line="225" w:lineRule="auto"/>
        <w:rPr>
          <w:sz w:val="20"/>
          <w:szCs w:val="20"/>
          <w:color w:val="auto"/>
        </w:rPr>
      </w:pPr>
      <w:r>
        <w:rPr>
          <w:rFonts w:ascii="Calibri" w:cs="Calibri" w:eastAsia="Calibri" w:hAnsi="Calibri"/>
          <w:sz w:val="18"/>
          <w:szCs w:val="18"/>
          <w:color w:val="auto"/>
        </w:rPr>
        <w:t>Equipment consists of lab equipment and computer equipment and are recorded at cost less accumulated depreciaton and accumulated impairment losses. Cost includes all expenditures incurred to bring the asset to the locaton and conditon necessary for them to be operatng in the manner intended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Page 12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15" w:name="page16"/>
    <w:bookmarkEnd w:id="15"/>
    <w:p>
      <w:pPr>
        <w:spacing w:after="0"/>
        <w:rPr>
          <w:sz w:val="20"/>
          <w:szCs w:val="20"/>
          <w:color w:val="auto"/>
        </w:rPr>
      </w:pPr>
      <w:r>
        <w:rPr>
          <w:rFonts w:ascii="Calibri" w:cs="Calibri" w:eastAsia="Calibri" w:hAnsi="Calibri"/>
          <w:sz w:val="22"/>
          <w:szCs w:val="22"/>
          <w:b w:val="1"/>
          <w:bCs w:val="1"/>
          <w:color w:val="auto"/>
        </w:rPr>
        <w:t>CYBIN INC.</w:t>
      </w:r>
    </w:p>
    <w:p>
      <w:pPr>
        <w:spacing w:after="0" w:line="227"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31"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60"/>
        <w:spacing w:after="0" w:line="227" w:lineRule="auto"/>
        <w:rPr>
          <w:sz w:val="20"/>
          <w:szCs w:val="20"/>
          <w:color w:val="auto"/>
        </w:rPr>
      </w:pPr>
      <w:r>
        <w:rPr>
          <w:rFonts w:ascii="Calibri" w:cs="Calibri" w:eastAsia="Calibri" w:hAnsi="Calibri"/>
          <w:sz w:val="18"/>
          <w:szCs w:val="18"/>
          <w:color w:val="auto"/>
        </w:rPr>
        <w:t>Depreciaton is recognized based on the cost of the item less its estmated residual value, over its estmated useful life on a straight-line basis at the following rates:</w:t>
      </w:r>
    </w:p>
    <w:p>
      <w:pPr>
        <w:spacing w:after="0" w:line="252" w:lineRule="exact"/>
        <w:rPr>
          <w:sz w:val="20"/>
          <w:szCs w:val="20"/>
          <w:color w:val="auto"/>
        </w:rPr>
      </w:pPr>
    </w:p>
    <w:p>
      <w:pPr>
        <w:ind w:left="1220" w:hanging="320"/>
        <w:spacing w:after="0"/>
        <w:tabs>
          <w:tab w:leader="none" w:pos="1220" w:val="left"/>
        </w:tabs>
        <w:numPr>
          <w:ilvl w:val="0"/>
          <w:numId w:val="4"/>
        </w:numPr>
        <w:rPr>
          <w:rFonts w:ascii="Arial" w:cs="Arial" w:eastAsia="Arial" w:hAnsi="Arial"/>
          <w:sz w:val="20"/>
          <w:szCs w:val="20"/>
          <w:color w:val="auto"/>
        </w:rPr>
      </w:pPr>
      <w:r>
        <w:rPr>
          <w:rFonts w:ascii="Calibri" w:cs="Calibri" w:eastAsia="Calibri" w:hAnsi="Calibri"/>
          <w:sz w:val="18"/>
          <w:szCs w:val="18"/>
          <w:color w:val="auto"/>
        </w:rPr>
        <w:t>Lab equipment – 5 years</w:t>
      </w:r>
    </w:p>
    <w:p>
      <w:pPr>
        <w:spacing w:after="0" w:line="20" w:lineRule="exact"/>
        <w:rPr>
          <w:rFonts w:ascii="Arial" w:cs="Arial" w:eastAsia="Arial" w:hAnsi="Arial"/>
          <w:sz w:val="20"/>
          <w:szCs w:val="20"/>
          <w:color w:val="auto"/>
        </w:rPr>
      </w:pPr>
    </w:p>
    <w:p>
      <w:pPr>
        <w:ind w:left="1220" w:hanging="320"/>
        <w:spacing w:after="0" w:line="226" w:lineRule="auto"/>
        <w:tabs>
          <w:tab w:leader="none" w:pos="1220" w:val="left"/>
        </w:tabs>
        <w:numPr>
          <w:ilvl w:val="0"/>
          <w:numId w:val="4"/>
        </w:numPr>
        <w:rPr>
          <w:rFonts w:ascii="Arial" w:cs="Arial" w:eastAsia="Arial" w:hAnsi="Arial"/>
          <w:sz w:val="20"/>
          <w:szCs w:val="20"/>
          <w:color w:val="auto"/>
        </w:rPr>
      </w:pPr>
      <w:r>
        <w:rPr>
          <w:rFonts w:ascii="Calibri" w:cs="Calibri" w:eastAsia="Calibri" w:hAnsi="Calibri"/>
          <w:sz w:val="18"/>
          <w:szCs w:val="18"/>
          <w:color w:val="auto"/>
        </w:rPr>
        <w:t>Computer equipment – 3 years</w:t>
      </w:r>
    </w:p>
    <w:p>
      <w:pPr>
        <w:spacing w:after="0" w:line="227"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An asset’s residual life, useful life and depicton method are reviewed, and adjusted if appropriate on an annual basis.</w:t>
      </w:r>
    </w:p>
    <w:p>
      <w:pPr>
        <w:spacing w:after="0" w:line="231" w:lineRule="exact"/>
        <w:rPr>
          <w:sz w:val="20"/>
          <w:szCs w:val="20"/>
          <w:color w:val="auto"/>
        </w:rPr>
      </w:pPr>
    </w:p>
    <w:p>
      <w:pPr>
        <w:jc w:val="both"/>
        <w:ind w:left="260"/>
        <w:spacing w:after="0" w:line="220" w:lineRule="auto"/>
        <w:rPr>
          <w:sz w:val="20"/>
          <w:szCs w:val="20"/>
          <w:color w:val="auto"/>
        </w:rPr>
      </w:pPr>
      <w:r>
        <w:rPr>
          <w:rFonts w:ascii="Calibri" w:cs="Calibri" w:eastAsia="Calibri" w:hAnsi="Calibri"/>
          <w:sz w:val="18"/>
          <w:szCs w:val="18"/>
          <w:color w:val="auto"/>
        </w:rPr>
        <w:t>An item of equipment and any signifcant part initally recognized is derecognized upon disposal or when no future economic benefts are expected from its use. Any gain or loss arising on derecogniton of the asset (calculated as the diference between the net disposal proceeds and the carrying amount of the asset) is included in the statement of loss and comprehensive loss when the asset is derecognized. The assets’ residual values, useful lives and methods of depreciaton are reviewed at each reportng date and adjusted prospectvely if appropriate.</w:t>
      </w:r>
    </w:p>
    <w:p>
      <w:pPr>
        <w:spacing w:after="0" w:line="22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u w:val="single" w:color="auto"/>
          <w:color w:val="auto"/>
        </w:rPr>
        <w:t>Intangible Assets</w:t>
      </w:r>
    </w:p>
    <w:p>
      <w:pPr>
        <w:spacing w:after="0" w:line="231" w:lineRule="exact"/>
        <w:rPr>
          <w:sz w:val="20"/>
          <w:szCs w:val="20"/>
          <w:color w:val="auto"/>
        </w:rPr>
      </w:pPr>
    </w:p>
    <w:p>
      <w:pPr>
        <w:jc w:val="both"/>
        <w:ind w:left="260"/>
        <w:spacing w:after="0" w:line="223" w:lineRule="auto"/>
        <w:rPr>
          <w:sz w:val="20"/>
          <w:szCs w:val="20"/>
          <w:color w:val="auto"/>
        </w:rPr>
      </w:pPr>
      <w:r>
        <w:rPr>
          <w:rFonts w:ascii="Calibri" w:cs="Calibri" w:eastAsia="Calibri" w:hAnsi="Calibri"/>
          <w:sz w:val="18"/>
          <w:szCs w:val="18"/>
          <w:color w:val="auto"/>
        </w:rPr>
        <w:t>Intangible assets include expenditures related to obtaining patents and sofware related items. The amortzaton of sofware related items begins when the sofware is in use and will be amortzed on a straight-line basis over a period of 3 years. The amortzaton of patent costs commences when the associated products are available for commercial sale and is amortzed on a straight-line basis over its respectve legal lives or economic life, if shorter. Patents have an estmated useful life of 17 years. Amortzaton methods, useful lives, and residual values are reviewed at each reportng date and adjusted if appropriate. Expenditures on research actvites, undertaken with the prospect of gaining new scientfc or technical knowledge and understanding, are recognized in operatons as incurred. The amortzaton of sofware commences when the sofware is in use and amortzed on a straight-line basis over its useful life.</w:t>
      </w:r>
    </w:p>
    <w:p>
      <w:pPr>
        <w:spacing w:after="0" w:line="231" w:lineRule="exact"/>
        <w:rPr>
          <w:sz w:val="20"/>
          <w:szCs w:val="20"/>
          <w:color w:val="auto"/>
        </w:rPr>
      </w:pPr>
    </w:p>
    <w:p>
      <w:pPr>
        <w:jc w:val="both"/>
        <w:ind w:left="260"/>
        <w:spacing w:after="0" w:line="220" w:lineRule="auto"/>
        <w:rPr>
          <w:sz w:val="20"/>
          <w:szCs w:val="20"/>
          <w:color w:val="auto"/>
        </w:rPr>
      </w:pPr>
      <w:r>
        <w:rPr>
          <w:rFonts w:ascii="Calibri" w:cs="Calibri" w:eastAsia="Calibri" w:hAnsi="Calibri"/>
          <w:sz w:val="18"/>
          <w:szCs w:val="18"/>
          <w:color w:val="auto"/>
        </w:rPr>
        <w:t>Development actvites involve a plan or design for the producton of new, or substantally improved, products or processes related to the Company’s development of psychedelic-based therapeutcs. Development expenditures are capitalized only if the relevant IFRS criteria are met. Capitalized development expenditures are amortzed from the beginning of commercial producton and sales and are amortzed on a straight-line basis over the remaining useful life of the related patents. Development expenditures, in relaton to the Company’s psychedelic-based therapeutcs, have not satsfed the above criteria and are recognized in operatons as incurred.</w:t>
      </w:r>
    </w:p>
    <w:p>
      <w:pPr>
        <w:spacing w:after="0" w:line="23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u w:val="single" w:color="auto"/>
          <w:color w:val="auto"/>
        </w:rPr>
        <w:t>Goodwill</w:t>
      </w:r>
    </w:p>
    <w:p>
      <w:pPr>
        <w:spacing w:after="0" w:line="231" w:lineRule="exact"/>
        <w:rPr>
          <w:sz w:val="20"/>
          <w:szCs w:val="20"/>
          <w:color w:val="auto"/>
        </w:rPr>
      </w:pPr>
    </w:p>
    <w:p>
      <w:pPr>
        <w:jc w:val="both"/>
        <w:ind w:left="260"/>
        <w:spacing w:after="0" w:line="222" w:lineRule="auto"/>
        <w:rPr>
          <w:sz w:val="20"/>
          <w:szCs w:val="20"/>
          <w:color w:val="auto"/>
        </w:rPr>
      </w:pPr>
      <w:r>
        <w:rPr>
          <w:rFonts w:ascii="Calibri" w:cs="Calibri" w:eastAsia="Calibri" w:hAnsi="Calibri"/>
          <w:sz w:val="18"/>
          <w:szCs w:val="18"/>
          <w:color w:val="auto"/>
        </w:rPr>
        <w:t>Goodwill represents the excess of the consideraton transferred for the acquisiton of an entty over the fair value of the net identfable assets. Goodwill is initally measured at cost, and subsequently recorded at cost less any accumulated impairment losses. For the purpose of impairment testng, goodwill acquired in a business combinaton is, from the acquisiton date, allocated to each of the Company’s cash-generatng units (“CGUs”) that are expected to beneft from the combinaton, irrespectve of whether other assets or liabilites of the acquiree are assigned to those CGUs. The Company tests for impairment annually, or when indicatons of impairment exist. Impairment is determined for goodwill by assessing if the carrying value of CGUs, including goodwill, exceeds its recoverable amount determined as the greater of the estmated fair value less costs of disposal and the value in use. Impairment losses recognized in respect of the CGUs are frst allocated to the carrying value of goodwill and any excess is allocated to the carrying amount of assets in the CGUs. Any goodwill impairment is recorded in the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13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16" w:name="page17"/>
    <w:bookmarkEnd w:id="16"/>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u w:val="single" w:color="auto"/>
          <w:color w:val="auto"/>
        </w:rPr>
        <w:t>Impairment of long-lived assets</w:t>
      </w:r>
    </w:p>
    <w:p>
      <w:pPr>
        <w:spacing w:after="0" w:line="231" w:lineRule="exact"/>
        <w:rPr>
          <w:sz w:val="20"/>
          <w:szCs w:val="20"/>
          <w:color w:val="auto"/>
        </w:rPr>
      </w:pPr>
    </w:p>
    <w:p>
      <w:pPr>
        <w:jc w:val="both"/>
        <w:ind w:left="260"/>
        <w:spacing w:after="0" w:line="223" w:lineRule="auto"/>
        <w:rPr>
          <w:sz w:val="20"/>
          <w:szCs w:val="20"/>
          <w:color w:val="auto"/>
        </w:rPr>
      </w:pPr>
      <w:r>
        <w:rPr>
          <w:rFonts w:ascii="Calibri" w:cs="Calibri" w:eastAsia="Calibri" w:hAnsi="Calibri"/>
          <w:sz w:val="18"/>
          <w:szCs w:val="18"/>
          <w:color w:val="auto"/>
        </w:rPr>
        <w:t>Long-lived assets, including equipment and intangible assets, are reviewed for impairment at each statement of fnancial positon date or whenever events or changes in circumstances indicate that the carrying amount of the asset exceeds its recoverable amount. Where the carrying value of an asset exceeds its recoverable amount, which is the higher of value in use and fair value less costs to sell, the asset is writen down accordingly. Where it is not possible to estmate the recoverable amount of an individual asset, the impairment test is carried out on the asset’s cash-generatng unit, which is the lowest group of assets in which the asset belongs for which there are separate cash infows that are largely independent of the cash infows from other assets. An impairment loss is charged to operatons.</w:t>
      </w:r>
    </w:p>
    <w:p>
      <w:pPr>
        <w:spacing w:after="0" w:line="215"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u w:val="single" w:color="auto"/>
          <w:color w:val="auto"/>
        </w:rPr>
        <w:t>Financial instruments</w:t>
      </w:r>
    </w:p>
    <w:p>
      <w:pPr>
        <w:spacing w:after="0" w:line="226"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Recogniton and inital measurement</w:t>
      </w:r>
    </w:p>
    <w:p>
      <w:pPr>
        <w:spacing w:after="0" w:line="231"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The Company initally recognizes fnancial instruments on the trade date, which is the date on which the Company becomes a party to the contractual provisions of the instrument. A fnancial asset or fnancial liability is measured initally at fair value plus/minus, for an item not at fair value through proft or loss (“FVTPL”), transacton costs that are directly atributable to its acquisiton or use.</w:t>
      </w:r>
    </w:p>
    <w:p>
      <w:pPr>
        <w:spacing w:after="0" w:line="22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Classifcaton</w:t>
      </w:r>
    </w:p>
    <w:p>
      <w:pPr>
        <w:spacing w:after="0" w:line="226"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Financial asset</w:t>
      </w:r>
    </w:p>
    <w:p>
      <w:pPr>
        <w:spacing w:after="0" w:line="226"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On inital recogniton, a fnancial asset is classifed as measured at: amortzed cost, fair value through other comprehensive income (“FVOCI”), or FVTPL.</w:t>
      </w:r>
    </w:p>
    <w:p>
      <w:pPr>
        <w:spacing w:after="0" w:line="226"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A fnancial asset is measured at amortzed cost if it meets both of the following conditons and is not designated as at FVTPL:</w:t>
      </w:r>
    </w:p>
    <w:p>
      <w:pPr>
        <w:spacing w:after="0" w:line="250" w:lineRule="exact"/>
        <w:rPr>
          <w:sz w:val="20"/>
          <w:szCs w:val="20"/>
          <w:color w:val="auto"/>
        </w:rPr>
      </w:pPr>
    </w:p>
    <w:p>
      <w:pPr>
        <w:ind w:left="880" w:hanging="304"/>
        <w:spacing w:after="0"/>
        <w:tabs>
          <w:tab w:leader="none" w:pos="880" w:val="left"/>
        </w:tabs>
        <w:numPr>
          <w:ilvl w:val="0"/>
          <w:numId w:val="5"/>
        </w:numPr>
        <w:rPr>
          <w:rFonts w:ascii="Arial" w:cs="Arial" w:eastAsia="Arial" w:hAnsi="Arial"/>
          <w:sz w:val="20"/>
          <w:szCs w:val="20"/>
          <w:color w:val="auto"/>
        </w:rPr>
      </w:pPr>
      <w:r>
        <w:rPr>
          <w:rFonts w:ascii="Calibri" w:cs="Calibri" w:eastAsia="Calibri" w:hAnsi="Calibri"/>
          <w:sz w:val="18"/>
          <w:szCs w:val="18"/>
          <w:color w:val="auto"/>
        </w:rPr>
        <w:t>The asset is held within a business model whose objectve is to hold assets to collect contractual cash fows; and</w:t>
      </w:r>
    </w:p>
    <w:p>
      <w:pPr>
        <w:spacing w:after="0" w:line="28" w:lineRule="exact"/>
        <w:rPr>
          <w:rFonts w:ascii="Arial" w:cs="Arial" w:eastAsia="Arial" w:hAnsi="Arial"/>
          <w:sz w:val="20"/>
          <w:szCs w:val="20"/>
          <w:color w:val="auto"/>
        </w:rPr>
      </w:pPr>
    </w:p>
    <w:p>
      <w:pPr>
        <w:ind w:left="900" w:hanging="324"/>
        <w:spacing w:after="0" w:line="219" w:lineRule="auto"/>
        <w:tabs>
          <w:tab w:leader="none" w:pos="888" w:val="left"/>
        </w:tabs>
        <w:numPr>
          <w:ilvl w:val="0"/>
          <w:numId w:val="5"/>
        </w:numPr>
        <w:rPr>
          <w:rFonts w:ascii="Arial" w:cs="Arial" w:eastAsia="Arial" w:hAnsi="Arial"/>
          <w:sz w:val="20"/>
          <w:szCs w:val="20"/>
          <w:color w:val="auto"/>
        </w:rPr>
      </w:pPr>
      <w:r>
        <w:rPr>
          <w:rFonts w:ascii="Calibri" w:cs="Calibri" w:eastAsia="Calibri" w:hAnsi="Calibri"/>
          <w:sz w:val="18"/>
          <w:szCs w:val="18"/>
          <w:color w:val="auto"/>
        </w:rPr>
        <w:t>The contractual terms of the fnancial asset give rise on specifed dates to cash fows that are solely payments of principal and interest on the principal amount outstanding.</w:t>
      </w:r>
    </w:p>
    <w:p>
      <w:pPr>
        <w:spacing w:after="0" w:line="227"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The Company currently does not measure any of its fnancial assets at amortzed cost.</w:t>
      </w:r>
    </w:p>
    <w:p>
      <w:pPr>
        <w:spacing w:after="0" w:line="212"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A debt instrument is measured at FVOCI only if it meets both of the following conditons and is not designated as at FVTPL:</w:t>
      </w:r>
    </w:p>
    <w:p>
      <w:pPr>
        <w:spacing w:after="0" w:line="250" w:lineRule="exact"/>
        <w:rPr>
          <w:sz w:val="20"/>
          <w:szCs w:val="20"/>
          <w:color w:val="auto"/>
        </w:rPr>
      </w:pPr>
    </w:p>
    <w:p>
      <w:pPr>
        <w:ind w:left="880" w:hanging="304"/>
        <w:spacing w:after="0"/>
        <w:tabs>
          <w:tab w:leader="none" w:pos="880" w:val="left"/>
        </w:tabs>
        <w:numPr>
          <w:ilvl w:val="0"/>
          <w:numId w:val="6"/>
        </w:numPr>
        <w:rPr>
          <w:rFonts w:ascii="Arial" w:cs="Arial" w:eastAsia="Arial" w:hAnsi="Arial"/>
          <w:sz w:val="20"/>
          <w:szCs w:val="20"/>
          <w:color w:val="auto"/>
        </w:rPr>
      </w:pPr>
      <w:r>
        <w:rPr>
          <w:rFonts w:ascii="Calibri" w:cs="Calibri" w:eastAsia="Calibri" w:hAnsi="Calibri"/>
          <w:sz w:val="18"/>
          <w:szCs w:val="18"/>
          <w:color w:val="auto"/>
        </w:rPr>
        <w:t>The asset is held within a business model whose objectve is achieved by both collectng contractual cash fows and selling fnancial assets; and</w:t>
      </w:r>
    </w:p>
    <w:p>
      <w:pPr>
        <w:spacing w:after="0" w:line="28" w:lineRule="exact"/>
        <w:rPr>
          <w:rFonts w:ascii="Arial" w:cs="Arial" w:eastAsia="Arial" w:hAnsi="Arial"/>
          <w:sz w:val="20"/>
          <w:szCs w:val="20"/>
          <w:color w:val="auto"/>
        </w:rPr>
      </w:pPr>
    </w:p>
    <w:p>
      <w:pPr>
        <w:ind w:left="900" w:hanging="324"/>
        <w:spacing w:after="0" w:line="219" w:lineRule="auto"/>
        <w:tabs>
          <w:tab w:leader="none" w:pos="888" w:val="left"/>
        </w:tabs>
        <w:numPr>
          <w:ilvl w:val="0"/>
          <w:numId w:val="6"/>
        </w:numPr>
        <w:rPr>
          <w:rFonts w:ascii="Arial" w:cs="Arial" w:eastAsia="Arial" w:hAnsi="Arial"/>
          <w:sz w:val="20"/>
          <w:szCs w:val="20"/>
          <w:color w:val="auto"/>
        </w:rPr>
      </w:pPr>
      <w:r>
        <w:rPr>
          <w:rFonts w:ascii="Calibri" w:cs="Calibri" w:eastAsia="Calibri" w:hAnsi="Calibri"/>
          <w:sz w:val="18"/>
          <w:szCs w:val="18"/>
          <w:color w:val="auto"/>
        </w:rPr>
        <w:t>The contractual terms of the fnancial asset give rise on specifed dates to cash fows that are solely payments of principal and interest on the principal amount outstanding.</w:t>
      </w:r>
    </w:p>
    <w:p>
      <w:pPr>
        <w:spacing w:after="0" w:line="227"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On inital recogniton of an equity investment that is not held for trading, the Company may irrevocably elect to present subsequent changes in FVOCI.</w:t>
      </w:r>
    </w:p>
    <w:p>
      <w:pPr>
        <w:ind w:left="260"/>
        <w:spacing w:after="0" w:line="221" w:lineRule="auto"/>
        <w:rPr>
          <w:sz w:val="20"/>
          <w:szCs w:val="20"/>
          <w:color w:val="auto"/>
        </w:rPr>
      </w:pPr>
      <w:r>
        <w:rPr>
          <w:rFonts w:ascii="Calibri" w:cs="Calibri" w:eastAsia="Calibri" w:hAnsi="Calibri"/>
          <w:sz w:val="18"/>
          <w:szCs w:val="18"/>
          <w:color w:val="auto"/>
        </w:rPr>
        <w:t>This electon is made on an investment-by-investment basis. The Company has not elected to present any assets as FVOCI.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14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17" w:name="page18"/>
    <w:bookmarkEnd w:id="17"/>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7"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9"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Cash is measured at FVTPL.</w:t>
      </w:r>
    </w:p>
    <w:p>
      <w:pPr>
        <w:spacing w:after="0" w:line="231" w:lineRule="exact"/>
        <w:rPr>
          <w:sz w:val="20"/>
          <w:szCs w:val="20"/>
          <w:color w:val="auto"/>
        </w:rPr>
      </w:pPr>
    </w:p>
    <w:p>
      <w:pPr>
        <w:ind w:left="260"/>
        <w:spacing w:after="0" w:line="227" w:lineRule="auto"/>
        <w:rPr>
          <w:sz w:val="20"/>
          <w:szCs w:val="20"/>
          <w:color w:val="auto"/>
        </w:rPr>
      </w:pPr>
      <w:r>
        <w:rPr>
          <w:rFonts w:ascii="Calibri" w:cs="Calibri" w:eastAsia="Calibri" w:hAnsi="Calibri"/>
          <w:sz w:val="18"/>
          <w:szCs w:val="18"/>
          <w:color w:val="auto"/>
        </w:rPr>
        <w:t>In additon, on inital recogniton, the Company may irrevocably designate a fnancial asset that otherwise meets the requirements to be measured at amortzed cost as FVOCI or FVTPL if doing so eliminates or signifcantly reduces an accountng mismatch that would otherwise arise.</w:t>
      </w:r>
    </w:p>
    <w:p>
      <w:pPr>
        <w:spacing w:after="0" w:line="22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Business model assessment</w:t>
      </w:r>
    </w:p>
    <w:p>
      <w:pPr>
        <w:spacing w:after="0" w:line="231" w:lineRule="exact"/>
        <w:rPr>
          <w:sz w:val="20"/>
          <w:szCs w:val="20"/>
          <w:color w:val="auto"/>
        </w:rPr>
      </w:pPr>
    </w:p>
    <w:p>
      <w:pPr>
        <w:ind w:left="260" w:right="20"/>
        <w:spacing w:after="0" w:line="227" w:lineRule="auto"/>
        <w:rPr>
          <w:sz w:val="20"/>
          <w:szCs w:val="20"/>
          <w:color w:val="auto"/>
        </w:rPr>
      </w:pPr>
      <w:r>
        <w:rPr>
          <w:rFonts w:ascii="Calibri" w:cs="Calibri" w:eastAsia="Calibri" w:hAnsi="Calibri"/>
          <w:sz w:val="18"/>
          <w:szCs w:val="18"/>
          <w:color w:val="auto"/>
        </w:rPr>
        <w:t>The Company makes an assessment of the objectve of a business model in which an asset is held at a portolio level because this best refects the way the business is managed and informaton is provided to management. The informaton considered includes:</w:t>
      </w:r>
    </w:p>
    <w:p>
      <w:pPr>
        <w:spacing w:after="0" w:line="273" w:lineRule="exact"/>
        <w:rPr>
          <w:sz w:val="20"/>
          <w:szCs w:val="20"/>
          <w:color w:val="auto"/>
        </w:rPr>
      </w:pPr>
    </w:p>
    <w:p>
      <w:pPr>
        <w:jc w:val="both"/>
        <w:ind w:left="900" w:hanging="324"/>
        <w:spacing w:after="0" w:line="215" w:lineRule="auto"/>
        <w:tabs>
          <w:tab w:leader="none" w:pos="888" w:val="left"/>
        </w:tabs>
        <w:numPr>
          <w:ilvl w:val="0"/>
          <w:numId w:val="7"/>
        </w:numPr>
        <w:rPr>
          <w:rFonts w:ascii="Arial" w:cs="Arial" w:eastAsia="Arial" w:hAnsi="Arial"/>
          <w:sz w:val="20"/>
          <w:szCs w:val="20"/>
          <w:color w:val="auto"/>
        </w:rPr>
      </w:pPr>
      <w:r>
        <w:rPr>
          <w:rFonts w:ascii="Calibri" w:cs="Calibri" w:eastAsia="Calibri" w:hAnsi="Calibri"/>
          <w:sz w:val="18"/>
          <w:szCs w:val="18"/>
          <w:color w:val="auto"/>
        </w:rPr>
        <w:t>The stated policies and objectves for the portolio and the operaton of those policies in practce. In partcular, whether management’s strategy focuses on earning contractual interest revenue, maintaining a partcular interest rate profle, matching the duraton of the fnancial assets to the duraton of the liabilites that are funding those assets or realizing cash fows through the sale of the assets;</w:t>
      </w:r>
    </w:p>
    <w:p>
      <w:pPr>
        <w:spacing w:after="0" w:line="8" w:lineRule="exact"/>
        <w:rPr>
          <w:rFonts w:ascii="Arial" w:cs="Arial" w:eastAsia="Arial" w:hAnsi="Arial"/>
          <w:sz w:val="20"/>
          <w:szCs w:val="20"/>
          <w:color w:val="auto"/>
        </w:rPr>
      </w:pPr>
    </w:p>
    <w:p>
      <w:pPr>
        <w:ind w:left="880" w:hanging="304"/>
        <w:spacing w:after="0"/>
        <w:tabs>
          <w:tab w:leader="none" w:pos="880" w:val="left"/>
        </w:tabs>
        <w:numPr>
          <w:ilvl w:val="0"/>
          <w:numId w:val="7"/>
        </w:numPr>
        <w:rPr>
          <w:rFonts w:ascii="Arial" w:cs="Arial" w:eastAsia="Arial" w:hAnsi="Arial"/>
          <w:sz w:val="20"/>
          <w:szCs w:val="20"/>
          <w:color w:val="auto"/>
        </w:rPr>
      </w:pPr>
      <w:r>
        <w:rPr>
          <w:rFonts w:ascii="Calibri" w:cs="Calibri" w:eastAsia="Calibri" w:hAnsi="Calibri"/>
          <w:sz w:val="18"/>
          <w:szCs w:val="18"/>
          <w:color w:val="auto"/>
        </w:rPr>
        <w:t>How the performance of the portolio is evaluated and reported to the Company’s management;</w:t>
      </w:r>
    </w:p>
    <w:p>
      <w:pPr>
        <w:spacing w:after="0" w:line="28" w:lineRule="exact"/>
        <w:rPr>
          <w:rFonts w:ascii="Arial" w:cs="Arial" w:eastAsia="Arial" w:hAnsi="Arial"/>
          <w:sz w:val="20"/>
          <w:szCs w:val="20"/>
          <w:color w:val="auto"/>
        </w:rPr>
      </w:pPr>
    </w:p>
    <w:p>
      <w:pPr>
        <w:ind w:left="900" w:hanging="324"/>
        <w:spacing w:after="0" w:line="219" w:lineRule="auto"/>
        <w:tabs>
          <w:tab w:leader="none" w:pos="888" w:val="left"/>
        </w:tabs>
        <w:numPr>
          <w:ilvl w:val="0"/>
          <w:numId w:val="7"/>
        </w:numPr>
        <w:rPr>
          <w:rFonts w:ascii="Arial" w:cs="Arial" w:eastAsia="Arial" w:hAnsi="Arial"/>
          <w:sz w:val="20"/>
          <w:szCs w:val="20"/>
          <w:color w:val="auto"/>
        </w:rPr>
      </w:pPr>
      <w:r>
        <w:rPr>
          <w:rFonts w:ascii="Calibri" w:cs="Calibri" w:eastAsia="Calibri" w:hAnsi="Calibri"/>
          <w:sz w:val="18"/>
          <w:szCs w:val="18"/>
          <w:color w:val="auto"/>
        </w:rPr>
        <w:t>The risks that afect the performance of the business model (and the fnancial assets held within that business model) and how those risks are managed;</w:t>
      </w:r>
    </w:p>
    <w:p>
      <w:pPr>
        <w:spacing w:after="0" w:line="29" w:lineRule="exact"/>
        <w:rPr>
          <w:rFonts w:ascii="Arial" w:cs="Arial" w:eastAsia="Arial" w:hAnsi="Arial"/>
          <w:sz w:val="20"/>
          <w:szCs w:val="20"/>
          <w:color w:val="auto"/>
        </w:rPr>
      </w:pPr>
    </w:p>
    <w:p>
      <w:pPr>
        <w:ind w:left="900" w:hanging="324"/>
        <w:spacing w:after="0" w:line="219" w:lineRule="auto"/>
        <w:tabs>
          <w:tab w:leader="none" w:pos="888" w:val="left"/>
        </w:tabs>
        <w:numPr>
          <w:ilvl w:val="0"/>
          <w:numId w:val="7"/>
        </w:numPr>
        <w:rPr>
          <w:rFonts w:ascii="Arial" w:cs="Arial" w:eastAsia="Arial" w:hAnsi="Arial"/>
          <w:sz w:val="20"/>
          <w:szCs w:val="20"/>
          <w:color w:val="auto"/>
        </w:rPr>
      </w:pPr>
      <w:r>
        <w:rPr>
          <w:rFonts w:ascii="Calibri" w:cs="Calibri" w:eastAsia="Calibri" w:hAnsi="Calibri"/>
          <w:sz w:val="18"/>
          <w:szCs w:val="18"/>
          <w:color w:val="auto"/>
        </w:rPr>
        <w:t>How managers of the business are compensated (e.g. whether compensaton is based on the fair value of the assets managed or the contractual cash fows collected); and</w:t>
      </w:r>
    </w:p>
    <w:p>
      <w:pPr>
        <w:spacing w:after="0" w:line="29" w:lineRule="exact"/>
        <w:rPr>
          <w:rFonts w:ascii="Arial" w:cs="Arial" w:eastAsia="Arial" w:hAnsi="Arial"/>
          <w:sz w:val="20"/>
          <w:szCs w:val="20"/>
          <w:color w:val="auto"/>
        </w:rPr>
      </w:pPr>
    </w:p>
    <w:p>
      <w:pPr>
        <w:jc w:val="both"/>
        <w:ind w:left="900" w:hanging="324"/>
        <w:spacing w:after="0" w:line="220" w:lineRule="auto"/>
        <w:tabs>
          <w:tab w:leader="none" w:pos="888" w:val="left"/>
        </w:tabs>
        <w:numPr>
          <w:ilvl w:val="0"/>
          <w:numId w:val="7"/>
        </w:numPr>
        <w:rPr>
          <w:rFonts w:ascii="Arial" w:cs="Arial" w:eastAsia="Arial" w:hAnsi="Arial"/>
          <w:sz w:val="20"/>
          <w:szCs w:val="20"/>
          <w:color w:val="auto"/>
        </w:rPr>
      </w:pPr>
      <w:r>
        <w:rPr>
          <w:rFonts w:ascii="Calibri" w:cs="Calibri" w:eastAsia="Calibri" w:hAnsi="Calibri"/>
          <w:sz w:val="18"/>
          <w:szCs w:val="18"/>
          <w:color w:val="auto"/>
        </w:rPr>
        <w:t>The frequency, volume and tming of sales in prior periods, the reasons for such sales and its expectaton about future sales actvity. However, informaton about sales actvity is not considered in isolaton, but as part of an overall assessment of the Company’s stated objectve for managing the fnancial asset is achieved and how cash fows are realized.</w:t>
      </w:r>
    </w:p>
    <w:p>
      <w:pPr>
        <w:spacing w:after="0" w:line="227"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Assessment whether contractual cash fows are solely payments of principal and interest</w:t>
      </w:r>
    </w:p>
    <w:p>
      <w:pPr>
        <w:spacing w:after="0" w:line="231" w:lineRule="exact"/>
        <w:rPr>
          <w:sz w:val="20"/>
          <w:szCs w:val="20"/>
          <w:color w:val="auto"/>
        </w:rPr>
      </w:pPr>
    </w:p>
    <w:p>
      <w:pPr>
        <w:jc w:val="both"/>
        <w:ind w:left="260"/>
        <w:spacing w:after="0" w:line="220" w:lineRule="auto"/>
        <w:rPr>
          <w:sz w:val="20"/>
          <w:szCs w:val="20"/>
          <w:color w:val="auto"/>
        </w:rPr>
      </w:pPr>
      <w:r>
        <w:rPr>
          <w:rFonts w:ascii="Calibri" w:cs="Calibri" w:eastAsia="Calibri" w:hAnsi="Calibri"/>
          <w:sz w:val="18"/>
          <w:szCs w:val="18"/>
          <w:color w:val="auto"/>
        </w:rPr>
        <w:t>For the purpose of this assessment, ‘principal’ is defned as the fair value of the fnancial asset on inital recogniton. ‘Interest’ is defned as consideraton for the tme value of money and for the credit risk associated with the principal amount outstanding during a partcular period of tme and for other basic lending risks and costs (e.g. liquidity risk and administratve costs), as well as proft margin.</w:t>
      </w:r>
    </w:p>
    <w:p>
      <w:pPr>
        <w:spacing w:after="0" w:line="233"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In assessing whether the contractual cash fows are solely payments of principal and interest, the Company considers the contractual terms of the instrument. This includes assessing whether the fnancial asset contains a contractual term that could change the tming or amount of the contractual cash fows such that it would not meet this conditon. In making the assessment, the Company considers:</w:t>
      </w:r>
    </w:p>
    <w:p>
      <w:pPr>
        <w:spacing w:after="0" w:line="252" w:lineRule="exact"/>
        <w:rPr>
          <w:sz w:val="20"/>
          <w:szCs w:val="20"/>
          <w:color w:val="auto"/>
        </w:rPr>
      </w:pPr>
    </w:p>
    <w:p>
      <w:pPr>
        <w:ind w:left="880" w:hanging="304"/>
        <w:spacing w:after="0"/>
        <w:tabs>
          <w:tab w:leader="none" w:pos="880" w:val="left"/>
        </w:tabs>
        <w:numPr>
          <w:ilvl w:val="0"/>
          <w:numId w:val="8"/>
        </w:numPr>
        <w:rPr>
          <w:rFonts w:ascii="Arial" w:cs="Arial" w:eastAsia="Arial" w:hAnsi="Arial"/>
          <w:sz w:val="20"/>
          <w:szCs w:val="20"/>
          <w:color w:val="auto"/>
        </w:rPr>
      </w:pPr>
      <w:r>
        <w:rPr>
          <w:rFonts w:ascii="Calibri" w:cs="Calibri" w:eastAsia="Calibri" w:hAnsi="Calibri"/>
          <w:sz w:val="18"/>
          <w:szCs w:val="18"/>
          <w:color w:val="auto"/>
        </w:rPr>
        <w:t>contngent events that would change the amount and tming of cash fows;</w:t>
      </w:r>
    </w:p>
    <w:p>
      <w:pPr>
        <w:spacing w:after="0" w:line="20" w:lineRule="exact"/>
        <w:rPr>
          <w:rFonts w:ascii="Arial" w:cs="Arial" w:eastAsia="Arial" w:hAnsi="Arial"/>
          <w:sz w:val="20"/>
          <w:szCs w:val="20"/>
          <w:color w:val="auto"/>
        </w:rPr>
      </w:pPr>
    </w:p>
    <w:p>
      <w:pPr>
        <w:ind w:left="880" w:hanging="304"/>
        <w:spacing w:after="0" w:line="226" w:lineRule="auto"/>
        <w:tabs>
          <w:tab w:leader="none" w:pos="880" w:val="left"/>
        </w:tabs>
        <w:numPr>
          <w:ilvl w:val="0"/>
          <w:numId w:val="8"/>
        </w:numPr>
        <w:rPr>
          <w:rFonts w:ascii="Arial" w:cs="Arial" w:eastAsia="Arial" w:hAnsi="Arial"/>
          <w:sz w:val="20"/>
          <w:szCs w:val="20"/>
          <w:color w:val="auto"/>
        </w:rPr>
      </w:pPr>
      <w:r>
        <w:rPr>
          <w:rFonts w:ascii="Calibri" w:cs="Calibri" w:eastAsia="Calibri" w:hAnsi="Calibri"/>
          <w:sz w:val="18"/>
          <w:szCs w:val="18"/>
          <w:color w:val="auto"/>
        </w:rPr>
        <w:t>leverage features;</w:t>
      </w:r>
    </w:p>
    <w:p>
      <w:pPr>
        <w:spacing w:after="0" w:line="20" w:lineRule="exact"/>
        <w:rPr>
          <w:rFonts w:ascii="Arial" w:cs="Arial" w:eastAsia="Arial" w:hAnsi="Arial"/>
          <w:sz w:val="20"/>
          <w:szCs w:val="20"/>
          <w:color w:val="auto"/>
        </w:rPr>
      </w:pPr>
    </w:p>
    <w:p>
      <w:pPr>
        <w:ind w:left="880" w:hanging="304"/>
        <w:spacing w:after="0" w:line="226" w:lineRule="auto"/>
        <w:tabs>
          <w:tab w:leader="none" w:pos="880" w:val="left"/>
        </w:tabs>
        <w:numPr>
          <w:ilvl w:val="0"/>
          <w:numId w:val="8"/>
        </w:numPr>
        <w:rPr>
          <w:rFonts w:ascii="Arial" w:cs="Arial" w:eastAsia="Arial" w:hAnsi="Arial"/>
          <w:sz w:val="20"/>
          <w:szCs w:val="20"/>
          <w:color w:val="auto"/>
        </w:rPr>
      </w:pPr>
      <w:r>
        <w:rPr>
          <w:rFonts w:ascii="Calibri" w:cs="Calibri" w:eastAsia="Calibri" w:hAnsi="Calibri"/>
          <w:sz w:val="18"/>
          <w:szCs w:val="18"/>
          <w:color w:val="auto"/>
        </w:rPr>
        <w:t>prepayment and extension terms;</w:t>
      </w:r>
    </w:p>
    <w:p>
      <w:pPr>
        <w:spacing w:after="0" w:line="20" w:lineRule="exact"/>
        <w:rPr>
          <w:rFonts w:ascii="Arial" w:cs="Arial" w:eastAsia="Arial" w:hAnsi="Arial"/>
          <w:sz w:val="20"/>
          <w:szCs w:val="20"/>
          <w:color w:val="auto"/>
        </w:rPr>
      </w:pPr>
    </w:p>
    <w:p>
      <w:pPr>
        <w:ind w:left="880" w:hanging="304"/>
        <w:spacing w:after="0" w:line="226" w:lineRule="auto"/>
        <w:tabs>
          <w:tab w:leader="none" w:pos="880" w:val="left"/>
        </w:tabs>
        <w:numPr>
          <w:ilvl w:val="0"/>
          <w:numId w:val="8"/>
        </w:numPr>
        <w:rPr>
          <w:rFonts w:ascii="Arial" w:cs="Arial" w:eastAsia="Arial" w:hAnsi="Arial"/>
          <w:sz w:val="20"/>
          <w:szCs w:val="20"/>
          <w:color w:val="auto"/>
        </w:rPr>
      </w:pPr>
      <w:r>
        <w:rPr>
          <w:rFonts w:ascii="Calibri" w:cs="Calibri" w:eastAsia="Calibri" w:hAnsi="Calibri"/>
          <w:sz w:val="18"/>
          <w:szCs w:val="18"/>
          <w:color w:val="auto"/>
        </w:rPr>
        <w:t>terms that limit the Company’s claim to cash fows from specifed assets (e.g. non-recourse asset arrangements); and</w:t>
      </w:r>
    </w:p>
    <w:p>
      <w:pPr>
        <w:spacing w:after="0" w:line="20" w:lineRule="exact"/>
        <w:rPr>
          <w:rFonts w:ascii="Arial" w:cs="Arial" w:eastAsia="Arial" w:hAnsi="Arial"/>
          <w:sz w:val="20"/>
          <w:szCs w:val="20"/>
          <w:color w:val="auto"/>
        </w:rPr>
      </w:pPr>
    </w:p>
    <w:p>
      <w:pPr>
        <w:ind w:left="880" w:hanging="304"/>
        <w:spacing w:after="0" w:line="226" w:lineRule="auto"/>
        <w:tabs>
          <w:tab w:leader="none" w:pos="880" w:val="left"/>
        </w:tabs>
        <w:numPr>
          <w:ilvl w:val="0"/>
          <w:numId w:val="8"/>
        </w:numPr>
        <w:rPr>
          <w:rFonts w:ascii="Arial" w:cs="Arial" w:eastAsia="Arial" w:hAnsi="Arial"/>
          <w:sz w:val="20"/>
          <w:szCs w:val="20"/>
          <w:color w:val="auto"/>
        </w:rPr>
      </w:pPr>
      <w:r>
        <w:rPr>
          <w:rFonts w:ascii="Calibri" w:cs="Calibri" w:eastAsia="Calibri" w:hAnsi="Calibri"/>
          <w:sz w:val="18"/>
          <w:szCs w:val="18"/>
          <w:color w:val="auto"/>
        </w:rPr>
        <w:t>features that modify consideraton of the tme value of money – e.g. periodical rest of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15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18" w:name="page19"/>
    <w:bookmarkEnd w:id="18"/>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7"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9"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Reclassifcatons</w:t>
      </w:r>
    </w:p>
    <w:p>
      <w:pPr>
        <w:spacing w:after="0" w:line="231"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The Company would reclassify a fnancial asset when the Company changes its business model for managing the fnancial asset. All reclassifcatons are recorded at fair value at the date of the reclassifcaton, which becomes the new carrying value.</w:t>
      </w:r>
    </w:p>
    <w:p>
      <w:pPr>
        <w:spacing w:after="0" w:line="232"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Financial assets are not reclassifed subsequent to their inital recogniton, except in the period afer the Company changes its business model for managing fnancial assets.</w:t>
      </w:r>
    </w:p>
    <w:p>
      <w:pPr>
        <w:spacing w:after="0" w:line="22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Financial liabilites</w:t>
      </w:r>
    </w:p>
    <w:p>
      <w:pPr>
        <w:spacing w:after="0" w:line="231" w:lineRule="exact"/>
        <w:rPr>
          <w:sz w:val="20"/>
          <w:szCs w:val="20"/>
          <w:color w:val="auto"/>
        </w:rPr>
      </w:pPr>
    </w:p>
    <w:p>
      <w:pPr>
        <w:jc w:val="both"/>
        <w:ind w:left="260"/>
        <w:spacing w:after="0" w:line="220" w:lineRule="auto"/>
        <w:rPr>
          <w:sz w:val="20"/>
          <w:szCs w:val="20"/>
          <w:color w:val="auto"/>
        </w:rPr>
      </w:pPr>
      <w:r>
        <w:rPr>
          <w:rFonts w:ascii="Calibri" w:cs="Calibri" w:eastAsia="Calibri" w:hAnsi="Calibri"/>
          <w:sz w:val="18"/>
          <w:szCs w:val="18"/>
          <w:color w:val="auto"/>
        </w:rPr>
        <w:t>The Company classifes its fnancial liabilites at amortzed cost or FVTPL. The Company currently measures accounts payable and accrued liabilites at amortzed cost and contngent consideraton payable at FVTPL.</w:t>
      </w:r>
    </w:p>
    <w:p>
      <w:pPr>
        <w:spacing w:after="0" w:line="22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auto"/>
        </w:rPr>
        <w:t>Derecogniton</w:t>
      </w:r>
    </w:p>
    <w:p>
      <w:pPr>
        <w:spacing w:after="0" w:line="226"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Financial assets</w:t>
      </w:r>
    </w:p>
    <w:p>
      <w:pPr>
        <w:spacing w:after="0" w:line="231" w:lineRule="exact"/>
        <w:rPr>
          <w:sz w:val="20"/>
          <w:szCs w:val="20"/>
          <w:color w:val="auto"/>
        </w:rPr>
      </w:pPr>
    </w:p>
    <w:p>
      <w:pPr>
        <w:jc w:val="both"/>
        <w:ind w:left="260"/>
        <w:spacing w:after="0" w:line="224" w:lineRule="auto"/>
        <w:rPr>
          <w:sz w:val="20"/>
          <w:szCs w:val="20"/>
          <w:color w:val="auto"/>
        </w:rPr>
      </w:pPr>
      <w:r>
        <w:rPr>
          <w:rFonts w:ascii="Calibri" w:cs="Calibri" w:eastAsia="Calibri" w:hAnsi="Calibri"/>
          <w:sz w:val="18"/>
          <w:szCs w:val="18"/>
          <w:color w:val="auto"/>
        </w:rPr>
        <w:t>The Company derecognizes a fnancial asset when the contractual rights to the cash fows from the fnancial asset expire, or it transfers the rights to receive the contractual cash fows in a transiton in which substantally all of the risks and rewards of ownership of the fnancial asset are transferred or in which the Company neither transfers nor retains substantally all of the risks and rewards of ownership and it does not retain control of the fnancial asset.</w:t>
      </w:r>
    </w:p>
    <w:p>
      <w:pPr>
        <w:spacing w:after="0" w:line="233"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On derecogniton of a fnancial asset, the diference between the carrying amount of the asset (or the carrying amount allocated to the porton of the asset derecognized) and the sum of (i) the consideraton received (including any new assets obtained less any new liability assumed) and (ii) cumulatve gain or loss that had been recognized in other comprehensive income is recognized in proft or loss.</w:t>
      </w:r>
    </w:p>
    <w:p>
      <w:pPr>
        <w:spacing w:after="0" w:line="22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Financial liabilites</w:t>
      </w:r>
    </w:p>
    <w:p>
      <w:pPr>
        <w:spacing w:after="0" w:line="226"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The Company derecognizes a fnancial liability when its contractual obligatons are discharged or cancelled, or expire.</w:t>
      </w:r>
    </w:p>
    <w:p>
      <w:pPr>
        <w:spacing w:after="0" w:line="226"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auto"/>
        </w:rPr>
        <w:t>Modifcatons of fnancial assets and fnancial liabilites</w:t>
      </w:r>
    </w:p>
    <w:p>
      <w:pPr>
        <w:spacing w:after="0" w:line="212"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Financial assets</w:t>
      </w:r>
    </w:p>
    <w:p>
      <w:pPr>
        <w:spacing w:after="0" w:line="231"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If the terms of a fnancial asset are modifed, the Company evaluates whether the cash fows of the modifed asset are substantally diferent. If the cash fows are substantally diferent, then the contractual rights to cash fows from the original fnancial asset are deemed to have expired. In this case, the original fnancial asset is derecognized and a new fnancial asset is recognized at fair value.</w:t>
      </w:r>
    </w:p>
    <w:p>
      <w:pPr>
        <w:spacing w:after="0" w:line="233" w:lineRule="exact"/>
        <w:rPr>
          <w:sz w:val="20"/>
          <w:szCs w:val="20"/>
          <w:color w:val="auto"/>
        </w:rPr>
      </w:pPr>
    </w:p>
    <w:p>
      <w:pPr>
        <w:jc w:val="both"/>
        <w:ind w:left="260"/>
        <w:spacing w:after="0" w:line="224" w:lineRule="auto"/>
        <w:rPr>
          <w:sz w:val="20"/>
          <w:szCs w:val="20"/>
          <w:color w:val="auto"/>
        </w:rPr>
      </w:pPr>
      <w:r>
        <w:rPr>
          <w:rFonts w:ascii="Calibri" w:cs="Calibri" w:eastAsia="Calibri" w:hAnsi="Calibri"/>
          <w:sz w:val="18"/>
          <w:szCs w:val="18"/>
          <w:color w:val="auto"/>
        </w:rPr>
        <w:t>If the cash fows of the modifed asset carried at amortzed cost are not substantally diferent, then the modifcaton does not result in derecogniton of the fnancial asset. In this case, the Company recalculates the gross carrying amount of the fnancial asset and recognizes the amount arising from adjustng the gross carrying amount as a modifcaton gain or loss in proft or loss. If such a modifcaton is carried out because of fnancial difcultes of the borrower, then the gain or loss is presented together with impairment losses. In other cases, it is presented as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16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19" w:name="page20"/>
    <w:bookmarkEnd w:id="19"/>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7"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9"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Financial liabilites</w:t>
      </w:r>
    </w:p>
    <w:p>
      <w:pPr>
        <w:spacing w:after="0" w:line="231"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The Company derecognizes a fnancial liability when its terms are modifed and the cash lows of the modifed liability are substantally diferent. In this case, a new fnancial liability based on the modifed terms is recognized at fair value. The diference between the carrying amount of the fnancial liability extnguished and the new fnancial liability with modifed terms is recognized in proft or loss.</w:t>
      </w:r>
    </w:p>
    <w:p>
      <w:pPr>
        <w:spacing w:after="0" w:line="22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auto"/>
        </w:rPr>
        <w:t>Ofsetng</w:t>
      </w:r>
    </w:p>
    <w:p>
      <w:pPr>
        <w:spacing w:after="0" w:line="231" w:lineRule="exact"/>
        <w:rPr>
          <w:sz w:val="20"/>
          <w:szCs w:val="20"/>
          <w:color w:val="auto"/>
        </w:rPr>
      </w:pPr>
    </w:p>
    <w:p>
      <w:pPr>
        <w:jc w:val="both"/>
        <w:ind w:left="260"/>
        <w:spacing w:after="0" w:line="220" w:lineRule="auto"/>
        <w:rPr>
          <w:sz w:val="20"/>
          <w:szCs w:val="20"/>
          <w:color w:val="auto"/>
        </w:rPr>
      </w:pPr>
      <w:r>
        <w:rPr>
          <w:rFonts w:ascii="Calibri" w:cs="Calibri" w:eastAsia="Calibri" w:hAnsi="Calibri"/>
          <w:sz w:val="18"/>
          <w:szCs w:val="18"/>
          <w:color w:val="auto"/>
        </w:rPr>
        <w:t>Financial assets and fnancial liabilites are ofset and the net amount presented in the consolidated statement of fnancial positon when, and only when, the Company currently has a legally enforceable right to set of the amounts and it intends either to setle them on a net basis or to realize the asset and setle the liability simultaneously.</w:t>
      </w:r>
    </w:p>
    <w:p>
      <w:pPr>
        <w:spacing w:after="0" w:line="233" w:lineRule="exact"/>
        <w:rPr>
          <w:sz w:val="20"/>
          <w:szCs w:val="20"/>
          <w:color w:val="auto"/>
        </w:rPr>
      </w:pPr>
    </w:p>
    <w:p>
      <w:pPr>
        <w:ind w:left="260"/>
        <w:spacing w:after="0"/>
        <w:rPr>
          <w:sz w:val="20"/>
          <w:szCs w:val="20"/>
          <w:color w:val="auto"/>
        </w:rPr>
      </w:pPr>
      <w:r>
        <w:rPr>
          <w:rFonts w:ascii="Calibri" w:cs="Calibri" w:eastAsia="Calibri" w:hAnsi="Calibri"/>
          <w:sz w:val="17"/>
          <w:szCs w:val="17"/>
          <w:color w:val="auto"/>
        </w:rPr>
        <w:t>Income and expenses are presented on a net basis only when permited under IFRS, or for gains and losses arising from a group of similar transactons.</w:t>
      </w:r>
    </w:p>
    <w:p>
      <w:pPr>
        <w:spacing w:after="0" w:line="233"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auto"/>
        </w:rPr>
        <w:t>Fair value measurement</w:t>
      </w:r>
    </w:p>
    <w:p>
      <w:pPr>
        <w:spacing w:after="0" w:line="231"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Fair value is the price that would be received to sell an asset or paid to transfer a liability in an orderly transacton between market partcipants at the measurement date in the principal or, in its absence, the most advantageous market to which the Company has access at that date. The fair value of a liability refects its non-performance risk.</w:t>
      </w:r>
    </w:p>
    <w:p>
      <w:pPr>
        <w:spacing w:after="0" w:line="233"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When one is available, the Company measures the fair value of an instrument using the quoted price in an actve market for that instrument. A market is regarded as actve if transactons for the asset or liability take place with sufcient frequency and volume to provide pricing informaton on an ongoing basis.</w:t>
      </w:r>
    </w:p>
    <w:p>
      <w:pPr>
        <w:spacing w:after="0" w:line="233"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If there is no quoted price in an actve market, then the Company uses valuaton techniques that maximize the use of relevant observable inputs and minimize the use of unobservable inputs. The chosen valuaton technique incorporates all of the factors that market partcipants would take into account in pricing a transacton.</w:t>
      </w:r>
    </w:p>
    <w:p>
      <w:pPr>
        <w:spacing w:after="0" w:line="233" w:lineRule="exact"/>
        <w:rPr>
          <w:sz w:val="20"/>
          <w:szCs w:val="20"/>
          <w:color w:val="auto"/>
        </w:rPr>
      </w:pPr>
    </w:p>
    <w:p>
      <w:pPr>
        <w:jc w:val="both"/>
        <w:ind w:left="260"/>
        <w:spacing w:after="0" w:line="233" w:lineRule="auto"/>
        <w:rPr>
          <w:sz w:val="20"/>
          <w:szCs w:val="20"/>
          <w:color w:val="auto"/>
        </w:rPr>
      </w:pPr>
      <w:r>
        <w:rPr>
          <w:rFonts w:ascii="Calibri" w:cs="Calibri" w:eastAsia="Calibri" w:hAnsi="Calibri"/>
          <w:sz w:val="17"/>
          <w:szCs w:val="17"/>
          <w:color w:val="auto"/>
        </w:rPr>
        <w:t>The best evidence of the fair value of a fnancial instrument on inital recogniton is normally the transacton price (i.e. the fair value of the consideraton given or received). If the Company determines that the fair value on inital recogniton difers from the transacton price and the fair value is evidenced neither by a quoted price in an actve market for an identcal asset or liability nor based on a valuaton technique for which any observable inputs are judged to be insignifcant in relaton to the measurement, then the fnancial instrument is initally measured at fair value, adjusted to defer the diference between the fair value on inital recogniton and the transacton price. Subsequently, that diference is recognized in proft or loss on an appropriate basis over the life of the instrument but no later than when the valuaton is wholly supported by observable market data or the transacton is closed out.</w:t>
      </w:r>
    </w:p>
    <w:p>
      <w:pPr>
        <w:spacing w:after="0" w:line="236"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If an asset or a liability at fair value has a bid price and an ask price, then the Company measures assets and long positons at bid price and liabilites and short positons at an ask price.</w:t>
      </w:r>
    </w:p>
    <w:p>
      <w:pPr>
        <w:spacing w:after="0" w:line="232"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Portolio of fnancial assets and fnancial liabilites that are exposed to market risk and credit risk that are managed by the Company on the basis of the net exposure to either market or credit risk are measured on the basis of a price that would be received to sell a net long positon (or paid to transfer a net short positon) for the partcular risk exposure. Portolio-level adjustment e.g. bid-ask adjustment or credit risk adjustments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17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20" w:name="page21"/>
    <w:bookmarkEnd w:id="20"/>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7"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9"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refect the measurement on the basis of the net exposure are allocated to the individual assets and liabilites on the basis of the relatve risk adjustment of each of the individual instruments in the portolio.</w:t>
      </w:r>
    </w:p>
    <w:p>
      <w:pPr>
        <w:spacing w:after="0" w:line="232"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The fair value of a fnancial liability with a demand feature is not less than the amount payable on demand, discounted from the frst date on which the amount could be required to be paid. The Company recognizes transfers between levels of the fair value hierarchy as of the end of the reportng period during which the change has occurred.</w:t>
      </w:r>
    </w:p>
    <w:p>
      <w:pPr>
        <w:spacing w:after="0" w:line="22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auto"/>
        </w:rPr>
        <w:t>Impairment</w:t>
      </w:r>
    </w:p>
    <w:p>
      <w:pPr>
        <w:spacing w:after="0" w:line="226"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Credit-impaired fnancial assets</w:t>
      </w:r>
    </w:p>
    <w:p>
      <w:pPr>
        <w:spacing w:after="0" w:line="217"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At each reportng date, the Company assesses whether fnancial assets carried at amortzed costs and debt fnancial assets carried at FVOCI are credit-impaired. A fnancial asset is ‘credit-impaired’ when one or more events that have a detrimental impact on the estmated future cash fows of the fnancial asset have occurred.</w:t>
      </w:r>
    </w:p>
    <w:p>
      <w:pPr>
        <w:spacing w:after="0" w:line="228"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Evidence that a fnancial asset is credit-impaired includes the following observable data:</w:t>
      </w:r>
    </w:p>
    <w:p>
      <w:pPr>
        <w:spacing w:after="0" w:line="250" w:lineRule="exact"/>
        <w:rPr>
          <w:sz w:val="20"/>
          <w:szCs w:val="20"/>
          <w:color w:val="auto"/>
        </w:rPr>
      </w:pPr>
    </w:p>
    <w:p>
      <w:pPr>
        <w:ind w:left="880" w:hanging="304"/>
        <w:spacing w:after="0"/>
        <w:tabs>
          <w:tab w:leader="none" w:pos="880" w:val="left"/>
        </w:tabs>
        <w:numPr>
          <w:ilvl w:val="0"/>
          <w:numId w:val="9"/>
        </w:numPr>
        <w:rPr>
          <w:rFonts w:ascii="Arial" w:cs="Arial" w:eastAsia="Arial" w:hAnsi="Arial"/>
          <w:sz w:val="20"/>
          <w:szCs w:val="20"/>
          <w:color w:val="auto"/>
        </w:rPr>
      </w:pPr>
      <w:r>
        <w:rPr>
          <w:rFonts w:ascii="Calibri" w:cs="Calibri" w:eastAsia="Calibri" w:hAnsi="Calibri"/>
          <w:sz w:val="18"/>
          <w:szCs w:val="18"/>
          <w:color w:val="auto"/>
        </w:rPr>
        <w:t>Signifcant fnancial difculty of the borrower or issuer;</w:t>
      </w:r>
    </w:p>
    <w:p>
      <w:pPr>
        <w:spacing w:after="0" w:line="20" w:lineRule="exact"/>
        <w:rPr>
          <w:rFonts w:ascii="Arial" w:cs="Arial" w:eastAsia="Arial" w:hAnsi="Arial"/>
          <w:sz w:val="20"/>
          <w:szCs w:val="20"/>
          <w:color w:val="auto"/>
        </w:rPr>
      </w:pPr>
    </w:p>
    <w:p>
      <w:pPr>
        <w:ind w:left="880" w:hanging="304"/>
        <w:spacing w:after="0" w:line="226" w:lineRule="auto"/>
        <w:tabs>
          <w:tab w:leader="none" w:pos="880" w:val="left"/>
        </w:tabs>
        <w:numPr>
          <w:ilvl w:val="0"/>
          <w:numId w:val="9"/>
        </w:numPr>
        <w:rPr>
          <w:rFonts w:ascii="Arial" w:cs="Arial" w:eastAsia="Arial" w:hAnsi="Arial"/>
          <w:sz w:val="20"/>
          <w:szCs w:val="20"/>
          <w:color w:val="auto"/>
        </w:rPr>
      </w:pPr>
      <w:r>
        <w:rPr>
          <w:rFonts w:ascii="Calibri" w:cs="Calibri" w:eastAsia="Calibri" w:hAnsi="Calibri"/>
          <w:sz w:val="18"/>
          <w:szCs w:val="18"/>
          <w:color w:val="auto"/>
        </w:rPr>
        <w:t>A breach of contract such as a default of past due event;</w:t>
      </w:r>
    </w:p>
    <w:p>
      <w:pPr>
        <w:spacing w:after="0" w:line="20" w:lineRule="exact"/>
        <w:rPr>
          <w:rFonts w:ascii="Arial" w:cs="Arial" w:eastAsia="Arial" w:hAnsi="Arial"/>
          <w:sz w:val="20"/>
          <w:szCs w:val="20"/>
          <w:color w:val="auto"/>
        </w:rPr>
      </w:pPr>
    </w:p>
    <w:p>
      <w:pPr>
        <w:ind w:left="880" w:hanging="304"/>
        <w:spacing w:after="0" w:line="226" w:lineRule="auto"/>
        <w:tabs>
          <w:tab w:leader="none" w:pos="880" w:val="left"/>
        </w:tabs>
        <w:numPr>
          <w:ilvl w:val="0"/>
          <w:numId w:val="9"/>
        </w:numPr>
        <w:rPr>
          <w:rFonts w:ascii="Arial" w:cs="Arial" w:eastAsia="Arial" w:hAnsi="Arial"/>
          <w:sz w:val="20"/>
          <w:szCs w:val="20"/>
          <w:color w:val="auto"/>
        </w:rPr>
      </w:pPr>
      <w:r>
        <w:rPr>
          <w:rFonts w:ascii="Calibri" w:cs="Calibri" w:eastAsia="Calibri" w:hAnsi="Calibri"/>
          <w:sz w:val="18"/>
          <w:szCs w:val="18"/>
          <w:color w:val="auto"/>
        </w:rPr>
        <w:t>The restructuring of a loan or advance by the Company on terms that the Company would not consider otherwise;</w:t>
      </w:r>
    </w:p>
    <w:p>
      <w:pPr>
        <w:spacing w:after="0" w:line="20" w:lineRule="exact"/>
        <w:rPr>
          <w:rFonts w:ascii="Arial" w:cs="Arial" w:eastAsia="Arial" w:hAnsi="Arial"/>
          <w:sz w:val="20"/>
          <w:szCs w:val="20"/>
          <w:color w:val="auto"/>
        </w:rPr>
      </w:pPr>
    </w:p>
    <w:p>
      <w:pPr>
        <w:ind w:left="880" w:hanging="304"/>
        <w:spacing w:after="0" w:line="226" w:lineRule="auto"/>
        <w:tabs>
          <w:tab w:leader="none" w:pos="880" w:val="left"/>
        </w:tabs>
        <w:numPr>
          <w:ilvl w:val="0"/>
          <w:numId w:val="9"/>
        </w:numPr>
        <w:rPr>
          <w:rFonts w:ascii="Arial" w:cs="Arial" w:eastAsia="Arial" w:hAnsi="Arial"/>
          <w:sz w:val="20"/>
          <w:szCs w:val="20"/>
          <w:color w:val="auto"/>
        </w:rPr>
      </w:pPr>
      <w:r>
        <w:rPr>
          <w:rFonts w:ascii="Calibri" w:cs="Calibri" w:eastAsia="Calibri" w:hAnsi="Calibri"/>
          <w:sz w:val="18"/>
          <w:szCs w:val="18"/>
          <w:color w:val="auto"/>
        </w:rPr>
        <w:t>It is becoming probable that the borrower will enter bankruptcy or other fnancial reorganizaton; or</w:t>
      </w:r>
    </w:p>
    <w:p>
      <w:pPr>
        <w:spacing w:after="0" w:line="20" w:lineRule="exact"/>
        <w:rPr>
          <w:rFonts w:ascii="Arial" w:cs="Arial" w:eastAsia="Arial" w:hAnsi="Arial"/>
          <w:sz w:val="20"/>
          <w:szCs w:val="20"/>
          <w:color w:val="auto"/>
        </w:rPr>
      </w:pPr>
    </w:p>
    <w:p>
      <w:pPr>
        <w:ind w:left="880" w:hanging="304"/>
        <w:spacing w:after="0" w:line="226" w:lineRule="auto"/>
        <w:tabs>
          <w:tab w:leader="none" w:pos="880" w:val="left"/>
        </w:tabs>
        <w:numPr>
          <w:ilvl w:val="0"/>
          <w:numId w:val="9"/>
        </w:numPr>
        <w:rPr>
          <w:rFonts w:ascii="Arial" w:cs="Arial" w:eastAsia="Arial" w:hAnsi="Arial"/>
          <w:sz w:val="20"/>
          <w:szCs w:val="20"/>
          <w:color w:val="auto"/>
        </w:rPr>
      </w:pPr>
      <w:r>
        <w:rPr>
          <w:rFonts w:ascii="Calibri" w:cs="Calibri" w:eastAsia="Calibri" w:hAnsi="Calibri"/>
          <w:sz w:val="18"/>
          <w:szCs w:val="18"/>
          <w:color w:val="auto"/>
        </w:rPr>
        <w:t>The disappearance of an actve market for a security because of fnancial difcultes.</w:t>
      </w:r>
    </w:p>
    <w:p>
      <w:pPr>
        <w:spacing w:after="0" w:line="231"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A loan that has been renegotated due to a deterioraton in the borrower’s conditon is usually considered to be credit-impaired unless there is evidence that the risk of not receiving contractual cash fows has reduced signifcantly and there are no other indicators of impairment.</w:t>
      </w:r>
    </w:p>
    <w:p>
      <w:pPr>
        <w:spacing w:after="0" w:line="22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Recogniton of allowance of expected credit losses (“ECL”) in the consolidated statement of fnancial positon</w:t>
      </w:r>
    </w:p>
    <w:p>
      <w:pPr>
        <w:spacing w:after="0" w:line="231" w:lineRule="exact"/>
        <w:rPr>
          <w:sz w:val="20"/>
          <w:szCs w:val="20"/>
          <w:color w:val="auto"/>
        </w:rPr>
      </w:pPr>
    </w:p>
    <w:p>
      <w:pPr>
        <w:jc w:val="both"/>
        <w:ind w:left="260"/>
        <w:spacing w:after="0" w:line="220" w:lineRule="auto"/>
        <w:rPr>
          <w:sz w:val="20"/>
          <w:szCs w:val="20"/>
          <w:color w:val="auto"/>
        </w:rPr>
      </w:pPr>
      <w:r>
        <w:rPr>
          <w:rFonts w:ascii="Calibri" w:cs="Calibri" w:eastAsia="Calibri" w:hAnsi="Calibri"/>
          <w:sz w:val="18"/>
          <w:szCs w:val="18"/>
          <w:color w:val="auto"/>
        </w:rPr>
        <w:t>The Company recognizes a loss allowance for ECL on trade receivables that are measured at amortzed cost. The Company’s applied the simplifed approach for trade receivables and recognizes the lifetme ECL for these assets. The ECL on trade receivables is estmated using a provision matrix based on the Company’s historical credit loss experience, adjusted for factors that are specifc to the customers, general economic conditons and an assessment of both the current as well as the forecast directon of conditons at the reportng date, including tme value of money where appropriate.</w:t>
      </w:r>
    </w:p>
    <w:p>
      <w:pPr>
        <w:spacing w:after="0" w:line="234"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For all other fnancial assets measured at amortzed cost of FVOCI, the Company recognizes lifetme ECL only when there has been a signifcant increase in credit risk since inital recogniton. If the credit risk on such fnancial instruments has not increased signifcantly since inital recogniton, the Company measures the loss allowance on those fnancial instruments at an amount equal to 12-months ECL.</w:t>
      </w:r>
    </w:p>
    <w:p>
      <w:pPr>
        <w:spacing w:after="0" w:line="233" w:lineRule="exact"/>
        <w:rPr>
          <w:sz w:val="20"/>
          <w:szCs w:val="20"/>
          <w:color w:val="auto"/>
        </w:rPr>
      </w:pPr>
    </w:p>
    <w:p>
      <w:pPr>
        <w:jc w:val="both"/>
        <w:ind w:left="260"/>
        <w:spacing w:after="0" w:line="223" w:lineRule="auto"/>
        <w:rPr>
          <w:sz w:val="20"/>
          <w:szCs w:val="20"/>
          <w:color w:val="auto"/>
        </w:rPr>
      </w:pPr>
      <w:r>
        <w:rPr>
          <w:rFonts w:ascii="Calibri" w:cs="Calibri" w:eastAsia="Calibri" w:hAnsi="Calibri"/>
          <w:sz w:val="18"/>
          <w:szCs w:val="18"/>
          <w:color w:val="auto"/>
        </w:rPr>
        <w:t>Lifetme ECL represents the ECL that will result from all possible default events over the expected life of a fnancial asset. In contrast, 12-month ECL represents the porton of lifetme ECL that is expected to result from default events on a fnancial asset that are possible within 12 months afer the reportng date. In assessing whether the credit risk on a fnancial asset has increased signifcantly since inital recogniton, the Company compares the risk of default occurring on the fnancial asset at the reportng date with the risk of default occurring at the inital recogniton. The Company considers both quanttatve and qualitatve factors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18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21" w:name="page22"/>
    <w:bookmarkEnd w:id="21"/>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7"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9"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supportable, including historical experience and forward-looking informaton that is available without undue cost or efort.</w:t>
      </w:r>
    </w:p>
    <w:p>
      <w:pPr>
        <w:spacing w:after="0" w:line="231" w:lineRule="exact"/>
        <w:rPr>
          <w:sz w:val="20"/>
          <w:szCs w:val="20"/>
          <w:color w:val="auto"/>
        </w:rPr>
      </w:pPr>
    </w:p>
    <w:p>
      <w:pPr>
        <w:jc w:val="both"/>
        <w:ind w:left="260"/>
        <w:spacing w:after="0" w:line="224" w:lineRule="auto"/>
        <w:rPr>
          <w:sz w:val="20"/>
          <w:szCs w:val="20"/>
          <w:color w:val="auto"/>
        </w:rPr>
      </w:pPr>
      <w:r>
        <w:rPr>
          <w:rFonts w:ascii="Calibri" w:cs="Calibri" w:eastAsia="Calibri" w:hAnsi="Calibri"/>
          <w:sz w:val="18"/>
          <w:szCs w:val="18"/>
          <w:color w:val="auto"/>
        </w:rPr>
        <w:t>Irrespectve of the above assessment, the Company presumes that the credit risk on a fnancial asset has increased signifcantly since inital recogniton when contractual payments are more than 30 days past due, unless the Company has reasonable and supportable informaton that demonstrates otherwise. Despite the foregoing, the Company presumes that the credit risk on a fnancial asset has not increased signifcantly since inital recogniton if the fnancial asset is determined to have low credit risk at the reportng date.</w:t>
      </w:r>
    </w:p>
    <w:p>
      <w:pPr>
        <w:spacing w:after="0" w:line="233"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The Company regularly monitors the efectveness of the criteria used to identfy whether there has been a signifcant increase in credit risk and revises them as appropriate to ensure that the criteria are capable of identfying signifcant increase in credit risk before the amount becomes pas due.</w:t>
      </w:r>
    </w:p>
    <w:p>
      <w:pPr>
        <w:spacing w:after="0" w:line="214"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Defniton of default:</w:t>
      </w:r>
    </w:p>
    <w:p>
      <w:pPr>
        <w:spacing w:after="0" w:line="231"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For internal credit risk management purposes, the Company considers a fnancial asset not recoverable if the customer balance owing is 180 days past due and informaton obtained from the customer and other external factors indicate that the customer is unlikely to pay its creditors in full.</w:t>
      </w:r>
    </w:p>
    <w:p>
      <w:pPr>
        <w:spacing w:after="0" w:line="22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Write-of</w:t>
      </w:r>
    </w:p>
    <w:p>
      <w:pPr>
        <w:spacing w:after="0" w:line="231" w:lineRule="exact"/>
        <w:rPr>
          <w:sz w:val="20"/>
          <w:szCs w:val="20"/>
          <w:color w:val="auto"/>
        </w:rPr>
      </w:pPr>
    </w:p>
    <w:p>
      <w:pPr>
        <w:jc w:val="both"/>
        <w:ind w:left="260"/>
        <w:spacing w:after="0" w:line="224" w:lineRule="auto"/>
        <w:rPr>
          <w:sz w:val="20"/>
          <w:szCs w:val="20"/>
          <w:color w:val="auto"/>
        </w:rPr>
      </w:pPr>
      <w:r>
        <w:rPr>
          <w:rFonts w:ascii="Calibri" w:cs="Calibri" w:eastAsia="Calibri" w:hAnsi="Calibri"/>
          <w:sz w:val="18"/>
          <w:szCs w:val="18"/>
          <w:color w:val="auto"/>
        </w:rPr>
        <w:t>Financial assets are writen of (either partally or in full) when there is no realistc prospect of recovery. This is generally the case when the Company determines that the counterparty does not have assets or sources of income that could general sufcient cash fows to repay the amounts subject to the write-of. However, fnancial assets that are writen of could stll be subject to enforcement actvites in order to comply with the Company’s procedures for recovery of amounts due.</w:t>
      </w:r>
    </w:p>
    <w:p>
      <w:pPr>
        <w:spacing w:after="0" w:line="22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u w:val="single" w:color="auto"/>
          <w:color w:val="auto"/>
        </w:rPr>
        <w:t>Taxaton</w:t>
      </w:r>
    </w:p>
    <w:p>
      <w:pPr>
        <w:spacing w:after="0" w:line="231"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Income tax comprises current and deferred tax. Income tax is recognized in the consolidated statement of loss and comprehensive loss except to the extent that it relates to items recognized directly in equity, in which case the income tax is also recognized directly in equity.</w:t>
      </w:r>
    </w:p>
    <w:p>
      <w:pPr>
        <w:spacing w:after="0" w:line="232"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Current income tax is the expected tax payable on the taxable income for the year, using tax rates enacted or substantvely enacted, at the end of the reportng period, and any adjustment to tax payable in respect of previous years.</w:t>
      </w:r>
    </w:p>
    <w:p>
      <w:pPr>
        <w:spacing w:after="0" w:line="219" w:lineRule="exact"/>
        <w:rPr>
          <w:sz w:val="20"/>
          <w:szCs w:val="20"/>
          <w:color w:val="auto"/>
        </w:rPr>
      </w:pPr>
    </w:p>
    <w:p>
      <w:pPr>
        <w:jc w:val="both"/>
        <w:ind w:left="260"/>
        <w:spacing w:after="0" w:line="224" w:lineRule="auto"/>
        <w:rPr>
          <w:sz w:val="20"/>
          <w:szCs w:val="20"/>
          <w:color w:val="auto"/>
        </w:rPr>
      </w:pPr>
      <w:r>
        <w:rPr>
          <w:rFonts w:ascii="Calibri" w:cs="Calibri" w:eastAsia="Calibri" w:hAnsi="Calibri"/>
          <w:sz w:val="18"/>
          <w:szCs w:val="18"/>
          <w:color w:val="auto"/>
        </w:rPr>
        <w:t>Provisions for taxes are made using the best estmate of the amount expected to be paid based on a qualitatve assessment of all relevant factors. The Company reviews the adequacy of these provisions at the end of the reportng period. However, it is possible that at some future date an additonal liability could result from audits by taxing authorites. Where the outcome of these tax-related maters is diferent from the amounts that were initally recorded, such diferences will afect the tax provisions in the period in which such determinaton is made.</w:t>
      </w:r>
    </w:p>
    <w:p>
      <w:pPr>
        <w:spacing w:after="0" w:line="233" w:lineRule="exact"/>
        <w:rPr>
          <w:sz w:val="20"/>
          <w:szCs w:val="20"/>
          <w:color w:val="auto"/>
        </w:rPr>
      </w:pPr>
    </w:p>
    <w:p>
      <w:pPr>
        <w:jc w:val="both"/>
        <w:ind w:left="260"/>
        <w:spacing w:after="0" w:line="223" w:lineRule="auto"/>
        <w:rPr>
          <w:sz w:val="20"/>
          <w:szCs w:val="20"/>
          <w:color w:val="auto"/>
        </w:rPr>
      </w:pPr>
      <w:r>
        <w:rPr>
          <w:rFonts w:ascii="Calibri" w:cs="Calibri" w:eastAsia="Calibri" w:hAnsi="Calibri"/>
          <w:sz w:val="18"/>
          <w:szCs w:val="18"/>
          <w:color w:val="auto"/>
        </w:rPr>
        <w:t>Deferred income tax is recorded using the asset and liability method, providing for temporary diferences between the carrying amounts of assets and liabilites for fnancial reportng purposes and the amounts used for taxaton purposes. The following temporary diferences do not result in deferred tax assets or liabilites: the inital recognized of assets or liabilites that afect neither accountng or taxable loss; or diference relatng to investment in subsidiaries to the extent that they will probably not reverse in the foreseeable future. The amount of deferred tax provided is based on the expected manner of realizaton or setlement of the carrying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19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22" w:name="page23"/>
    <w:bookmarkEnd w:id="22"/>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7"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9"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amount of assets and liabilites, using tax rates enacted or substantvely enacted at the statement of fnancial positon date.</w:t>
      </w:r>
    </w:p>
    <w:p>
      <w:pPr>
        <w:spacing w:after="0" w:line="231" w:lineRule="exact"/>
        <w:rPr>
          <w:sz w:val="20"/>
          <w:szCs w:val="20"/>
          <w:color w:val="auto"/>
        </w:rPr>
      </w:pPr>
    </w:p>
    <w:p>
      <w:pPr>
        <w:ind w:left="260"/>
        <w:spacing w:after="0"/>
        <w:rPr>
          <w:sz w:val="20"/>
          <w:szCs w:val="20"/>
          <w:color w:val="auto"/>
        </w:rPr>
      </w:pPr>
      <w:r>
        <w:rPr>
          <w:rFonts w:ascii="Calibri" w:cs="Calibri" w:eastAsia="Calibri" w:hAnsi="Calibri"/>
          <w:sz w:val="17"/>
          <w:szCs w:val="17"/>
          <w:color w:val="auto"/>
        </w:rPr>
        <w:t>A deferred tax asset is recognized only to the extent that it is probable that future taxable profts will be available against which the asset can be utlized.</w:t>
      </w:r>
    </w:p>
    <w:p>
      <w:pPr>
        <w:spacing w:after="0" w:line="238"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Deferred tax assets and liabilites are ofset when there is a legally enforceable right to set of current tax assets against current tax liabilites and when they relate to income taxes levied by the same taxaton authority and the Company intends to setle its correct tax assets and liabilites on a net basis.</w:t>
      </w:r>
    </w:p>
    <w:p>
      <w:pPr>
        <w:spacing w:after="0" w:line="24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u w:val="single" w:color="auto"/>
          <w:color w:val="auto"/>
        </w:rPr>
        <w:t>Share capital</w:t>
      </w:r>
    </w:p>
    <w:p>
      <w:pPr>
        <w:spacing w:after="0" w:line="217"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Equity instruments are contracts that give a residual interest in the net assets of the Company. Financial instruments issued by the Company are classifed as equity only to the extent that they do not meet the defniton of a fnancial liability or fnancial asset. The Common Shares and the Company’s Common Share purchase warrants, and optons are classifed as equity instruments.</w:t>
      </w:r>
    </w:p>
    <w:p>
      <w:pPr>
        <w:spacing w:after="0" w:line="233" w:lineRule="exact"/>
        <w:rPr>
          <w:sz w:val="20"/>
          <w:szCs w:val="20"/>
          <w:color w:val="auto"/>
        </w:rPr>
      </w:pPr>
    </w:p>
    <w:p>
      <w:pPr>
        <w:ind w:left="260"/>
        <w:spacing w:after="0"/>
        <w:rPr>
          <w:sz w:val="20"/>
          <w:szCs w:val="20"/>
          <w:color w:val="auto"/>
        </w:rPr>
      </w:pPr>
      <w:r>
        <w:rPr>
          <w:rFonts w:ascii="Calibri" w:cs="Calibri" w:eastAsia="Calibri" w:hAnsi="Calibri"/>
          <w:sz w:val="17"/>
          <w:szCs w:val="17"/>
          <w:color w:val="auto"/>
        </w:rPr>
        <w:t>Incremental costs directly atributable to the issue of new Common Shares or optons are shown in equity as a deducton, net of tax, from the proceeds.</w:t>
      </w:r>
    </w:p>
    <w:p>
      <w:pPr>
        <w:spacing w:after="0" w:line="233"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u w:val="single" w:color="auto"/>
          <w:color w:val="auto"/>
        </w:rPr>
        <w:t>Share-based compensaton</w:t>
      </w:r>
    </w:p>
    <w:p>
      <w:pPr>
        <w:spacing w:after="0" w:line="231" w:lineRule="exact"/>
        <w:rPr>
          <w:sz w:val="20"/>
          <w:szCs w:val="20"/>
          <w:color w:val="auto"/>
        </w:rPr>
      </w:pPr>
    </w:p>
    <w:p>
      <w:pPr>
        <w:jc w:val="both"/>
        <w:ind w:left="260"/>
        <w:spacing w:after="0" w:line="220" w:lineRule="auto"/>
        <w:rPr>
          <w:sz w:val="20"/>
          <w:szCs w:val="20"/>
          <w:color w:val="auto"/>
        </w:rPr>
      </w:pPr>
      <w:r>
        <w:rPr>
          <w:rFonts w:ascii="Calibri" w:cs="Calibri" w:eastAsia="Calibri" w:hAnsi="Calibri"/>
          <w:sz w:val="18"/>
          <w:szCs w:val="18"/>
          <w:color w:val="auto"/>
        </w:rPr>
        <w:t>Under the Company’s stock opton plan, all stock optons granted have graded vestng periods and are exercisable up to a maximum of 10 years form the date of grant. Each tranche of an award with graded vestng periods is considered a separate grant at each grant date for the calculaton of fair value, and the resultng fair value is amortzed over the vestng period of the respectve tranches. The fair value of the optons granted is measured using the Black-Scholes opton pricing model taking into account the terms and conditons upon which the optons were granted, the estmated volatlity, estmated risk free rate and estmated forfeitures.</w:t>
      </w:r>
    </w:p>
    <w:p>
      <w:pPr>
        <w:spacing w:after="0" w:line="235"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If a grant of the share-based payments is cancelled or setled during the vestng period (other than a grant cancelled by forfeiture when the vestng conditons are not satsfed), the Company accounts for the cancellaton or setlement as an acceleraton of vestng, and recognized immediately the amount that otherwise would have been recognized for services over the remainder of the vestng period.</w:t>
      </w:r>
    </w:p>
    <w:p>
      <w:pPr>
        <w:spacing w:after="0" w:line="233" w:lineRule="exact"/>
        <w:rPr>
          <w:sz w:val="20"/>
          <w:szCs w:val="20"/>
          <w:color w:val="auto"/>
        </w:rPr>
      </w:pPr>
    </w:p>
    <w:p>
      <w:pPr>
        <w:jc w:val="both"/>
        <w:ind w:left="260"/>
        <w:spacing w:after="0" w:line="223" w:lineRule="auto"/>
        <w:rPr>
          <w:sz w:val="20"/>
          <w:szCs w:val="20"/>
          <w:color w:val="auto"/>
        </w:rPr>
      </w:pPr>
      <w:r>
        <w:rPr>
          <w:rFonts w:ascii="Calibri" w:cs="Calibri" w:eastAsia="Calibri" w:hAnsi="Calibri"/>
          <w:sz w:val="18"/>
          <w:szCs w:val="18"/>
          <w:color w:val="auto"/>
        </w:rPr>
        <w:t>The amount recognized for goods or services received during the vestng period are based on the best available estmate of the number of equity instruments antcipated to vest. The Company revises that estmate, if necessary, if subsequent informaton indicates that the number of share optons antcipated to vest difers from previous estmates. On vestng date, the Company revises the estmate to equal the number of equity instrument that ultmately vested. Afer vestng date, the Company makes no subsequent adjustment to total equity for goods or services received if the share optons are later forfeited or they expire at the end of the share opton’s life.</w:t>
      </w:r>
    </w:p>
    <w:p>
      <w:pPr>
        <w:spacing w:after="0" w:line="262" w:lineRule="exact"/>
        <w:rPr>
          <w:sz w:val="20"/>
          <w:szCs w:val="20"/>
          <w:color w:val="auto"/>
        </w:rPr>
      </w:pPr>
    </w:p>
    <w:p>
      <w:pPr>
        <w:jc w:val="both"/>
        <w:ind w:left="260"/>
        <w:spacing w:after="0" w:line="223" w:lineRule="auto"/>
        <w:rPr>
          <w:sz w:val="20"/>
          <w:szCs w:val="20"/>
          <w:color w:val="auto"/>
        </w:rPr>
      </w:pPr>
      <w:r>
        <w:rPr>
          <w:rFonts w:ascii="Calibri" w:cs="Calibri" w:eastAsia="Calibri" w:hAnsi="Calibri"/>
          <w:sz w:val="18"/>
          <w:szCs w:val="18"/>
          <w:color w:val="auto"/>
        </w:rPr>
        <w:t>If a grant of the share based payment is modifed during the vestng period (other than a grant cancelled by forfeiture when the vestng conditons are not satsfed) and the fair value of the new instruments is higher than the fair value of the original instrument, the incremental fair value granted is included in the measurement of the amount recognized for services received over the period from modifcaton date untl the date when the modifed equity instruments vests, in additon to the amount based on the grant date fair value of the original equity instruments, which is recognized over the remainder of the original vestng period of the original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20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23" w:name="page24"/>
    <w:bookmarkEnd w:id="23"/>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left="80"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u w:val="single" w:color="auto"/>
          <w:color w:val="auto"/>
        </w:rPr>
        <w:t>Warrants</w:t>
      </w:r>
    </w:p>
    <w:p>
      <w:pPr>
        <w:spacing w:after="0" w:line="231" w:lineRule="exact"/>
        <w:rPr>
          <w:sz w:val="20"/>
          <w:szCs w:val="20"/>
          <w:color w:val="auto"/>
        </w:rPr>
      </w:pPr>
    </w:p>
    <w:p>
      <w:pPr>
        <w:jc w:val="both"/>
        <w:ind w:left="340"/>
        <w:spacing w:after="0" w:line="221" w:lineRule="auto"/>
        <w:rPr>
          <w:sz w:val="20"/>
          <w:szCs w:val="20"/>
          <w:color w:val="auto"/>
        </w:rPr>
      </w:pPr>
      <w:r>
        <w:rPr>
          <w:rFonts w:ascii="Calibri" w:cs="Calibri" w:eastAsia="Calibri" w:hAnsi="Calibri"/>
          <w:sz w:val="18"/>
          <w:szCs w:val="18"/>
          <w:color w:val="auto"/>
        </w:rPr>
        <w:t>The Company follows the relatve fair value method with respect to the measurement of Common Shares and warrants issued as units. The proceeds from the issuance of units are allocated between share capital and warrants. The warrant component is recorded in equity reserve. Unit proceeds are allocated to Common Shares and warrants using the Black-Scholes opton pricing model and the share price at the tme of fnancing. If and when the warrants are exercised, consideraton paid by the warrant holder, together with the amount previously recognized in warrant reserve, is recorded as an increase to share capital. A forfeiture rate is estmated on the grant date and is adjusted to refect the actual number of warrants that vest. When stock optons or warrants are cancelled, they are treated as if they have vested on the date of collaton and any cost not yet recognized in proft or loss is immediately expensed. Upon expiraton of warrants, the amount applicable to expired warrants is moved to contributed surplus.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Loss per share</w:t>
      </w:r>
    </w:p>
    <w:p>
      <w:pPr>
        <w:spacing w:after="0" w:line="231" w:lineRule="exact"/>
        <w:rPr>
          <w:sz w:val="20"/>
          <w:szCs w:val="20"/>
          <w:color w:val="auto"/>
        </w:rPr>
      </w:pPr>
    </w:p>
    <w:p>
      <w:pPr>
        <w:jc w:val="both"/>
        <w:ind w:left="340"/>
        <w:spacing w:after="0" w:line="225" w:lineRule="auto"/>
        <w:rPr>
          <w:sz w:val="20"/>
          <w:szCs w:val="20"/>
          <w:color w:val="auto"/>
        </w:rPr>
      </w:pPr>
      <w:r>
        <w:rPr>
          <w:rFonts w:ascii="Calibri" w:cs="Calibri" w:eastAsia="Calibri" w:hAnsi="Calibri"/>
          <w:sz w:val="18"/>
          <w:szCs w:val="18"/>
          <w:color w:val="auto"/>
        </w:rPr>
        <w:t>Basic loss per share is calculated using the weighted-average number of shares outstanding during the period. The diluted earnings (loss) per share refects the potental diluton of Common Share equivalents, such as outstanding stock optons and warrants, in the weighted average number of Common Shares outstanding during the period, if they are dilutve.</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Currency translaton</w:t>
      </w:r>
    </w:p>
    <w:p>
      <w:pPr>
        <w:spacing w:after="0" w:line="226"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All fgures presented in the consolidated fnancial statements are refected in Canadian dollars unless otherwise noted.</w:t>
      </w:r>
    </w:p>
    <w:p>
      <w:pPr>
        <w:spacing w:after="0" w:line="231" w:lineRule="exact"/>
        <w:rPr>
          <w:sz w:val="20"/>
          <w:szCs w:val="20"/>
          <w:color w:val="auto"/>
        </w:rPr>
      </w:pPr>
    </w:p>
    <w:p>
      <w:pPr>
        <w:jc w:val="both"/>
        <w:ind w:left="340"/>
        <w:spacing w:after="0" w:line="225" w:lineRule="auto"/>
        <w:rPr>
          <w:sz w:val="20"/>
          <w:szCs w:val="20"/>
          <w:color w:val="auto"/>
        </w:rPr>
      </w:pPr>
      <w:r>
        <w:rPr>
          <w:rFonts w:ascii="Calibri" w:cs="Calibri" w:eastAsia="Calibri" w:hAnsi="Calibri"/>
          <w:sz w:val="18"/>
          <w:szCs w:val="18"/>
          <w:color w:val="auto"/>
        </w:rPr>
        <w:t>Foreign currency transactons are translated into Canadian dollars at exchange rates in efect on the date of the transactons. Monetary assets and liabilites denominated in foreign currencies at the statement of fnancial positon date are translated to Canadian dollars at the foreign exchange rate applicable as that date. Realized and unrealized exchange gains and losses are recognized through proft or loss.</w:t>
      </w:r>
    </w:p>
    <w:p>
      <w:pPr>
        <w:spacing w:after="0" w:line="233" w:lineRule="exact"/>
        <w:rPr>
          <w:sz w:val="20"/>
          <w:szCs w:val="20"/>
          <w:color w:val="auto"/>
        </w:rPr>
      </w:pPr>
    </w:p>
    <w:p>
      <w:pPr>
        <w:jc w:val="both"/>
        <w:ind w:left="340"/>
        <w:spacing w:after="0" w:line="225" w:lineRule="auto"/>
        <w:rPr>
          <w:sz w:val="20"/>
          <w:szCs w:val="20"/>
          <w:color w:val="auto"/>
        </w:rPr>
      </w:pPr>
      <w:r>
        <w:rPr>
          <w:rFonts w:ascii="Calibri" w:cs="Calibri" w:eastAsia="Calibri" w:hAnsi="Calibri"/>
          <w:sz w:val="18"/>
          <w:szCs w:val="18"/>
          <w:color w:val="auto"/>
        </w:rPr>
        <w:t>The assets and liabilites of foreign operatons are translated into Canadian dollars at period-end exchange rates. Income and expenses, and cash fows of foreign operatons are translated into Canadian dollars using average exchange rates. Exchange diferences resultng from translatng foreign operatons are recognized in other comprehensive income (loss) and accumulated in shareholders’ equity.</w:t>
      </w:r>
    </w:p>
    <w:p>
      <w:pPr>
        <w:spacing w:after="0" w:line="233" w:lineRule="exact"/>
        <w:rPr>
          <w:sz w:val="20"/>
          <w:szCs w:val="20"/>
          <w:color w:val="auto"/>
        </w:rPr>
      </w:pPr>
    </w:p>
    <w:p>
      <w:pPr>
        <w:jc w:val="both"/>
        <w:ind w:left="340"/>
        <w:spacing w:after="0" w:line="225" w:lineRule="auto"/>
        <w:rPr>
          <w:sz w:val="20"/>
          <w:szCs w:val="20"/>
          <w:color w:val="auto"/>
        </w:rPr>
      </w:pPr>
      <w:r>
        <w:rPr>
          <w:rFonts w:ascii="Calibri" w:cs="Calibri" w:eastAsia="Calibri" w:hAnsi="Calibri"/>
          <w:sz w:val="18"/>
          <w:szCs w:val="18"/>
          <w:color w:val="auto"/>
        </w:rPr>
        <w:t>Foreign currency translaton gains or losses arising from a monetary item receivable or payable to a foreign operaton, the setlement of which is neither planned nor likely to occur in the foreseeable future and which in substance is considered to form part of the net investment in the foreign operaton, are recognized in other comprehensive income (loss) in the translaton reserve.</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u w:val="single" w:color="auto"/>
          <w:color w:val="auto"/>
        </w:rPr>
        <w:t>Provisions</w:t>
      </w:r>
    </w:p>
    <w:p>
      <w:pPr>
        <w:spacing w:after="0" w:line="231" w:lineRule="exact"/>
        <w:rPr>
          <w:sz w:val="20"/>
          <w:szCs w:val="20"/>
          <w:color w:val="auto"/>
        </w:rPr>
      </w:pPr>
    </w:p>
    <w:p>
      <w:pPr>
        <w:jc w:val="both"/>
        <w:ind w:left="340"/>
        <w:spacing w:after="0" w:line="220" w:lineRule="auto"/>
        <w:rPr>
          <w:sz w:val="20"/>
          <w:szCs w:val="20"/>
          <w:color w:val="auto"/>
        </w:rPr>
      </w:pPr>
      <w:r>
        <w:rPr>
          <w:rFonts w:ascii="Calibri" w:cs="Calibri" w:eastAsia="Calibri" w:hAnsi="Calibri"/>
          <w:sz w:val="18"/>
          <w:szCs w:val="18"/>
          <w:color w:val="auto"/>
        </w:rPr>
        <w:t>Provisions are recorded when a present legal or constructve obligaton exists as a result of past events where it is probable that an outlow of resources embodying economic benefts will be required to setle the obligaton, and a reliable estmate of the amount of the obligaton can be made.</w:t>
      </w:r>
    </w:p>
    <w:p>
      <w:pPr>
        <w:spacing w:after="0" w:line="232" w:lineRule="exact"/>
        <w:rPr>
          <w:sz w:val="20"/>
          <w:szCs w:val="20"/>
          <w:color w:val="auto"/>
        </w:rPr>
      </w:pPr>
    </w:p>
    <w:p>
      <w:pPr>
        <w:jc w:val="both"/>
        <w:ind w:left="340"/>
        <w:spacing w:after="0" w:line="225" w:lineRule="auto"/>
        <w:rPr>
          <w:sz w:val="20"/>
          <w:szCs w:val="20"/>
          <w:color w:val="auto"/>
        </w:rPr>
      </w:pPr>
      <w:r>
        <w:rPr>
          <w:rFonts w:ascii="Calibri" w:cs="Calibri" w:eastAsia="Calibri" w:hAnsi="Calibri"/>
          <w:sz w:val="18"/>
          <w:szCs w:val="18"/>
          <w:color w:val="auto"/>
        </w:rPr>
        <w:t>The amount recognized as a provision is the best estmate of the consideraton required to setle the present obligaton at the statement of fnancial positon date, taking into account the risks and uncertaintes surrounding the obligaton. Where a provision is measured using the cash fows estmated to setle the present obligaton, its carrying amount is the present value of those cash fows. When some or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Page 21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24" w:name="page25"/>
    <w:bookmarkEnd w:id="24"/>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left="80"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340"/>
        <w:spacing w:after="0" w:line="227" w:lineRule="auto"/>
        <w:rPr>
          <w:sz w:val="20"/>
          <w:szCs w:val="20"/>
          <w:color w:val="auto"/>
        </w:rPr>
      </w:pPr>
      <w:r>
        <w:rPr>
          <w:rFonts w:ascii="Calibri" w:cs="Calibri" w:eastAsia="Calibri" w:hAnsi="Calibri"/>
          <w:sz w:val="18"/>
          <w:szCs w:val="18"/>
          <w:color w:val="auto"/>
        </w:rPr>
        <w:t>economic benefts required to setle, a provision is expected to be recovered from a third party, the receivable is recognized as an asset if it is virtually certain that reimbursement will be received and the amount receivable can be measured reliably.</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u w:val="single" w:color="auto"/>
          <w:color w:val="auto"/>
        </w:rPr>
        <w:t>New standards and interpretatons not yet adopted</w:t>
      </w:r>
    </w:p>
    <w:p>
      <w:pPr>
        <w:spacing w:after="0" w:line="231" w:lineRule="exact"/>
        <w:rPr>
          <w:sz w:val="20"/>
          <w:szCs w:val="20"/>
          <w:color w:val="auto"/>
        </w:rPr>
      </w:pPr>
    </w:p>
    <w:p>
      <w:pPr>
        <w:jc w:val="both"/>
        <w:ind w:left="340"/>
        <w:spacing w:after="0" w:line="225" w:lineRule="auto"/>
        <w:rPr>
          <w:sz w:val="20"/>
          <w:szCs w:val="20"/>
          <w:color w:val="auto"/>
        </w:rPr>
      </w:pPr>
      <w:r>
        <w:rPr>
          <w:rFonts w:ascii="Calibri" w:cs="Calibri" w:eastAsia="Calibri" w:hAnsi="Calibri"/>
          <w:sz w:val="18"/>
          <w:szCs w:val="18"/>
          <w:color w:val="auto"/>
        </w:rPr>
        <w:t>A number of new standards, amendments to standards and interpretatons are not yet efectve at March 31, 2022, and have not been applied in preparing these consolidated fnancial statements. Management has determined that none of these will have a signifcant efect on consolidated fnancial statements of the Company.</w:t>
      </w:r>
    </w:p>
    <w:p>
      <w:pPr>
        <w:spacing w:after="0" w:line="174" w:lineRule="exact"/>
        <w:rPr>
          <w:sz w:val="20"/>
          <w:szCs w:val="20"/>
          <w:color w:val="auto"/>
        </w:rPr>
      </w:pPr>
    </w:p>
    <w:p>
      <w:pPr>
        <w:ind w:left="320" w:hanging="312"/>
        <w:spacing w:after="0"/>
        <w:tabs>
          <w:tab w:leader="none" w:pos="320" w:val="left"/>
        </w:tabs>
        <w:numPr>
          <w:ilvl w:val="0"/>
          <w:numId w:val="10"/>
        </w:numPr>
        <w:rPr>
          <w:rFonts w:ascii="Calibri" w:cs="Calibri" w:eastAsia="Calibri" w:hAnsi="Calibri"/>
          <w:sz w:val="18"/>
          <w:szCs w:val="18"/>
          <w:b w:val="1"/>
          <w:bCs w:val="1"/>
          <w:color w:val="2D5F91"/>
        </w:rPr>
      </w:pPr>
      <w:r>
        <w:rPr>
          <w:rFonts w:ascii="Calibri" w:cs="Calibri" w:eastAsia="Calibri" w:hAnsi="Calibri"/>
          <w:sz w:val="18"/>
          <w:szCs w:val="18"/>
          <w:b w:val="1"/>
          <w:bCs w:val="1"/>
          <w:color w:val="2D5F91"/>
        </w:rPr>
        <w:t>CRITICAL ACCOUNTING ESTIMATES AND JUDGEMENTS</w:t>
      </w:r>
    </w:p>
    <w:p>
      <w:pPr>
        <w:spacing w:after="0" w:line="230" w:lineRule="exact"/>
        <w:rPr>
          <w:rFonts w:ascii="Calibri" w:cs="Calibri" w:eastAsia="Calibri" w:hAnsi="Calibri"/>
          <w:sz w:val="18"/>
          <w:szCs w:val="18"/>
          <w:b w:val="1"/>
          <w:bCs w:val="1"/>
          <w:color w:val="2D5F91"/>
        </w:rPr>
      </w:pPr>
    </w:p>
    <w:p>
      <w:pPr>
        <w:jc w:val="both"/>
        <w:ind w:left="340"/>
        <w:spacing w:after="0" w:line="221" w:lineRule="auto"/>
        <w:rPr>
          <w:rFonts w:ascii="Calibri" w:cs="Calibri" w:eastAsia="Calibri" w:hAnsi="Calibri"/>
          <w:sz w:val="18"/>
          <w:szCs w:val="18"/>
          <w:b w:val="1"/>
          <w:bCs w:val="1"/>
          <w:color w:val="2D5F91"/>
        </w:rPr>
      </w:pPr>
      <w:r>
        <w:rPr>
          <w:rFonts w:ascii="Calibri" w:cs="Calibri" w:eastAsia="Calibri" w:hAnsi="Calibri"/>
          <w:sz w:val="18"/>
          <w:szCs w:val="18"/>
          <w:color w:val="auto"/>
        </w:rPr>
        <w:t>The preparaton of these consolidated fnancial statements requires management to make certain estmates, judgments and assumptons that afect the reported amounts of assets and liabilites at the date of the consolidated fnancial statements and reported amounts of expenses during the reportng year. Actual outcomes could difer from these estmates. These Consolidated Financial Statements include estmates which, by their nature, are uncertain. The impacts of such estmates are pervasive throughout the consolidated fnancial statements and may require accountng adjustments based on future occurrences. Revisions to accountng estmates are recognized in the year in which the estmate is revised and future years if the revision afects both current and future years. These estmates are based on historical experience, current and future economic conditons and other factors, including expectatons of future events that are believed to be reasonable under the circumstances.</w:t>
      </w:r>
    </w:p>
    <w:p>
      <w:pPr>
        <w:spacing w:after="0" w:line="230" w:lineRule="exact"/>
        <w:rPr>
          <w:rFonts w:ascii="Calibri" w:cs="Calibri" w:eastAsia="Calibri" w:hAnsi="Calibri"/>
          <w:sz w:val="18"/>
          <w:szCs w:val="18"/>
          <w:b w:val="1"/>
          <w:bCs w:val="1"/>
          <w:color w:val="2D5F91"/>
        </w:rPr>
      </w:pPr>
    </w:p>
    <w:p>
      <w:pPr>
        <w:ind w:left="340"/>
        <w:spacing w:after="0" w:line="227" w:lineRule="auto"/>
        <w:rPr>
          <w:rFonts w:ascii="Calibri" w:cs="Calibri" w:eastAsia="Calibri" w:hAnsi="Calibri"/>
          <w:sz w:val="18"/>
          <w:szCs w:val="18"/>
          <w:b w:val="1"/>
          <w:bCs w:val="1"/>
          <w:color w:val="2D5F91"/>
        </w:rPr>
      </w:pPr>
      <w:r>
        <w:rPr>
          <w:rFonts w:ascii="Calibri" w:cs="Calibri" w:eastAsia="Calibri" w:hAnsi="Calibri"/>
          <w:sz w:val="18"/>
          <w:szCs w:val="18"/>
          <w:color w:val="auto"/>
        </w:rPr>
        <w:t>Judgments, estmates and assumptons that have the most signifcant efect on the amounts recognized in the consolidated fnancial statements include warrants and fair value of share-based payments (note 10) and the fair value of fnancial instruments (note 15).</w:t>
      </w:r>
    </w:p>
    <w:p>
      <w:pPr>
        <w:spacing w:after="0" w:line="227" w:lineRule="exact"/>
        <w:rPr>
          <w:rFonts w:ascii="Calibri" w:cs="Calibri" w:eastAsia="Calibri" w:hAnsi="Calibri"/>
          <w:sz w:val="18"/>
          <w:szCs w:val="18"/>
          <w:b w:val="1"/>
          <w:bCs w:val="1"/>
          <w:color w:val="2D5F91"/>
        </w:rPr>
      </w:pPr>
    </w:p>
    <w:p>
      <w:pPr>
        <w:ind w:left="340"/>
        <w:spacing w:after="0"/>
        <w:rPr>
          <w:rFonts w:ascii="Calibri" w:cs="Calibri" w:eastAsia="Calibri" w:hAnsi="Calibri"/>
          <w:sz w:val="18"/>
          <w:szCs w:val="18"/>
          <w:b w:val="1"/>
          <w:bCs w:val="1"/>
          <w:color w:val="2D5F91"/>
        </w:rPr>
      </w:pPr>
      <w:r>
        <w:rPr>
          <w:rFonts w:ascii="Calibri" w:cs="Calibri" w:eastAsia="Calibri" w:hAnsi="Calibri"/>
          <w:sz w:val="18"/>
          <w:szCs w:val="18"/>
          <w:b w:val="1"/>
          <w:bCs w:val="1"/>
          <w:i w:val="1"/>
          <w:iCs w:val="1"/>
          <w:color w:val="auto"/>
        </w:rPr>
        <w:t>Ability to contnue as a going concern</w:t>
      </w:r>
    </w:p>
    <w:p>
      <w:pPr>
        <w:spacing w:after="0" w:line="230" w:lineRule="exact"/>
        <w:rPr>
          <w:rFonts w:ascii="Calibri" w:cs="Calibri" w:eastAsia="Calibri" w:hAnsi="Calibri"/>
          <w:sz w:val="18"/>
          <w:szCs w:val="18"/>
          <w:b w:val="1"/>
          <w:bCs w:val="1"/>
          <w:color w:val="2D5F91"/>
        </w:rPr>
      </w:pPr>
    </w:p>
    <w:p>
      <w:pPr>
        <w:ind w:left="340"/>
        <w:spacing w:after="0" w:line="227" w:lineRule="auto"/>
        <w:rPr>
          <w:rFonts w:ascii="Calibri" w:cs="Calibri" w:eastAsia="Calibri" w:hAnsi="Calibri"/>
          <w:sz w:val="18"/>
          <w:szCs w:val="18"/>
          <w:b w:val="1"/>
          <w:bCs w:val="1"/>
          <w:color w:val="2D5F91"/>
        </w:rPr>
      </w:pPr>
      <w:r>
        <w:rPr>
          <w:rFonts w:ascii="Calibri" w:cs="Calibri" w:eastAsia="Calibri" w:hAnsi="Calibri"/>
          <w:sz w:val="18"/>
          <w:szCs w:val="18"/>
          <w:color w:val="auto"/>
        </w:rPr>
        <w:t>In order to assess whether it is appropriate for the Company to contnue as a going concern, management is required to apply judgment and make estmates with respect to future cash fow projectons.</w:t>
      </w:r>
    </w:p>
    <w:p>
      <w:pPr>
        <w:spacing w:after="0" w:line="232" w:lineRule="exact"/>
        <w:rPr>
          <w:sz w:val="20"/>
          <w:szCs w:val="20"/>
          <w:color w:val="auto"/>
        </w:rPr>
      </w:pPr>
    </w:p>
    <w:p>
      <w:pPr>
        <w:jc w:val="both"/>
        <w:ind w:left="340"/>
        <w:spacing w:after="0" w:line="227" w:lineRule="auto"/>
        <w:rPr>
          <w:sz w:val="20"/>
          <w:szCs w:val="20"/>
          <w:color w:val="auto"/>
        </w:rPr>
      </w:pPr>
      <w:r>
        <w:rPr>
          <w:rFonts w:ascii="Calibri" w:cs="Calibri" w:eastAsia="Calibri" w:hAnsi="Calibri"/>
          <w:sz w:val="18"/>
          <w:szCs w:val="18"/>
          <w:color w:val="auto"/>
        </w:rPr>
        <w:t>In arriving at this judgment, there were a number of assumptons and estmates involved in calculatng these future cash fow projectons. This includes making estmates regarding the tming and amounts of future expenditures and the ability and tming of raising additonal fnancing.</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Business combinatons</w:t>
      </w:r>
    </w:p>
    <w:p>
      <w:pPr>
        <w:spacing w:after="0" w:line="231" w:lineRule="exact"/>
        <w:rPr>
          <w:sz w:val="20"/>
          <w:szCs w:val="20"/>
          <w:color w:val="auto"/>
        </w:rPr>
      </w:pPr>
    </w:p>
    <w:p>
      <w:pPr>
        <w:jc w:val="both"/>
        <w:ind w:left="340"/>
        <w:spacing w:after="0" w:line="220" w:lineRule="auto"/>
        <w:rPr>
          <w:sz w:val="20"/>
          <w:szCs w:val="20"/>
          <w:color w:val="auto"/>
        </w:rPr>
      </w:pPr>
      <w:r>
        <w:rPr>
          <w:rFonts w:ascii="Calibri" w:cs="Calibri" w:eastAsia="Calibri" w:hAnsi="Calibri"/>
          <w:sz w:val="18"/>
          <w:szCs w:val="18"/>
          <w:color w:val="auto"/>
        </w:rPr>
        <w:t>A business combinaton is a transacton or event in which an acquirer obtains control of one or more businesses and is accounted for using the acquisiton method. The total consideraton paid for the acquisiton is the aggregate of the fair values of assets given, liabilites incurred or assumed, and equity instruments issued in exchange for control of the acquiree at the acquisiton date. The acquisiton date is the date where the Company obtains control of the acquiree. The identfable assets acquired and liabilites assumed are recognized at their acquisiton date fair values, except for deferred taxes and share-based payment awards where IFRS provides exceptons to recording the amounts at fair value. Acquisiton costs are expensed to proft or loss.</w:t>
      </w:r>
    </w:p>
    <w:p>
      <w:pPr>
        <w:spacing w:after="0" w:line="236" w:lineRule="exact"/>
        <w:rPr>
          <w:sz w:val="20"/>
          <w:szCs w:val="20"/>
          <w:color w:val="auto"/>
        </w:rPr>
      </w:pPr>
    </w:p>
    <w:p>
      <w:pPr>
        <w:jc w:val="both"/>
        <w:ind w:left="340" w:right="20"/>
        <w:spacing w:after="0" w:line="227" w:lineRule="auto"/>
        <w:rPr>
          <w:sz w:val="20"/>
          <w:szCs w:val="20"/>
          <w:color w:val="auto"/>
        </w:rPr>
      </w:pPr>
      <w:r>
        <w:rPr>
          <w:rFonts w:ascii="Calibri" w:cs="Calibri" w:eastAsia="Calibri" w:hAnsi="Calibri"/>
          <w:sz w:val="18"/>
          <w:szCs w:val="18"/>
          <w:color w:val="auto"/>
        </w:rPr>
        <w:t>Contngent consideraton is measured at its acquisiton-date fair value and included as part of the consideraton transferred in a business combinaton. Contngent consideraton that is classifed as equity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Page 22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25" w:name="page26"/>
    <w:bookmarkEnd w:id="25"/>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left="80"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340"/>
        <w:spacing w:after="0" w:line="225" w:lineRule="auto"/>
        <w:rPr>
          <w:sz w:val="20"/>
          <w:szCs w:val="20"/>
          <w:color w:val="auto"/>
        </w:rPr>
      </w:pPr>
      <w:r>
        <w:rPr>
          <w:rFonts w:ascii="Calibri" w:cs="Calibri" w:eastAsia="Calibri" w:hAnsi="Calibri"/>
          <w:sz w:val="18"/>
          <w:szCs w:val="18"/>
          <w:color w:val="auto"/>
        </w:rPr>
        <w:t>remeasured at subsequent reportng dates and its subsequent setlement is accounted for within equity. Contngent consideraton that is classifed as an asset or a liability is remeasured at subsequent reportng dates in accordance with IFRS 9, or IAS 37 Provisions, Contngent Liabilites and Contngent Assets, as appropriate, with the corresponding gain or loss being recognized in proft or loss.</w:t>
      </w:r>
    </w:p>
    <w:p>
      <w:pPr>
        <w:spacing w:after="0" w:line="233" w:lineRule="exact"/>
        <w:rPr>
          <w:sz w:val="20"/>
          <w:szCs w:val="20"/>
          <w:color w:val="auto"/>
        </w:rPr>
      </w:pPr>
    </w:p>
    <w:p>
      <w:pPr>
        <w:jc w:val="both"/>
        <w:ind w:left="340"/>
        <w:spacing w:after="0" w:line="224" w:lineRule="auto"/>
        <w:rPr>
          <w:sz w:val="20"/>
          <w:szCs w:val="20"/>
          <w:color w:val="auto"/>
        </w:rPr>
      </w:pPr>
      <w:r>
        <w:rPr>
          <w:rFonts w:ascii="Calibri" w:cs="Calibri" w:eastAsia="Calibri" w:hAnsi="Calibri"/>
          <w:sz w:val="18"/>
          <w:szCs w:val="18"/>
          <w:color w:val="auto"/>
        </w:rPr>
        <w:t>Non-controlling interest in the acquiree, if any, is recognized either at fair value or at the non-controlling interest’s proportonate share of the acquiree’s net assets, determined on an acquisiton-by-acquisiton basis. For each acquisiton, the excess of total consideraton, the fair value of previously held equity interest prior to obtaining control and the non-controlling interest in the acquiree, over the fair value of the identfable net asset acquired, is recorded as goodwill.</w:t>
      </w:r>
    </w:p>
    <w:p>
      <w:pPr>
        <w:spacing w:after="0" w:line="219" w:lineRule="exact"/>
        <w:rPr>
          <w:sz w:val="20"/>
          <w:szCs w:val="20"/>
          <w:color w:val="auto"/>
        </w:rPr>
      </w:pPr>
    </w:p>
    <w:p>
      <w:pPr>
        <w:jc w:val="both"/>
        <w:ind w:left="340"/>
        <w:spacing w:after="0" w:line="224" w:lineRule="auto"/>
        <w:rPr>
          <w:sz w:val="20"/>
          <w:szCs w:val="20"/>
          <w:color w:val="auto"/>
        </w:rPr>
      </w:pPr>
      <w:r>
        <w:rPr>
          <w:rFonts w:ascii="Calibri" w:cs="Calibri" w:eastAsia="Calibri" w:hAnsi="Calibri"/>
          <w:sz w:val="18"/>
          <w:szCs w:val="18"/>
          <w:color w:val="auto"/>
        </w:rPr>
        <w:t>Certain fair values may be estmated at the acquisiton date pending confrmaton or completon of the valuaton process. Where provisional values are used in accountng for a business combinaton, they may be adjusted retrospectvely in subsequent periods. The measurement period is the period from the acquisiton date to the date complete informaton about facts and circumstances that existed as of the acquisiton date is received. However, the measurement period does not exceed one year from the acquisiton date.</w:t>
      </w:r>
    </w:p>
    <w:p>
      <w:pPr>
        <w:spacing w:after="0" w:line="233" w:lineRule="exact"/>
        <w:rPr>
          <w:sz w:val="20"/>
          <w:szCs w:val="20"/>
          <w:color w:val="auto"/>
        </w:rPr>
      </w:pPr>
    </w:p>
    <w:p>
      <w:pPr>
        <w:jc w:val="both"/>
        <w:ind w:left="340" w:right="20"/>
        <w:spacing w:after="0" w:line="227" w:lineRule="auto"/>
        <w:rPr>
          <w:sz w:val="20"/>
          <w:szCs w:val="20"/>
          <w:color w:val="auto"/>
        </w:rPr>
      </w:pPr>
      <w:r>
        <w:rPr>
          <w:rFonts w:ascii="Calibri" w:cs="Calibri" w:eastAsia="Calibri" w:hAnsi="Calibri"/>
          <w:sz w:val="18"/>
          <w:szCs w:val="18"/>
          <w:color w:val="auto"/>
        </w:rPr>
        <w:t>Acquisitons that do not meet the defniton of a business combinaton are accounted for as an asset acquisiton. Consideraton paid for an asset acquisiton is allocated to the individual identfable assets acquired and liabilites assumed based on their relatve fair values.</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Share based payments</w:t>
      </w:r>
    </w:p>
    <w:p>
      <w:pPr>
        <w:spacing w:after="0" w:line="231" w:lineRule="exact"/>
        <w:rPr>
          <w:sz w:val="20"/>
          <w:szCs w:val="20"/>
          <w:color w:val="auto"/>
        </w:rPr>
      </w:pPr>
    </w:p>
    <w:p>
      <w:pPr>
        <w:jc w:val="both"/>
        <w:ind w:left="340"/>
        <w:spacing w:after="0" w:line="225" w:lineRule="auto"/>
        <w:rPr>
          <w:sz w:val="20"/>
          <w:szCs w:val="20"/>
          <w:color w:val="auto"/>
        </w:rPr>
      </w:pPr>
      <w:r>
        <w:rPr>
          <w:rFonts w:ascii="Calibri" w:cs="Calibri" w:eastAsia="Calibri" w:hAnsi="Calibri"/>
          <w:sz w:val="18"/>
          <w:szCs w:val="18"/>
          <w:color w:val="auto"/>
        </w:rPr>
        <w:t>The fair value of share-based compensaton expenses are estmated using the Black-Scholes opton pricing model and rely on a number of estmates, such as the expected life of the opton, the volatlity of the underlying share price, the risk-free rate of return, and the estmated rate of forfeiture of optons or warrants granted.</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color w:val="auto"/>
        </w:rPr>
        <w:t>Impairment of non-fnancial assets</w:t>
      </w:r>
    </w:p>
    <w:p>
      <w:pPr>
        <w:spacing w:after="0" w:line="231" w:lineRule="exact"/>
        <w:rPr>
          <w:sz w:val="20"/>
          <w:szCs w:val="20"/>
          <w:color w:val="auto"/>
        </w:rPr>
      </w:pPr>
    </w:p>
    <w:p>
      <w:pPr>
        <w:jc w:val="both"/>
        <w:ind w:left="340"/>
        <w:spacing w:after="0" w:line="221" w:lineRule="auto"/>
        <w:rPr>
          <w:sz w:val="20"/>
          <w:szCs w:val="20"/>
          <w:color w:val="auto"/>
        </w:rPr>
      </w:pPr>
      <w:r>
        <w:rPr>
          <w:rFonts w:ascii="Calibri" w:cs="Calibri" w:eastAsia="Calibri" w:hAnsi="Calibri"/>
          <w:sz w:val="18"/>
          <w:szCs w:val="18"/>
          <w:color w:val="auto"/>
        </w:rPr>
        <w:t>Impairment exists when the carrying value of an asset or cash generatng unit exceeds its recoverable amount, which is the higher of its fair value less costs of disposal and its value in use. The fair value less costs of disposal calculaton is based on available data from binding sales transactons, conducted at arm’s length, for similar assets or observable market prices less incremental costs of disposing of the asset. The value in use calculaton is based on a discounted cash fow (“DCF”) model. The cash fows are derived from the forecast for the next ten years and do not include restructuring actvites that the Company is not yet commited to or signifcant future investments that will enhance the performance of the assets of the CGU being tested. The determinaton of the Company’s CGUs is based on management’s judgement. The recoverable amount is sensitve to the discount rate used for the DCF model as well as the expected future cash-infows and the growth rate used for extrapolaton purposes. These estmates are most relevant to goodwill and other intangibles with indefnite useful lives recognised by the Company. Future events could cause the assumptons used in the impairment review to change with a consequental adverse efect on the results of the Company.</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Income Taxes</w:t>
      </w:r>
    </w:p>
    <w:p>
      <w:pPr>
        <w:spacing w:after="0" w:line="231" w:lineRule="exact"/>
        <w:rPr>
          <w:sz w:val="20"/>
          <w:szCs w:val="20"/>
          <w:color w:val="auto"/>
        </w:rPr>
      </w:pPr>
    </w:p>
    <w:p>
      <w:pPr>
        <w:jc w:val="both"/>
        <w:ind w:left="340"/>
        <w:spacing w:after="0" w:line="223" w:lineRule="auto"/>
        <w:rPr>
          <w:sz w:val="20"/>
          <w:szCs w:val="20"/>
          <w:color w:val="auto"/>
        </w:rPr>
      </w:pPr>
      <w:r>
        <w:rPr>
          <w:rFonts w:ascii="Calibri" w:cs="Calibri" w:eastAsia="Calibri" w:hAnsi="Calibri"/>
          <w:sz w:val="18"/>
          <w:szCs w:val="18"/>
          <w:color w:val="auto"/>
        </w:rPr>
        <w:t>The Company computed an income tax provision in accordance with the applicable income tax laws. However, actual amounts of income tax expense only become fnal upon fling and acceptance of the tax return by the relevant authorites, which occurs subsequent to the issuance of the consolidated fnancial statements. Additonally, estmaton of income taxes includes evaluaton the recoverability of deferred tax assets based on an assessment of the ability to use the underlying future tax deductons before they expire against future taxable income. The assessment is based upon existng tax laws and estmates of future taxable income.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Page 23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26" w:name="page27"/>
    <w:bookmarkEnd w:id="26"/>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60"/>
        <w:spacing w:after="0" w:line="227" w:lineRule="auto"/>
        <w:rPr>
          <w:sz w:val="20"/>
          <w:szCs w:val="20"/>
          <w:color w:val="auto"/>
        </w:rPr>
      </w:pPr>
      <w:r>
        <w:rPr>
          <w:rFonts w:ascii="Calibri" w:cs="Calibri" w:eastAsia="Calibri" w:hAnsi="Calibri"/>
          <w:sz w:val="18"/>
          <w:szCs w:val="18"/>
          <w:color w:val="auto"/>
        </w:rPr>
        <w:t>income tax provision is based on estmates of full-year earnings by jurisdicton. The average annual efectve income tax rates are re-estmated at the end of each reportng period. To the extent that estmates and forecasts difer from actual results, adjustments are recorded in subsequent periods.</w:t>
      </w:r>
    </w:p>
    <w:p>
      <w:pPr>
        <w:spacing w:after="0" w:line="160" w:lineRule="exact"/>
        <w:rPr>
          <w:sz w:val="20"/>
          <w:szCs w:val="20"/>
          <w:color w:val="auto"/>
        </w:rPr>
      </w:pPr>
    </w:p>
    <w:p>
      <w:pPr>
        <w:ind w:left="420" w:hanging="168"/>
        <w:spacing w:after="0"/>
        <w:tabs>
          <w:tab w:leader="none" w:pos="420" w:val="left"/>
        </w:tabs>
        <w:numPr>
          <w:ilvl w:val="0"/>
          <w:numId w:val="11"/>
        </w:numPr>
        <w:rPr>
          <w:rFonts w:ascii="Calibri" w:cs="Calibri" w:eastAsia="Calibri" w:hAnsi="Calibri"/>
          <w:sz w:val="18"/>
          <w:szCs w:val="18"/>
          <w:b w:val="1"/>
          <w:bCs w:val="1"/>
          <w:color w:val="365F91"/>
        </w:rPr>
      </w:pPr>
      <w:r>
        <w:rPr>
          <w:rFonts w:ascii="Calibri" w:cs="Calibri" w:eastAsia="Calibri" w:hAnsi="Calibri"/>
          <w:sz w:val="18"/>
          <w:szCs w:val="18"/>
          <w:b w:val="1"/>
          <w:bCs w:val="1"/>
          <w:color w:val="2D5F91"/>
        </w:rPr>
        <w:t>ACQUISITIONS</w:t>
      </w:r>
    </w:p>
    <w:p>
      <w:pPr>
        <w:spacing w:after="0" w:line="231" w:lineRule="exact"/>
        <w:rPr>
          <w:sz w:val="20"/>
          <w:szCs w:val="20"/>
          <w:color w:val="auto"/>
        </w:rPr>
      </w:pPr>
    </w:p>
    <w:p>
      <w:pPr>
        <w:jc w:val="both"/>
        <w:ind w:left="260"/>
        <w:spacing w:after="0" w:line="224" w:lineRule="auto"/>
        <w:rPr>
          <w:sz w:val="20"/>
          <w:szCs w:val="20"/>
          <w:color w:val="auto"/>
        </w:rPr>
      </w:pPr>
      <w:r>
        <w:rPr>
          <w:rFonts w:ascii="Calibri" w:cs="Calibri" w:eastAsia="Calibri" w:hAnsi="Calibri"/>
          <w:sz w:val="18"/>
          <w:szCs w:val="18"/>
          <w:color w:val="auto"/>
        </w:rPr>
        <w:t>On August 21, 2020, Cybin Corp. entered into a non-binding leter of intent (“LOI”) to acquire 51% of the fully diluted common shares of Adelia. The LOI included providing Adelia with the working capital needed for ongoing operatons untl completon of the Adelia Transacton. In this respect, on September 3, 2020 US$500 was advanced bearing interest at 10% per annum, compounded daily, commencing on January 1, 2021 and, on November 16, 2020, Cybin Corp. advanced an additonal US$215 to Adelia. The total advances were approximately $912.</w:t>
      </w:r>
    </w:p>
    <w:p>
      <w:pPr>
        <w:spacing w:after="0" w:line="233" w:lineRule="exact"/>
        <w:rPr>
          <w:sz w:val="20"/>
          <w:szCs w:val="20"/>
          <w:color w:val="auto"/>
        </w:rPr>
      </w:pPr>
    </w:p>
    <w:p>
      <w:pPr>
        <w:jc w:val="both"/>
        <w:ind w:left="260"/>
        <w:spacing w:after="0" w:line="224" w:lineRule="auto"/>
        <w:rPr>
          <w:sz w:val="20"/>
          <w:szCs w:val="20"/>
          <w:color w:val="auto"/>
        </w:rPr>
      </w:pPr>
      <w:r>
        <w:rPr>
          <w:rFonts w:ascii="Calibri" w:cs="Calibri" w:eastAsia="Calibri" w:hAnsi="Calibri"/>
          <w:sz w:val="18"/>
          <w:szCs w:val="18"/>
          <w:color w:val="auto"/>
        </w:rPr>
        <w:t>On December 4, 2020, Cybin entered into a contributon agreement (the “Contributon Agreement”) with Cybin Corp., Cybin US, a newly formed fully-controlled subsidiary of Cybin created for the purposes of the Adelia Transacton, and all of the shareholders of Adelia (the “Adelia Shareholders”) whereby Cybin US agreed to purchase from the Adelia Shareholders all of the issued and outstanding common shares of Adelia (the “Adelia Shares”) in exchange for Class B Shares. The Adelia Transacton closed on December 14, 2020 (the “Closing”).</w:t>
      </w:r>
    </w:p>
    <w:p>
      <w:pPr>
        <w:spacing w:after="0" w:line="219"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Pursuant to the Contributon Agreement, the Adelia Shareholders contributed all of the Adelia Shares to Cybin US as a capital contributon in exchange for Cybin US issuing to them, in the aggregate, 868,833 Class B Shares in accordance with their respectve pro rata percentages at a price per Class B Share equal to $12.40. The aggregate fair value of the Class B Shares to be issued to the Adelia Shareholders on the Closing was $19,549.</w:t>
      </w:r>
    </w:p>
    <w:p>
      <w:pPr>
        <w:spacing w:after="0" w:line="233" w:lineRule="exact"/>
        <w:rPr>
          <w:sz w:val="20"/>
          <w:szCs w:val="20"/>
          <w:color w:val="auto"/>
        </w:rPr>
      </w:pPr>
    </w:p>
    <w:p>
      <w:pPr>
        <w:jc w:val="both"/>
        <w:ind w:left="260"/>
        <w:spacing w:after="0" w:line="222" w:lineRule="auto"/>
        <w:rPr>
          <w:sz w:val="20"/>
          <w:szCs w:val="20"/>
          <w:color w:val="auto"/>
        </w:rPr>
      </w:pPr>
      <w:r>
        <w:rPr>
          <w:rFonts w:ascii="Calibri" w:cs="Calibri" w:eastAsia="Calibri" w:hAnsi="Calibri"/>
          <w:sz w:val="18"/>
          <w:szCs w:val="18"/>
          <w:color w:val="auto"/>
        </w:rPr>
        <w:t>The Class B Shares issued by Cybin US to the Adelia Shareholders are exchangeable for Common Shares on a 10 Common Shares for 1 Class B Share basis, at the opton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are exchangeable prior to the frst anniversary of the Closing and not more than: (i) 33 1/3% of the Class B Shares are to be exchangeable prior to the second anniversary of Closing; (ii) 66 2/3% of the Class B Shares are to be exchangeable prior to the third anniversary of Closing; and (iii) thereafer, 100% of the Class B Shares are to be exchangeable ((i), (ii) and (iii), (collectvely, the “Hold Periods”). The Class B Shares issued to the Adelia Shareholders upon the Closing are exchangeable for a total of 8,688,330 Common Shares, resultng in an efectve issue price of $1.24 per Common Share.</w:t>
      </w:r>
    </w:p>
    <w:p>
      <w:pPr>
        <w:spacing w:after="0" w:line="237" w:lineRule="exact"/>
        <w:rPr>
          <w:sz w:val="20"/>
          <w:szCs w:val="20"/>
          <w:color w:val="auto"/>
        </w:rPr>
      </w:pPr>
    </w:p>
    <w:p>
      <w:pPr>
        <w:jc w:val="both"/>
        <w:ind w:left="260"/>
        <w:spacing w:after="0" w:line="234" w:lineRule="auto"/>
        <w:rPr>
          <w:sz w:val="20"/>
          <w:szCs w:val="20"/>
          <w:color w:val="auto"/>
        </w:rPr>
      </w:pPr>
      <w:r>
        <w:rPr>
          <w:rFonts w:ascii="Calibri" w:cs="Calibri" w:eastAsia="Calibri" w:hAnsi="Calibri"/>
          <w:sz w:val="17"/>
          <w:szCs w:val="17"/>
          <w:color w:val="auto"/>
        </w:rPr>
        <w:t>On the occurrence of certain milestones as set out in the Contributon Agreement (each a “Milestone”), Cybin US is to issue to the Adelia Shareholders in accordance with their pro rata percentage, on or before the 2nd business day following the relevant date at which the Company issues a press release announcing the achievement of the Milestone (the “Milestone Determinaton Date”), such number of Class B Shares as shall be determined by dividing the applicable milestone consideraton, as set out in the Contributon Agreement (or where some, but not all, of such sub-Milestone’s in the relevant fscal quarter are achieved, such lesser poton of such milestone consideraton) as is determined in accordance with applicable Milestone, by the greater of: (i) $7.50; and (ii) ten tmes the greater of (x) the 10 day volume weighted average price of the Common Shares; and (y) the closing market price of the Common Shares, in each case, on the close of business on the last business day preceding the Milestone Determinaton Date. If a partcular Milestone has not been achieved by the close of the quarter immediately following the quarter in which such Milestone is scheduled for completon pursuant to the Contributon Agreement, Cybin US’s obligaton to issue Class B Shares on the occurrence of the applicable Milestone shall expire. The total value of the Class B Shares issuable pursuant to the Milestones is approximately $9,388, assuming all Milestones are met prior to the applicable deadlines. As of March 31, 2022, 362,418.1 Class B Shares had been issued on the achievement of Milestones.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24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71120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27" w:name="page28"/>
    <w:bookmarkEnd w:id="27"/>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260"/>
        <w:spacing w:after="0" w:line="223" w:lineRule="auto"/>
        <w:rPr>
          <w:sz w:val="20"/>
          <w:szCs w:val="20"/>
          <w:color w:val="auto"/>
        </w:rPr>
      </w:pPr>
      <w:r>
        <w:rPr>
          <w:rFonts w:ascii="Calibri" w:cs="Calibri" w:eastAsia="Calibri" w:hAnsi="Calibri"/>
          <w:sz w:val="18"/>
          <w:szCs w:val="18"/>
          <w:color w:val="auto"/>
        </w:rPr>
        <w:t>the Contributon Agreement, Cybin, Cybin US, and the Adelia Shareholders also entered into a support agreement dated December 14, 2020 (the “Support Agreement”), which for the purpose of Canadian securites law, is deemed a “security” as it is a document evidencing an interest in or to a security (i.e. the Common Shares), and, as such, consttutes a security of Cybin. Upon the signing of the Support Agreement, given that each of the Adelia Shareholders are an “accredited investor”, the prescribed restricted period (of (4) months and one (1) day afer the date of issuance) as required under Canadian securites law on the Common Shares (which are exchangeable for Class B Shares at a future date) will commence. Therefore, upon the exchange of the Class B Shares for the Common Shares, subject to the Hold Periods, such Common Shares will no longer be within a restrictve period as prescribed under applicable securites law and free trading securites.</w:t>
      </w:r>
    </w:p>
    <w:p>
      <w:pPr>
        <w:spacing w:after="0" w:line="218" w:lineRule="exact"/>
        <w:rPr>
          <w:sz w:val="20"/>
          <w:szCs w:val="20"/>
          <w:color w:val="auto"/>
        </w:rPr>
      </w:pPr>
    </w:p>
    <w:p>
      <w:pPr>
        <w:jc w:val="both"/>
        <w:ind w:left="260"/>
        <w:spacing w:after="0" w:line="223" w:lineRule="auto"/>
        <w:rPr>
          <w:sz w:val="20"/>
          <w:szCs w:val="20"/>
          <w:color w:val="auto"/>
        </w:rPr>
      </w:pPr>
      <w:r>
        <w:rPr>
          <w:rFonts w:ascii="Calibri" w:cs="Calibri" w:eastAsia="Calibri" w:hAnsi="Calibri"/>
          <w:sz w:val="18"/>
          <w:szCs w:val="18"/>
          <w:color w:val="auto"/>
        </w:rPr>
        <w:t>Pursuant to the Contributon Agreement certain Adelia Shareholders entered into advisory and/or executve employment arrangements with Cybin upon the Closing and, in such capacity, received, in the aggregate, a grant of optons to purchase up to 2,244,100 to acquire Common Shares, pursuant to Cybin’s equity incentve plan, exercisable for a period of fve (5) years and subject to vestng, at an exercise price of $1.74 per Common Share. An additonal 555,900 optons to acquire Common Shares were issued to eligible partcipants at the directon of the Adelia Shareholders following the Closing.</w:t>
      </w:r>
    </w:p>
    <w:p>
      <w:pPr>
        <w:spacing w:after="0" w:line="235"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In accordance with the measurement period permited under IFRS 3 - Business Combinatons, the fair value of the assets acquired, and liabilites assumed have been determined. Value is atributable to the patents, intellectual property, workforce, and other intangible assets that the Company acquired.</w:t>
      </w:r>
    </w:p>
    <w:p>
      <w:pPr>
        <w:spacing w:after="0" w:line="282"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2900" w:type="dxa"/>
            <w:vAlign w:val="bottom"/>
          </w:tcPr>
          <w:p>
            <w:pPr>
              <w:ind w:left="20"/>
              <w:spacing w:after="0"/>
              <w:rPr>
                <w:sz w:val="20"/>
                <w:szCs w:val="20"/>
                <w:color w:val="auto"/>
              </w:rPr>
            </w:pPr>
            <w:r>
              <w:rPr>
                <w:rFonts w:ascii="Calibri" w:cs="Calibri" w:eastAsia="Calibri" w:hAnsi="Calibri"/>
                <w:sz w:val="18"/>
                <w:szCs w:val="18"/>
                <w:b w:val="1"/>
                <w:bCs w:val="1"/>
                <w:color w:val="auto"/>
              </w:rPr>
              <w:t>Acquisiton Summary</w:t>
            </w:r>
          </w:p>
        </w:tc>
        <w:tc>
          <w:tcPr>
            <w:tcW w:w="4240" w:type="dxa"/>
            <w:vAlign w:val="bottom"/>
          </w:tcPr>
          <w:p>
            <w:pPr>
              <w:spacing w:after="0"/>
              <w:rPr>
                <w:sz w:val="19"/>
                <w:szCs w:val="19"/>
                <w:color w:val="auto"/>
              </w:rPr>
            </w:pPr>
          </w:p>
        </w:tc>
        <w:tc>
          <w:tcPr>
            <w:tcW w:w="3360" w:type="dxa"/>
            <w:vAlign w:val="bottom"/>
            <w:gridSpan w:val="2"/>
          </w:tcPr>
          <w:p>
            <w:pPr>
              <w:jc w:val="right"/>
              <w:ind w:right="40"/>
              <w:spacing w:after="0"/>
              <w:rPr>
                <w:sz w:val="20"/>
                <w:szCs w:val="20"/>
                <w:color w:val="auto"/>
              </w:rPr>
            </w:pPr>
            <w:r>
              <w:rPr>
                <w:rFonts w:ascii="Calibri" w:cs="Calibri" w:eastAsia="Calibri" w:hAnsi="Calibri"/>
                <w:sz w:val="18"/>
                <w:szCs w:val="18"/>
                <w:b w:val="1"/>
                <w:bCs w:val="1"/>
                <w:color w:val="auto"/>
              </w:rPr>
              <w:t>$000’s</w:t>
            </w:r>
          </w:p>
        </w:tc>
      </w:tr>
      <w:tr>
        <w:trPr>
          <w:trHeight w:val="51"/>
        </w:trPr>
        <w:tc>
          <w:tcPr>
            <w:tcW w:w="290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08"/>
        </w:trPr>
        <w:tc>
          <w:tcPr>
            <w:tcW w:w="2900" w:type="dxa"/>
            <w:vAlign w:val="bottom"/>
          </w:tcPr>
          <w:p>
            <w:pPr>
              <w:ind w:left="20"/>
              <w:spacing w:after="0" w:line="208" w:lineRule="exact"/>
              <w:rPr>
                <w:sz w:val="20"/>
                <w:szCs w:val="20"/>
                <w:color w:val="auto"/>
              </w:rPr>
            </w:pPr>
            <w:r>
              <w:rPr>
                <w:rFonts w:ascii="Calibri" w:cs="Calibri" w:eastAsia="Calibri" w:hAnsi="Calibri"/>
                <w:sz w:val="18"/>
                <w:szCs w:val="18"/>
                <w:color w:val="auto"/>
              </w:rPr>
              <w:t>Pre-acquisiton cash advances to Adelia</w:t>
            </w:r>
          </w:p>
        </w:tc>
        <w:tc>
          <w:tcPr>
            <w:tcW w:w="4240" w:type="dxa"/>
            <w:vAlign w:val="bottom"/>
          </w:tcPr>
          <w:p>
            <w:pPr>
              <w:spacing w:after="0"/>
              <w:rPr>
                <w:sz w:val="18"/>
                <w:szCs w:val="18"/>
                <w:color w:val="auto"/>
              </w:rPr>
            </w:pPr>
          </w:p>
        </w:tc>
        <w:tc>
          <w:tcPr>
            <w:tcW w:w="3320" w:type="dxa"/>
            <w:vAlign w:val="bottom"/>
          </w:tcPr>
          <w:p>
            <w:pPr>
              <w:jc w:val="right"/>
              <w:spacing w:after="0" w:line="208" w:lineRule="exact"/>
              <w:rPr>
                <w:sz w:val="20"/>
                <w:szCs w:val="20"/>
                <w:color w:val="auto"/>
              </w:rPr>
            </w:pPr>
            <w:r>
              <w:rPr>
                <w:rFonts w:ascii="Calibri" w:cs="Calibri" w:eastAsia="Calibri" w:hAnsi="Calibri"/>
                <w:sz w:val="18"/>
                <w:szCs w:val="18"/>
                <w:color w:val="auto"/>
              </w:rPr>
              <w:t>912</w:t>
            </w:r>
          </w:p>
        </w:tc>
        <w:tc>
          <w:tcPr>
            <w:tcW w:w="40" w:type="dxa"/>
            <w:vAlign w:val="bottom"/>
          </w:tcPr>
          <w:p>
            <w:pPr>
              <w:spacing w:after="0"/>
              <w:rPr>
                <w:sz w:val="18"/>
                <w:szCs w:val="18"/>
                <w:color w:val="auto"/>
              </w:rPr>
            </w:pPr>
          </w:p>
        </w:tc>
      </w:tr>
      <w:tr>
        <w:trPr>
          <w:trHeight w:val="248"/>
        </w:trPr>
        <w:tc>
          <w:tcPr>
            <w:tcW w:w="2900" w:type="dxa"/>
            <w:vAlign w:val="bottom"/>
          </w:tcPr>
          <w:p>
            <w:pPr>
              <w:ind w:left="20"/>
              <w:spacing w:after="0"/>
              <w:rPr>
                <w:sz w:val="20"/>
                <w:szCs w:val="20"/>
                <w:color w:val="auto"/>
              </w:rPr>
            </w:pPr>
            <w:r>
              <w:rPr>
                <w:rFonts w:ascii="Calibri" w:cs="Calibri" w:eastAsia="Calibri" w:hAnsi="Calibri"/>
                <w:sz w:val="18"/>
                <w:szCs w:val="18"/>
                <w:color w:val="auto"/>
              </w:rPr>
              <w:t>Share consideraton</w:t>
            </w:r>
          </w:p>
        </w:tc>
        <w:tc>
          <w:tcPr>
            <w:tcW w:w="4240" w:type="dxa"/>
            <w:vAlign w:val="bottom"/>
          </w:tcPr>
          <w:p>
            <w:pPr>
              <w:spacing w:after="0"/>
              <w:rPr>
                <w:sz w:val="21"/>
                <w:szCs w:val="21"/>
                <w:color w:val="auto"/>
              </w:rPr>
            </w:pPr>
          </w:p>
        </w:tc>
        <w:tc>
          <w:tcPr>
            <w:tcW w:w="3320" w:type="dxa"/>
            <w:vAlign w:val="bottom"/>
          </w:tcPr>
          <w:p>
            <w:pPr>
              <w:jc w:val="right"/>
              <w:spacing w:after="0"/>
              <w:rPr>
                <w:sz w:val="20"/>
                <w:szCs w:val="20"/>
                <w:color w:val="auto"/>
              </w:rPr>
            </w:pPr>
            <w:r>
              <w:rPr>
                <w:rFonts w:ascii="Calibri" w:cs="Calibri" w:eastAsia="Calibri" w:hAnsi="Calibri"/>
                <w:sz w:val="18"/>
                <w:szCs w:val="18"/>
                <w:color w:val="auto"/>
              </w:rPr>
              <w:t>19,549</w:t>
            </w:r>
          </w:p>
        </w:tc>
        <w:tc>
          <w:tcPr>
            <w:tcW w:w="40" w:type="dxa"/>
            <w:vAlign w:val="bottom"/>
          </w:tcPr>
          <w:p>
            <w:pPr>
              <w:spacing w:after="0"/>
              <w:rPr>
                <w:sz w:val="21"/>
                <w:szCs w:val="21"/>
                <w:color w:val="auto"/>
              </w:rPr>
            </w:pPr>
          </w:p>
        </w:tc>
      </w:tr>
      <w:tr>
        <w:trPr>
          <w:trHeight w:val="257"/>
        </w:trPr>
        <w:tc>
          <w:tcPr>
            <w:tcW w:w="2900" w:type="dxa"/>
            <w:vAlign w:val="bottom"/>
          </w:tcPr>
          <w:p>
            <w:pPr>
              <w:ind w:left="20"/>
              <w:spacing w:after="0"/>
              <w:rPr>
                <w:sz w:val="20"/>
                <w:szCs w:val="20"/>
                <w:color w:val="auto"/>
              </w:rPr>
            </w:pPr>
            <w:r>
              <w:rPr>
                <w:rFonts w:ascii="Calibri" w:cs="Calibri" w:eastAsia="Calibri" w:hAnsi="Calibri"/>
                <w:sz w:val="18"/>
                <w:szCs w:val="18"/>
                <w:color w:val="auto"/>
              </w:rPr>
              <w:t>Contngent consideraton</w:t>
            </w:r>
          </w:p>
        </w:tc>
        <w:tc>
          <w:tcPr>
            <w:tcW w:w="4240" w:type="dxa"/>
            <w:vAlign w:val="bottom"/>
          </w:tcPr>
          <w:p>
            <w:pPr>
              <w:spacing w:after="0"/>
              <w:rPr>
                <w:sz w:val="22"/>
                <w:szCs w:val="22"/>
                <w:color w:val="auto"/>
              </w:rPr>
            </w:pPr>
          </w:p>
        </w:tc>
        <w:tc>
          <w:tcPr>
            <w:tcW w:w="3320" w:type="dxa"/>
            <w:vAlign w:val="bottom"/>
          </w:tcPr>
          <w:p>
            <w:pPr>
              <w:jc w:val="right"/>
              <w:spacing w:after="0"/>
              <w:rPr>
                <w:sz w:val="20"/>
                <w:szCs w:val="20"/>
                <w:color w:val="auto"/>
              </w:rPr>
            </w:pPr>
            <w:r>
              <w:rPr>
                <w:rFonts w:ascii="Calibri" w:cs="Calibri" w:eastAsia="Calibri" w:hAnsi="Calibri"/>
                <w:sz w:val="18"/>
                <w:szCs w:val="18"/>
                <w:color w:val="auto"/>
              </w:rPr>
              <w:t>4,257</w:t>
            </w:r>
          </w:p>
        </w:tc>
        <w:tc>
          <w:tcPr>
            <w:tcW w:w="40" w:type="dxa"/>
            <w:vAlign w:val="bottom"/>
          </w:tcPr>
          <w:p>
            <w:pPr>
              <w:spacing w:after="0"/>
              <w:rPr>
                <w:sz w:val="22"/>
                <w:szCs w:val="22"/>
                <w:color w:val="auto"/>
              </w:rPr>
            </w:pPr>
          </w:p>
        </w:tc>
      </w:tr>
      <w:tr>
        <w:trPr>
          <w:trHeight w:val="50"/>
        </w:trPr>
        <w:tc>
          <w:tcPr>
            <w:tcW w:w="290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08"/>
        </w:trPr>
        <w:tc>
          <w:tcPr>
            <w:tcW w:w="2900" w:type="dxa"/>
            <w:vAlign w:val="bottom"/>
          </w:tcPr>
          <w:p>
            <w:pPr>
              <w:ind w:left="20"/>
              <w:spacing w:after="0" w:line="208" w:lineRule="exact"/>
              <w:rPr>
                <w:sz w:val="20"/>
                <w:szCs w:val="20"/>
                <w:color w:val="auto"/>
              </w:rPr>
            </w:pPr>
            <w:r>
              <w:rPr>
                <w:rFonts w:ascii="Calibri" w:cs="Calibri" w:eastAsia="Calibri" w:hAnsi="Calibri"/>
                <w:sz w:val="18"/>
                <w:szCs w:val="18"/>
                <w:b w:val="1"/>
                <w:bCs w:val="1"/>
                <w:color w:val="auto"/>
              </w:rPr>
              <w:t>Fair value of purchase consideraton</w:t>
            </w:r>
          </w:p>
        </w:tc>
        <w:tc>
          <w:tcPr>
            <w:tcW w:w="4240" w:type="dxa"/>
            <w:vAlign w:val="bottom"/>
          </w:tcPr>
          <w:p>
            <w:pPr>
              <w:spacing w:after="0"/>
              <w:rPr>
                <w:sz w:val="18"/>
                <w:szCs w:val="18"/>
                <w:color w:val="auto"/>
              </w:rPr>
            </w:pPr>
          </w:p>
        </w:tc>
        <w:tc>
          <w:tcPr>
            <w:tcW w:w="332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24,718</w:t>
            </w:r>
          </w:p>
        </w:tc>
        <w:tc>
          <w:tcPr>
            <w:tcW w:w="40" w:type="dxa"/>
            <w:vAlign w:val="bottom"/>
          </w:tcPr>
          <w:p>
            <w:pPr>
              <w:spacing w:after="0"/>
              <w:rPr>
                <w:sz w:val="18"/>
                <w:szCs w:val="18"/>
                <w:color w:val="auto"/>
              </w:rPr>
            </w:pPr>
          </w:p>
        </w:tc>
      </w:tr>
      <w:tr>
        <w:trPr>
          <w:trHeight w:val="42"/>
        </w:trPr>
        <w:tc>
          <w:tcPr>
            <w:tcW w:w="290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08"/>
        </w:trPr>
        <w:tc>
          <w:tcPr>
            <w:tcW w:w="2900" w:type="dxa"/>
            <w:vAlign w:val="bottom"/>
          </w:tcPr>
          <w:p>
            <w:pPr>
              <w:ind w:left="20"/>
              <w:spacing w:after="0" w:line="208" w:lineRule="exact"/>
              <w:rPr>
                <w:sz w:val="20"/>
                <w:szCs w:val="20"/>
                <w:color w:val="auto"/>
              </w:rPr>
            </w:pPr>
            <w:r>
              <w:rPr>
                <w:rFonts w:ascii="Calibri" w:cs="Calibri" w:eastAsia="Calibri" w:hAnsi="Calibri"/>
                <w:sz w:val="18"/>
                <w:szCs w:val="18"/>
                <w:i w:val="1"/>
                <w:iCs w:val="1"/>
                <w:color w:val="auto"/>
              </w:rPr>
              <w:t>Less:</w:t>
            </w:r>
          </w:p>
        </w:tc>
        <w:tc>
          <w:tcPr>
            <w:tcW w:w="4240" w:type="dxa"/>
            <w:vAlign w:val="bottom"/>
          </w:tcPr>
          <w:p>
            <w:pPr>
              <w:ind w:left="100"/>
              <w:spacing w:after="0" w:line="208" w:lineRule="exact"/>
              <w:rPr>
                <w:sz w:val="20"/>
                <w:szCs w:val="20"/>
                <w:color w:val="auto"/>
              </w:rPr>
            </w:pPr>
            <w:r>
              <w:rPr>
                <w:rFonts w:ascii="Calibri" w:cs="Calibri" w:eastAsia="Calibri" w:hAnsi="Calibri"/>
                <w:sz w:val="18"/>
                <w:szCs w:val="18"/>
                <w:color w:val="auto"/>
              </w:rPr>
              <w:t>Cash at closing</w:t>
            </w:r>
          </w:p>
        </w:tc>
        <w:tc>
          <w:tcPr>
            <w:tcW w:w="3320" w:type="dxa"/>
            <w:vAlign w:val="bottom"/>
          </w:tcPr>
          <w:p>
            <w:pPr>
              <w:jc w:val="right"/>
              <w:spacing w:after="0" w:line="208" w:lineRule="exact"/>
              <w:rPr>
                <w:sz w:val="20"/>
                <w:szCs w:val="20"/>
                <w:color w:val="auto"/>
              </w:rPr>
            </w:pPr>
            <w:r>
              <w:rPr>
                <w:rFonts w:ascii="Calibri" w:cs="Calibri" w:eastAsia="Calibri" w:hAnsi="Calibri"/>
                <w:sz w:val="18"/>
                <w:szCs w:val="18"/>
                <w:color w:val="auto"/>
              </w:rPr>
              <w:t>(65)</w:t>
            </w:r>
          </w:p>
        </w:tc>
        <w:tc>
          <w:tcPr>
            <w:tcW w:w="40" w:type="dxa"/>
            <w:vAlign w:val="bottom"/>
          </w:tcPr>
          <w:p>
            <w:pPr>
              <w:spacing w:after="0"/>
              <w:rPr>
                <w:sz w:val="18"/>
                <w:szCs w:val="18"/>
                <w:color w:val="auto"/>
              </w:rPr>
            </w:pPr>
          </w:p>
        </w:tc>
      </w:tr>
      <w:tr>
        <w:trPr>
          <w:trHeight w:val="248"/>
        </w:trPr>
        <w:tc>
          <w:tcPr>
            <w:tcW w:w="2900" w:type="dxa"/>
            <w:vAlign w:val="bottom"/>
          </w:tcPr>
          <w:p>
            <w:pPr>
              <w:ind w:left="20"/>
              <w:spacing w:after="0"/>
              <w:rPr>
                <w:sz w:val="20"/>
                <w:szCs w:val="20"/>
                <w:color w:val="auto"/>
              </w:rPr>
            </w:pPr>
            <w:r>
              <w:rPr>
                <w:rFonts w:ascii="Calibri" w:cs="Calibri" w:eastAsia="Calibri" w:hAnsi="Calibri"/>
                <w:sz w:val="18"/>
                <w:szCs w:val="18"/>
                <w:i w:val="1"/>
                <w:iCs w:val="1"/>
                <w:color w:val="auto"/>
              </w:rPr>
              <w:t>Plus:</w:t>
            </w:r>
          </w:p>
        </w:tc>
        <w:tc>
          <w:tcPr>
            <w:tcW w:w="4240" w:type="dxa"/>
            <w:vAlign w:val="bottom"/>
          </w:tcPr>
          <w:p>
            <w:pPr>
              <w:ind w:left="100"/>
              <w:spacing w:after="0"/>
              <w:rPr>
                <w:sz w:val="20"/>
                <w:szCs w:val="20"/>
                <w:color w:val="auto"/>
              </w:rPr>
            </w:pPr>
            <w:r>
              <w:rPr>
                <w:rFonts w:ascii="Calibri" w:cs="Calibri" w:eastAsia="Calibri" w:hAnsi="Calibri"/>
                <w:sz w:val="18"/>
                <w:szCs w:val="18"/>
                <w:color w:val="auto"/>
              </w:rPr>
              <w:t>Total debt assumed</w:t>
            </w:r>
          </w:p>
        </w:tc>
        <w:tc>
          <w:tcPr>
            <w:tcW w:w="3320" w:type="dxa"/>
            <w:vAlign w:val="bottom"/>
          </w:tcPr>
          <w:p>
            <w:pPr>
              <w:jc w:val="right"/>
              <w:spacing w:after="0"/>
              <w:rPr>
                <w:sz w:val="20"/>
                <w:szCs w:val="20"/>
                <w:color w:val="auto"/>
              </w:rPr>
            </w:pPr>
            <w:r>
              <w:rPr>
                <w:rFonts w:ascii="Calibri" w:cs="Calibri" w:eastAsia="Calibri" w:hAnsi="Calibri"/>
                <w:sz w:val="18"/>
                <w:szCs w:val="18"/>
                <w:color w:val="auto"/>
              </w:rPr>
              <w:t>111</w:t>
            </w:r>
          </w:p>
        </w:tc>
        <w:tc>
          <w:tcPr>
            <w:tcW w:w="40" w:type="dxa"/>
            <w:vAlign w:val="bottom"/>
          </w:tcPr>
          <w:p>
            <w:pPr>
              <w:spacing w:after="0"/>
              <w:rPr>
                <w:sz w:val="21"/>
                <w:szCs w:val="21"/>
                <w:color w:val="auto"/>
              </w:rPr>
            </w:pPr>
          </w:p>
        </w:tc>
      </w:tr>
      <w:tr>
        <w:trPr>
          <w:trHeight w:val="50"/>
        </w:trPr>
        <w:tc>
          <w:tcPr>
            <w:tcW w:w="290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08"/>
        </w:trPr>
        <w:tc>
          <w:tcPr>
            <w:tcW w:w="2900" w:type="dxa"/>
            <w:vAlign w:val="bottom"/>
          </w:tcPr>
          <w:p>
            <w:pPr>
              <w:ind w:left="20"/>
              <w:spacing w:after="0" w:line="208" w:lineRule="exact"/>
              <w:rPr>
                <w:sz w:val="20"/>
                <w:szCs w:val="20"/>
                <w:color w:val="auto"/>
              </w:rPr>
            </w:pPr>
            <w:r>
              <w:rPr>
                <w:rFonts w:ascii="Calibri" w:cs="Calibri" w:eastAsia="Calibri" w:hAnsi="Calibri"/>
                <w:sz w:val="18"/>
                <w:szCs w:val="18"/>
                <w:b w:val="1"/>
                <w:bCs w:val="1"/>
                <w:color w:val="auto"/>
              </w:rPr>
              <w:t>Enterprise value</w:t>
            </w:r>
          </w:p>
        </w:tc>
        <w:tc>
          <w:tcPr>
            <w:tcW w:w="4240" w:type="dxa"/>
            <w:vAlign w:val="bottom"/>
          </w:tcPr>
          <w:p>
            <w:pPr>
              <w:spacing w:after="0"/>
              <w:rPr>
                <w:sz w:val="18"/>
                <w:szCs w:val="18"/>
                <w:color w:val="auto"/>
              </w:rPr>
            </w:pPr>
          </w:p>
        </w:tc>
        <w:tc>
          <w:tcPr>
            <w:tcW w:w="332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24,764</w:t>
            </w:r>
          </w:p>
        </w:tc>
        <w:tc>
          <w:tcPr>
            <w:tcW w:w="40" w:type="dxa"/>
            <w:vAlign w:val="bottom"/>
          </w:tcPr>
          <w:p>
            <w:pPr>
              <w:spacing w:after="0"/>
              <w:rPr>
                <w:sz w:val="18"/>
                <w:szCs w:val="18"/>
                <w:color w:val="auto"/>
              </w:rPr>
            </w:pPr>
          </w:p>
        </w:tc>
      </w:tr>
      <w:tr>
        <w:trPr>
          <w:trHeight w:val="42"/>
        </w:trPr>
        <w:tc>
          <w:tcPr>
            <w:tcW w:w="290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550"/>
        </w:trPr>
        <w:tc>
          <w:tcPr>
            <w:tcW w:w="2900" w:type="dxa"/>
            <w:vAlign w:val="bottom"/>
          </w:tcPr>
          <w:p>
            <w:pPr>
              <w:ind w:left="20"/>
              <w:spacing w:after="0"/>
              <w:rPr>
                <w:sz w:val="20"/>
                <w:szCs w:val="20"/>
                <w:color w:val="auto"/>
              </w:rPr>
            </w:pPr>
            <w:r>
              <w:rPr>
                <w:rFonts w:ascii="Calibri" w:cs="Calibri" w:eastAsia="Calibri" w:hAnsi="Calibri"/>
                <w:sz w:val="18"/>
                <w:szCs w:val="18"/>
                <w:b w:val="1"/>
                <w:bCs w:val="1"/>
                <w:color w:val="auto"/>
              </w:rPr>
              <w:t>Allocaton of purchase price:</w:t>
            </w:r>
          </w:p>
        </w:tc>
        <w:tc>
          <w:tcPr>
            <w:tcW w:w="42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2900" w:type="dxa"/>
            <w:vAlign w:val="bottom"/>
          </w:tcPr>
          <w:p>
            <w:pPr>
              <w:ind w:left="380"/>
              <w:spacing w:after="0"/>
              <w:rPr>
                <w:sz w:val="20"/>
                <w:szCs w:val="20"/>
                <w:color w:val="auto"/>
              </w:rPr>
            </w:pPr>
            <w:r>
              <w:rPr>
                <w:rFonts w:ascii="Calibri" w:cs="Calibri" w:eastAsia="Calibri" w:hAnsi="Calibri"/>
                <w:sz w:val="18"/>
                <w:szCs w:val="18"/>
                <w:color w:val="auto"/>
              </w:rPr>
              <w:t>Current assets</w:t>
            </w:r>
          </w:p>
        </w:tc>
        <w:tc>
          <w:tcPr>
            <w:tcW w:w="4240" w:type="dxa"/>
            <w:vAlign w:val="bottom"/>
          </w:tcPr>
          <w:p>
            <w:pPr>
              <w:spacing w:after="0"/>
              <w:rPr>
                <w:sz w:val="22"/>
                <w:szCs w:val="22"/>
                <w:color w:val="auto"/>
              </w:rPr>
            </w:pPr>
          </w:p>
        </w:tc>
        <w:tc>
          <w:tcPr>
            <w:tcW w:w="3320" w:type="dxa"/>
            <w:vAlign w:val="bottom"/>
          </w:tcPr>
          <w:p>
            <w:pPr>
              <w:jc w:val="right"/>
              <w:spacing w:after="0"/>
              <w:rPr>
                <w:sz w:val="20"/>
                <w:szCs w:val="20"/>
                <w:color w:val="auto"/>
              </w:rPr>
            </w:pPr>
            <w:r>
              <w:rPr>
                <w:rFonts w:ascii="Calibri" w:cs="Calibri" w:eastAsia="Calibri" w:hAnsi="Calibri"/>
                <w:sz w:val="18"/>
                <w:szCs w:val="18"/>
                <w:color w:val="auto"/>
              </w:rPr>
              <w:t>43</w:t>
            </w:r>
          </w:p>
        </w:tc>
        <w:tc>
          <w:tcPr>
            <w:tcW w:w="40" w:type="dxa"/>
            <w:vAlign w:val="bottom"/>
          </w:tcPr>
          <w:p>
            <w:pPr>
              <w:spacing w:after="0"/>
              <w:rPr>
                <w:sz w:val="22"/>
                <w:szCs w:val="22"/>
                <w:color w:val="auto"/>
              </w:rPr>
            </w:pPr>
          </w:p>
        </w:tc>
      </w:tr>
      <w:tr>
        <w:trPr>
          <w:trHeight w:val="257"/>
        </w:trPr>
        <w:tc>
          <w:tcPr>
            <w:tcW w:w="2900" w:type="dxa"/>
            <w:vAlign w:val="bottom"/>
          </w:tcPr>
          <w:p>
            <w:pPr>
              <w:ind w:left="380"/>
              <w:spacing w:after="0"/>
              <w:rPr>
                <w:sz w:val="20"/>
                <w:szCs w:val="20"/>
                <w:color w:val="auto"/>
              </w:rPr>
            </w:pPr>
            <w:r>
              <w:rPr>
                <w:rFonts w:ascii="Calibri" w:cs="Calibri" w:eastAsia="Calibri" w:hAnsi="Calibri"/>
                <w:sz w:val="18"/>
                <w:szCs w:val="18"/>
                <w:color w:val="auto"/>
              </w:rPr>
              <w:t>Net Equipment</w:t>
            </w:r>
          </w:p>
        </w:tc>
        <w:tc>
          <w:tcPr>
            <w:tcW w:w="4240" w:type="dxa"/>
            <w:vAlign w:val="bottom"/>
          </w:tcPr>
          <w:p>
            <w:pPr>
              <w:spacing w:after="0"/>
              <w:rPr>
                <w:sz w:val="22"/>
                <w:szCs w:val="22"/>
                <w:color w:val="auto"/>
              </w:rPr>
            </w:pPr>
          </w:p>
        </w:tc>
        <w:tc>
          <w:tcPr>
            <w:tcW w:w="3320" w:type="dxa"/>
            <w:vAlign w:val="bottom"/>
          </w:tcPr>
          <w:p>
            <w:pPr>
              <w:jc w:val="right"/>
              <w:spacing w:after="0"/>
              <w:rPr>
                <w:sz w:val="20"/>
                <w:szCs w:val="20"/>
                <w:color w:val="auto"/>
              </w:rPr>
            </w:pPr>
            <w:r>
              <w:rPr>
                <w:rFonts w:ascii="Calibri" w:cs="Calibri" w:eastAsia="Calibri" w:hAnsi="Calibri"/>
                <w:sz w:val="18"/>
                <w:szCs w:val="18"/>
                <w:color w:val="auto"/>
              </w:rPr>
              <w:t>480</w:t>
            </w:r>
          </w:p>
        </w:tc>
        <w:tc>
          <w:tcPr>
            <w:tcW w:w="40" w:type="dxa"/>
            <w:vAlign w:val="bottom"/>
          </w:tcPr>
          <w:p>
            <w:pPr>
              <w:spacing w:after="0"/>
              <w:rPr>
                <w:sz w:val="22"/>
                <w:szCs w:val="22"/>
                <w:color w:val="auto"/>
              </w:rPr>
            </w:pPr>
          </w:p>
        </w:tc>
      </w:tr>
      <w:tr>
        <w:trPr>
          <w:trHeight w:val="256"/>
        </w:trPr>
        <w:tc>
          <w:tcPr>
            <w:tcW w:w="2900" w:type="dxa"/>
            <w:vAlign w:val="bottom"/>
          </w:tcPr>
          <w:p>
            <w:pPr>
              <w:ind w:left="380"/>
              <w:spacing w:after="0"/>
              <w:rPr>
                <w:sz w:val="20"/>
                <w:szCs w:val="20"/>
                <w:color w:val="auto"/>
              </w:rPr>
            </w:pPr>
            <w:r>
              <w:rPr>
                <w:rFonts w:ascii="Calibri" w:cs="Calibri" w:eastAsia="Calibri" w:hAnsi="Calibri"/>
                <w:sz w:val="18"/>
                <w:szCs w:val="18"/>
                <w:color w:val="auto"/>
              </w:rPr>
              <w:t>Patents</w:t>
            </w:r>
          </w:p>
        </w:tc>
        <w:tc>
          <w:tcPr>
            <w:tcW w:w="4240" w:type="dxa"/>
            <w:vAlign w:val="bottom"/>
          </w:tcPr>
          <w:p>
            <w:pPr>
              <w:spacing w:after="0"/>
              <w:rPr>
                <w:sz w:val="22"/>
                <w:szCs w:val="22"/>
                <w:color w:val="auto"/>
              </w:rPr>
            </w:pPr>
          </w:p>
        </w:tc>
        <w:tc>
          <w:tcPr>
            <w:tcW w:w="3320" w:type="dxa"/>
            <w:vAlign w:val="bottom"/>
          </w:tcPr>
          <w:p>
            <w:pPr>
              <w:jc w:val="right"/>
              <w:spacing w:after="0"/>
              <w:rPr>
                <w:sz w:val="20"/>
                <w:szCs w:val="20"/>
                <w:color w:val="auto"/>
              </w:rPr>
            </w:pPr>
            <w:r>
              <w:rPr>
                <w:rFonts w:ascii="Calibri" w:cs="Calibri" w:eastAsia="Calibri" w:hAnsi="Calibri"/>
                <w:sz w:val="18"/>
                <w:szCs w:val="18"/>
                <w:color w:val="auto"/>
              </w:rPr>
              <w:t>1,606</w:t>
            </w:r>
          </w:p>
        </w:tc>
        <w:tc>
          <w:tcPr>
            <w:tcW w:w="40" w:type="dxa"/>
            <w:vAlign w:val="bottom"/>
          </w:tcPr>
          <w:p>
            <w:pPr>
              <w:spacing w:after="0"/>
              <w:rPr>
                <w:sz w:val="22"/>
                <w:szCs w:val="22"/>
                <w:color w:val="auto"/>
              </w:rPr>
            </w:pPr>
          </w:p>
        </w:tc>
      </w:tr>
      <w:tr>
        <w:trPr>
          <w:trHeight w:val="257"/>
        </w:trPr>
        <w:tc>
          <w:tcPr>
            <w:tcW w:w="2900" w:type="dxa"/>
            <w:vAlign w:val="bottom"/>
          </w:tcPr>
          <w:p>
            <w:pPr>
              <w:ind w:left="380"/>
              <w:spacing w:after="0"/>
              <w:rPr>
                <w:sz w:val="20"/>
                <w:szCs w:val="20"/>
                <w:color w:val="auto"/>
              </w:rPr>
            </w:pPr>
            <w:r>
              <w:rPr>
                <w:rFonts w:ascii="Calibri" w:cs="Calibri" w:eastAsia="Calibri" w:hAnsi="Calibri"/>
                <w:sz w:val="18"/>
                <w:szCs w:val="18"/>
                <w:color w:val="auto"/>
              </w:rPr>
              <w:t>Liabilites assumed</w:t>
            </w:r>
          </w:p>
        </w:tc>
        <w:tc>
          <w:tcPr>
            <w:tcW w:w="4240" w:type="dxa"/>
            <w:vAlign w:val="bottom"/>
          </w:tcPr>
          <w:p>
            <w:pPr>
              <w:spacing w:after="0"/>
              <w:rPr>
                <w:sz w:val="22"/>
                <w:szCs w:val="22"/>
                <w:color w:val="auto"/>
              </w:rPr>
            </w:pPr>
          </w:p>
        </w:tc>
        <w:tc>
          <w:tcPr>
            <w:tcW w:w="3360" w:type="dxa"/>
            <w:vAlign w:val="bottom"/>
            <w:gridSpan w:val="2"/>
          </w:tcPr>
          <w:p>
            <w:pPr>
              <w:jc w:val="right"/>
              <w:ind w:right="40"/>
              <w:spacing w:after="0"/>
              <w:rPr>
                <w:sz w:val="20"/>
                <w:szCs w:val="20"/>
                <w:color w:val="auto"/>
              </w:rPr>
            </w:pPr>
            <w:r>
              <w:rPr>
                <w:rFonts w:ascii="Calibri" w:cs="Calibri" w:eastAsia="Calibri" w:hAnsi="Calibri"/>
                <w:sz w:val="18"/>
                <w:szCs w:val="18"/>
                <w:color w:val="auto"/>
              </w:rPr>
              <w:t>(735)</w:t>
            </w:r>
          </w:p>
        </w:tc>
      </w:tr>
      <w:tr>
        <w:trPr>
          <w:trHeight w:val="256"/>
        </w:trPr>
        <w:tc>
          <w:tcPr>
            <w:tcW w:w="2900" w:type="dxa"/>
            <w:vAlign w:val="bottom"/>
          </w:tcPr>
          <w:p>
            <w:pPr>
              <w:ind w:left="380"/>
              <w:spacing w:after="0"/>
              <w:rPr>
                <w:sz w:val="20"/>
                <w:szCs w:val="20"/>
                <w:color w:val="auto"/>
              </w:rPr>
            </w:pPr>
            <w:r>
              <w:rPr>
                <w:rFonts w:ascii="Calibri" w:cs="Calibri" w:eastAsia="Calibri" w:hAnsi="Calibri"/>
                <w:sz w:val="18"/>
                <w:szCs w:val="18"/>
                <w:color w:val="auto"/>
              </w:rPr>
              <w:t>Goodwill</w:t>
            </w:r>
          </w:p>
        </w:tc>
        <w:tc>
          <w:tcPr>
            <w:tcW w:w="4240" w:type="dxa"/>
            <w:vAlign w:val="bottom"/>
          </w:tcPr>
          <w:p>
            <w:pPr>
              <w:spacing w:after="0"/>
              <w:rPr>
                <w:sz w:val="22"/>
                <w:szCs w:val="22"/>
                <w:color w:val="auto"/>
              </w:rPr>
            </w:pPr>
          </w:p>
        </w:tc>
        <w:tc>
          <w:tcPr>
            <w:tcW w:w="3320" w:type="dxa"/>
            <w:vAlign w:val="bottom"/>
          </w:tcPr>
          <w:p>
            <w:pPr>
              <w:jc w:val="right"/>
              <w:spacing w:after="0"/>
              <w:rPr>
                <w:sz w:val="20"/>
                <w:szCs w:val="20"/>
                <w:color w:val="auto"/>
              </w:rPr>
            </w:pPr>
            <w:r>
              <w:rPr>
                <w:rFonts w:ascii="Calibri" w:cs="Calibri" w:eastAsia="Calibri" w:hAnsi="Calibri"/>
                <w:sz w:val="18"/>
                <w:szCs w:val="18"/>
                <w:color w:val="auto"/>
              </w:rPr>
              <w:t>23,370</w:t>
            </w:r>
          </w:p>
        </w:tc>
        <w:tc>
          <w:tcPr>
            <w:tcW w:w="40" w:type="dxa"/>
            <w:vAlign w:val="bottom"/>
          </w:tcPr>
          <w:p>
            <w:pPr>
              <w:spacing w:after="0"/>
              <w:rPr>
                <w:sz w:val="22"/>
                <w:szCs w:val="22"/>
                <w:color w:val="auto"/>
              </w:rPr>
            </w:pPr>
          </w:p>
        </w:tc>
      </w:tr>
      <w:tr>
        <w:trPr>
          <w:trHeight w:val="50"/>
        </w:trPr>
        <w:tc>
          <w:tcPr>
            <w:tcW w:w="290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08"/>
        </w:trPr>
        <w:tc>
          <w:tcPr>
            <w:tcW w:w="2900" w:type="dxa"/>
            <w:vAlign w:val="bottom"/>
          </w:tcPr>
          <w:p>
            <w:pPr>
              <w:ind w:left="20"/>
              <w:spacing w:after="0" w:line="208" w:lineRule="exact"/>
              <w:rPr>
                <w:sz w:val="20"/>
                <w:szCs w:val="20"/>
                <w:color w:val="auto"/>
              </w:rPr>
            </w:pPr>
            <w:r>
              <w:rPr>
                <w:rFonts w:ascii="Calibri" w:cs="Calibri" w:eastAsia="Calibri" w:hAnsi="Calibri"/>
                <w:sz w:val="18"/>
                <w:szCs w:val="18"/>
                <w:b w:val="1"/>
                <w:bCs w:val="1"/>
                <w:color w:val="auto"/>
              </w:rPr>
              <w:t>Total allocaton of purchase price</w:t>
            </w:r>
          </w:p>
        </w:tc>
        <w:tc>
          <w:tcPr>
            <w:tcW w:w="4240" w:type="dxa"/>
            <w:vAlign w:val="bottom"/>
          </w:tcPr>
          <w:p>
            <w:pPr>
              <w:spacing w:after="0"/>
              <w:rPr>
                <w:sz w:val="18"/>
                <w:szCs w:val="18"/>
                <w:color w:val="auto"/>
              </w:rPr>
            </w:pPr>
          </w:p>
        </w:tc>
        <w:tc>
          <w:tcPr>
            <w:tcW w:w="332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24,764</w:t>
            </w:r>
          </w:p>
        </w:tc>
        <w:tc>
          <w:tcPr>
            <w:tcW w:w="40" w:type="dxa"/>
            <w:vAlign w:val="bottom"/>
          </w:tcPr>
          <w:p>
            <w:pPr>
              <w:spacing w:after="0"/>
              <w:rPr>
                <w:sz w:val="18"/>
                <w:szCs w:val="18"/>
                <w:color w:val="auto"/>
              </w:rPr>
            </w:pPr>
          </w:p>
        </w:tc>
      </w:tr>
      <w:tr>
        <w:trPr>
          <w:trHeight w:val="42"/>
        </w:trPr>
        <w:tc>
          <w:tcPr>
            <w:tcW w:w="290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25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28" w:name="page29"/>
    <w:bookmarkEnd w:id="28"/>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left="80"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340"/>
        <w:spacing w:after="0" w:line="227" w:lineRule="auto"/>
        <w:rPr>
          <w:sz w:val="20"/>
          <w:szCs w:val="20"/>
          <w:color w:val="auto"/>
        </w:rPr>
      </w:pPr>
      <w:r>
        <w:rPr>
          <w:rFonts w:ascii="Calibri" w:cs="Calibri" w:eastAsia="Calibri" w:hAnsi="Calibri"/>
          <w:sz w:val="18"/>
          <w:szCs w:val="18"/>
          <w:color w:val="auto"/>
        </w:rPr>
        <w:t>The following revenue and net income (loss) atributable subsequent to the Adelia Transacton are included in the Company’s consolidated fnancial statements for the year ended March 31, 2021:</w:t>
      </w:r>
    </w:p>
    <w:p>
      <w:pPr>
        <w:spacing w:after="0" w:line="295"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5280" w:type="dxa"/>
            <w:vAlign w:val="bottom"/>
          </w:tcPr>
          <w:p>
            <w:pPr>
              <w:spacing w:after="0"/>
              <w:rPr>
                <w:sz w:val="19"/>
                <w:szCs w:val="19"/>
                <w:color w:val="auto"/>
              </w:rPr>
            </w:pPr>
          </w:p>
        </w:tc>
        <w:tc>
          <w:tcPr>
            <w:tcW w:w="5180" w:type="dxa"/>
            <w:vAlign w:val="bottom"/>
          </w:tcPr>
          <w:p>
            <w:pPr>
              <w:jc w:val="right"/>
              <w:spacing w:after="0"/>
              <w:rPr>
                <w:sz w:val="20"/>
                <w:szCs w:val="20"/>
                <w:color w:val="auto"/>
              </w:rPr>
            </w:pPr>
            <w:r>
              <w:rPr>
                <w:rFonts w:ascii="Calibri" w:cs="Calibri" w:eastAsia="Calibri" w:hAnsi="Calibri"/>
                <w:sz w:val="18"/>
                <w:szCs w:val="18"/>
                <w:b w:val="1"/>
                <w:bCs w:val="1"/>
                <w:color w:val="auto"/>
              </w:rPr>
              <w:t>$000’s</w:t>
            </w:r>
          </w:p>
        </w:tc>
      </w:tr>
      <w:tr>
        <w:trPr>
          <w:trHeight w:val="50"/>
        </w:trPr>
        <w:tc>
          <w:tcPr>
            <w:tcW w:w="52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r>
      <w:tr>
        <w:trPr>
          <w:trHeight w:val="208"/>
        </w:trPr>
        <w:tc>
          <w:tcPr>
            <w:tcW w:w="5280" w:type="dxa"/>
            <w:vAlign w:val="bottom"/>
          </w:tcPr>
          <w:p>
            <w:pPr>
              <w:ind w:left="20"/>
              <w:spacing w:after="0" w:line="208" w:lineRule="exact"/>
              <w:rPr>
                <w:sz w:val="20"/>
                <w:szCs w:val="20"/>
                <w:color w:val="auto"/>
              </w:rPr>
            </w:pPr>
            <w:r>
              <w:rPr>
                <w:rFonts w:ascii="Calibri" w:cs="Calibri" w:eastAsia="Calibri" w:hAnsi="Calibri"/>
                <w:sz w:val="18"/>
                <w:szCs w:val="18"/>
                <w:color w:val="auto"/>
              </w:rPr>
              <w:t>Revenue</w:t>
            </w:r>
          </w:p>
        </w:tc>
        <w:tc>
          <w:tcPr>
            <w:tcW w:w="5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r>
      <w:tr>
        <w:trPr>
          <w:trHeight w:val="248"/>
        </w:trPr>
        <w:tc>
          <w:tcPr>
            <w:tcW w:w="5280" w:type="dxa"/>
            <w:vAlign w:val="bottom"/>
          </w:tcPr>
          <w:p>
            <w:pPr>
              <w:ind w:left="20"/>
              <w:spacing w:after="0"/>
              <w:rPr>
                <w:sz w:val="20"/>
                <w:szCs w:val="20"/>
                <w:color w:val="auto"/>
              </w:rPr>
            </w:pPr>
            <w:r>
              <w:rPr>
                <w:rFonts w:ascii="Calibri" w:cs="Calibri" w:eastAsia="Calibri" w:hAnsi="Calibri"/>
                <w:sz w:val="18"/>
                <w:szCs w:val="18"/>
                <w:color w:val="auto"/>
              </w:rPr>
              <w:t>Net loss</w:t>
            </w:r>
          </w:p>
        </w:tc>
        <w:tc>
          <w:tcPr>
            <w:tcW w:w="5180" w:type="dxa"/>
            <w:vAlign w:val="bottom"/>
          </w:tcPr>
          <w:p>
            <w:pPr>
              <w:jc w:val="right"/>
              <w:spacing w:after="0"/>
              <w:rPr>
                <w:sz w:val="20"/>
                <w:szCs w:val="20"/>
                <w:color w:val="auto"/>
              </w:rPr>
            </w:pPr>
            <w:r>
              <w:rPr>
                <w:rFonts w:ascii="Calibri" w:cs="Calibri" w:eastAsia="Calibri" w:hAnsi="Calibri"/>
                <w:sz w:val="18"/>
                <w:szCs w:val="18"/>
                <w:color w:val="auto"/>
              </w:rPr>
              <w:t>(1,876)</w:t>
            </w:r>
          </w:p>
        </w:tc>
      </w:tr>
      <w:tr>
        <w:trPr>
          <w:trHeight w:val="50"/>
        </w:trPr>
        <w:tc>
          <w:tcPr>
            <w:tcW w:w="52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r>
    </w:tbl>
    <w:p>
      <w:pPr>
        <w:spacing w:after="0" w:line="297"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Had the acquisiton occurred on April 1, 2020, the Company estmates that it would have reported the following consolidated revenue and net loss for</w:t>
      </w:r>
    </w:p>
    <w:tbl>
      <w:tblPr>
        <w:tblLayout w:type="fixed"/>
        <w:tblInd w:w="340" w:type="dxa"/>
        <w:tblCellMar>
          <w:top w:w="0" w:type="dxa"/>
          <w:left w:w="0" w:type="dxa"/>
          <w:bottom w:w="0" w:type="dxa"/>
          <w:right w:w="0" w:type="dxa"/>
        </w:tblCellMar>
      </w:tblPr>
      <w:tr>
        <w:trPr>
          <w:trHeight w:val="216"/>
        </w:trPr>
        <w:tc>
          <w:tcPr>
            <w:tcW w:w="1320" w:type="dxa"/>
            <w:vAlign w:val="bottom"/>
          </w:tcPr>
          <w:p>
            <w:pPr>
              <w:spacing w:after="0" w:line="216" w:lineRule="exact"/>
              <w:rPr>
                <w:sz w:val="20"/>
                <w:szCs w:val="20"/>
                <w:color w:val="auto"/>
              </w:rPr>
            </w:pPr>
            <w:r>
              <w:rPr>
                <w:rFonts w:ascii="Calibri" w:cs="Calibri" w:eastAsia="Calibri" w:hAnsi="Calibri"/>
                <w:sz w:val="18"/>
                <w:szCs w:val="18"/>
                <w:color w:val="auto"/>
              </w:rPr>
              <w:t>the</w:t>
            </w:r>
          </w:p>
        </w:tc>
        <w:tc>
          <w:tcPr>
            <w:tcW w:w="1860" w:type="dxa"/>
            <w:vAlign w:val="bottom"/>
          </w:tcPr>
          <w:p>
            <w:pPr>
              <w:ind w:left="680"/>
              <w:spacing w:after="0" w:line="216" w:lineRule="exact"/>
              <w:rPr>
                <w:sz w:val="20"/>
                <w:szCs w:val="20"/>
                <w:color w:val="auto"/>
              </w:rPr>
            </w:pPr>
            <w:r>
              <w:rPr>
                <w:rFonts w:ascii="Calibri" w:cs="Calibri" w:eastAsia="Calibri" w:hAnsi="Calibri"/>
                <w:sz w:val="18"/>
                <w:szCs w:val="18"/>
                <w:color w:val="auto"/>
              </w:rPr>
              <w:t>year</w:t>
            </w:r>
          </w:p>
        </w:tc>
        <w:tc>
          <w:tcPr>
            <w:tcW w:w="2220" w:type="dxa"/>
            <w:vAlign w:val="bottom"/>
          </w:tcPr>
          <w:p>
            <w:pPr>
              <w:ind w:left="900"/>
              <w:spacing w:after="0" w:line="216" w:lineRule="exact"/>
              <w:rPr>
                <w:sz w:val="20"/>
                <w:szCs w:val="20"/>
                <w:color w:val="auto"/>
              </w:rPr>
            </w:pPr>
            <w:r>
              <w:rPr>
                <w:rFonts w:ascii="Calibri" w:cs="Calibri" w:eastAsia="Calibri" w:hAnsi="Calibri"/>
                <w:sz w:val="18"/>
                <w:szCs w:val="18"/>
                <w:color w:val="auto"/>
              </w:rPr>
              <w:t>ended</w:t>
            </w:r>
          </w:p>
        </w:tc>
        <w:tc>
          <w:tcPr>
            <w:tcW w:w="2220" w:type="dxa"/>
            <w:vAlign w:val="bottom"/>
          </w:tcPr>
          <w:p>
            <w:pPr>
              <w:ind w:left="880"/>
              <w:spacing w:after="0" w:line="216" w:lineRule="exact"/>
              <w:rPr>
                <w:sz w:val="20"/>
                <w:szCs w:val="20"/>
                <w:color w:val="auto"/>
              </w:rPr>
            </w:pPr>
            <w:r>
              <w:rPr>
                <w:rFonts w:ascii="Calibri" w:cs="Calibri" w:eastAsia="Calibri" w:hAnsi="Calibri"/>
                <w:sz w:val="18"/>
                <w:szCs w:val="18"/>
                <w:color w:val="auto"/>
              </w:rPr>
              <w:t>March</w:t>
            </w:r>
          </w:p>
        </w:tc>
        <w:tc>
          <w:tcPr>
            <w:tcW w:w="1720" w:type="dxa"/>
            <w:vAlign w:val="bottom"/>
          </w:tcPr>
          <w:p>
            <w:pPr>
              <w:jc w:val="right"/>
              <w:ind w:right="510"/>
              <w:spacing w:after="0" w:line="216" w:lineRule="exact"/>
              <w:rPr>
                <w:sz w:val="20"/>
                <w:szCs w:val="20"/>
                <w:color w:val="auto"/>
              </w:rPr>
            </w:pPr>
            <w:r>
              <w:rPr>
                <w:rFonts w:ascii="Calibri" w:cs="Calibri" w:eastAsia="Calibri" w:hAnsi="Calibri"/>
                <w:sz w:val="18"/>
                <w:szCs w:val="18"/>
                <w:color w:val="auto"/>
              </w:rPr>
              <w:t>31,</w:t>
            </w:r>
          </w:p>
        </w:tc>
        <w:tc>
          <w:tcPr>
            <w:tcW w:w="156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2021:</w:t>
            </w:r>
          </w:p>
        </w:tc>
      </w:tr>
      <w:tr>
        <w:trPr>
          <w:trHeight w:val="499"/>
        </w:trPr>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gridSpan w:val="2"/>
          </w:tcPr>
          <w:p>
            <w:pPr>
              <w:jc w:val="right"/>
              <w:ind w:right="440"/>
              <w:spacing w:after="0"/>
              <w:rPr>
                <w:sz w:val="20"/>
                <w:szCs w:val="20"/>
                <w:color w:val="auto"/>
              </w:rPr>
            </w:pPr>
            <w:r>
              <w:rPr>
                <w:rFonts w:ascii="Calibri" w:cs="Calibri" w:eastAsia="Calibri" w:hAnsi="Calibri"/>
                <w:sz w:val="18"/>
                <w:szCs w:val="18"/>
                <w:b w:val="1"/>
                <w:bCs w:val="1"/>
                <w:color w:val="auto"/>
              </w:rPr>
              <w:t>$000’s</w:t>
            </w:r>
          </w:p>
        </w:tc>
      </w:tr>
      <w:tr>
        <w:trPr>
          <w:trHeight w:val="50"/>
        </w:trPr>
        <w:tc>
          <w:tcPr>
            <w:tcW w:w="13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r>
      <w:tr>
        <w:trPr>
          <w:trHeight w:val="208"/>
        </w:trPr>
        <w:tc>
          <w:tcPr>
            <w:tcW w:w="1320" w:type="dxa"/>
            <w:vAlign w:val="bottom"/>
            <w:tcBorders>
              <w:top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Revenue</w:t>
            </w:r>
          </w:p>
        </w:tc>
        <w:tc>
          <w:tcPr>
            <w:tcW w:w="186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440" w:type="dxa"/>
            <w:vAlign w:val="bottom"/>
          </w:tcPr>
          <w:p>
            <w:pPr>
              <w:spacing w:after="0"/>
              <w:rPr>
                <w:sz w:val="18"/>
                <w:szCs w:val="18"/>
                <w:color w:val="auto"/>
              </w:rPr>
            </w:pPr>
          </w:p>
        </w:tc>
      </w:tr>
      <w:tr>
        <w:trPr>
          <w:trHeight w:val="248"/>
        </w:trPr>
        <w:tc>
          <w:tcPr>
            <w:tcW w:w="1320" w:type="dxa"/>
            <w:vAlign w:val="bottom"/>
          </w:tcPr>
          <w:p>
            <w:pPr>
              <w:ind w:left="20"/>
              <w:spacing w:after="0"/>
              <w:rPr>
                <w:sz w:val="20"/>
                <w:szCs w:val="20"/>
                <w:color w:val="auto"/>
              </w:rPr>
            </w:pPr>
            <w:r>
              <w:rPr>
                <w:rFonts w:ascii="Calibri" w:cs="Calibri" w:eastAsia="Calibri" w:hAnsi="Calibri"/>
                <w:sz w:val="18"/>
                <w:szCs w:val="18"/>
                <w:color w:val="auto"/>
              </w:rPr>
              <w:t>Net loss</w:t>
            </w:r>
          </w:p>
        </w:tc>
        <w:tc>
          <w:tcPr>
            <w:tcW w:w="18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(3,191)</w:t>
            </w:r>
          </w:p>
        </w:tc>
        <w:tc>
          <w:tcPr>
            <w:tcW w:w="440" w:type="dxa"/>
            <w:vAlign w:val="bottom"/>
          </w:tcPr>
          <w:p>
            <w:pPr>
              <w:spacing w:after="0"/>
              <w:rPr>
                <w:sz w:val="21"/>
                <w:szCs w:val="21"/>
                <w:color w:val="auto"/>
              </w:rPr>
            </w:pPr>
          </w:p>
        </w:tc>
      </w:tr>
      <w:tr>
        <w:trPr>
          <w:trHeight w:val="50"/>
        </w:trPr>
        <w:tc>
          <w:tcPr>
            <w:tcW w:w="1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tabs>
          <w:tab w:leader="none" w:pos="280" w:val="left"/>
        </w:tabs>
        <w:rPr>
          <w:sz w:val="20"/>
          <w:szCs w:val="20"/>
          <w:color w:val="auto"/>
        </w:rPr>
      </w:pPr>
      <w:r>
        <w:rPr>
          <w:rFonts w:ascii="Calibri" w:cs="Calibri" w:eastAsia="Calibri" w:hAnsi="Calibri"/>
          <w:sz w:val="18"/>
          <w:szCs w:val="18"/>
          <w:b w:val="1"/>
          <w:bCs w:val="1"/>
          <w:color w:val="2D5F91"/>
        </w:rPr>
        <w:t>5.</w:t>
      </w:r>
      <w:r>
        <w:rPr>
          <w:sz w:val="20"/>
          <w:szCs w:val="20"/>
          <w:color w:val="auto"/>
        </w:rPr>
        <w:tab/>
      </w:r>
      <w:r>
        <w:rPr>
          <w:rFonts w:ascii="Calibri" w:cs="Calibri" w:eastAsia="Calibri" w:hAnsi="Calibri"/>
          <w:sz w:val="17"/>
          <w:szCs w:val="17"/>
          <w:b w:val="1"/>
          <w:bCs w:val="1"/>
          <w:color w:val="2D5F91"/>
        </w:rPr>
        <w:t>INVESTMENTS</w:t>
      </w:r>
    </w:p>
    <w:p>
      <w:pPr>
        <w:spacing w:after="0" w:line="244" w:lineRule="exact"/>
        <w:rPr>
          <w:sz w:val="20"/>
          <w:szCs w:val="20"/>
          <w:color w:val="auto"/>
        </w:rPr>
      </w:pPr>
    </w:p>
    <w:p>
      <w:pPr>
        <w:jc w:val="both"/>
        <w:ind w:left="340"/>
        <w:spacing w:after="0" w:line="227" w:lineRule="auto"/>
        <w:rPr>
          <w:sz w:val="20"/>
          <w:szCs w:val="20"/>
          <w:color w:val="auto"/>
        </w:rPr>
      </w:pPr>
      <w:r>
        <w:rPr>
          <w:rFonts w:ascii="Calibri" w:cs="Calibri" w:eastAsia="Calibri" w:hAnsi="Calibri"/>
          <w:sz w:val="18"/>
          <w:szCs w:val="18"/>
          <w:color w:val="auto"/>
        </w:rPr>
        <w:t>On June 8, 2021, the Company entered into a subscripton agreement with RxLive Limited (“RxLive”) whereby the Company purchased $250 of 10.0% unsecured convertble redeemable debentures (the “Rx Debentures”). RxLive is a UK-based online platorm that connects pharmacists and patents through a secure app that allows for pharmacist consultatons, inital or renewal prescripton fulflment and delivery of prescripton medicaton. The Rx Debentures mature and become due on June 8, 2022. The Rx Debentures were to be exchangeable or convertble into units at a price of equal to 80% of the ofering price of any equity fnancing completed by 1301376 B.C. Ltd. (“Finco”) concurrent with a go public transacton. Each unit was to consist of one common share of Finco (a “Finco Share”) and one Finco Share purchase warrant, with each warrant being exercisable to acquire one Finco Share at a price equal to 125% of the conversion price (the “Rx Conversion Feature”). As a result of the transacton, the Company recorded a hybrid fnancial instrument representng the Rx Debentures and the Rx Conversion Feature (the “Rx Hybrid Instrument”). The inital fair value of the Rx Hybrid Instrument was $250 determined by the sum of the fair values of the Rx Debenture and Rx Conversion Feature derived respectvely using the discounted cash fow approach and the Black-Scholes model. The go public transacton did not occur, and as a result the debentures did not convert into units. As at March 31, 2022, the amount of $242 was determined to represent the fair value of the Rx Debentures. Subsequent to March 31, 2022, the Company began negotatng the terms of the Rx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Page 26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29" w:name="page30"/>
    <w:bookmarkEnd w:id="29"/>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left="80" w:right="16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0" w:type="dxa"/>
            <w:vAlign w:val="bottom"/>
          </w:tcPr>
          <w:p>
            <w:pPr>
              <w:jc w:val="right"/>
              <w:spacing w:after="0"/>
              <w:rPr>
                <w:sz w:val="20"/>
                <w:szCs w:val="20"/>
                <w:color w:val="auto"/>
              </w:rPr>
            </w:pPr>
            <w:r>
              <w:rPr>
                <w:rFonts w:ascii="Calibri" w:cs="Calibri" w:eastAsia="Calibri" w:hAnsi="Calibri"/>
                <w:sz w:val="18"/>
                <w:szCs w:val="18"/>
                <w:b w:val="1"/>
                <w:bCs w:val="1"/>
                <w:color w:val="2D5F91"/>
                <w:w w:val="85"/>
              </w:rPr>
              <w:t>6.</w:t>
            </w:r>
          </w:p>
        </w:tc>
        <w:tc>
          <w:tcPr>
            <w:tcW w:w="4060" w:type="dxa"/>
            <w:vAlign w:val="bottom"/>
            <w:gridSpan w:val="2"/>
          </w:tcPr>
          <w:p>
            <w:pPr>
              <w:ind w:left="80"/>
              <w:spacing w:after="0"/>
              <w:rPr>
                <w:sz w:val="20"/>
                <w:szCs w:val="20"/>
                <w:color w:val="auto"/>
              </w:rPr>
            </w:pPr>
            <w:r>
              <w:rPr>
                <w:rFonts w:ascii="Calibri" w:cs="Calibri" w:eastAsia="Calibri" w:hAnsi="Calibri"/>
                <w:sz w:val="18"/>
                <w:szCs w:val="18"/>
                <w:b w:val="1"/>
                <w:bCs w:val="1"/>
                <w:color w:val="2D5F91"/>
              </w:rPr>
              <w:t>EQUIPMENT</w:t>
            </w:r>
          </w:p>
        </w:tc>
        <w:tc>
          <w:tcPr>
            <w:tcW w:w="29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5"/>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Calibri" w:cs="Calibri" w:eastAsia="Calibri" w:hAnsi="Calibri"/>
                <w:sz w:val="18"/>
                <w:szCs w:val="18"/>
                <w:color w:val="auto"/>
              </w:rPr>
              <w:t>Equipment consists as follows:</w:t>
            </w:r>
          </w:p>
        </w:tc>
        <w:tc>
          <w:tcPr>
            <w:tcW w:w="2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tcPr>
          <w:p>
            <w:pPr>
              <w:ind w:left="20"/>
              <w:spacing w:after="0"/>
              <w:rPr>
                <w:sz w:val="20"/>
                <w:szCs w:val="20"/>
                <w:color w:val="auto"/>
              </w:rPr>
            </w:pPr>
            <w:r>
              <w:rPr>
                <w:rFonts w:ascii="Calibri" w:cs="Calibri" w:eastAsia="Calibri" w:hAnsi="Calibri"/>
                <w:sz w:val="18"/>
                <w:szCs w:val="18"/>
                <w:b w:val="1"/>
                <w:bCs w:val="1"/>
                <w:color w:val="auto"/>
              </w:rPr>
              <w:t>Cost</w:t>
            </w:r>
          </w:p>
        </w:tc>
        <w:tc>
          <w:tcPr>
            <w:tcW w:w="2960" w:type="dxa"/>
            <w:vAlign w:val="bottom"/>
          </w:tcPr>
          <w:p>
            <w:pPr>
              <w:jc w:val="right"/>
              <w:ind w:right="490"/>
              <w:spacing w:after="0"/>
              <w:rPr>
                <w:sz w:val="20"/>
                <w:szCs w:val="20"/>
                <w:color w:val="auto"/>
              </w:rPr>
            </w:pPr>
            <w:r>
              <w:rPr>
                <w:rFonts w:ascii="Calibri" w:cs="Calibri" w:eastAsia="Calibri" w:hAnsi="Calibri"/>
                <w:sz w:val="18"/>
                <w:szCs w:val="18"/>
                <w:b w:val="1"/>
                <w:bCs w:val="1"/>
                <w:color w:val="auto"/>
              </w:rPr>
              <w:t>Lab Equipment</w:t>
            </w:r>
          </w:p>
        </w:tc>
        <w:tc>
          <w:tcPr>
            <w:tcW w:w="2400" w:type="dxa"/>
            <w:vAlign w:val="bottom"/>
          </w:tcPr>
          <w:p>
            <w:pPr>
              <w:jc w:val="right"/>
              <w:ind w:right="530"/>
              <w:spacing w:after="0"/>
              <w:rPr>
                <w:sz w:val="20"/>
                <w:szCs w:val="20"/>
                <w:color w:val="auto"/>
              </w:rPr>
            </w:pPr>
            <w:r>
              <w:rPr>
                <w:rFonts w:ascii="Calibri" w:cs="Calibri" w:eastAsia="Calibri" w:hAnsi="Calibri"/>
                <w:sz w:val="18"/>
                <w:szCs w:val="18"/>
                <w:b w:val="1"/>
                <w:bCs w:val="1"/>
                <w:color w:val="auto"/>
              </w:rPr>
              <w:t>Computer Equipment</w:t>
            </w:r>
          </w:p>
        </w:tc>
        <w:tc>
          <w:tcPr>
            <w:tcW w:w="1240" w:type="dxa"/>
            <w:vAlign w:val="bottom"/>
            <w:gridSpan w:val="2"/>
          </w:tcPr>
          <w:p>
            <w:pPr>
              <w:jc w:val="right"/>
              <w:ind w:right="60"/>
              <w:spacing w:after="0"/>
              <w:rPr>
                <w:sz w:val="20"/>
                <w:szCs w:val="20"/>
                <w:color w:val="auto"/>
              </w:rPr>
            </w:pPr>
            <w:r>
              <w:rPr>
                <w:rFonts w:ascii="Calibri" w:cs="Calibri" w:eastAsia="Calibri" w:hAnsi="Calibri"/>
                <w:sz w:val="18"/>
                <w:szCs w:val="18"/>
                <w:b w:val="1"/>
                <w:bCs w:val="1"/>
                <w:color w:val="auto"/>
              </w:rPr>
              <w:t>Total</w:t>
            </w:r>
          </w:p>
        </w:tc>
      </w:tr>
      <w:tr>
        <w:trPr>
          <w:trHeight w:val="230"/>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960" w:type="dxa"/>
            <w:vAlign w:val="bottom"/>
          </w:tcPr>
          <w:p>
            <w:pPr>
              <w:jc w:val="right"/>
              <w:ind w:right="490"/>
              <w:spacing w:after="0"/>
              <w:rPr>
                <w:sz w:val="20"/>
                <w:szCs w:val="20"/>
                <w:color w:val="auto"/>
              </w:rPr>
            </w:pPr>
            <w:r>
              <w:rPr>
                <w:rFonts w:ascii="Calibri" w:cs="Calibri" w:eastAsia="Calibri" w:hAnsi="Calibri"/>
                <w:sz w:val="18"/>
                <w:szCs w:val="18"/>
                <w:b w:val="1"/>
                <w:bCs w:val="1"/>
                <w:color w:val="auto"/>
              </w:rPr>
              <w:t>$000’s</w:t>
            </w:r>
          </w:p>
        </w:tc>
        <w:tc>
          <w:tcPr>
            <w:tcW w:w="2400" w:type="dxa"/>
            <w:vAlign w:val="bottom"/>
          </w:tcPr>
          <w:p>
            <w:pPr>
              <w:jc w:val="right"/>
              <w:ind w:right="530"/>
              <w:spacing w:after="0"/>
              <w:rPr>
                <w:sz w:val="20"/>
                <w:szCs w:val="20"/>
                <w:color w:val="auto"/>
              </w:rPr>
            </w:pPr>
            <w:r>
              <w:rPr>
                <w:rFonts w:ascii="Calibri" w:cs="Calibri" w:eastAsia="Calibri" w:hAnsi="Calibri"/>
                <w:sz w:val="18"/>
                <w:szCs w:val="18"/>
                <w:b w:val="1"/>
                <w:bCs w:val="1"/>
                <w:color w:val="auto"/>
              </w:rPr>
              <w:t>$000’s</w:t>
            </w:r>
          </w:p>
        </w:tc>
        <w:tc>
          <w:tcPr>
            <w:tcW w:w="1240" w:type="dxa"/>
            <w:vAlign w:val="bottom"/>
            <w:gridSpan w:val="2"/>
          </w:tcPr>
          <w:p>
            <w:pPr>
              <w:jc w:val="right"/>
              <w:ind w:right="60"/>
              <w:spacing w:after="0"/>
              <w:rPr>
                <w:sz w:val="20"/>
                <w:szCs w:val="20"/>
                <w:color w:val="auto"/>
              </w:rPr>
            </w:pPr>
            <w:r>
              <w:rPr>
                <w:rFonts w:ascii="Calibri" w:cs="Calibri" w:eastAsia="Calibri" w:hAnsi="Calibri"/>
                <w:sz w:val="18"/>
                <w:szCs w:val="18"/>
                <w:b w:val="1"/>
                <w:bCs w:val="1"/>
                <w:color w:val="auto"/>
              </w:rPr>
              <w:t>$000’s</w:t>
            </w:r>
          </w:p>
        </w:tc>
      </w:tr>
      <w:tr>
        <w:trPr>
          <w:trHeight w:val="23"/>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08"/>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20"/>
              <w:spacing w:after="0" w:line="208" w:lineRule="exact"/>
              <w:rPr>
                <w:sz w:val="20"/>
                <w:szCs w:val="20"/>
                <w:color w:val="auto"/>
              </w:rPr>
            </w:pPr>
            <w:r>
              <w:rPr>
                <w:rFonts w:ascii="Calibri" w:cs="Calibri" w:eastAsia="Calibri" w:hAnsi="Calibri"/>
                <w:sz w:val="18"/>
                <w:szCs w:val="18"/>
                <w:b w:val="1"/>
                <w:bCs w:val="1"/>
                <w:color w:val="auto"/>
              </w:rPr>
              <w:t>Balance as at March 31, 2020</w:t>
            </w:r>
          </w:p>
        </w:tc>
        <w:tc>
          <w:tcPr>
            <w:tcW w:w="2960" w:type="dxa"/>
            <w:vAlign w:val="bottom"/>
          </w:tcPr>
          <w:p>
            <w:pPr>
              <w:jc w:val="right"/>
              <w:ind w:right="490"/>
              <w:spacing w:after="0" w:line="208" w:lineRule="exact"/>
              <w:rPr>
                <w:sz w:val="20"/>
                <w:szCs w:val="20"/>
                <w:color w:val="auto"/>
              </w:rPr>
            </w:pPr>
            <w:r>
              <w:rPr>
                <w:rFonts w:ascii="Calibri" w:cs="Calibri" w:eastAsia="Calibri" w:hAnsi="Calibri"/>
                <w:sz w:val="18"/>
                <w:szCs w:val="18"/>
                <w:color w:val="auto"/>
              </w:rPr>
              <w:t>—</w:t>
            </w:r>
          </w:p>
        </w:tc>
        <w:tc>
          <w:tcPr>
            <w:tcW w:w="2400" w:type="dxa"/>
            <w:vAlign w:val="bottom"/>
          </w:tcPr>
          <w:p>
            <w:pPr>
              <w:jc w:val="right"/>
              <w:ind w:right="530"/>
              <w:spacing w:after="0" w:line="208" w:lineRule="exact"/>
              <w:rPr>
                <w:sz w:val="20"/>
                <w:szCs w:val="20"/>
                <w:color w:val="auto"/>
              </w:rPr>
            </w:pPr>
            <w:r>
              <w:rPr>
                <w:rFonts w:ascii="Calibri" w:cs="Calibri" w:eastAsia="Calibri" w:hAnsi="Calibri"/>
                <w:sz w:val="18"/>
                <w:szCs w:val="18"/>
                <w:color w:val="auto"/>
              </w:rPr>
              <w:t>—</w:t>
            </w:r>
          </w:p>
        </w:tc>
        <w:tc>
          <w:tcPr>
            <w:tcW w:w="1240" w:type="dxa"/>
            <w:vAlign w:val="bottom"/>
            <w:gridSpan w:val="2"/>
          </w:tcPr>
          <w:p>
            <w:pPr>
              <w:jc w:val="right"/>
              <w:ind w:right="60"/>
              <w:spacing w:after="0" w:line="208" w:lineRule="exact"/>
              <w:rPr>
                <w:sz w:val="20"/>
                <w:szCs w:val="20"/>
                <w:color w:val="auto"/>
              </w:rPr>
            </w:pPr>
            <w:r>
              <w:rPr>
                <w:rFonts w:ascii="Calibri" w:cs="Calibri" w:eastAsia="Calibri" w:hAnsi="Calibri"/>
                <w:sz w:val="18"/>
                <w:szCs w:val="18"/>
                <w:color w:val="auto"/>
              </w:rPr>
              <w:t>—</w:t>
            </w:r>
          </w:p>
        </w:tc>
      </w:tr>
      <w:tr>
        <w:trPr>
          <w:trHeight w:val="221"/>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Calibri" w:cs="Calibri" w:eastAsia="Calibri" w:hAnsi="Calibri"/>
                <w:sz w:val="18"/>
                <w:szCs w:val="18"/>
                <w:color w:val="auto"/>
              </w:rPr>
              <w:t>Additons</w:t>
            </w:r>
          </w:p>
        </w:tc>
        <w:tc>
          <w:tcPr>
            <w:tcW w:w="2960" w:type="dxa"/>
            <w:vAlign w:val="bottom"/>
          </w:tcPr>
          <w:p>
            <w:pPr>
              <w:jc w:val="right"/>
              <w:ind w:right="490"/>
              <w:spacing w:after="0"/>
              <w:rPr>
                <w:sz w:val="20"/>
                <w:szCs w:val="20"/>
                <w:color w:val="auto"/>
              </w:rPr>
            </w:pPr>
            <w:r>
              <w:rPr>
                <w:rFonts w:ascii="Calibri" w:cs="Calibri" w:eastAsia="Calibri" w:hAnsi="Calibri"/>
                <w:sz w:val="18"/>
                <w:szCs w:val="18"/>
                <w:color w:val="auto"/>
              </w:rPr>
              <w:t>478</w:t>
            </w:r>
          </w:p>
        </w:tc>
        <w:tc>
          <w:tcPr>
            <w:tcW w:w="2400" w:type="dxa"/>
            <w:vAlign w:val="bottom"/>
          </w:tcPr>
          <w:p>
            <w:pPr>
              <w:jc w:val="right"/>
              <w:ind w:right="530"/>
              <w:spacing w:after="0"/>
              <w:rPr>
                <w:sz w:val="20"/>
                <w:szCs w:val="20"/>
                <w:color w:val="auto"/>
              </w:rPr>
            </w:pPr>
            <w:r>
              <w:rPr>
                <w:rFonts w:ascii="Calibri" w:cs="Calibri" w:eastAsia="Calibri" w:hAnsi="Calibri"/>
                <w:sz w:val="18"/>
                <w:szCs w:val="18"/>
                <w:color w:val="auto"/>
              </w:rPr>
              <w:t>141</w:t>
            </w:r>
          </w:p>
        </w:tc>
        <w:tc>
          <w:tcPr>
            <w:tcW w:w="1240" w:type="dxa"/>
            <w:vAlign w:val="bottom"/>
            <w:gridSpan w:val="2"/>
          </w:tcPr>
          <w:p>
            <w:pPr>
              <w:jc w:val="right"/>
              <w:ind w:right="60"/>
              <w:spacing w:after="0"/>
              <w:rPr>
                <w:sz w:val="20"/>
                <w:szCs w:val="20"/>
                <w:color w:val="auto"/>
              </w:rPr>
            </w:pPr>
            <w:r>
              <w:rPr>
                <w:rFonts w:ascii="Calibri" w:cs="Calibri" w:eastAsia="Calibri" w:hAnsi="Calibri"/>
                <w:sz w:val="18"/>
                <w:szCs w:val="18"/>
                <w:color w:val="auto"/>
              </w:rPr>
              <w:t>619</w:t>
            </w:r>
          </w:p>
        </w:tc>
      </w:tr>
      <w:tr>
        <w:trPr>
          <w:trHeight w:val="229"/>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Calibri" w:cs="Calibri" w:eastAsia="Calibri" w:hAnsi="Calibri"/>
                <w:sz w:val="18"/>
                <w:szCs w:val="18"/>
                <w:color w:val="auto"/>
              </w:rPr>
              <w:t>Efect of foreign exchange</w:t>
            </w:r>
          </w:p>
        </w:tc>
        <w:tc>
          <w:tcPr>
            <w:tcW w:w="2960" w:type="dxa"/>
            <w:vAlign w:val="bottom"/>
          </w:tcPr>
          <w:p>
            <w:pPr>
              <w:jc w:val="right"/>
              <w:ind w:right="490"/>
              <w:spacing w:after="0"/>
              <w:rPr>
                <w:sz w:val="20"/>
                <w:szCs w:val="20"/>
                <w:color w:val="auto"/>
              </w:rPr>
            </w:pPr>
            <w:r>
              <w:rPr>
                <w:rFonts w:ascii="Calibri" w:cs="Calibri" w:eastAsia="Calibri" w:hAnsi="Calibri"/>
                <w:sz w:val="18"/>
                <w:szCs w:val="18"/>
                <w:color w:val="auto"/>
              </w:rPr>
              <w:t>(8)</w:t>
            </w:r>
          </w:p>
        </w:tc>
        <w:tc>
          <w:tcPr>
            <w:tcW w:w="2400" w:type="dxa"/>
            <w:vAlign w:val="bottom"/>
          </w:tcPr>
          <w:p>
            <w:pPr>
              <w:jc w:val="right"/>
              <w:ind w:right="530"/>
              <w:spacing w:after="0"/>
              <w:rPr>
                <w:sz w:val="20"/>
                <w:szCs w:val="20"/>
                <w:color w:val="auto"/>
              </w:rPr>
            </w:pPr>
            <w:r>
              <w:rPr>
                <w:rFonts w:ascii="Calibri" w:cs="Calibri" w:eastAsia="Calibri" w:hAnsi="Calibri"/>
                <w:sz w:val="18"/>
                <w:szCs w:val="18"/>
                <w:color w:val="auto"/>
              </w:rPr>
              <w:t>—</w:t>
            </w:r>
          </w:p>
        </w:tc>
        <w:tc>
          <w:tcPr>
            <w:tcW w:w="1240" w:type="dxa"/>
            <w:vAlign w:val="bottom"/>
            <w:gridSpan w:val="2"/>
          </w:tcPr>
          <w:p>
            <w:pPr>
              <w:jc w:val="right"/>
              <w:ind w:right="60"/>
              <w:spacing w:after="0"/>
              <w:rPr>
                <w:sz w:val="20"/>
                <w:szCs w:val="20"/>
                <w:color w:val="auto"/>
              </w:rPr>
            </w:pPr>
            <w:r>
              <w:rPr>
                <w:rFonts w:ascii="Calibri" w:cs="Calibri" w:eastAsia="Calibri" w:hAnsi="Calibri"/>
                <w:sz w:val="18"/>
                <w:szCs w:val="18"/>
                <w:color w:val="auto"/>
              </w:rPr>
              <w:t>(8)</w:t>
            </w:r>
          </w:p>
        </w:tc>
      </w:tr>
      <w:tr>
        <w:trPr>
          <w:trHeight w:val="23"/>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08"/>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20"/>
              <w:spacing w:after="0" w:line="208" w:lineRule="exact"/>
              <w:rPr>
                <w:sz w:val="20"/>
                <w:szCs w:val="20"/>
                <w:color w:val="auto"/>
              </w:rPr>
            </w:pPr>
            <w:r>
              <w:rPr>
                <w:rFonts w:ascii="Calibri" w:cs="Calibri" w:eastAsia="Calibri" w:hAnsi="Calibri"/>
                <w:sz w:val="18"/>
                <w:szCs w:val="18"/>
                <w:b w:val="1"/>
                <w:bCs w:val="1"/>
                <w:color w:val="auto"/>
              </w:rPr>
              <w:t>Balance as at March 31, 2021</w:t>
            </w:r>
          </w:p>
        </w:tc>
        <w:tc>
          <w:tcPr>
            <w:tcW w:w="2960" w:type="dxa"/>
            <w:vAlign w:val="bottom"/>
          </w:tcPr>
          <w:p>
            <w:pPr>
              <w:jc w:val="right"/>
              <w:ind w:right="490"/>
              <w:spacing w:after="0" w:line="208" w:lineRule="exact"/>
              <w:rPr>
                <w:sz w:val="20"/>
                <w:szCs w:val="20"/>
                <w:color w:val="auto"/>
              </w:rPr>
            </w:pPr>
            <w:r>
              <w:rPr>
                <w:rFonts w:ascii="Calibri" w:cs="Calibri" w:eastAsia="Calibri" w:hAnsi="Calibri"/>
                <w:sz w:val="18"/>
                <w:szCs w:val="18"/>
                <w:b w:val="1"/>
                <w:bCs w:val="1"/>
                <w:color w:val="auto"/>
              </w:rPr>
              <w:t>470</w:t>
            </w:r>
          </w:p>
        </w:tc>
        <w:tc>
          <w:tcPr>
            <w:tcW w:w="2400" w:type="dxa"/>
            <w:vAlign w:val="bottom"/>
          </w:tcPr>
          <w:p>
            <w:pPr>
              <w:jc w:val="right"/>
              <w:ind w:right="530"/>
              <w:spacing w:after="0" w:line="208" w:lineRule="exact"/>
              <w:rPr>
                <w:sz w:val="20"/>
                <w:szCs w:val="20"/>
                <w:color w:val="auto"/>
              </w:rPr>
            </w:pPr>
            <w:r>
              <w:rPr>
                <w:rFonts w:ascii="Calibri" w:cs="Calibri" w:eastAsia="Calibri" w:hAnsi="Calibri"/>
                <w:sz w:val="18"/>
                <w:szCs w:val="18"/>
                <w:b w:val="1"/>
                <w:bCs w:val="1"/>
                <w:color w:val="auto"/>
              </w:rPr>
              <w:t>141</w:t>
            </w:r>
          </w:p>
        </w:tc>
        <w:tc>
          <w:tcPr>
            <w:tcW w:w="1240" w:type="dxa"/>
            <w:vAlign w:val="bottom"/>
            <w:gridSpan w:val="2"/>
          </w:tcPr>
          <w:p>
            <w:pPr>
              <w:jc w:val="right"/>
              <w:ind w:right="60"/>
              <w:spacing w:after="0" w:line="208" w:lineRule="exact"/>
              <w:rPr>
                <w:sz w:val="20"/>
                <w:szCs w:val="20"/>
                <w:color w:val="auto"/>
              </w:rPr>
            </w:pPr>
            <w:r>
              <w:rPr>
                <w:rFonts w:ascii="Calibri" w:cs="Calibri" w:eastAsia="Calibri" w:hAnsi="Calibri"/>
                <w:sz w:val="18"/>
                <w:szCs w:val="18"/>
                <w:b w:val="1"/>
                <w:bCs w:val="1"/>
                <w:color w:val="auto"/>
              </w:rPr>
              <w:t>611</w:t>
            </w:r>
          </w:p>
        </w:tc>
      </w:tr>
      <w:tr>
        <w:trPr>
          <w:trHeight w:val="221"/>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Calibri" w:cs="Calibri" w:eastAsia="Calibri" w:hAnsi="Calibri"/>
                <w:sz w:val="18"/>
                <w:szCs w:val="18"/>
                <w:color w:val="auto"/>
              </w:rPr>
              <w:t>Additons</w:t>
            </w:r>
          </w:p>
        </w:tc>
        <w:tc>
          <w:tcPr>
            <w:tcW w:w="2960" w:type="dxa"/>
            <w:vAlign w:val="bottom"/>
          </w:tcPr>
          <w:p>
            <w:pPr>
              <w:jc w:val="right"/>
              <w:ind w:right="490"/>
              <w:spacing w:after="0"/>
              <w:rPr>
                <w:sz w:val="20"/>
                <w:szCs w:val="20"/>
                <w:color w:val="auto"/>
              </w:rPr>
            </w:pPr>
            <w:r>
              <w:rPr>
                <w:rFonts w:ascii="Calibri" w:cs="Calibri" w:eastAsia="Calibri" w:hAnsi="Calibri"/>
                <w:sz w:val="18"/>
                <w:szCs w:val="18"/>
                <w:color w:val="auto"/>
              </w:rPr>
              <w:t>8</w:t>
            </w:r>
          </w:p>
        </w:tc>
        <w:tc>
          <w:tcPr>
            <w:tcW w:w="2400" w:type="dxa"/>
            <w:vAlign w:val="bottom"/>
          </w:tcPr>
          <w:p>
            <w:pPr>
              <w:jc w:val="right"/>
              <w:ind w:right="530"/>
              <w:spacing w:after="0"/>
              <w:rPr>
                <w:sz w:val="20"/>
                <w:szCs w:val="20"/>
                <w:color w:val="auto"/>
              </w:rPr>
            </w:pPr>
            <w:r>
              <w:rPr>
                <w:rFonts w:ascii="Calibri" w:cs="Calibri" w:eastAsia="Calibri" w:hAnsi="Calibri"/>
                <w:sz w:val="18"/>
                <w:szCs w:val="18"/>
                <w:color w:val="auto"/>
              </w:rPr>
              <w:t>97</w:t>
            </w:r>
          </w:p>
        </w:tc>
        <w:tc>
          <w:tcPr>
            <w:tcW w:w="1240" w:type="dxa"/>
            <w:vAlign w:val="bottom"/>
            <w:gridSpan w:val="2"/>
          </w:tcPr>
          <w:p>
            <w:pPr>
              <w:jc w:val="right"/>
              <w:ind w:right="60"/>
              <w:spacing w:after="0"/>
              <w:rPr>
                <w:sz w:val="20"/>
                <w:szCs w:val="20"/>
                <w:color w:val="auto"/>
              </w:rPr>
            </w:pPr>
            <w:r>
              <w:rPr>
                <w:rFonts w:ascii="Calibri" w:cs="Calibri" w:eastAsia="Calibri" w:hAnsi="Calibri"/>
                <w:sz w:val="18"/>
                <w:szCs w:val="18"/>
                <w:color w:val="auto"/>
              </w:rPr>
              <w:t>105</w:t>
            </w:r>
          </w:p>
        </w:tc>
      </w:tr>
      <w:tr>
        <w:trPr>
          <w:trHeight w:val="230"/>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Calibri" w:cs="Calibri" w:eastAsia="Calibri" w:hAnsi="Calibri"/>
                <w:sz w:val="18"/>
                <w:szCs w:val="18"/>
                <w:color w:val="auto"/>
              </w:rPr>
              <w:t>Efect of foreign exchange</w:t>
            </w:r>
          </w:p>
        </w:tc>
        <w:tc>
          <w:tcPr>
            <w:tcW w:w="2960" w:type="dxa"/>
            <w:vAlign w:val="bottom"/>
          </w:tcPr>
          <w:p>
            <w:pPr>
              <w:jc w:val="right"/>
              <w:ind w:right="490"/>
              <w:spacing w:after="0"/>
              <w:rPr>
                <w:sz w:val="20"/>
                <w:szCs w:val="20"/>
                <w:color w:val="auto"/>
              </w:rPr>
            </w:pPr>
            <w:r>
              <w:rPr>
                <w:rFonts w:ascii="Calibri" w:cs="Calibri" w:eastAsia="Calibri" w:hAnsi="Calibri"/>
                <w:sz w:val="18"/>
                <w:szCs w:val="18"/>
                <w:color w:val="auto"/>
              </w:rPr>
              <w:t>(3)</w:t>
            </w:r>
          </w:p>
        </w:tc>
        <w:tc>
          <w:tcPr>
            <w:tcW w:w="2400" w:type="dxa"/>
            <w:vAlign w:val="bottom"/>
          </w:tcPr>
          <w:p>
            <w:pPr>
              <w:jc w:val="right"/>
              <w:ind w:right="530"/>
              <w:spacing w:after="0"/>
              <w:rPr>
                <w:sz w:val="20"/>
                <w:szCs w:val="20"/>
                <w:color w:val="auto"/>
              </w:rPr>
            </w:pPr>
            <w:r>
              <w:rPr>
                <w:rFonts w:ascii="Calibri" w:cs="Calibri" w:eastAsia="Calibri" w:hAnsi="Calibri"/>
                <w:sz w:val="18"/>
                <w:szCs w:val="18"/>
                <w:color w:val="auto"/>
              </w:rPr>
              <w:t>—</w:t>
            </w:r>
          </w:p>
        </w:tc>
        <w:tc>
          <w:tcPr>
            <w:tcW w:w="1240" w:type="dxa"/>
            <w:vAlign w:val="bottom"/>
            <w:gridSpan w:val="2"/>
          </w:tcPr>
          <w:p>
            <w:pPr>
              <w:jc w:val="right"/>
              <w:ind w:right="60"/>
              <w:spacing w:after="0"/>
              <w:rPr>
                <w:sz w:val="20"/>
                <w:szCs w:val="20"/>
                <w:color w:val="auto"/>
              </w:rPr>
            </w:pPr>
            <w:r>
              <w:rPr>
                <w:rFonts w:ascii="Calibri" w:cs="Calibri" w:eastAsia="Calibri" w:hAnsi="Calibri"/>
                <w:sz w:val="18"/>
                <w:szCs w:val="18"/>
                <w:color w:val="auto"/>
              </w:rPr>
              <w:t>(3)</w:t>
            </w:r>
          </w:p>
        </w:tc>
      </w:tr>
      <w:tr>
        <w:trPr>
          <w:trHeight w:val="23"/>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Balance as at March 31, 2022</w:t>
            </w:r>
          </w:p>
        </w:tc>
        <w:tc>
          <w:tcPr>
            <w:tcW w:w="2960" w:type="dxa"/>
            <w:vAlign w:val="bottom"/>
            <w:tcBorders>
              <w:bottom w:val="single" w:sz="8" w:color="auto"/>
            </w:tcBorders>
          </w:tcPr>
          <w:p>
            <w:pPr>
              <w:jc w:val="right"/>
              <w:ind w:right="490"/>
              <w:spacing w:after="0" w:line="215" w:lineRule="exact"/>
              <w:rPr>
                <w:sz w:val="20"/>
                <w:szCs w:val="20"/>
                <w:color w:val="auto"/>
              </w:rPr>
            </w:pPr>
            <w:r>
              <w:rPr>
                <w:rFonts w:ascii="Calibri" w:cs="Calibri" w:eastAsia="Calibri" w:hAnsi="Calibri"/>
                <w:sz w:val="18"/>
                <w:szCs w:val="18"/>
                <w:b w:val="1"/>
                <w:bCs w:val="1"/>
                <w:color w:val="auto"/>
              </w:rPr>
              <w:t>475</w:t>
            </w:r>
          </w:p>
        </w:tc>
        <w:tc>
          <w:tcPr>
            <w:tcW w:w="2400" w:type="dxa"/>
            <w:vAlign w:val="bottom"/>
            <w:tcBorders>
              <w:bottom w:val="single" w:sz="8" w:color="auto"/>
            </w:tcBorders>
          </w:tcPr>
          <w:p>
            <w:pPr>
              <w:jc w:val="right"/>
              <w:ind w:right="530"/>
              <w:spacing w:after="0" w:line="215" w:lineRule="exact"/>
              <w:rPr>
                <w:sz w:val="20"/>
                <w:szCs w:val="20"/>
                <w:color w:val="auto"/>
              </w:rPr>
            </w:pPr>
            <w:r>
              <w:rPr>
                <w:rFonts w:ascii="Calibri" w:cs="Calibri" w:eastAsia="Calibri" w:hAnsi="Calibri"/>
                <w:sz w:val="18"/>
                <w:szCs w:val="18"/>
                <w:b w:val="1"/>
                <w:bCs w:val="1"/>
                <w:color w:val="auto"/>
              </w:rPr>
              <w:t>238</w:t>
            </w:r>
          </w:p>
        </w:tc>
        <w:tc>
          <w:tcPr>
            <w:tcW w:w="1240" w:type="dxa"/>
            <w:vAlign w:val="bottom"/>
            <w:tcBorders>
              <w:bottom w:val="single" w:sz="8" w:color="auto"/>
            </w:tcBorders>
            <w:gridSpan w:val="2"/>
          </w:tcPr>
          <w:p>
            <w:pPr>
              <w:jc w:val="right"/>
              <w:ind w:right="60"/>
              <w:spacing w:after="0" w:line="215" w:lineRule="exact"/>
              <w:rPr>
                <w:sz w:val="20"/>
                <w:szCs w:val="20"/>
                <w:color w:val="auto"/>
              </w:rPr>
            </w:pPr>
            <w:r>
              <w:rPr>
                <w:rFonts w:ascii="Calibri" w:cs="Calibri" w:eastAsia="Calibri" w:hAnsi="Calibri"/>
                <w:sz w:val="18"/>
                <w:szCs w:val="18"/>
                <w:b w:val="1"/>
                <w:bCs w:val="1"/>
                <w:color w:val="auto"/>
              </w:rPr>
              <w:t>713</w:t>
            </w:r>
          </w:p>
        </w:tc>
      </w:tr>
      <w:tr>
        <w:trPr>
          <w:trHeight w:val="449"/>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tcPr>
          <w:p>
            <w:pPr>
              <w:ind w:left="60"/>
              <w:spacing w:after="0"/>
              <w:rPr>
                <w:sz w:val="20"/>
                <w:szCs w:val="20"/>
                <w:color w:val="auto"/>
              </w:rPr>
            </w:pPr>
            <w:r>
              <w:rPr>
                <w:rFonts w:ascii="Calibri" w:cs="Calibri" w:eastAsia="Calibri" w:hAnsi="Calibri"/>
                <w:sz w:val="18"/>
                <w:szCs w:val="18"/>
                <w:b w:val="1"/>
                <w:bCs w:val="1"/>
                <w:color w:val="auto"/>
              </w:rPr>
              <w:t>Accumulated Depreciaton</w:t>
            </w:r>
          </w:p>
        </w:tc>
        <w:tc>
          <w:tcPr>
            <w:tcW w:w="2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08"/>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20"/>
              <w:spacing w:after="0" w:line="208" w:lineRule="exact"/>
              <w:rPr>
                <w:sz w:val="20"/>
                <w:szCs w:val="20"/>
                <w:color w:val="auto"/>
              </w:rPr>
            </w:pPr>
            <w:r>
              <w:rPr>
                <w:rFonts w:ascii="Calibri" w:cs="Calibri" w:eastAsia="Calibri" w:hAnsi="Calibri"/>
                <w:sz w:val="18"/>
                <w:szCs w:val="18"/>
                <w:b w:val="1"/>
                <w:bCs w:val="1"/>
                <w:color w:val="auto"/>
              </w:rPr>
              <w:t>Balance as at March 31, 2020</w:t>
            </w:r>
          </w:p>
        </w:tc>
        <w:tc>
          <w:tcPr>
            <w:tcW w:w="2960" w:type="dxa"/>
            <w:vAlign w:val="bottom"/>
          </w:tcPr>
          <w:p>
            <w:pPr>
              <w:jc w:val="right"/>
              <w:ind w:right="490"/>
              <w:spacing w:after="0" w:line="208" w:lineRule="exact"/>
              <w:rPr>
                <w:sz w:val="20"/>
                <w:szCs w:val="20"/>
                <w:color w:val="auto"/>
              </w:rPr>
            </w:pPr>
            <w:r>
              <w:rPr>
                <w:rFonts w:ascii="Calibri" w:cs="Calibri" w:eastAsia="Calibri" w:hAnsi="Calibri"/>
                <w:sz w:val="18"/>
                <w:szCs w:val="18"/>
                <w:color w:val="auto"/>
              </w:rPr>
              <w:t>—</w:t>
            </w:r>
          </w:p>
        </w:tc>
        <w:tc>
          <w:tcPr>
            <w:tcW w:w="2400" w:type="dxa"/>
            <w:vAlign w:val="bottom"/>
          </w:tcPr>
          <w:p>
            <w:pPr>
              <w:jc w:val="right"/>
              <w:ind w:right="530"/>
              <w:spacing w:after="0" w:line="208" w:lineRule="exact"/>
              <w:rPr>
                <w:sz w:val="20"/>
                <w:szCs w:val="20"/>
                <w:color w:val="auto"/>
              </w:rPr>
            </w:pPr>
            <w:r>
              <w:rPr>
                <w:rFonts w:ascii="Calibri" w:cs="Calibri" w:eastAsia="Calibri" w:hAnsi="Calibri"/>
                <w:sz w:val="18"/>
                <w:szCs w:val="18"/>
                <w:color w:val="auto"/>
              </w:rPr>
              <w:t>—</w:t>
            </w:r>
          </w:p>
        </w:tc>
        <w:tc>
          <w:tcPr>
            <w:tcW w:w="1240" w:type="dxa"/>
            <w:vAlign w:val="bottom"/>
            <w:gridSpan w:val="2"/>
          </w:tcPr>
          <w:p>
            <w:pPr>
              <w:jc w:val="right"/>
              <w:ind w:right="60"/>
              <w:spacing w:after="0" w:line="208" w:lineRule="exact"/>
              <w:rPr>
                <w:sz w:val="20"/>
                <w:szCs w:val="20"/>
                <w:color w:val="auto"/>
              </w:rPr>
            </w:pPr>
            <w:r>
              <w:rPr>
                <w:rFonts w:ascii="Calibri" w:cs="Calibri" w:eastAsia="Calibri" w:hAnsi="Calibri"/>
                <w:sz w:val="18"/>
                <w:szCs w:val="18"/>
                <w:color w:val="auto"/>
              </w:rPr>
              <w:t>—</w:t>
            </w:r>
          </w:p>
        </w:tc>
      </w:tr>
      <w:tr>
        <w:trPr>
          <w:trHeight w:val="221"/>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Calibri" w:cs="Calibri" w:eastAsia="Calibri" w:hAnsi="Calibri"/>
                <w:sz w:val="18"/>
                <w:szCs w:val="18"/>
                <w:color w:val="auto"/>
              </w:rPr>
              <w:t>Depreciaton charge</w:t>
            </w:r>
          </w:p>
        </w:tc>
        <w:tc>
          <w:tcPr>
            <w:tcW w:w="2960" w:type="dxa"/>
            <w:vAlign w:val="bottom"/>
          </w:tcPr>
          <w:p>
            <w:pPr>
              <w:jc w:val="right"/>
              <w:ind w:right="490"/>
              <w:spacing w:after="0"/>
              <w:rPr>
                <w:sz w:val="20"/>
                <w:szCs w:val="20"/>
                <w:color w:val="auto"/>
              </w:rPr>
            </w:pPr>
            <w:r>
              <w:rPr>
                <w:rFonts w:ascii="Calibri" w:cs="Calibri" w:eastAsia="Calibri" w:hAnsi="Calibri"/>
                <w:sz w:val="18"/>
                <w:szCs w:val="18"/>
                <w:color w:val="auto"/>
              </w:rPr>
              <w:t>34</w:t>
            </w:r>
          </w:p>
        </w:tc>
        <w:tc>
          <w:tcPr>
            <w:tcW w:w="2400" w:type="dxa"/>
            <w:vAlign w:val="bottom"/>
          </w:tcPr>
          <w:p>
            <w:pPr>
              <w:jc w:val="right"/>
              <w:ind w:right="530"/>
              <w:spacing w:after="0"/>
              <w:rPr>
                <w:sz w:val="20"/>
                <w:szCs w:val="20"/>
                <w:color w:val="auto"/>
              </w:rPr>
            </w:pPr>
            <w:r>
              <w:rPr>
                <w:rFonts w:ascii="Calibri" w:cs="Calibri" w:eastAsia="Calibri" w:hAnsi="Calibri"/>
                <w:sz w:val="18"/>
                <w:szCs w:val="18"/>
                <w:color w:val="auto"/>
              </w:rPr>
              <w:t>15</w:t>
            </w:r>
          </w:p>
        </w:tc>
        <w:tc>
          <w:tcPr>
            <w:tcW w:w="1240" w:type="dxa"/>
            <w:vAlign w:val="bottom"/>
            <w:gridSpan w:val="2"/>
          </w:tcPr>
          <w:p>
            <w:pPr>
              <w:jc w:val="right"/>
              <w:ind w:right="60"/>
              <w:spacing w:after="0"/>
              <w:rPr>
                <w:sz w:val="20"/>
                <w:szCs w:val="20"/>
                <w:color w:val="auto"/>
              </w:rPr>
            </w:pPr>
            <w:r>
              <w:rPr>
                <w:rFonts w:ascii="Calibri" w:cs="Calibri" w:eastAsia="Calibri" w:hAnsi="Calibri"/>
                <w:sz w:val="18"/>
                <w:szCs w:val="18"/>
                <w:color w:val="auto"/>
              </w:rPr>
              <w:t>49</w:t>
            </w:r>
          </w:p>
        </w:tc>
      </w:tr>
      <w:tr>
        <w:trPr>
          <w:trHeight w:val="230"/>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Calibri" w:cs="Calibri" w:eastAsia="Calibri" w:hAnsi="Calibri"/>
                <w:sz w:val="18"/>
                <w:szCs w:val="18"/>
                <w:color w:val="auto"/>
              </w:rPr>
              <w:t>Efect of foreign exchange</w:t>
            </w:r>
          </w:p>
        </w:tc>
        <w:tc>
          <w:tcPr>
            <w:tcW w:w="2960" w:type="dxa"/>
            <w:vAlign w:val="bottom"/>
          </w:tcPr>
          <w:p>
            <w:pPr>
              <w:jc w:val="right"/>
              <w:ind w:right="490"/>
              <w:spacing w:after="0"/>
              <w:rPr>
                <w:sz w:val="20"/>
                <w:szCs w:val="20"/>
                <w:color w:val="auto"/>
              </w:rPr>
            </w:pPr>
            <w:r>
              <w:rPr>
                <w:rFonts w:ascii="Calibri" w:cs="Calibri" w:eastAsia="Calibri" w:hAnsi="Calibri"/>
                <w:sz w:val="18"/>
                <w:szCs w:val="18"/>
                <w:color w:val="auto"/>
              </w:rPr>
              <w:t>5</w:t>
            </w:r>
          </w:p>
        </w:tc>
        <w:tc>
          <w:tcPr>
            <w:tcW w:w="2400" w:type="dxa"/>
            <w:vAlign w:val="bottom"/>
          </w:tcPr>
          <w:p>
            <w:pPr>
              <w:jc w:val="right"/>
              <w:ind w:right="530"/>
              <w:spacing w:after="0"/>
              <w:rPr>
                <w:sz w:val="20"/>
                <w:szCs w:val="20"/>
                <w:color w:val="auto"/>
              </w:rPr>
            </w:pPr>
            <w:r>
              <w:rPr>
                <w:rFonts w:ascii="Calibri" w:cs="Calibri" w:eastAsia="Calibri" w:hAnsi="Calibri"/>
                <w:sz w:val="18"/>
                <w:szCs w:val="18"/>
                <w:color w:val="auto"/>
              </w:rPr>
              <w:t>—</w:t>
            </w:r>
          </w:p>
        </w:tc>
        <w:tc>
          <w:tcPr>
            <w:tcW w:w="1240" w:type="dxa"/>
            <w:vAlign w:val="bottom"/>
            <w:gridSpan w:val="2"/>
          </w:tcPr>
          <w:p>
            <w:pPr>
              <w:jc w:val="right"/>
              <w:ind w:right="60"/>
              <w:spacing w:after="0"/>
              <w:rPr>
                <w:sz w:val="20"/>
                <w:szCs w:val="20"/>
                <w:color w:val="auto"/>
              </w:rPr>
            </w:pPr>
            <w:r>
              <w:rPr>
                <w:rFonts w:ascii="Calibri" w:cs="Calibri" w:eastAsia="Calibri" w:hAnsi="Calibri"/>
                <w:sz w:val="18"/>
                <w:szCs w:val="18"/>
                <w:color w:val="auto"/>
              </w:rPr>
              <w:t>5</w:t>
            </w:r>
          </w:p>
        </w:tc>
      </w:tr>
      <w:tr>
        <w:trPr>
          <w:trHeight w:val="23"/>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08"/>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20"/>
              <w:spacing w:after="0" w:line="208" w:lineRule="exact"/>
              <w:rPr>
                <w:sz w:val="20"/>
                <w:szCs w:val="20"/>
                <w:color w:val="auto"/>
              </w:rPr>
            </w:pPr>
            <w:r>
              <w:rPr>
                <w:rFonts w:ascii="Calibri" w:cs="Calibri" w:eastAsia="Calibri" w:hAnsi="Calibri"/>
                <w:sz w:val="18"/>
                <w:szCs w:val="18"/>
                <w:b w:val="1"/>
                <w:bCs w:val="1"/>
                <w:color w:val="auto"/>
              </w:rPr>
              <w:t>Balance as at March 31, 2021</w:t>
            </w:r>
          </w:p>
        </w:tc>
        <w:tc>
          <w:tcPr>
            <w:tcW w:w="2960" w:type="dxa"/>
            <w:vAlign w:val="bottom"/>
          </w:tcPr>
          <w:p>
            <w:pPr>
              <w:jc w:val="right"/>
              <w:ind w:right="490"/>
              <w:spacing w:after="0" w:line="208" w:lineRule="exact"/>
              <w:rPr>
                <w:sz w:val="20"/>
                <w:szCs w:val="20"/>
                <w:color w:val="auto"/>
              </w:rPr>
            </w:pPr>
            <w:r>
              <w:rPr>
                <w:rFonts w:ascii="Calibri" w:cs="Calibri" w:eastAsia="Calibri" w:hAnsi="Calibri"/>
                <w:sz w:val="18"/>
                <w:szCs w:val="18"/>
                <w:b w:val="1"/>
                <w:bCs w:val="1"/>
                <w:color w:val="auto"/>
              </w:rPr>
              <w:t>39</w:t>
            </w:r>
          </w:p>
        </w:tc>
        <w:tc>
          <w:tcPr>
            <w:tcW w:w="2400" w:type="dxa"/>
            <w:vAlign w:val="bottom"/>
          </w:tcPr>
          <w:p>
            <w:pPr>
              <w:jc w:val="right"/>
              <w:ind w:right="530"/>
              <w:spacing w:after="0" w:line="208" w:lineRule="exact"/>
              <w:rPr>
                <w:sz w:val="20"/>
                <w:szCs w:val="20"/>
                <w:color w:val="auto"/>
              </w:rPr>
            </w:pPr>
            <w:r>
              <w:rPr>
                <w:rFonts w:ascii="Calibri" w:cs="Calibri" w:eastAsia="Calibri" w:hAnsi="Calibri"/>
                <w:sz w:val="18"/>
                <w:szCs w:val="18"/>
                <w:b w:val="1"/>
                <w:bCs w:val="1"/>
                <w:color w:val="auto"/>
              </w:rPr>
              <w:t>15</w:t>
            </w:r>
          </w:p>
        </w:tc>
        <w:tc>
          <w:tcPr>
            <w:tcW w:w="1240" w:type="dxa"/>
            <w:vAlign w:val="bottom"/>
            <w:gridSpan w:val="2"/>
          </w:tcPr>
          <w:p>
            <w:pPr>
              <w:jc w:val="right"/>
              <w:ind w:right="60"/>
              <w:spacing w:after="0" w:line="208" w:lineRule="exact"/>
              <w:rPr>
                <w:sz w:val="20"/>
                <w:szCs w:val="20"/>
                <w:color w:val="auto"/>
              </w:rPr>
            </w:pPr>
            <w:r>
              <w:rPr>
                <w:rFonts w:ascii="Calibri" w:cs="Calibri" w:eastAsia="Calibri" w:hAnsi="Calibri"/>
                <w:sz w:val="18"/>
                <w:szCs w:val="18"/>
                <w:b w:val="1"/>
                <w:bCs w:val="1"/>
                <w:color w:val="auto"/>
              </w:rPr>
              <w:t>54</w:t>
            </w:r>
          </w:p>
        </w:tc>
      </w:tr>
      <w:tr>
        <w:trPr>
          <w:trHeight w:val="221"/>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Calibri" w:cs="Calibri" w:eastAsia="Calibri" w:hAnsi="Calibri"/>
                <w:sz w:val="18"/>
                <w:szCs w:val="18"/>
                <w:color w:val="auto"/>
              </w:rPr>
              <w:t>Depreciaton charge</w:t>
            </w:r>
          </w:p>
        </w:tc>
        <w:tc>
          <w:tcPr>
            <w:tcW w:w="2960" w:type="dxa"/>
            <w:vAlign w:val="bottom"/>
          </w:tcPr>
          <w:p>
            <w:pPr>
              <w:jc w:val="right"/>
              <w:ind w:right="490"/>
              <w:spacing w:after="0"/>
              <w:rPr>
                <w:sz w:val="20"/>
                <w:szCs w:val="20"/>
                <w:color w:val="auto"/>
              </w:rPr>
            </w:pPr>
            <w:r>
              <w:rPr>
                <w:rFonts w:ascii="Calibri" w:cs="Calibri" w:eastAsia="Calibri" w:hAnsi="Calibri"/>
                <w:sz w:val="18"/>
                <w:szCs w:val="18"/>
                <w:color w:val="auto"/>
              </w:rPr>
              <w:t>100</w:t>
            </w:r>
          </w:p>
        </w:tc>
        <w:tc>
          <w:tcPr>
            <w:tcW w:w="2400" w:type="dxa"/>
            <w:vAlign w:val="bottom"/>
          </w:tcPr>
          <w:p>
            <w:pPr>
              <w:jc w:val="right"/>
              <w:ind w:right="530"/>
              <w:spacing w:after="0"/>
              <w:rPr>
                <w:sz w:val="20"/>
                <w:szCs w:val="20"/>
                <w:color w:val="auto"/>
              </w:rPr>
            </w:pPr>
            <w:r>
              <w:rPr>
                <w:rFonts w:ascii="Calibri" w:cs="Calibri" w:eastAsia="Calibri" w:hAnsi="Calibri"/>
                <w:sz w:val="18"/>
                <w:szCs w:val="18"/>
                <w:color w:val="auto"/>
              </w:rPr>
              <w:t>68</w:t>
            </w:r>
          </w:p>
        </w:tc>
        <w:tc>
          <w:tcPr>
            <w:tcW w:w="1240" w:type="dxa"/>
            <w:vAlign w:val="bottom"/>
            <w:gridSpan w:val="2"/>
          </w:tcPr>
          <w:p>
            <w:pPr>
              <w:jc w:val="right"/>
              <w:ind w:right="60"/>
              <w:spacing w:after="0"/>
              <w:rPr>
                <w:sz w:val="20"/>
                <w:szCs w:val="20"/>
                <w:color w:val="auto"/>
              </w:rPr>
            </w:pPr>
            <w:r>
              <w:rPr>
                <w:rFonts w:ascii="Calibri" w:cs="Calibri" w:eastAsia="Calibri" w:hAnsi="Calibri"/>
                <w:sz w:val="18"/>
                <w:szCs w:val="18"/>
                <w:color w:val="auto"/>
              </w:rPr>
              <w:t>168</w:t>
            </w:r>
          </w:p>
        </w:tc>
      </w:tr>
      <w:tr>
        <w:trPr>
          <w:trHeight w:val="230"/>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Calibri" w:cs="Calibri" w:eastAsia="Calibri" w:hAnsi="Calibri"/>
                <w:sz w:val="18"/>
                <w:szCs w:val="18"/>
                <w:color w:val="auto"/>
              </w:rPr>
              <w:t>Efect of foreign exchange</w:t>
            </w:r>
          </w:p>
        </w:tc>
        <w:tc>
          <w:tcPr>
            <w:tcW w:w="2960" w:type="dxa"/>
            <w:vAlign w:val="bottom"/>
          </w:tcPr>
          <w:p>
            <w:pPr>
              <w:jc w:val="right"/>
              <w:ind w:right="490"/>
              <w:spacing w:after="0"/>
              <w:rPr>
                <w:sz w:val="20"/>
                <w:szCs w:val="20"/>
                <w:color w:val="auto"/>
              </w:rPr>
            </w:pPr>
            <w:r>
              <w:rPr>
                <w:rFonts w:ascii="Calibri" w:cs="Calibri" w:eastAsia="Calibri" w:hAnsi="Calibri"/>
                <w:sz w:val="18"/>
                <w:szCs w:val="18"/>
                <w:color w:val="auto"/>
              </w:rPr>
              <w:t>(1)</w:t>
            </w:r>
          </w:p>
        </w:tc>
        <w:tc>
          <w:tcPr>
            <w:tcW w:w="2400" w:type="dxa"/>
            <w:vAlign w:val="bottom"/>
          </w:tcPr>
          <w:p>
            <w:pPr>
              <w:jc w:val="right"/>
              <w:ind w:right="530"/>
              <w:spacing w:after="0"/>
              <w:rPr>
                <w:sz w:val="20"/>
                <w:szCs w:val="20"/>
                <w:color w:val="auto"/>
              </w:rPr>
            </w:pPr>
            <w:r>
              <w:rPr>
                <w:rFonts w:ascii="Calibri" w:cs="Calibri" w:eastAsia="Calibri" w:hAnsi="Calibri"/>
                <w:sz w:val="18"/>
                <w:szCs w:val="18"/>
                <w:color w:val="auto"/>
              </w:rPr>
              <w:t>1</w:t>
            </w:r>
          </w:p>
        </w:tc>
        <w:tc>
          <w:tcPr>
            <w:tcW w:w="1240" w:type="dxa"/>
            <w:vAlign w:val="bottom"/>
            <w:gridSpan w:val="2"/>
          </w:tcPr>
          <w:p>
            <w:pPr>
              <w:jc w:val="right"/>
              <w:ind w:right="60"/>
              <w:spacing w:after="0"/>
              <w:rPr>
                <w:sz w:val="20"/>
                <w:szCs w:val="20"/>
                <w:color w:val="auto"/>
              </w:rPr>
            </w:pPr>
            <w:r>
              <w:rPr>
                <w:rFonts w:ascii="Calibri" w:cs="Calibri" w:eastAsia="Calibri" w:hAnsi="Calibri"/>
                <w:sz w:val="18"/>
                <w:szCs w:val="18"/>
                <w:color w:val="auto"/>
              </w:rPr>
              <w:t>—</w:t>
            </w:r>
          </w:p>
        </w:tc>
      </w:tr>
      <w:tr>
        <w:trPr>
          <w:trHeight w:val="23"/>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Balance as at March 31, 2022</w:t>
            </w:r>
          </w:p>
        </w:tc>
        <w:tc>
          <w:tcPr>
            <w:tcW w:w="2960" w:type="dxa"/>
            <w:vAlign w:val="bottom"/>
            <w:tcBorders>
              <w:bottom w:val="single" w:sz="8" w:color="auto"/>
            </w:tcBorders>
          </w:tcPr>
          <w:p>
            <w:pPr>
              <w:jc w:val="right"/>
              <w:ind w:right="490"/>
              <w:spacing w:after="0" w:line="215" w:lineRule="exact"/>
              <w:rPr>
                <w:sz w:val="20"/>
                <w:szCs w:val="20"/>
                <w:color w:val="auto"/>
              </w:rPr>
            </w:pPr>
            <w:r>
              <w:rPr>
                <w:rFonts w:ascii="Calibri" w:cs="Calibri" w:eastAsia="Calibri" w:hAnsi="Calibri"/>
                <w:sz w:val="18"/>
                <w:szCs w:val="18"/>
                <w:b w:val="1"/>
                <w:bCs w:val="1"/>
                <w:color w:val="auto"/>
              </w:rPr>
              <w:t>138</w:t>
            </w:r>
          </w:p>
        </w:tc>
        <w:tc>
          <w:tcPr>
            <w:tcW w:w="2400" w:type="dxa"/>
            <w:vAlign w:val="bottom"/>
            <w:tcBorders>
              <w:bottom w:val="single" w:sz="8" w:color="auto"/>
            </w:tcBorders>
          </w:tcPr>
          <w:p>
            <w:pPr>
              <w:jc w:val="right"/>
              <w:ind w:right="530"/>
              <w:spacing w:after="0" w:line="215" w:lineRule="exact"/>
              <w:rPr>
                <w:sz w:val="20"/>
                <w:szCs w:val="20"/>
                <w:color w:val="auto"/>
              </w:rPr>
            </w:pPr>
            <w:r>
              <w:rPr>
                <w:rFonts w:ascii="Calibri" w:cs="Calibri" w:eastAsia="Calibri" w:hAnsi="Calibri"/>
                <w:sz w:val="18"/>
                <w:szCs w:val="18"/>
                <w:b w:val="1"/>
                <w:bCs w:val="1"/>
                <w:color w:val="auto"/>
              </w:rPr>
              <w:t>84</w:t>
            </w:r>
          </w:p>
        </w:tc>
        <w:tc>
          <w:tcPr>
            <w:tcW w:w="1240" w:type="dxa"/>
            <w:vAlign w:val="bottom"/>
            <w:tcBorders>
              <w:bottom w:val="single" w:sz="8" w:color="auto"/>
            </w:tcBorders>
            <w:gridSpan w:val="2"/>
          </w:tcPr>
          <w:p>
            <w:pPr>
              <w:jc w:val="right"/>
              <w:ind w:right="60"/>
              <w:spacing w:after="0" w:line="215" w:lineRule="exact"/>
              <w:rPr>
                <w:sz w:val="20"/>
                <w:szCs w:val="20"/>
                <w:color w:val="auto"/>
              </w:rPr>
            </w:pPr>
            <w:r>
              <w:rPr>
                <w:rFonts w:ascii="Calibri" w:cs="Calibri" w:eastAsia="Calibri" w:hAnsi="Calibri"/>
                <w:sz w:val="18"/>
                <w:szCs w:val="18"/>
                <w:b w:val="1"/>
                <w:bCs w:val="1"/>
                <w:color w:val="auto"/>
              </w:rPr>
              <w:t>222</w:t>
            </w:r>
          </w:p>
        </w:tc>
      </w:tr>
      <w:tr>
        <w:trPr>
          <w:trHeight w:val="243"/>
        </w:trPr>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Net book value as at March 31, 2021</w:t>
            </w:r>
          </w:p>
        </w:tc>
        <w:tc>
          <w:tcPr>
            <w:tcW w:w="2960" w:type="dxa"/>
            <w:vAlign w:val="bottom"/>
            <w:tcBorders>
              <w:bottom w:val="single" w:sz="8" w:color="auto"/>
            </w:tcBorders>
          </w:tcPr>
          <w:p>
            <w:pPr>
              <w:jc w:val="right"/>
              <w:ind w:right="490"/>
              <w:spacing w:after="0" w:line="215" w:lineRule="exact"/>
              <w:rPr>
                <w:sz w:val="20"/>
                <w:szCs w:val="20"/>
                <w:color w:val="auto"/>
              </w:rPr>
            </w:pPr>
            <w:r>
              <w:rPr>
                <w:rFonts w:ascii="Calibri" w:cs="Calibri" w:eastAsia="Calibri" w:hAnsi="Calibri"/>
                <w:sz w:val="18"/>
                <w:szCs w:val="18"/>
                <w:b w:val="1"/>
                <w:bCs w:val="1"/>
                <w:color w:val="auto"/>
              </w:rPr>
              <w:t>431</w:t>
            </w:r>
          </w:p>
        </w:tc>
        <w:tc>
          <w:tcPr>
            <w:tcW w:w="2400" w:type="dxa"/>
            <w:vAlign w:val="bottom"/>
            <w:tcBorders>
              <w:bottom w:val="single" w:sz="8" w:color="auto"/>
            </w:tcBorders>
          </w:tcPr>
          <w:p>
            <w:pPr>
              <w:jc w:val="right"/>
              <w:ind w:right="530"/>
              <w:spacing w:after="0" w:line="215" w:lineRule="exact"/>
              <w:rPr>
                <w:sz w:val="20"/>
                <w:szCs w:val="20"/>
                <w:color w:val="auto"/>
              </w:rPr>
            </w:pPr>
            <w:r>
              <w:rPr>
                <w:rFonts w:ascii="Calibri" w:cs="Calibri" w:eastAsia="Calibri" w:hAnsi="Calibri"/>
                <w:sz w:val="18"/>
                <w:szCs w:val="18"/>
                <w:b w:val="1"/>
                <w:bCs w:val="1"/>
                <w:color w:val="auto"/>
              </w:rPr>
              <w:t>126</w:t>
            </w:r>
          </w:p>
        </w:tc>
        <w:tc>
          <w:tcPr>
            <w:tcW w:w="1240" w:type="dxa"/>
            <w:vAlign w:val="bottom"/>
            <w:tcBorders>
              <w:bottom w:val="single" w:sz="8" w:color="auto"/>
            </w:tcBorders>
            <w:gridSpan w:val="2"/>
          </w:tcPr>
          <w:p>
            <w:pPr>
              <w:jc w:val="right"/>
              <w:ind w:right="60"/>
              <w:spacing w:after="0" w:line="215" w:lineRule="exact"/>
              <w:rPr>
                <w:sz w:val="20"/>
                <w:szCs w:val="20"/>
                <w:color w:val="auto"/>
              </w:rPr>
            </w:pPr>
            <w:r>
              <w:rPr>
                <w:rFonts w:ascii="Calibri" w:cs="Calibri" w:eastAsia="Calibri" w:hAnsi="Calibri"/>
                <w:sz w:val="18"/>
                <w:szCs w:val="18"/>
                <w:b w:val="1"/>
                <w:bCs w:val="1"/>
                <w:color w:val="auto"/>
              </w:rPr>
              <w:t>557</w:t>
            </w:r>
          </w:p>
        </w:tc>
      </w:tr>
      <w:tr>
        <w:trPr>
          <w:trHeight w:val="223"/>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Net book value as at March 31, 2022</w:t>
            </w:r>
          </w:p>
        </w:tc>
        <w:tc>
          <w:tcPr>
            <w:tcW w:w="2960" w:type="dxa"/>
            <w:vAlign w:val="bottom"/>
            <w:tcBorders>
              <w:bottom w:val="single" w:sz="8" w:color="auto"/>
            </w:tcBorders>
          </w:tcPr>
          <w:p>
            <w:pPr>
              <w:jc w:val="right"/>
              <w:ind w:right="490"/>
              <w:spacing w:after="0" w:line="215" w:lineRule="exact"/>
              <w:rPr>
                <w:sz w:val="20"/>
                <w:szCs w:val="20"/>
                <w:color w:val="auto"/>
              </w:rPr>
            </w:pPr>
            <w:r>
              <w:rPr>
                <w:rFonts w:ascii="Calibri" w:cs="Calibri" w:eastAsia="Calibri" w:hAnsi="Calibri"/>
                <w:sz w:val="18"/>
                <w:szCs w:val="18"/>
                <w:b w:val="1"/>
                <w:bCs w:val="1"/>
                <w:color w:val="auto"/>
              </w:rPr>
              <w:t>337</w:t>
            </w:r>
          </w:p>
        </w:tc>
        <w:tc>
          <w:tcPr>
            <w:tcW w:w="2400" w:type="dxa"/>
            <w:vAlign w:val="bottom"/>
            <w:tcBorders>
              <w:bottom w:val="single" w:sz="8" w:color="auto"/>
            </w:tcBorders>
          </w:tcPr>
          <w:p>
            <w:pPr>
              <w:jc w:val="right"/>
              <w:ind w:right="530"/>
              <w:spacing w:after="0" w:line="215" w:lineRule="exact"/>
              <w:rPr>
                <w:sz w:val="20"/>
                <w:szCs w:val="20"/>
                <w:color w:val="auto"/>
              </w:rPr>
            </w:pPr>
            <w:r>
              <w:rPr>
                <w:rFonts w:ascii="Calibri" w:cs="Calibri" w:eastAsia="Calibri" w:hAnsi="Calibri"/>
                <w:sz w:val="18"/>
                <w:szCs w:val="18"/>
                <w:b w:val="1"/>
                <w:bCs w:val="1"/>
                <w:color w:val="auto"/>
              </w:rPr>
              <w:t>154</w:t>
            </w:r>
          </w:p>
        </w:tc>
        <w:tc>
          <w:tcPr>
            <w:tcW w:w="1240" w:type="dxa"/>
            <w:vAlign w:val="bottom"/>
            <w:tcBorders>
              <w:bottom w:val="single" w:sz="8" w:color="auto"/>
            </w:tcBorders>
            <w:gridSpan w:val="2"/>
          </w:tcPr>
          <w:p>
            <w:pPr>
              <w:jc w:val="right"/>
              <w:ind w:right="60"/>
              <w:spacing w:after="0" w:line="215" w:lineRule="exact"/>
              <w:rPr>
                <w:sz w:val="20"/>
                <w:szCs w:val="20"/>
                <w:color w:val="auto"/>
              </w:rPr>
            </w:pPr>
            <w:r>
              <w:rPr>
                <w:rFonts w:ascii="Calibri" w:cs="Calibri" w:eastAsia="Calibri" w:hAnsi="Calibri"/>
                <w:sz w:val="18"/>
                <w:szCs w:val="18"/>
                <w:b w:val="1"/>
                <w:bCs w:val="1"/>
                <w:color w:val="auto"/>
              </w:rPr>
              <w:t>491</w:t>
            </w:r>
          </w:p>
        </w:tc>
      </w:tr>
      <w:tr>
        <w:trPr>
          <w:trHeight w:val="463"/>
        </w:trPr>
        <w:tc>
          <w:tcPr>
            <w:tcW w:w="220" w:type="dxa"/>
            <w:vAlign w:val="bottom"/>
          </w:tcPr>
          <w:p>
            <w:pPr>
              <w:jc w:val="right"/>
              <w:spacing w:after="0"/>
              <w:rPr>
                <w:sz w:val="20"/>
                <w:szCs w:val="20"/>
                <w:color w:val="auto"/>
              </w:rPr>
            </w:pPr>
            <w:r>
              <w:rPr>
                <w:rFonts w:ascii="Calibri" w:cs="Calibri" w:eastAsia="Calibri" w:hAnsi="Calibri"/>
                <w:sz w:val="18"/>
                <w:szCs w:val="18"/>
                <w:b w:val="1"/>
                <w:bCs w:val="1"/>
                <w:color w:val="2D5F91"/>
                <w:w w:val="85"/>
              </w:rPr>
              <w:t>7.</w:t>
            </w:r>
          </w:p>
        </w:tc>
        <w:tc>
          <w:tcPr>
            <w:tcW w:w="4060" w:type="dxa"/>
            <w:vAlign w:val="bottom"/>
            <w:gridSpan w:val="2"/>
          </w:tcPr>
          <w:p>
            <w:pPr>
              <w:ind w:left="80"/>
              <w:spacing w:after="0"/>
              <w:rPr>
                <w:sz w:val="20"/>
                <w:szCs w:val="20"/>
                <w:color w:val="auto"/>
              </w:rPr>
            </w:pPr>
            <w:r>
              <w:rPr>
                <w:rFonts w:ascii="Calibri" w:cs="Calibri" w:eastAsia="Calibri" w:hAnsi="Calibri"/>
                <w:sz w:val="18"/>
                <w:szCs w:val="18"/>
                <w:b w:val="1"/>
                <w:bCs w:val="1"/>
                <w:color w:val="2D5F91"/>
              </w:rPr>
              <w:t>INTANGIBLE ASSETS</w:t>
            </w:r>
          </w:p>
        </w:tc>
        <w:tc>
          <w:tcPr>
            <w:tcW w:w="2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tcPr>
          <w:p>
            <w:pPr>
              <w:ind w:left="60"/>
              <w:spacing w:after="0"/>
              <w:rPr>
                <w:sz w:val="20"/>
                <w:szCs w:val="20"/>
                <w:color w:val="auto"/>
              </w:rPr>
            </w:pPr>
            <w:r>
              <w:rPr>
                <w:rFonts w:ascii="Calibri" w:cs="Calibri" w:eastAsia="Calibri" w:hAnsi="Calibri"/>
                <w:sz w:val="18"/>
                <w:szCs w:val="18"/>
                <w:b w:val="1"/>
                <w:bCs w:val="1"/>
                <w:color w:val="auto"/>
              </w:rPr>
              <w:t>Cost</w:t>
            </w:r>
          </w:p>
        </w:tc>
        <w:tc>
          <w:tcPr>
            <w:tcW w:w="2960" w:type="dxa"/>
            <w:vAlign w:val="bottom"/>
          </w:tcPr>
          <w:p>
            <w:pPr>
              <w:jc w:val="right"/>
              <w:ind w:right="130"/>
              <w:spacing w:after="0"/>
              <w:rPr>
                <w:sz w:val="20"/>
                <w:szCs w:val="20"/>
                <w:color w:val="auto"/>
              </w:rPr>
            </w:pPr>
            <w:r>
              <w:rPr>
                <w:rFonts w:ascii="Calibri" w:cs="Calibri" w:eastAsia="Calibri" w:hAnsi="Calibri"/>
                <w:sz w:val="18"/>
                <w:szCs w:val="18"/>
                <w:b w:val="1"/>
                <w:bCs w:val="1"/>
                <w:color w:val="auto"/>
              </w:rPr>
              <w:t>Patents</w:t>
            </w:r>
          </w:p>
        </w:tc>
        <w:tc>
          <w:tcPr>
            <w:tcW w:w="2400" w:type="dxa"/>
            <w:vAlign w:val="bottom"/>
          </w:tcPr>
          <w:p>
            <w:pPr>
              <w:jc w:val="right"/>
              <w:ind w:right="670"/>
              <w:spacing w:after="0"/>
              <w:rPr>
                <w:sz w:val="20"/>
                <w:szCs w:val="20"/>
                <w:color w:val="auto"/>
              </w:rPr>
            </w:pPr>
            <w:r>
              <w:rPr>
                <w:rFonts w:ascii="Calibri" w:cs="Calibri" w:eastAsia="Calibri" w:hAnsi="Calibri"/>
                <w:sz w:val="18"/>
                <w:szCs w:val="18"/>
                <w:b w:val="1"/>
                <w:bCs w:val="1"/>
                <w:color w:val="auto"/>
              </w:rPr>
              <w:t>Sofware</w:t>
            </w:r>
          </w:p>
        </w:tc>
        <w:tc>
          <w:tcPr>
            <w:tcW w:w="1240" w:type="dxa"/>
            <w:vAlign w:val="bottom"/>
            <w:gridSpan w:val="2"/>
          </w:tcPr>
          <w:p>
            <w:pPr>
              <w:jc w:val="right"/>
              <w:ind w:right="140"/>
              <w:spacing w:after="0"/>
              <w:rPr>
                <w:sz w:val="20"/>
                <w:szCs w:val="20"/>
                <w:color w:val="auto"/>
              </w:rPr>
            </w:pPr>
            <w:r>
              <w:rPr>
                <w:rFonts w:ascii="Calibri" w:cs="Calibri" w:eastAsia="Calibri" w:hAnsi="Calibri"/>
                <w:sz w:val="18"/>
                <w:szCs w:val="18"/>
                <w:b w:val="1"/>
                <w:bCs w:val="1"/>
                <w:color w:val="auto"/>
              </w:rPr>
              <w:t>Total</w:t>
            </w:r>
          </w:p>
        </w:tc>
      </w:tr>
      <w:tr>
        <w:trPr>
          <w:trHeight w:val="230"/>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960" w:type="dxa"/>
            <w:vAlign w:val="bottom"/>
          </w:tcPr>
          <w:p>
            <w:pPr>
              <w:jc w:val="right"/>
              <w:ind w:right="130"/>
              <w:spacing w:after="0"/>
              <w:rPr>
                <w:sz w:val="20"/>
                <w:szCs w:val="20"/>
                <w:color w:val="auto"/>
              </w:rPr>
            </w:pPr>
            <w:r>
              <w:rPr>
                <w:rFonts w:ascii="Calibri" w:cs="Calibri" w:eastAsia="Calibri" w:hAnsi="Calibri"/>
                <w:sz w:val="18"/>
                <w:szCs w:val="18"/>
                <w:b w:val="1"/>
                <w:bCs w:val="1"/>
                <w:color w:val="auto"/>
              </w:rPr>
              <w:t>$000’s</w:t>
            </w:r>
          </w:p>
        </w:tc>
        <w:tc>
          <w:tcPr>
            <w:tcW w:w="2400" w:type="dxa"/>
            <w:vAlign w:val="bottom"/>
          </w:tcPr>
          <w:p>
            <w:pPr>
              <w:jc w:val="right"/>
              <w:ind w:right="670"/>
              <w:spacing w:after="0"/>
              <w:rPr>
                <w:sz w:val="20"/>
                <w:szCs w:val="20"/>
                <w:color w:val="auto"/>
              </w:rPr>
            </w:pPr>
            <w:r>
              <w:rPr>
                <w:rFonts w:ascii="Calibri" w:cs="Calibri" w:eastAsia="Calibri" w:hAnsi="Calibri"/>
                <w:sz w:val="18"/>
                <w:szCs w:val="18"/>
                <w:b w:val="1"/>
                <w:bCs w:val="1"/>
                <w:color w:val="auto"/>
              </w:rPr>
              <w:t>$000’s</w:t>
            </w:r>
          </w:p>
        </w:tc>
        <w:tc>
          <w:tcPr>
            <w:tcW w:w="1240" w:type="dxa"/>
            <w:vAlign w:val="bottom"/>
            <w:gridSpan w:val="2"/>
          </w:tcPr>
          <w:p>
            <w:pPr>
              <w:jc w:val="right"/>
              <w:ind w:right="140"/>
              <w:spacing w:after="0"/>
              <w:rPr>
                <w:sz w:val="20"/>
                <w:szCs w:val="20"/>
                <w:color w:val="auto"/>
              </w:rPr>
            </w:pPr>
            <w:r>
              <w:rPr>
                <w:rFonts w:ascii="Calibri" w:cs="Calibri" w:eastAsia="Calibri" w:hAnsi="Calibri"/>
                <w:sz w:val="18"/>
                <w:szCs w:val="18"/>
                <w:b w:val="1"/>
                <w:bCs w:val="1"/>
                <w:color w:val="auto"/>
              </w:rPr>
              <w:t>$000’s</w:t>
            </w:r>
          </w:p>
        </w:tc>
      </w:tr>
      <w:tr>
        <w:trPr>
          <w:trHeight w:val="23"/>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208"/>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Borders>
              <w:top w:val="single" w:sz="8" w:color="auto"/>
            </w:tcBorders>
          </w:tcPr>
          <w:p>
            <w:pPr>
              <w:ind w:left="60"/>
              <w:spacing w:after="0" w:line="208" w:lineRule="exact"/>
              <w:rPr>
                <w:sz w:val="20"/>
                <w:szCs w:val="20"/>
                <w:color w:val="auto"/>
              </w:rPr>
            </w:pPr>
            <w:r>
              <w:rPr>
                <w:rFonts w:ascii="Calibri" w:cs="Calibri" w:eastAsia="Calibri" w:hAnsi="Calibri"/>
                <w:sz w:val="18"/>
                <w:szCs w:val="18"/>
                <w:color w:val="auto"/>
              </w:rPr>
              <w:t>Balance as at March 31, 2021</w:t>
            </w:r>
          </w:p>
        </w:tc>
        <w:tc>
          <w:tcPr>
            <w:tcW w:w="2960" w:type="dxa"/>
            <w:vAlign w:val="bottom"/>
            <w:tcBorders>
              <w:top w:val="single" w:sz="8" w:color="auto"/>
            </w:tcBorders>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2400" w:type="dxa"/>
            <w:vAlign w:val="bottom"/>
            <w:tcBorders>
              <w:top w:val="single" w:sz="8" w:color="auto"/>
            </w:tcBorders>
          </w:tcPr>
          <w:p>
            <w:pPr>
              <w:jc w:val="right"/>
              <w:ind w:right="67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r>
      <w:tr>
        <w:trPr>
          <w:trHeight w:val="221"/>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ind w:left="60"/>
              <w:spacing w:after="0"/>
              <w:rPr>
                <w:sz w:val="20"/>
                <w:szCs w:val="20"/>
                <w:color w:val="auto"/>
              </w:rPr>
            </w:pPr>
            <w:r>
              <w:rPr>
                <w:rFonts w:ascii="Calibri" w:cs="Calibri" w:eastAsia="Calibri" w:hAnsi="Calibri"/>
                <w:sz w:val="18"/>
                <w:szCs w:val="18"/>
                <w:color w:val="auto"/>
              </w:rPr>
              <w:t>Adelia Acquisiton</w:t>
            </w:r>
          </w:p>
        </w:tc>
        <w:tc>
          <w:tcPr>
            <w:tcW w:w="2960" w:type="dxa"/>
            <w:vAlign w:val="bottom"/>
          </w:tcPr>
          <w:p>
            <w:pPr>
              <w:jc w:val="right"/>
              <w:ind w:right="130"/>
              <w:spacing w:after="0"/>
              <w:rPr>
                <w:sz w:val="20"/>
                <w:szCs w:val="20"/>
                <w:color w:val="auto"/>
              </w:rPr>
            </w:pPr>
            <w:r>
              <w:rPr>
                <w:rFonts w:ascii="Calibri" w:cs="Calibri" w:eastAsia="Calibri" w:hAnsi="Calibri"/>
                <w:sz w:val="18"/>
                <w:szCs w:val="18"/>
                <w:color w:val="auto"/>
              </w:rPr>
              <w:t>1,606</w:t>
            </w:r>
          </w:p>
        </w:tc>
        <w:tc>
          <w:tcPr>
            <w:tcW w:w="2400" w:type="dxa"/>
            <w:vAlign w:val="bottom"/>
          </w:tcPr>
          <w:p>
            <w:pPr>
              <w:jc w:val="right"/>
              <w:ind w:right="670"/>
              <w:spacing w:after="0"/>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1,606</w:t>
            </w:r>
          </w:p>
        </w:tc>
        <w:tc>
          <w:tcPr>
            <w:tcW w:w="8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ind w:left="60"/>
              <w:spacing w:after="0"/>
              <w:rPr>
                <w:sz w:val="20"/>
                <w:szCs w:val="20"/>
                <w:color w:val="auto"/>
              </w:rPr>
            </w:pPr>
            <w:r>
              <w:rPr>
                <w:rFonts w:ascii="Calibri" w:cs="Calibri" w:eastAsia="Calibri" w:hAnsi="Calibri"/>
                <w:sz w:val="18"/>
                <w:szCs w:val="18"/>
                <w:color w:val="auto"/>
              </w:rPr>
              <w:t>Additons</w:t>
            </w:r>
          </w:p>
        </w:tc>
        <w:tc>
          <w:tcPr>
            <w:tcW w:w="2960" w:type="dxa"/>
            <w:vAlign w:val="bottom"/>
          </w:tcPr>
          <w:p>
            <w:pPr>
              <w:jc w:val="right"/>
              <w:ind w:right="130"/>
              <w:spacing w:after="0"/>
              <w:rPr>
                <w:sz w:val="20"/>
                <w:szCs w:val="20"/>
                <w:color w:val="auto"/>
              </w:rPr>
            </w:pPr>
            <w:r>
              <w:rPr>
                <w:rFonts w:ascii="Calibri" w:cs="Calibri" w:eastAsia="Calibri" w:hAnsi="Calibri"/>
                <w:sz w:val="18"/>
                <w:szCs w:val="18"/>
                <w:color w:val="auto"/>
              </w:rPr>
              <w:t>97</w:t>
            </w:r>
          </w:p>
        </w:tc>
        <w:tc>
          <w:tcPr>
            <w:tcW w:w="2400" w:type="dxa"/>
            <w:vAlign w:val="bottom"/>
          </w:tcPr>
          <w:p>
            <w:pPr>
              <w:jc w:val="right"/>
              <w:ind w:right="670"/>
              <w:spacing w:after="0"/>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97</w:t>
            </w:r>
          </w:p>
        </w:tc>
        <w:tc>
          <w:tcPr>
            <w:tcW w:w="8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ind w:left="60"/>
              <w:spacing w:after="0"/>
              <w:rPr>
                <w:sz w:val="20"/>
                <w:szCs w:val="20"/>
                <w:color w:val="auto"/>
              </w:rPr>
            </w:pPr>
            <w:r>
              <w:rPr>
                <w:rFonts w:ascii="Calibri" w:cs="Calibri" w:eastAsia="Calibri" w:hAnsi="Calibri"/>
                <w:sz w:val="18"/>
                <w:szCs w:val="18"/>
                <w:color w:val="auto"/>
              </w:rPr>
              <w:t>Efect of foreign exchange</w:t>
            </w:r>
          </w:p>
        </w:tc>
        <w:tc>
          <w:tcPr>
            <w:tcW w:w="2960" w:type="dxa"/>
            <w:vAlign w:val="bottom"/>
          </w:tcPr>
          <w:p>
            <w:pPr>
              <w:jc w:val="right"/>
              <w:ind w:right="130"/>
              <w:spacing w:after="0"/>
              <w:rPr>
                <w:sz w:val="20"/>
                <w:szCs w:val="20"/>
                <w:color w:val="auto"/>
              </w:rPr>
            </w:pPr>
            <w:r>
              <w:rPr>
                <w:rFonts w:ascii="Calibri" w:cs="Calibri" w:eastAsia="Calibri" w:hAnsi="Calibri"/>
                <w:sz w:val="18"/>
                <w:szCs w:val="18"/>
                <w:color w:val="auto"/>
              </w:rPr>
              <w:t>(2)</w:t>
            </w:r>
          </w:p>
        </w:tc>
        <w:tc>
          <w:tcPr>
            <w:tcW w:w="2400" w:type="dxa"/>
            <w:vAlign w:val="bottom"/>
          </w:tcPr>
          <w:p>
            <w:pPr>
              <w:jc w:val="right"/>
              <w:ind w:right="670"/>
              <w:spacing w:after="0"/>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80" w:type="dxa"/>
            <w:vAlign w:val="bottom"/>
          </w:tcPr>
          <w:p>
            <w:pPr>
              <w:spacing w:after="0"/>
              <w:rPr>
                <w:sz w:val="19"/>
                <w:szCs w:val="19"/>
                <w:color w:val="auto"/>
              </w:rPr>
            </w:pPr>
          </w:p>
        </w:tc>
      </w:tr>
      <w:tr>
        <w:trPr>
          <w:trHeight w:val="23"/>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8"/>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60"/>
              <w:spacing w:after="0" w:line="208" w:lineRule="exact"/>
              <w:rPr>
                <w:sz w:val="20"/>
                <w:szCs w:val="20"/>
                <w:color w:val="auto"/>
              </w:rPr>
            </w:pPr>
            <w:r>
              <w:rPr>
                <w:rFonts w:ascii="Calibri" w:cs="Calibri" w:eastAsia="Calibri" w:hAnsi="Calibri"/>
                <w:sz w:val="18"/>
                <w:szCs w:val="18"/>
                <w:b w:val="1"/>
                <w:bCs w:val="1"/>
                <w:color w:val="auto"/>
              </w:rPr>
              <w:t>Balance as at March 31, 2021</w:t>
            </w:r>
          </w:p>
        </w:tc>
        <w:tc>
          <w:tcPr>
            <w:tcW w:w="2960" w:type="dxa"/>
            <w:vAlign w:val="bottom"/>
          </w:tcPr>
          <w:p>
            <w:pPr>
              <w:jc w:val="right"/>
              <w:ind w:right="130"/>
              <w:spacing w:after="0" w:line="208" w:lineRule="exact"/>
              <w:rPr>
                <w:sz w:val="20"/>
                <w:szCs w:val="20"/>
                <w:color w:val="auto"/>
              </w:rPr>
            </w:pPr>
            <w:r>
              <w:rPr>
                <w:rFonts w:ascii="Calibri" w:cs="Calibri" w:eastAsia="Calibri" w:hAnsi="Calibri"/>
                <w:sz w:val="18"/>
                <w:szCs w:val="18"/>
                <w:b w:val="1"/>
                <w:bCs w:val="1"/>
                <w:color w:val="auto"/>
              </w:rPr>
              <w:t>1,701</w:t>
            </w:r>
          </w:p>
        </w:tc>
        <w:tc>
          <w:tcPr>
            <w:tcW w:w="2400" w:type="dxa"/>
            <w:vAlign w:val="bottom"/>
          </w:tcPr>
          <w:p>
            <w:pPr>
              <w:jc w:val="right"/>
              <w:ind w:right="67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1,701</w:t>
            </w:r>
          </w:p>
        </w:tc>
        <w:tc>
          <w:tcPr>
            <w:tcW w:w="80" w:type="dxa"/>
            <w:vAlign w:val="bottom"/>
          </w:tcPr>
          <w:p>
            <w:pPr>
              <w:spacing w:after="0"/>
              <w:rPr>
                <w:sz w:val="18"/>
                <w:szCs w:val="18"/>
                <w:color w:val="auto"/>
              </w:rPr>
            </w:pPr>
          </w:p>
        </w:tc>
      </w:tr>
      <w:tr>
        <w:trPr>
          <w:trHeight w:val="221"/>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ind w:left="60"/>
              <w:spacing w:after="0"/>
              <w:rPr>
                <w:sz w:val="20"/>
                <w:szCs w:val="20"/>
                <w:color w:val="auto"/>
              </w:rPr>
            </w:pPr>
            <w:r>
              <w:rPr>
                <w:rFonts w:ascii="Calibri" w:cs="Calibri" w:eastAsia="Calibri" w:hAnsi="Calibri"/>
                <w:sz w:val="18"/>
                <w:szCs w:val="18"/>
                <w:color w:val="auto"/>
              </w:rPr>
              <w:t>Additons</w:t>
            </w:r>
          </w:p>
        </w:tc>
        <w:tc>
          <w:tcPr>
            <w:tcW w:w="2960" w:type="dxa"/>
            <w:vAlign w:val="bottom"/>
          </w:tcPr>
          <w:p>
            <w:pPr>
              <w:jc w:val="right"/>
              <w:ind w:right="130"/>
              <w:spacing w:after="0"/>
              <w:rPr>
                <w:sz w:val="20"/>
                <w:szCs w:val="20"/>
                <w:color w:val="auto"/>
              </w:rPr>
            </w:pPr>
            <w:r>
              <w:rPr>
                <w:rFonts w:ascii="Calibri" w:cs="Calibri" w:eastAsia="Calibri" w:hAnsi="Calibri"/>
                <w:sz w:val="18"/>
                <w:szCs w:val="18"/>
                <w:color w:val="auto"/>
              </w:rPr>
              <w:t>341</w:t>
            </w:r>
          </w:p>
        </w:tc>
        <w:tc>
          <w:tcPr>
            <w:tcW w:w="2400" w:type="dxa"/>
            <w:vAlign w:val="bottom"/>
          </w:tcPr>
          <w:p>
            <w:pPr>
              <w:jc w:val="right"/>
              <w:ind w:right="670"/>
              <w:spacing w:after="0"/>
              <w:rPr>
                <w:sz w:val="20"/>
                <w:szCs w:val="20"/>
                <w:color w:val="auto"/>
              </w:rPr>
            </w:pPr>
            <w:r>
              <w:rPr>
                <w:rFonts w:ascii="Calibri" w:cs="Calibri" w:eastAsia="Calibri" w:hAnsi="Calibri"/>
                <w:sz w:val="18"/>
                <w:szCs w:val="18"/>
                <w:color w:val="auto"/>
              </w:rPr>
              <w:t>74</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415</w:t>
            </w:r>
          </w:p>
        </w:tc>
        <w:tc>
          <w:tcPr>
            <w:tcW w:w="8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ind w:left="60"/>
              <w:spacing w:after="0"/>
              <w:rPr>
                <w:sz w:val="20"/>
                <w:szCs w:val="20"/>
                <w:color w:val="auto"/>
              </w:rPr>
            </w:pPr>
            <w:r>
              <w:rPr>
                <w:rFonts w:ascii="Calibri" w:cs="Calibri" w:eastAsia="Calibri" w:hAnsi="Calibri"/>
                <w:sz w:val="18"/>
                <w:szCs w:val="18"/>
                <w:color w:val="auto"/>
              </w:rPr>
              <w:t>Efect of foreign exchange</w:t>
            </w:r>
          </w:p>
        </w:tc>
        <w:tc>
          <w:tcPr>
            <w:tcW w:w="2960" w:type="dxa"/>
            <w:vAlign w:val="bottom"/>
          </w:tcPr>
          <w:p>
            <w:pPr>
              <w:jc w:val="right"/>
              <w:ind w:right="130"/>
              <w:spacing w:after="0"/>
              <w:rPr>
                <w:sz w:val="20"/>
                <w:szCs w:val="20"/>
                <w:color w:val="auto"/>
              </w:rPr>
            </w:pPr>
            <w:r>
              <w:rPr>
                <w:rFonts w:ascii="Calibri" w:cs="Calibri" w:eastAsia="Calibri" w:hAnsi="Calibri"/>
                <w:sz w:val="18"/>
                <w:szCs w:val="18"/>
                <w:color w:val="auto"/>
              </w:rPr>
              <w:t>(33)</w:t>
            </w:r>
          </w:p>
        </w:tc>
        <w:tc>
          <w:tcPr>
            <w:tcW w:w="2400" w:type="dxa"/>
            <w:vAlign w:val="bottom"/>
          </w:tcPr>
          <w:p>
            <w:pPr>
              <w:jc w:val="right"/>
              <w:ind w:right="670"/>
              <w:spacing w:after="0"/>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(33)</w:t>
            </w:r>
          </w:p>
        </w:tc>
        <w:tc>
          <w:tcPr>
            <w:tcW w:w="80" w:type="dxa"/>
            <w:vAlign w:val="bottom"/>
          </w:tcPr>
          <w:p>
            <w:pPr>
              <w:spacing w:after="0"/>
              <w:rPr>
                <w:sz w:val="19"/>
                <w:szCs w:val="19"/>
                <w:color w:val="auto"/>
              </w:rPr>
            </w:pPr>
          </w:p>
        </w:tc>
      </w:tr>
      <w:tr>
        <w:trPr>
          <w:trHeight w:val="23"/>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Borders>
              <w:bottom w:val="single" w:sz="8" w:color="auto"/>
            </w:tcBorders>
          </w:tcPr>
          <w:p>
            <w:pPr>
              <w:ind w:left="60"/>
              <w:spacing w:after="0" w:line="215" w:lineRule="exact"/>
              <w:rPr>
                <w:sz w:val="20"/>
                <w:szCs w:val="20"/>
                <w:color w:val="auto"/>
              </w:rPr>
            </w:pPr>
            <w:r>
              <w:rPr>
                <w:rFonts w:ascii="Calibri" w:cs="Calibri" w:eastAsia="Calibri" w:hAnsi="Calibri"/>
                <w:sz w:val="18"/>
                <w:szCs w:val="18"/>
                <w:b w:val="1"/>
                <w:bCs w:val="1"/>
                <w:color w:val="auto"/>
              </w:rPr>
              <w:t>Balance as at March 31, 2022</w:t>
            </w:r>
          </w:p>
        </w:tc>
        <w:tc>
          <w:tcPr>
            <w:tcW w:w="296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b w:val="1"/>
                <w:bCs w:val="1"/>
                <w:color w:val="auto"/>
              </w:rPr>
              <w:t>2,009</w:t>
            </w:r>
          </w:p>
        </w:tc>
        <w:tc>
          <w:tcPr>
            <w:tcW w:w="2400" w:type="dxa"/>
            <w:vAlign w:val="bottom"/>
            <w:tcBorders>
              <w:bottom w:val="single" w:sz="8" w:color="auto"/>
            </w:tcBorders>
          </w:tcPr>
          <w:p>
            <w:pPr>
              <w:jc w:val="right"/>
              <w:ind w:right="670"/>
              <w:spacing w:after="0" w:line="215" w:lineRule="exact"/>
              <w:rPr>
                <w:sz w:val="20"/>
                <w:szCs w:val="20"/>
                <w:color w:val="auto"/>
              </w:rPr>
            </w:pPr>
            <w:r>
              <w:rPr>
                <w:rFonts w:ascii="Calibri" w:cs="Calibri" w:eastAsia="Calibri" w:hAnsi="Calibri"/>
                <w:sz w:val="18"/>
                <w:szCs w:val="18"/>
                <w:b w:val="1"/>
                <w:bCs w:val="1"/>
                <w:color w:val="auto"/>
              </w:rPr>
              <w:t>74</w:t>
            </w: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2,083</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79"/>
        <w:spacing w:after="0"/>
        <w:rPr>
          <w:sz w:val="20"/>
          <w:szCs w:val="20"/>
          <w:color w:val="auto"/>
        </w:rPr>
      </w:pPr>
      <w:r>
        <w:rPr>
          <w:rFonts w:ascii="Calibri" w:cs="Calibri" w:eastAsia="Calibri" w:hAnsi="Calibri"/>
          <w:sz w:val="18"/>
          <w:szCs w:val="18"/>
          <w:b w:val="1"/>
          <w:bCs w:val="1"/>
          <w:color w:val="auto"/>
        </w:rPr>
        <w:t>Page 27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54" w:right="699" w:bottom="1440" w:gutter="0" w:footer="0" w:header="0"/>
        </w:sectPr>
      </w:pPr>
    </w:p>
    <w:bookmarkStart w:id="30" w:name="page31"/>
    <w:bookmarkEnd w:id="30"/>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left="80"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620" w:type="dxa"/>
            <w:vAlign w:val="bottom"/>
          </w:tcPr>
          <w:p>
            <w:pPr>
              <w:spacing w:after="0"/>
              <w:rPr>
                <w:sz w:val="20"/>
                <w:szCs w:val="20"/>
                <w:color w:val="auto"/>
              </w:rPr>
            </w:pPr>
            <w:r>
              <w:rPr>
                <w:rFonts w:ascii="Calibri" w:cs="Calibri" w:eastAsia="Calibri" w:hAnsi="Calibri"/>
                <w:sz w:val="18"/>
                <w:szCs w:val="18"/>
                <w:b w:val="1"/>
                <w:bCs w:val="1"/>
                <w:color w:val="2D5F91"/>
              </w:rPr>
              <w:t>8.  GOODWILL</w:t>
            </w:r>
          </w:p>
        </w:tc>
        <w:tc>
          <w:tcPr>
            <w:tcW w:w="1620" w:type="dxa"/>
            <w:vAlign w:val="bottom"/>
          </w:tcPr>
          <w:p>
            <w:pPr>
              <w:spacing w:after="0"/>
              <w:rPr>
                <w:sz w:val="19"/>
                <w:szCs w:val="19"/>
                <w:color w:val="auto"/>
              </w:rPr>
            </w:pPr>
          </w:p>
        </w:tc>
      </w:tr>
      <w:tr>
        <w:trPr>
          <w:trHeight w:val="483"/>
        </w:trPr>
        <w:tc>
          <w:tcPr>
            <w:tcW w:w="9620" w:type="dxa"/>
            <w:vAlign w:val="bottom"/>
          </w:tcPr>
          <w:p>
            <w:pPr>
              <w:ind w:left="340"/>
              <w:spacing w:after="0"/>
              <w:rPr>
                <w:sz w:val="20"/>
                <w:szCs w:val="20"/>
                <w:color w:val="auto"/>
              </w:rPr>
            </w:pPr>
            <w:r>
              <w:rPr>
                <w:rFonts w:ascii="Calibri" w:cs="Calibri" w:eastAsia="Calibri" w:hAnsi="Calibri"/>
                <w:sz w:val="18"/>
                <w:szCs w:val="18"/>
                <w:color w:val="auto"/>
              </w:rPr>
              <w:t>Goodwill is recognized at the acquisiton date when total consideraton exceeds the net identfable assets acquired</w:t>
            </w:r>
            <w:r>
              <w:rPr>
                <w:rFonts w:ascii="Arial" w:cs="Arial" w:eastAsia="Arial" w:hAnsi="Arial"/>
                <w:sz w:val="21"/>
                <w:szCs w:val="21"/>
                <w:color w:val="auto"/>
              </w:rPr>
              <w:t>.</w:t>
            </w:r>
          </w:p>
        </w:tc>
        <w:tc>
          <w:tcPr>
            <w:tcW w:w="1620" w:type="dxa"/>
            <w:vAlign w:val="bottom"/>
          </w:tcPr>
          <w:p>
            <w:pPr>
              <w:spacing w:after="0"/>
              <w:rPr>
                <w:sz w:val="24"/>
                <w:szCs w:val="24"/>
                <w:color w:val="auto"/>
              </w:rPr>
            </w:pPr>
          </w:p>
        </w:tc>
      </w:tr>
      <w:tr>
        <w:trPr>
          <w:trHeight w:val="475"/>
        </w:trPr>
        <w:tc>
          <w:tcPr>
            <w:tcW w:w="9620" w:type="dxa"/>
            <w:vAlign w:val="bottom"/>
          </w:tcPr>
          <w:p>
            <w:pPr>
              <w:ind w:left="260"/>
              <w:spacing w:after="0"/>
              <w:rPr>
                <w:sz w:val="20"/>
                <w:szCs w:val="20"/>
                <w:color w:val="auto"/>
              </w:rPr>
            </w:pPr>
            <w:r>
              <w:rPr>
                <w:rFonts w:ascii="Calibri" w:cs="Calibri" w:eastAsia="Calibri" w:hAnsi="Calibri"/>
                <w:sz w:val="18"/>
                <w:szCs w:val="18"/>
                <w:b w:val="1"/>
                <w:bCs w:val="1"/>
                <w:color w:val="auto"/>
              </w:rPr>
              <w:t>Cost</w:t>
            </w:r>
          </w:p>
        </w:tc>
        <w:tc>
          <w:tcPr>
            <w:tcW w:w="1620" w:type="dxa"/>
            <w:vAlign w:val="bottom"/>
          </w:tcPr>
          <w:p>
            <w:pPr>
              <w:jc w:val="right"/>
              <w:spacing w:after="0"/>
              <w:rPr>
                <w:sz w:val="20"/>
                <w:szCs w:val="20"/>
                <w:color w:val="auto"/>
              </w:rPr>
            </w:pPr>
            <w:r>
              <w:rPr>
                <w:rFonts w:ascii="Calibri" w:cs="Calibri" w:eastAsia="Calibri" w:hAnsi="Calibri"/>
                <w:sz w:val="18"/>
                <w:szCs w:val="18"/>
                <w:b w:val="1"/>
                <w:bCs w:val="1"/>
                <w:color w:val="auto"/>
              </w:rPr>
              <w:t>$000’s</w:t>
            </w:r>
          </w:p>
        </w:tc>
      </w:tr>
      <w:tr>
        <w:trPr>
          <w:trHeight w:val="23"/>
        </w:trPr>
        <w:tc>
          <w:tcPr>
            <w:tcW w:w="9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8"/>
        </w:trPr>
        <w:tc>
          <w:tcPr>
            <w:tcW w:w="9620" w:type="dxa"/>
            <w:vAlign w:val="bottom"/>
          </w:tcPr>
          <w:p>
            <w:pPr>
              <w:ind w:left="260"/>
              <w:spacing w:after="0" w:line="208" w:lineRule="exact"/>
              <w:rPr>
                <w:sz w:val="20"/>
                <w:szCs w:val="20"/>
                <w:color w:val="auto"/>
              </w:rPr>
            </w:pPr>
            <w:r>
              <w:rPr>
                <w:rFonts w:ascii="Calibri" w:cs="Calibri" w:eastAsia="Calibri" w:hAnsi="Calibri"/>
                <w:sz w:val="18"/>
                <w:szCs w:val="18"/>
                <w:color w:val="auto"/>
              </w:rPr>
              <w:t>Balance as at March 31, 2020</w:t>
            </w:r>
          </w:p>
        </w:tc>
        <w:tc>
          <w:tcPr>
            <w:tcW w:w="162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r>
      <w:tr>
        <w:trPr>
          <w:trHeight w:val="221"/>
        </w:trPr>
        <w:tc>
          <w:tcPr>
            <w:tcW w:w="9620" w:type="dxa"/>
            <w:vAlign w:val="bottom"/>
          </w:tcPr>
          <w:p>
            <w:pPr>
              <w:ind w:left="260"/>
              <w:spacing w:after="0"/>
              <w:rPr>
                <w:sz w:val="20"/>
                <w:szCs w:val="20"/>
                <w:color w:val="auto"/>
              </w:rPr>
            </w:pPr>
            <w:r>
              <w:rPr>
                <w:rFonts w:ascii="Calibri" w:cs="Calibri" w:eastAsia="Calibri" w:hAnsi="Calibri"/>
                <w:sz w:val="18"/>
                <w:szCs w:val="18"/>
                <w:color w:val="auto"/>
              </w:rPr>
              <w:t>Additons (refer to note 4)</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23,370</w:t>
            </w:r>
          </w:p>
        </w:tc>
      </w:tr>
      <w:tr>
        <w:trPr>
          <w:trHeight w:val="23"/>
        </w:trPr>
        <w:tc>
          <w:tcPr>
            <w:tcW w:w="9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8"/>
        </w:trPr>
        <w:tc>
          <w:tcPr>
            <w:tcW w:w="9620" w:type="dxa"/>
            <w:vAlign w:val="bottom"/>
          </w:tcPr>
          <w:p>
            <w:pPr>
              <w:ind w:left="260"/>
              <w:spacing w:after="0" w:line="208" w:lineRule="exact"/>
              <w:rPr>
                <w:sz w:val="20"/>
                <w:szCs w:val="20"/>
                <w:color w:val="auto"/>
              </w:rPr>
            </w:pPr>
            <w:r>
              <w:rPr>
                <w:rFonts w:ascii="Calibri" w:cs="Calibri" w:eastAsia="Calibri" w:hAnsi="Calibri"/>
                <w:sz w:val="18"/>
                <w:szCs w:val="18"/>
                <w:color w:val="auto"/>
              </w:rPr>
              <w:t>Balance as at March 31, 2021</w:t>
            </w:r>
          </w:p>
        </w:tc>
        <w:tc>
          <w:tcPr>
            <w:tcW w:w="1620" w:type="dxa"/>
            <w:vAlign w:val="bottom"/>
          </w:tcPr>
          <w:p>
            <w:pPr>
              <w:jc w:val="right"/>
              <w:spacing w:after="0" w:line="208" w:lineRule="exact"/>
              <w:rPr>
                <w:sz w:val="20"/>
                <w:szCs w:val="20"/>
                <w:color w:val="auto"/>
              </w:rPr>
            </w:pPr>
            <w:r>
              <w:rPr>
                <w:rFonts w:ascii="Calibri" w:cs="Calibri" w:eastAsia="Calibri" w:hAnsi="Calibri"/>
                <w:sz w:val="18"/>
                <w:szCs w:val="18"/>
                <w:color w:val="auto"/>
              </w:rPr>
              <w:t>23,370</w:t>
            </w:r>
          </w:p>
        </w:tc>
      </w:tr>
      <w:tr>
        <w:trPr>
          <w:trHeight w:val="221"/>
        </w:trPr>
        <w:tc>
          <w:tcPr>
            <w:tcW w:w="9620" w:type="dxa"/>
            <w:vAlign w:val="bottom"/>
          </w:tcPr>
          <w:p>
            <w:pPr>
              <w:ind w:left="260"/>
              <w:spacing w:after="0"/>
              <w:rPr>
                <w:sz w:val="20"/>
                <w:szCs w:val="20"/>
                <w:color w:val="auto"/>
              </w:rPr>
            </w:pPr>
            <w:r>
              <w:rPr>
                <w:rFonts w:ascii="Calibri" w:cs="Calibri" w:eastAsia="Calibri" w:hAnsi="Calibri"/>
                <w:sz w:val="18"/>
                <w:szCs w:val="18"/>
                <w:color w:val="auto"/>
              </w:rPr>
              <w:t>Efect of foreign exchange</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(478)</w:t>
            </w:r>
          </w:p>
        </w:tc>
      </w:tr>
      <w:tr>
        <w:trPr>
          <w:trHeight w:val="23"/>
        </w:trPr>
        <w:tc>
          <w:tcPr>
            <w:tcW w:w="9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9620" w:type="dxa"/>
            <w:vAlign w:val="bottom"/>
            <w:tcBorders>
              <w:bottom w:val="single" w:sz="8" w:color="auto"/>
            </w:tcBorders>
          </w:tcPr>
          <w:p>
            <w:pPr>
              <w:ind w:left="260"/>
              <w:spacing w:after="0" w:line="215" w:lineRule="exact"/>
              <w:rPr>
                <w:sz w:val="20"/>
                <w:szCs w:val="20"/>
                <w:color w:val="auto"/>
              </w:rPr>
            </w:pPr>
            <w:r>
              <w:rPr>
                <w:rFonts w:ascii="Calibri" w:cs="Calibri" w:eastAsia="Calibri" w:hAnsi="Calibri"/>
                <w:sz w:val="18"/>
                <w:szCs w:val="18"/>
                <w:b w:val="1"/>
                <w:bCs w:val="1"/>
                <w:color w:val="auto"/>
              </w:rPr>
              <w:t>Balance as at March 31, 2022</w:t>
            </w:r>
          </w:p>
        </w:tc>
        <w:tc>
          <w:tcPr>
            <w:tcW w:w="1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22,892</w:t>
            </w:r>
          </w:p>
        </w:tc>
      </w:tr>
    </w:tbl>
    <w:p>
      <w:pPr>
        <w:spacing w:after="0" w:line="243"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color w:val="auto"/>
        </w:rPr>
        <w:t>Impairment</w:t>
      </w:r>
    </w:p>
    <w:p>
      <w:pPr>
        <w:spacing w:after="0" w:line="177"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For purposes of the Company’s goodwill impairment testng, the Company has grouped certain CGUs to test at the lowest level at which management monitors goodwill for internal management purposes, which is the Company wide level.</w:t>
      </w:r>
    </w:p>
    <w:p>
      <w:pPr>
        <w:spacing w:after="0" w:line="177"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The Company performed its annual impairment test of goodwill at March 31, 2022. The recoverable amount was determined based on value-in-use (“VIU”) and considered the cash fows of the group of CGUs based on the current budget and future commercializaton plans. In assessing the VIU, estmated future cash fows are discounted to their present value using a discount rate that refects market assessments of the tme value of money and the risks specifc to the CGUs. The VIU calculatons were performed using a pre-tax discount rate of 15.6%. The Company determined the terminal value as an estmate of the present value of the future cash fows in the terminal period, applying a terminal growth rate of 2%. Based on the Company’s assessment, the recoverable amount is higher than the carrying value and therefore no impairment loss was recorded during the year ended March 31, 2022.</w:t>
      </w:r>
    </w:p>
    <w:p>
      <w:pPr>
        <w:spacing w:after="0" w:line="195" w:lineRule="exact"/>
        <w:rPr>
          <w:sz w:val="20"/>
          <w:szCs w:val="20"/>
          <w:color w:val="auto"/>
        </w:rPr>
      </w:pPr>
    </w:p>
    <w:p>
      <w:pPr>
        <w:ind w:left="340" w:right="8060" w:hanging="332"/>
        <w:spacing w:after="0" w:line="422" w:lineRule="auto"/>
        <w:tabs>
          <w:tab w:leader="none" w:pos="311" w:val="left"/>
        </w:tabs>
        <w:numPr>
          <w:ilvl w:val="0"/>
          <w:numId w:val="12"/>
        </w:numPr>
        <w:rPr>
          <w:rFonts w:ascii="Calibri" w:cs="Calibri" w:eastAsia="Calibri" w:hAnsi="Calibri"/>
          <w:sz w:val="18"/>
          <w:szCs w:val="18"/>
          <w:b w:val="1"/>
          <w:bCs w:val="1"/>
          <w:color w:val="2D5F91"/>
        </w:rPr>
      </w:pPr>
      <w:r>
        <w:rPr>
          <w:rFonts w:ascii="Calibri" w:cs="Calibri" w:eastAsia="Calibri" w:hAnsi="Calibri"/>
          <w:sz w:val="18"/>
          <w:szCs w:val="18"/>
          <w:b w:val="1"/>
          <w:bCs w:val="1"/>
          <w:color w:val="2D5F91"/>
        </w:rPr>
        <w:t xml:space="preserve">CONTINGENT CONSIDERATION PAYABLE </w:t>
      </w:r>
      <w:r>
        <w:rPr>
          <w:rFonts w:ascii="Calibri" w:cs="Calibri" w:eastAsia="Calibri" w:hAnsi="Calibri"/>
          <w:sz w:val="18"/>
          <w:szCs w:val="18"/>
          <w:b w:val="1"/>
          <w:bCs w:val="1"/>
          <w:color w:val="000000"/>
        </w:rPr>
        <w:t>Former Adelia Shareholders</w:t>
      </w:r>
    </w:p>
    <w:p>
      <w:pPr>
        <w:spacing w:after="0" w:line="10"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The Company has commitments to the Former Adelia Shareholders based on milestone achievements. Milestone payments of approximately $3,014 are remaining and expected to be paid in the year ending March 31, 2023, assuming all Milestones are met prior to the applicable deadlines. These Milestones are to be paid in Class B Shares at a price per Class B Share equal to ten tmes the current trading price of the Common Shares on the relevant pricing date (note 11).</w:t>
      </w:r>
    </w:p>
    <w:p>
      <w:pPr>
        <w:spacing w:after="0" w:line="18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The following table presents the change in the carrying value of the contngent consideraton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Page 28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31" w:name="page32"/>
    <w:bookmarkEnd w:id="31"/>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left="80"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6380" w:type="dxa"/>
            <w:vAlign w:val="bottom"/>
          </w:tcPr>
          <w:p>
            <w:pPr>
              <w:spacing w:after="0"/>
              <w:rPr>
                <w:sz w:val="19"/>
                <w:szCs w:val="19"/>
                <w:color w:val="auto"/>
              </w:rPr>
            </w:pPr>
          </w:p>
        </w:tc>
        <w:tc>
          <w:tcPr>
            <w:tcW w:w="4060" w:type="dxa"/>
            <w:vAlign w:val="bottom"/>
          </w:tcPr>
          <w:p>
            <w:pPr>
              <w:jc w:val="right"/>
              <w:spacing w:after="0"/>
              <w:rPr>
                <w:sz w:val="20"/>
                <w:szCs w:val="20"/>
                <w:color w:val="auto"/>
              </w:rPr>
            </w:pPr>
            <w:r>
              <w:rPr>
                <w:rFonts w:ascii="Calibri" w:cs="Calibri" w:eastAsia="Calibri" w:hAnsi="Calibri"/>
                <w:sz w:val="18"/>
                <w:szCs w:val="18"/>
                <w:b w:val="1"/>
                <w:bCs w:val="1"/>
                <w:color w:val="auto"/>
              </w:rPr>
              <w:t>$000’s</w:t>
            </w:r>
          </w:p>
        </w:tc>
      </w:tr>
      <w:tr>
        <w:trPr>
          <w:trHeight w:val="50"/>
        </w:trPr>
        <w:tc>
          <w:tcPr>
            <w:tcW w:w="6380" w:type="dxa"/>
            <w:vAlign w:val="bottom"/>
            <w:tcBorders>
              <w:bottom w:val="single" w:sz="8" w:color="auto"/>
            </w:tcBorders>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08"/>
        </w:trPr>
        <w:tc>
          <w:tcPr>
            <w:tcW w:w="6380" w:type="dxa"/>
            <w:vAlign w:val="bottom"/>
          </w:tcPr>
          <w:p>
            <w:pPr>
              <w:ind w:left="20"/>
              <w:spacing w:after="0" w:line="208" w:lineRule="exact"/>
              <w:rPr>
                <w:sz w:val="20"/>
                <w:szCs w:val="20"/>
                <w:color w:val="auto"/>
              </w:rPr>
            </w:pPr>
            <w:r>
              <w:rPr>
                <w:rFonts w:ascii="Calibri" w:cs="Calibri" w:eastAsia="Calibri" w:hAnsi="Calibri"/>
                <w:sz w:val="18"/>
                <w:szCs w:val="18"/>
                <w:color w:val="auto"/>
              </w:rPr>
              <w:t>Balance as at March 31, 2020</w:t>
            </w:r>
          </w:p>
        </w:tc>
        <w:tc>
          <w:tcPr>
            <w:tcW w:w="406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r>
      <w:tr>
        <w:trPr>
          <w:trHeight w:val="248"/>
        </w:trPr>
        <w:tc>
          <w:tcPr>
            <w:tcW w:w="6380" w:type="dxa"/>
            <w:vAlign w:val="bottom"/>
          </w:tcPr>
          <w:p>
            <w:pPr>
              <w:ind w:left="20"/>
              <w:spacing w:after="0"/>
              <w:rPr>
                <w:sz w:val="20"/>
                <w:szCs w:val="20"/>
                <w:color w:val="auto"/>
              </w:rPr>
            </w:pPr>
            <w:r>
              <w:rPr>
                <w:rFonts w:ascii="Calibri" w:cs="Calibri" w:eastAsia="Calibri" w:hAnsi="Calibri"/>
                <w:sz w:val="18"/>
                <w:szCs w:val="18"/>
                <w:color w:val="auto"/>
              </w:rPr>
              <w:t>Contngent consideraton on acquisiton</w:t>
            </w:r>
          </w:p>
        </w:tc>
        <w:tc>
          <w:tcPr>
            <w:tcW w:w="4060" w:type="dxa"/>
            <w:vAlign w:val="bottom"/>
          </w:tcPr>
          <w:p>
            <w:pPr>
              <w:jc w:val="right"/>
              <w:spacing w:after="0"/>
              <w:rPr>
                <w:sz w:val="20"/>
                <w:szCs w:val="20"/>
                <w:color w:val="auto"/>
              </w:rPr>
            </w:pPr>
            <w:r>
              <w:rPr>
                <w:rFonts w:ascii="Calibri" w:cs="Calibri" w:eastAsia="Calibri" w:hAnsi="Calibri"/>
                <w:sz w:val="18"/>
                <w:szCs w:val="18"/>
                <w:color w:val="auto"/>
              </w:rPr>
              <w:t>4,258</w:t>
            </w:r>
          </w:p>
        </w:tc>
      </w:tr>
      <w:tr>
        <w:trPr>
          <w:trHeight w:val="256"/>
        </w:trPr>
        <w:tc>
          <w:tcPr>
            <w:tcW w:w="6380" w:type="dxa"/>
            <w:vAlign w:val="bottom"/>
          </w:tcPr>
          <w:p>
            <w:pPr>
              <w:ind w:left="20"/>
              <w:spacing w:after="0"/>
              <w:rPr>
                <w:sz w:val="20"/>
                <w:szCs w:val="20"/>
                <w:color w:val="auto"/>
              </w:rPr>
            </w:pPr>
            <w:r>
              <w:rPr>
                <w:rFonts w:ascii="Calibri" w:cs="Calibri" w:eastAsia="Calibri" w:hAnsi="Calibri"/>
                <w:sz w:val="18"/>
                <w:szCs w:val="18"/>
                <w:color w:val="auto"/>
              </w:rPr>
              <w:t>Milestone achieved</w:t>
            </w:r>
          </w:p>
        </w:tc>
        <w:tc>
          <w:tcPr>
            <w:tcW w:w="4060" w:type="dxa"/>
            <w:vAlign w:val="bottom"/>
          </w:tcPr>
          <w:p>
            <w:pPr>
              <w:jc w:val="right"/>
              <w:spacing w:after="0"/>
              <w:rPr>
                <w:sz w:val="20"/>
                <w:szCs w:val="20"/>
                <w:color w:val="auto"/>
              </w:rPr>
            </w:pPr>
            <w:r>
              <w:rPr>
                <w:rFonts w:ascii="Calibri" w:cs="Calibri" w:eastAsia="Calibri" w:hAnsi="Calibri"/>
                <w:sz w:val="18"/>
                <w:szCs w:val="18"/>
                <w:color w:val="auto"/>
              </w:rPr>
              <w:t>(1,539)</w:t>
            </w:r>
          </w:p>
        </w:tc>
      </w:tr>
      <w:tr>
        <w:trPr>
          <w:trHeight w:val="257"/>
        </w:trPr>
        <w:tc>
          <w:tcPr>
            <w:tcW w:w="6380" w:type="dxa"/>
            <w:vAlign w:val="bottom"/>
          </w:tcPr>
          <w:p>
            <w:pPr>
              <w:ind w:left="20"/>
              <w:spacing w:after="0"/>
              <w:rPr>
                <w:sz w:val="20"/>
                <w:szCs w:val="20"/>
                <w:color w:val="auto"/>
              </w:rPr>
            </w:pPr>
            <w:r>
              <w:rPr>
                <w:rFonts w:ascii="Calibri" w:cs="Calibri" w:eastAsia="Calibri" w:hAnsi="Calibri"/>
                <w:sz w:val="18"/>
                <w:szCs w:val="18"/>
                <w:color w:val="auto"/>
              </w:rPr>
              <w:t>Accreton expense</w:t>
            </w:r>
          </w:p>
        </w:tc>
        <w:tc>
          <w:tcPr>
            <w:tcW w:w="4060" w:type="dxa"/>
            <w:vAlign w:val="bottom"/>
          </w:tcPr>
          <w:p>
            <w:pPr>
              <w:jc w:val="right"/>
              <w:spacing w:after="0"/>
              <w:rPr>
                <w:sz w:val="20"/>
                <w:szCs w:val="20"/>
                <w:color w:val="auto"/>
              </w:rPr>
            </w:pPr>
            <w:r>
              <w:rPr>
                <w:rFonts w:ascii="Calibri" w:cs="Calibri" w:eastAsia="Calibri" w:hAnsi="Calibri"/>
                <w:sz w:val="18"/>
                <w:szCs w:val="18"/>
                <w:color w:val="auto"/>
              </w:rPr>
              <w:t>482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32385</wp:posOffset>
            </wp:positionV>
            <wp:extent cx="6635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30"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6020" w:type="dxa"/>
            <w:vAlign w:val="bottom"/>
          </w:tcPr>
          <w:p>
            <w:pPr>
              <w:ind w:left="20"/>
              <w:spacing w:after="0"/>
              <w:rPr>
                <w:sz w:val="20"/>
                <w:szCs w:val="20"/>
                <w:color w:val="auto"/>
              </w:rPr>
            </w:pPr>
            <w:r>
              <w:rPr>
                <w:rFonts w:ascii="Calibri" w:cs="Calibri" w:eastAsia="Calibri" w:hAnsi="Calibri"/>
                <w:sz w:val="18"/>
                <w:szCs w:val="18"/>
                <w:color w:val="auto"/>
              </w:rPr>
              <w:t>Balance as at March 31, 2021</w:t>
            </w:r>
          </w:p>
        </w:tc>
        <w:tc>
          <w:tcPr>
            <w:tcW w:w="4420" w:type="dxa"/>
            <w:vAlign w:val="bottom"/>
          </w:tcPr>
          <w:p>
            <w:pPr>
              <w:jc w:val="right"/>
              <w:spacing w:after="0"/>
              <w:rPr>
                <w:sz w:val="20"/>
                <w:szCs w:val="20"/>
                <w:color w:val="auto"/>
              </w:rPr>
            </w:pPr>
            <w:r>
              <w:rPr>
                <w:rFonts w:ascii="Calibri" w:cs="Calibri" w:eastAsia="Calibri" w:hAnsi="Calibri"/>
                <w:sz w:val="18"/>
                <w:szCs w:val="18"/>
                <w:b w:val="1"/>
                <w:bCs w:val="1"/>
                <w:color w:val="auto"/>
              </w:rPr>
              <w:t>3,201</w:t>
            </w:r>
          </w:p>
        </w:tc>
      </w:tr>
      <w:tr>
        <w:trPr>
          <w:trHeight w:val="270"/>
        </w:trPr>
        <w:tc>
          <w:tcPr>
            <w:tcW w:w="6020" w:type="dxa"/>
            <w:vAlign w:val="bottom"/>
          </w:tcPr>
          <w:p>
            <w:pPr>
              <w:ind w:left="20"/>
              <w:spacing w:after="0"/>
              <w:rPr>
                <w:sz w:val="20"/>
                <w:szCs w:val="20"/>
                <w:color w:val="auto"/>
              </w:rPr>
            </w:pPr>
            <w:r>
              <w:rPr>
                <w:rFonts w:ascii="Calibri" w:cs="Calibri" w:eastAsia="Calibri" w:hAnsi="Calibri"/>
                <w:sz w:val="18"/>
                <w:szCs w:val="18"/>
                <w:color w:val="auto"/>
              </w:rPr>
              <w:t>Milestone achieved</w:t>
            </w:r>
          </w:p>
        </w:tc>
        <w:tc>
          <w:tcPr>
            <w:tcW w:w="4420" w:type="dxa"/>
            <w:vAlign w:val="bottom"/>
          </w:tcPr>
          <w:p>
            <w:pPr>
              <w:jc w:val="right"/>
              <w:spacing w:after="0"/>
              <w:rPr>
                <w:sz w:val="20"/>
                <w:szCs w:val="20"/>
                <w:color w:val="auto"/>
              </w:rPr>
            </w:pPr>
            <w:r>
              <w:rPr>
                <w:rFonts w:ascii="Calibri" w:cs="Calibri" w:eastAsia="Calibri" w:hAnsi="Calibri"/>
                <w:sz w:val="18"/>
                <w:szCs w:val="18"/>
                <w:color w:val="auto"/>
              </w:rPr>
              <w:t>(4,251)</w:t>
            </w:r>
          </w:p>
        </w:tc>
      </w:tr>
      <w:tr>
        <w:trPr>
          <w:trHeight w:val="257"/>
        </w:trPr>
        <w:tc>
          <w:tcPr>
            <w:tcW w:w="6020" w:type="dxa"/>
            <w:vAlign w:val="bottom"/>
          </w:tcPr>
          <w:p>
            <w:pPr>
              <w:ind w:left="20"/>
              <w:spacing w:after="0"/>
              <w:rPr>
                <w:sz w:val="20"/>
                <w:szCs w:val="20"/>
                <w:color w:val="auto"/>
              </w:rPr>
            </w:pPr>
            <w:r>
              <w:rPr>
                <w:rFonts w:ascii="Calibri" w:cs="Calibri" w:eastAsia="Calibri" w:hAnsi="Calibri"/>
                <w:sz w:val="18"/>
                <w:szCs w:val="18"/>
                <w:color w:val="auto"/>
              </w:rPr>
              <w:t>Change in fair value</w:t>
            </w:r>
          </w:p>
        </w:tc>
        <w:tc>
          <w:tcPr>
            <w:tcW w:w="4420" w:type="dxa"/>
            <w:vAlign w:val="bottom"/>
          </w:tcPr>
          <w:p>
            <w:pPr>
              <w:jc w:val="right"/>
              <w:spacing w:after="0"/>
              <w:rPr>
                <w:sz w:val="20"/>
                <w:szCs w:val="20"/>
                <w:color w:val="auto"/>
              </w:rPr>
            </w:pPr>
            <w:r>
              <w:rPr>
                <w:rFonts w:ascii="Calibri" w:cs="Calibri" w:eastAsia="Calibri" w:hAnsi="Calibri"/>
                <w:sz w:val="18"/>
                <w:szCs w:val="18"/>
                <w:color w:val="auto"/>
              </w:rPr>
              <w:t>3,380</w:t>
            </w:r>
          </w:p>
        </w:tc>
      </w:tr>
      <w:tr>
        <w:trPr>
          <w:trHeight w:val="257"/>
        </w:trPr>
        <w:tc>
          <w:tcPr>
            <w:tcW w:w="6020" w:type="dxa"/>
            <w:vAlign w:val="bottom"/>
          </w:tcPr>
          <w:p>
            <w:pPr>
              <w:ind w:left="20"/>
              <w:spacing w:after="0"/>
              <w:rPr>
                <w:sz w:val="20"/>
                <w:szCs w:val="20"/>
                <w:color w:val="auto"/>
              </w:rPr>
            </w:pPr>
            <w:r>
              <w:rPr>
                <w:rFonts w:ascii="Calibri" w:cs="Calibri" w:eastAsia="Calibri" w:hAnsi="Calibri"/>
                <w:sz w:val="18"/>
                <w:szCs w:val="18"/>
                <w:color w:val="auto"/>
              </w:rPr>
              <w:t>Accreton expense</w:t>
            </w:r>
          </w:p>
        </w:tc>
        <w:tc>
          <w:tcPr>
            <w:tcW w:w="4420" w:type="dxa"/>
            <w:vAlign w:val="bottom"/>
          </w:tcPr>
          <w:p>
            <w:pPr>
              <w:jc w:val="right"/>
              <w:spacing w:after="0"/>
              <w:rPr>
                <w:sz w:val="20"/>
                <w:szCs w:val="20"/>
                <w:color w:val="auto"/>
              </w:rPr>
            </w:pPr>
            <w:r>
              <w:rPr>
                <w:rFonts w:ascii="Calibri" w:cs="Calibri" w:eastAsia="Calibri" w:hAnsi="Calibri"/>
                <w:sz w:val="18"/>
                <w:szCs w:val="18"/>
                <w:color w:val="auto"/>
              </w:rPr>
              <w:t>316</w:t>
            </w:r>
          </w:p>
        </w:tc>
      </w:tr>
      <w:tr>
        <w:trPr>
          <w:trHeight w:val="37"/>
        </w:trPr>
        <w:tc>
          <w:tcPr>
            <w:tcW w:w="602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r>
      <w:tr>
        <w:trPr>
          <w:trHeight w:val="208"/>
        </w:trPr>
        <w:tc>
          <w:tcPr>
            <w:tcW w:w="6020" w:type="dxa"/>
            <w:vAlign w:val="bottom"/>
          </w:tcPr>
          <w:p>
            <w:pPr>
              <w:ind w:left="20"/>
              <w:spacing w:after="0" w:line="208" w:lineRule="exact"/>
              <w:rPr>
                <w:sz w:val="20"/>
                <w:szCs w:val="20"/>
                <w:color w:val="auto"/>
              </w:rPr>
            </w:pPr>
            <w:r>
              <w:rPr>
                <w:rFonts w:ascii="Calibri" w:cs="Calibri" w:eastAsia="Calibri" w:hAnsi="Calibri"/>
                <w:sz w:val="18"/>
                <w:szCs w:val="18"/>
                <w:b w:val="1"/>
                <w:bCs w:val="1"/>
                <w:color w:val="auto"/>
              </w:rPr>
              <w:t>Balance as at March 31, 2022</w:t>
            </w:r>
          </w:p>
        </w:tc>
        <w:tc>
          <w:tcPr>
            <w:tcW w:w="442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2,646</w:t>
            </w:r>
          </w:p>
        </w:tc>
      </w:tr>
      <w:tr>
        <w:trPr>
          <w:trHeight w:val="42"/>
        </w:trPr>
        <w:tc>
          <w:tcPr>
            <w:tcW w:w="602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r>
    </w:tbl>
    <w:p>
      <w:pPr>
        <w:spacing w:after="0" w:line="248"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As a result of changes in fair value of the contngent consideraton, for the year ended March 31, 2022, the Company recorded an expense of $3,380 in the statement of loss and comprehensive loss as “change in fair value of contngent consideraton”. In additon, for the year ended March 31, 2022, the Company recorded an accreton expense of $316 in the statement of loss and comprehensive loss as “contngent consideraton accreton”.</w:t>
      </w:r>
    </w:p>
    <w:p>
      <w:pPr>
        <w:spacing w:after="0" w:line="187" w:lineRule="exact"/>
        <w:rPr>
          <w:sz w:val="20"/>
          <w:szCs w:val="20"/>
          <w:color w:val="auto"/>
        </w:rPr>
      </w:pPr>
    </w:p>
    <w:p>
      <w:pPr>
        <w:spacing w:after="0"/>
        <w:tabs>
          <w:tab w:leader="none" w:pos="380" w:val="left"/>
        </w:tabs>
        <w:rPr>
          <w:sz w:val="20"/>
          <w:szCs w:val="20"/>
          <w:color w:val="auto"/>
        </w:rPr>
      </w:pPr>
      <w:r>
        <w:rPr>
          <w:rFonts w:ascii="Calibri" w:cs="Calibri" w:eastAsia="Calibri" w:hAnsi="Calibri"/>
          <w:sz w:val="18"/>
          <w:szCs w:val="18"/>
          <w:b w:val="1"/>
          <w:bCs w:val="1"/>
          <w:color w:val="2D5F91"/>
        </w:rPr>
        <w:t>10.</w:t>
      </w:r>
      <w:r>
        <w:rPr>
          <w:sz w:val="20"/>
          <w:szCs w:val="20"/>
          <w:color w:val="auto"/>
        </w:rPr>
        <w:tab/>
      </w:r>
      <w:r>
        <w:rPr>
          <w:rFonts w:ascii="Calibri" w:cs="Calibri" w:eastAsia="Calibri" w:hAnsi="Calibri"/>
          <w:sz w:val="17"/>
          <w:szCs w:val="17"/>
          <w:b w:val="1"/>
          <w:bCs w:val="1"/>
          <w:color w:val="2D5F91"/>
        </w:rPr>
        <w:t>SHARE CAPITAL</w:t>
      </w:r>
    </w:p>
    <w:p>
      <w:pPr>
        <w:spacing w:after="0" w:line="172" w:lineRule="exact"/>
        <w:rPr>
          <w:sz w:val="20"/>
          <w:szCs w:val="20"/>
          <w:color w:val="auto"/>
        </w:rPr>
      </w:pPr>
    </w:p>
    <w:p>
      <w:pPr>
        <w:ind w:left="640" w:hanging="308"/>
        <w:spacing w:after="0"/>
        <w:tabs>
          <w:tab w:leader="none" w:pos="640" w:val="left"/>
        </w:tabs>
        <w:numPr>
          <w:ilvl w:val="0"/>
          <w:numId w:val="13"/>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Authorized share capital</w:t>
      </w:r>
    </w:p>
    <w:p>
      <w:pPr>
        <w:spacing w:after="0" w:line="177" w:lineRule="exact"/>
        <w:rPr>
          <w:sz w:val="20"/>
          <w:szCs w:val="20"/>
          <w:color w:val="auto"/>
        </w:rPr>
      </w:pPr>
    </w:p>
    <w:p>
      <w:pPr>
        <w:ind w:left="340"/>
        <w:spacing w:after="0" w:line="235" w:lineRule="auto"/>
        <w:rPr>
          <w:sz w:val="20"/>
          <w:szCs w:val="20"/>
          <w:color w:val="auto"/>
        </w:rPr>
      </w:pPr>
      <w:r>
        <w:rPr>
          <w:rFonts w:ascii="Calibri" w:cs="Calibri" w:eastAsia="Calibri" w:hAnsi="Calibri"/>
          <w:sz w:val="18"/>
          <w:szCs w:val="18"/>
          <w:color w:val="auto"/>
        </w:rPr>
        <w:t>Unlimited number of Common Shares and an unlimited number of preferred shares without par value. The board of directors of Cybin would determine the designaton, rights, privileges, and conditons atached to any preferred shares prior to issuance.</w:t>
      </w:r>
    </w:p>
    <w:p>
      <w:pPr>
        <w:spacing w:after="0" w:line="186" w:lineRule="exact"/>
        <w:rPr>
          <w:sz w:val="20"/>
          <w:szCs w:val="20"/>
          <w:color w:val="auto"/>
        </w:rPr>
      </w:pPr>
    </w:p>
    <w:p>
      <w:pPr>
        <w:ind w:left="640" w:hanging="308"/>
        <w:spacing w:after="0"/>
        <w:tabs>
          <w:tab w:leader="none" w:pos="640" w:val="left"/>
        </w:tabs>
        <w:numPr>
          <w:ilvl w:val="0"/>
          <w:numId w:val="14"/>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Issued share capital</w:t>
      </w:r>
    </w:p>
    <w:p>
      <w:pPr>
        <w:spacing w:after="0" w:line="172"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color w:val="auto"/>
        </w:rPr>
        <w:t>Preferred Shares</w:t>
      </w:r>
    </w:p>
    <w:p>
      <w:pPr>
        <w:spacing w:after="0" w:line="172"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As at March 31, 2022 the Company has nil preferred shares outstanding (March 31, 2021 - nil).</w:t>
      </w:r>
    </w:p>
    <w:p>
      <w:pPr>
        <w:spacing w:after="0" w:line="185"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color w:val="auto"/>
        </w:rPr>
        <w:t>Common Shares</w:t>
      </w:r>
    </w:p>
    <w:p>
      <w:pPr>
        <w:spacing w:after="0" w:line="172"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As at March 31, 2022, the Company has 12,545,767 Common Shares held in escrow (March 31, 2021 - 37,637,300).</w:t>
      </w:r>
    </w:p>
    <w:p>
      <w:pPr>
        <w:spacing w:after="0" w:line="172"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color w:val="auto"/>
        </w:rPr>
        <w:t>During the year ended March 31, 2021, the Company completed the following share issuances:</w:t>
      </w:r>
    </w:p>
    <w:p>
      <w:pPr>
        <w:spacing w:after="0" w:line="231" w:lineRule="exact"/>
        <w:rPr>
          <w:sz w:val="20"/>
          <w:szCs w:val="20"/>
          <w:color w:val="auto"/>
        </w:rPr>
      </w:pPr>
    </w:p>
    <w:p>
      <w:pPr>
        <w:jc w:val="both"/>
        <w:ind w:left="340"/>
        <w:spacing w:after="0" w:line="227" w:lineRule="auto"/>
        <w:rPr>
          <w:sz w:val="20"/>
          <w:szCs w:val="20"/>
          <w:color w:val="auto"/>
        </w:rPr>
      </w:pPr>
      <w:r>
        <w:rPr>
          <w:rFonts w:ascii="Calibri" w:cs="Calibri" w:eastAsia="Calibri" w:hAnsi="Calibri"/>
          <w:sz w:val="18"/>
          <w:szCs w:val="18"/>
          <w:color w:val="auto"/>
        </w:rPr>
        <w:t>Between April 1, 2020 and June 11, 2020, the Company issued 3,706,600 Common Shares as part of a rolling private placement at a price of $0.25 per share for total gross proceeds of $927.</w:t>
      </w:r>
    </w:p>
    <w:p>
      <w:pPr>
        <w:spacing w:after="0" w:line="232" w:lineRule="exact"/>
        <w:rPr>
          <w:sz w:val="20"/>
          <w:szCs w:val="20"/>
          <w:color w:val="auto"/>
        </w:rPr>
      </w:pPr>
    </w:p>
    <w:p>
      <w:pPr>
        <w:jc w:val="both"/>
        <w:ind w:left="340"/>
        <w:spacing w:after="0" w:line="225" w:lineRule="auto"/>
        <w:rPr>
          <w:sz w:val="20"/>
          <w:szCs w:val="20"/>
          <w:color w:val="auto"/>
        </w:rPr>
      </w:pPr>
      <w:r>
        <w:rPr>
          <w:rFonts w:ascii="Calibri" w:cs="Calibri" w:eastAsia="Calibri" w:hAnsi="Calibri"/>
          <w:sz w:val="18"/>
          <w:szCs w:val="18"/>
          <w:color w:val="auto"/>
        </w:rPr>
        <w:t>In connecton with the private placement, the Company issued fnders an aggregate of 18,000 share purchase warrants. Each fnder’s warrant enttled the holder to acquire one Common Share for $0.25 untl June 15, 2022 and vested immediately. The Company estmated the aggregate fair value of the vested warrants using the Black-Scholes opton pricing model to be $3 with the following assumptons: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Page 29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32" w:name="page33"/>
    <w:bookmarkEnd w:id="32"/>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left="80"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80" w:type="dxa"/>
            <w:vAlign w:val="bottom"/>
          </w:tcPr>
          <w:p>
            <w:pPr>
              <w:ind w:left="20"/>
              <w:spacing w:after="0"/>
              <w:rPr>
                <w:sz w:val="20"/>
                <w:szCs w:val="20"/>
                <w:color w:val="auto"/>
              </w:rPr>
            </w:pPr>
            <w:r>
              <w:rPr>
                <w:rFonts w:ascii="Calibri" w:cs="Calibri" w:eastAsia="Calibri" w:hAnsi="Calibri"/>
                <w:sz w:val="18"/>
                <w:szCs w:val="18"/>
                <w:color w:val="auto"/>
              </w:rPr>
              <w:t>Risk-free interest rate</w:t>
            </w:r>
          </w:p>
        </w:tc>
        <w:tc>
          <w:tcPr>
            <w:tcW w:w="3560" w:type="dxa"/>
            <w:vAlign w:val="bottom"/>
          </w:tcPr>
          <w:p>
            <w:pPr>
              <w:jc w:val="right"/>
              <w:spacing w:after="0"/>
              <w:rPr>
                <w:sz w:val="20"/>
                <w:szCs w:val="20"/>
                <w:color w:val="auto"/>
              </w:rPr>
            </w:pPr>
            <w:r>
              <w:rPr>
                <w:rFonts w:ascii="Calibri" w:cs="Calibri" w:eastAsia="Calibri" w:hAnsi="Calibri"/>
                <w:sz w:val="18"/>
                <w:szCs w:val="18"/>
                <w:color w:val="auto"/>
              </w:rPr>
              <w:t>0.38%</w:t>
            </w:r>
          </w:p>
        </w:tc>
      </w:tr>
      <w:tr>
        <w:trPr>
          <w:trHeight w:val="257"/>
        </w:trPr>
        <w:tc>
          <w:tcPr>
            <w:tcW w:w="7280" w:type="dxa"/>
            <w:vAlign w:val="bottom"/>
          </w:tcPr>
          <w:p>
            <w:pPr>
              <w:ind w:left="20"/>
              <w:spacing w:after="0"/>
              <w:rPr>
                <w:sz w:val="20"/>
                <w:szCs w:val="20"/>
                <w:color w:val="auto"/>
              </w:rPr>
            </w:pPr>
            <w:r>
              <w:rPr>
                <w:rFonts w:ascii="Calibri" w:cs="Calibri" w:eastAsia="Calibri" w:hAnsi="Calibri"/>
                <w:sz w:val="18"/>
                <w:szCs w:val="18"/>
                <w:color w:val="auto"/>
              </w:rPr>
              <w:t>Expected annual volatlity, based on comparable companies</w:t>
            </w:r>
          </w:p>
        </w:tc>
        <w:tc>
          <w:tcPr>
            <w:tcW w:w="3560" w:type="dxa"/>
            <w:vAlign w:val="bottom"/>
          </w:tcPr>
          <w:p>
            <w:pPr>
              <w:jc w:val="right"/>
              <w:spacing w:after="0"/>
              <w:rPr>
                <w:sz w:val="20"/>
                <w:szCs w:val="20"/>
                <w:color w:val="auto"/>
              </w:rPr>
            </w:pPr>
            <w:r>
              <w:rPr>
                <w:rFonts w:ascii="Calibri" w:cs="Calibri" w:eastAsia="Calibri" w:hAnsi="Calibri"/>
                <w:sz w:val="18"/>
                <w:szCs w:val="18"/>
                <w:color w:val="auto"/>
              </w:rPr>
              <w:t>85.00%</w:t>
            </w:r>
          </w:p>
        </w:tc>
      </w:tr>
      <w:tr>
        <w:trPr>
          <w:trHeight w:val="257"/>
        </w:trPr>
        <w:tc>
          <w:tcPr>
            <w:tcW w:w="7280" w:type="dxa"/>
            <w:vAlign w:val="bottom"/>
          </w:tcPr>
          <w:p>
            <w:pPr>
              <w:ind w:left="20"/>
              <w:spacing w:after="0"/>
              <w:rPr>
                <w:sz w:val="20"/>
                <w:szCs w:val="20"/>
                <w:color w:val="auto"/>
              </w:rPr>
            </w:pPr>
            <w:r>
              <w:rPr>
                <w:rFonts w:ascii="Calibri" w:cs="Calibri" w:eastAsia="Calibri" w:hAnsi="Calibri"/>
                <w:sz w:val="18"/>
                <w:szCs w:val="18"/>
                <w:color w:val="auto"/>
              </w:rPr>
              <w:t>Expected life (in years)</w:t>
            </w:r>
          </w:p>
        </w:tc>
        <w:tc>
          <w:tcPr>
            <w:tcW w:w="356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57"/>
        </w:trPr>
        <w:tc>
          <w:tcPr>
            <w:tcW w:w="7280" w:type="dxa"/>
            <w:vAlign w:val="bottom"/>
          </w:tcPr>
          <w:p>
            <w:pPr>
              <w:ind w:left="20"/>
              <w:spacing w:after="0"/>
              <w:rPr>
                <w:sz w:val="20"/>
                <w:szCs w:val="20"/>
                <w:color w:val="auto"/>
              </w:rPr>
            </w:pPr>
            <w:r>
              <w:rPr>
                <w:rFonts w:ascii="Calibri" w:cs="Calibri" w:eastAsia="Calibri" w:hAnsi="Calibri"/>
                <w:sz w:val="18"/>
                <w:szCs w:val="18"/>
                <w:color w:val="auto"/>
              </w:rPr>
              <w:t>Expected dividend yield</w:t>
            </w:r>
          </w:p>
        </w:tc>
        <w:tc>
          <w:tcPr>
            <w:tcW w:w="356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56"/>
        </w:trPr>
        <w:tc>
          <w:tcPr>
            <w:tcW w:w="7280" w:type="dxa"/>
            <w:vAlign w:val="bottom"/>
          </w:tcPr>
          <w:p>
            <w:pPr>
              <w:ind w:left="20"/>
              <w:spacing w:after="0"/>
              <w:rPr>
                <w:sz w:val="20"/>
                <w:szCs w:val="20"/>
                <w:color w:val="auto"/>
              </w:rPr>
            </w:pPr>
            <w:r>
              <w:rPr>
                <w:rFonts w:ascii="Calibri" w:cs="Calibri" w:eastAsia="Calibri" w:hAnsi="Calibri"/>
                <w:sz w:val="18"/>
                <w:szCs w:val="18"/>
                <w:color w:val="auto"/>
              </w:rPr>
              <w:t>Share price</w:t>
            </w:r>
          </w:p>
        </w:tc>
        <w:tc>
          <w:tcPr>
            <w:tcW w:w="3560" w:type="dxa"/>
            <w:vAlign w:val="bottom"/>
          </w:tcPr>
          <w:p>
            <w:pPr>
              <w:jc w:val="right"/>
              <w:spacing w:after="0"/>
              <w:rPr>
                <w:sz w:val="20"/>
                <w:szCs w:val="20"/>
                <w:color w:val="auto"/>
              </w:rPr>
            </w:pPr>
            <w:r>
              <w:rPr>
                <w:rFonts w:ascii="Calibri" w:cs="Calibri" w:eastAsia="Calibri" w:hAnsi="Calibri"/>
                <w:sz w:val="18"/>
                <w:szCs w:val="18"/>
                <w:color w:val="auto"/>
              </w:rPr>
              <w:t>$ 0.25</w:t>
            </w:r>
          </w:p>
        </w:tc>
      </w:tr>
      <w:tr>
        <w:trPr>
          <w:trHeight w:val="257"/>
        </w:trPr>
        <w:tc>
          <w:tcPr>
            <w:tcW w:w="7280" w:type="dxa"/>
            <w:vAlign w:val="bottom"/>
          </w:tcPr>
          <w:p>
            <w:pPr>
              <w:ind w:left="20"/>
              <w:spacing w:after="0"/>
              <w:rPr>
                <w:sz w:val="20"/>
                <w:szCs w:val="20"/>
                <w:color w:val="auto"/>
              </w:rPr>
            </w:pPr>
            <w:r>
              <w:rPr>
                <w:rFonts w:ascii="Calibri" w:cs="Calibri" w:eastAsia="Calibri" w:hAnsi="Calibri"/>
                <w:sz w:val="18"/>
                <w:szCs w:val="18"/>
                <w:color w:val="auto"/>
              </w:rPr>
              <w:t>Exercise price</w:t>
            </w:r>
          </w:p>
        </w:tc>
        <w:tc>
          <w:tcPr>
            <w:tcW w:w="3560" w:type="dxa"/>
            <w:vAlign w:val="bottom"/>
          </w:tcPr>
          <w:p>
            <w:pPr>
              <w:jc w:val="right"/>
              <w:spacing w:after="0"/>
              <w:rPr>
                <w:sz w:val="20"/>
                <w:szCs w:val="20"/>
                <w:color w:val="auto"/>
              </w:rPr>
            </w:pPr>
            <w:r>
              <w:rPr>
                <w:rFonts w:ascii="Calibri" w:cs="Calibri" w:eastAsia="Calibri" w:hAnsi="Calibri"/>
                <w:sz w:val="18"/>
                <w:szCs w:val="18"/>
                <w:color w:val="auto"/>
              </w:rPr>
              <w:t>$ 0.25</w:t>
            </w:r>
          </w:p>
        </w:tc>
      </w:tr>
      <w:tr>
        <w:trPr>
          <w:trHeight w:val="51"/>
        </w:trPr>
        <w:tc>
          <w:tcPr>
            <w:tcW w:w="728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r>
    </w:tbl>
    <w:p>
      <w:pPr>
        <w:spacing w:after="0" w:line="302" w:lineRule="exact"/>
        <w:rPr>
          <w:sz w:val="20"/>
          <w:szCs w:val="20"/>
          <w:color w:val="auto"/>
        </w:rPr>
      </w:pPr>
    </w:p>
    <w:p>
      <w:pPr>
        <w:jc w:val="both"/>
        <w:ind w:left="340"/>
        <w:spacing w:after="0" w:line="231" w:lineRule="auto"/>
        <w:rPr>
          <w:sz w:val="20"/>
          <w:szCs w:val="20"/>
          <w:color w:val="auto"/>
        </w:rPr>
      </w:pPr>
      <w:r>
        <w:rPr>
          <w:rFonts w:ascii="Calibri" w:cs="Calibri" w:eastAsia="Calibri" w:hAnsi="Calibri"/>
          <w:sz w:val="18"/>
          <w:szCs w:val="18"/>
          <w:color w:val="auto"/>
        </w:rPr>
        <w:t>On June 15, 2020, Cybin Corp. issued 2,000,000 share purchase warrants. Each warrant enttles the holder to acquire one Common Share for $0.25 untl June 15, 2022 and require certain milestone achievements in order to vest. The Company estmated a forfeiture rate of 100% as the recipient is not expected to meet these milestones. The Company estmated the aggregate fair value of the vested warrants using the Black-Scholes opton pricing model to be $nil with the same assumptons (except for the forfeiture rate) as above.</w:t>
      </w:r>
    </w:p>
    <w:p>
      <w:pPr>
        <w:spacing w:after="0" w:line="234" w:lineRule="exact"/>
        <w:rPr>
          <w:sz w:val="20"/>
          <w:szCs w:val="20"/>
          <w:color w:val="auto"/>
        </w:rPr>
      </w:pPr>
    </w:p>
    <w:p>
      <w:pPr>
        <w:jc w:val="both"/>
        <w:ind w:left="340"/>
        <w:spacing w:after="0" w:line="225" w:lineRule="auto"/>
        <w:rPr>
          <w:sz w:val="20"/>
          <w:szCs w:val="20"/>
          <w:color w:val="auto"/>
        </w:rPr>
      </w:pPr>
      <w:r>
        <w:rPr>
          <w:rFonts w:ascii="Calibri" w:cs="Calibri" w:eastAsia="Calibri" w:hAnsi="Calibri"/>
          <w:sz w:val="18"/>
          <w:szCs w:val="18"/>
          <w:color w:val="auto"/>
        </w:rPr>
        <w:t>On June 15, 2020, certain founders of the Company contributed an additonal $164 of capital in respect of their original subscripton for 6,569,772 Common Shares. The consideraton paid was increased from the original issuance price of $0.0001 to $0.025 per Common Share; no additonal shares were issued.</w:t>
      </w:r>
    </w:p>
    <w:p>
      <w:pPr>
        <w:spacing w:after="0" w:line="233" w:lineRule="exact"/>
        <w:rPr>
          <w:sz w:val="20"/>
          <w:szCs w:val="20"/>
          <w:color w:val="auto"/>
        </w:rPr>
      </w:pPr>
    </w:p>
    <w:p>
      <w:pPr>
        <w:jc w:val="both"/>
        <w:ind w:left="340"/>
        <w:spacing w:after="0" w:line="227" w:lineRule="auto"/>
        <w:rPr>
          <w:sz w:val="20"/>
          <w:szCs w:val="20"/>
          <w:color w:val="auto"/>
        </w:rPr>
      </w:pPr>
      <w:r>
        <w:rPr>
          <w:rFonts w:ascii="Calibri" w:cs="Calibri" w:eastAsia="Calibri" w:hAnsi="Calibri"/>
          <w:sz w:val="18"/>
          <w:szCs w:val="18"/>
          <w:color w:val="auto"/>
        </w:rPr>
        <w:t>On June 16 and 17, 2020, the Company issued 10,540,066 Common Shares under a private placement at a price of $0.64 per share for total gross proceeds of $6,746.</w:t>
      </w:r>
    </w:p>
    <w:p>
      <w:pPr>
        <w:spacing w:after="0" w:line="232" w:lineRule="exact"/>
        <w:rPr>
          <w:sz w:val="20"/>
          <w:szCs w:val="20"/>
          <w:color w:val="auto"/>
        </w:rPr>
      </w:pPr>
    </w:p>
    <w:p>
      <w:pPr>
        <w:jc w:val="both"/>
        <w:ind w:left="340"/>
        <w:spacing w:after="0" w:line="224" w:lineRule="auto"/>
        <w:rPr>
          <w:sz w:val="20"/>
          <w:szCs w:val="20"/>
          <w:color w:val="auto"/>
        </w:rPr>
      </w:pPr>
      <w:r>
        <w:rPr>
          <w:rFonts w:ascii="Calibri" w:cs="Calibri" w:eastAsia="Calibri" w:hAnsi="Calibri"/>
          <w:sz w:val="18"/>
          <w:szCs w:val="18"/>
          <w:color w:val="auto"/>
        </w:rPr>
        <w:t>In connecton with the private placement the Company paid aggregate fnders’ fees of $189 in cash and issued fnders an aggregate of 295,309 share purchase warrants, of which 96,034 were issued on June 16, 2020 and the remaining 199,275 were issued on June 26, 2020. Each fnder’s warrant enttles the holder to acquire one Common Share for $0.64 for a period of 24 months from the date of issuance. The Company estmated the aggregate fair value of the fnders’ warrants using the Black-Scholes opton pricing model to be $87 with the following assumptons:</w:t>
      </w:r>
    </w:p>
    <w:p>
      <w:pPr>
        <w:spacing w:after="0" w:line="282"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7100" w:type="dxa"/>
            <w:vAlign w:val="bottom"/>
          </w:tcPr>
          <w:p>
            <w:pPr>
              <w:ind w:left="20"/>
              <w:spacing w:after="0"/>
              <w:rPr>
                <w:sz w:val="20"/>
                <w:szCs w:val="20"/>
                <w:color w:val="auto"/>
              </w:rPr>
            </w:pPr>
            <w:r>
              <w:rPr>
                <w:rFonts w:ascii="Calibri" w:cs="Calibri" w:eastAsia="Calibri" w:hAnsi="Calibri"/>
                <w:sz w:val="18"/>
                <w:szCs w:val="18"/>
                <w:color w:val="auto"/>
              </w:rPr>
              <w:t>Risk-free interest rate</w:t>
            </w:r>
          </w:p>
        </w:tc>
        <w:tc>
          <w:tcPr>
            <w:tcW w:w="3400" w:type="dxa"/>
            <w:vAlign w:val="bottom"/>
          </w:tcPr>
          <w:p>
            <w:pPr>
              <w:jc w:val="right"/>
              <w:spacing w:after="0"/>
              <w:rPr>
                <w:sz w:val="20"/>
                <w:szCs w:val="20"/>
                <w:color w:val="auto"/>
              </w:rPr>
            </w:pPr>
            <w:r>
              <w:rPr>
                <w:rFonts w:ascii="Calibri" w:cs="Calibri" w:eastAsia="Calibri" w:hAnsi="Calibri"/>
                <w:sz w:val="18"/>
                <w:szCs w:val="18"/>
                <w:color w:val="auto"/>
              </w:rPr>
              <w:t>0.38%</w:t>
            </w:r>
          </w:p>
        </w:tc>
      </w:tr>
      <w:tr>
        <w:trPr>
          <w:trHeight w:val="256"/>
        </w:trPr>
        <w:tc>
          <w:tcPr>
            <w:tcW w:w="7100" w:type="dxa"/>
            <w:vAlign w:val="bottom"/>
          </w:tcPr>
          <w:p>
            <w:pPr>
              <w:ind w:left="20"/>
              <w:spacing w:after="0"/>
              <w:rPr>
                <w:sz w:val="20"/>
                <w:szCs w:val="20"/>
                <w:color w:val="auto"/>
              </w:rPr>
            </w:pPr>
            <w:r>
              <w:rPr>
                <w:rFonts w:ascii="Calibri" w:cs="Calibri" w:eastAsia="Calibri" w:hAnsi="Calibri"/>
                <w:sz w:val="18"/>
                <w:szCs w:val="18"/>
                <w:color w:val="auto"/>
              </w:rPr>
              <w:t>Expected annual volatlity, based on comparable companies</w:t>
            </w:r>
          </w:p>
        </w:tc>
        <w:tc>
          <w:tcPr>
            <w:tcW w:w="3400" w:type="dxa"/>
            <w:vAlign w:val="bottom"/>
          </w:tcPr>
          <w:p>
            <w:pPr>
              <w:jc w:val="right"/>
              <w:spacing w:after="0"/>
              <w:rPr>
                <w:sz w:val="20"/>
                <w:szCs w:val="20"/>
                <w:color w:val="auto"/>
              </w:rPr>
            </w:pPr>
            <w:r>
              <w:rPr>
                <w:rFonts w:ascii="Calibri" w:cs="Calibri" w:eastAsia="Calibri" w:hAnsi="Calibri"/>
                <w:sz w:val="18"/>
                <w:szCs w:val="18"/>
                <w:color w:val="auto"/>
              </w:rPr>
              <w:t>85.00%</w:t>
            </w:r>
          </w:p>
        </w:tc>
      </w:tr>
      <w:tr>
        <w:trPr>
          <w:trHeight w:val="257"/>
        </w:trPr>
        <w:tc>
          <w:tcPr>
            <w:tcW w:w="7100" w:type="dxa"/>
            <w:vAlign w:val="bottom"/>
          </w:tcPr>
          <w:p>
            <w:pPr>
              <w:ind w:left="20"/>
              <w:spacing w:after="0"/>
              <w:rPr>
                <w:sz w:val="20"/>
                <w:szCs w:val="20"/>
                <w:color w:val="auto"/>
              </w:rPr>
            </w:pPr>
            <w:r>
              <w:rPr>
                <w:rFonts w:ascii="Calibri" w:cs="Calibri" w:eastAsia="Calibri" w:hAnsi="Calibri"/>
                <w:sz w:val="18"/>
                <w:szCs w:val="18"/>
                <w:color w:val="auto"/>
              </w:rPr>
              <w:t>Expected life (in years)</w:t>
            </w:r>
          </w:p>
        </w:tc>
        <w:tc>
          <w:tcPr>
            <w:tcW w:w="3400" w:type="dxa"/>
            <w:vAlign w:val="bottom"/>
          </w:tcPr>
          <w:p>
            <w:pPr>
              <w:jc w:val="right"/>
              <w:spacing w:after="0"/>
              <w:rPr>
                <w:sz w:val="20"/>
                <w:szCs w:val="20"/>
                <w:color w:val="auto"/>
              </w:rPr>
            </w:pPr>
            <w:r>
              <w:rPr>
                <w:rFonts w:ascii="Calibri" w:cs="Calibri" w:eastAsia="Calibri" w:hAnsi="Calibri"/>
                <w:sz w:val="18"/>
                <w:szCs w:val="18"/>
                <w:color w:val="auto"/>
              </w:rPr>
              <w:t>2.00</w:t>
            </w:r>
          </w:p>
        </w:tc>
      </w:tr>
      <w:tr>
        <w:trPr>
          <w:trHeight w:val="257"/>
        </w:trPr>
        <w:tc>
          <w:tcPr>
            <w:tcW w:w="7100" w:type="dxa"/>
            <w:vAlign w:val="bottom"/>
          </w:tcPr>
          <w:p>
            <w:pPr>
              <w:ind w:left="20"/>
              <w:spacing w:after="0"/>
              <w:rPr>
                <w:sz w:val="20"/>
                <w:szCs w:val="20"/>
                <w:color w:val="auto"/>
              </w:rPr>
            </w:pPr>
            <w:r>
              <w:rPr>
                <w:rFonts w:ascii="Calibri" w:cs="Calibri" w:eastAsia="Calibri" w:hAnsi="Calibri"/>
                <w:sz w:val="18"/>
                <w:szCs w:val="18"/>
                <w:color w:val="auto"/>
              </w:rPr>
              <w:t>Expected dividend yield</w:t>
            </w:r>
          </w:p>
        </w:tc>
        <w:tc>
          <w:tcPr>
            <w:tcW w:w="340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56"/>
        </w:trPr>
        <w:tc>
          <w:tcPr>
            <w:tcW w:w="7100" w:type="dxa"/>
            <w:vAlign w:val="bottom"/>
          </w:tcPr>
          <w:p>
            <w:pPr>
              <w:ind w:left="20"/>
              <w:spacing w:after="0"/>
              <w:rPr>
                <w:sz w:val="20"/>
                <w:szCs w:val="20"/>
                <w:color w:val="auto"/>
              </w:rPr>
            </w:pPr>
            <w:r>
              <w:rPr>
                <w:rFonts w:ascii="Calibri" w:cs="Calibri" w:eastAsia="Calibri" w:hAnsi="Calibri"/>
                <w:sz w:val="18"/>
                <w:szCs w:val="18"/>
                <w:color w:val="auto"/>
              </w:rPr>
              <w:t>Share price</w:t>
            </w:r>
          </w:p>
        </w:tc>
        <w:tc>
          <w:tcPr>
            <w:tcW w:w="3400" w:type="dxa"/>
            <w:vAlign w:val="bottom"/>
          </w:tcPr>
          <w:p>
            <w:pPr>
              <w:jc w:val="right"/>
              <w:spacing w:after="0"/>
              <w:rPr>
                <w:sz w:val="20"/>
                <w:szCs w:val="20"/>
                <w:color w:val="auto"/>
              </w:rPr>
            </w:pPr>
            <w:r>
              <w:rPr>
                <w:rFonts w:ascii="Calibri" w:cs="Calibri" w:eastAsia="Calibri" w:hAnsi="Calibri"/>
                <w:sz w:val="18"/>
                <w:szCs w:val="18"/>
                <w:color w:val="auto"/>
              </w:rPr>
              <w:t>$ 0.64</w:t>
            </w:r>
          </w:p>
        </w:tc>
      </w:tr>
      <w:tr>
        <w:trPr>
          <w:trHeight w:val="257"/>
        </w:trPr>
        <w:tc>
          <w:tcPr>
            <w:tcW w:w="7100" w:type="dxa"/>
            <w:vAlign w:val="bottom"/>
          </w:tcPr>
          <w:p>
            <w:pPr>
              <w:ind w:left="20"/>
              <w:spacing w:after="0"/>
              <w:rPr>
                <w:sz w:val="20"/>
                <w:szCs w:val="20"/>
                <w:color w:val="auto"/>
              </w:rPr>
            </w:pPr>
            <w:r>
              <w:rPr>
                <w:rFonts w:ascii="Calibri" w:cs="Calibri" w:eastAsia="Calibri" w:hAnsi="Calibri"/>
                <w:sz w:val="18"/>
                <w:szCs w:val="18"/>
                <w:color w:val="auto"/>
              </w:rPr>
              <w:t>Exercise price</w:t>
            </w:r>
          </w:p>
        </w:tc>
        <w:tc>
          <w:tcPr>
            <w:tcW w:w="3400" w:type="dxa"/>
            <w:vAlign w:val="bottom"/>
          </w:tcPr>
          <w:p>
            <w:pPr>
              <w:jc w:val="right"/>
              <w:spacing w:after="0"/>
              <w:rPr>
                <w:sz w:val="20"/>
                <w:szCs w:val="20"/>
                <w:color w:val="auto"/>
              </w:rPr>
            </w:pPr>
            <w:r>
              <w:rPr>
                <w:rFonts w:ascii="Calibri" w:cs="Calibri" w:eastAsia="Calibri" w:hAnsi="Calibri"/>
                <w:sz w:val="18"/>
                <w:szCs w:val="18"/>
                <w:color w:val="auto"/>
              </w:rPr>
              <w:t>$ 0.64</w:t>
            </w:r>
          </w:p>
        </w:tc>
      </w:tr>
      <w:tr>
        <w:trPr>
          <w:trHeight w:val="50"/>
        </w:trPr>
        <w:tc>
          <w:tcPr>
            <w:tcW w:w="710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r>
    </w:tbl>
    <w:p>
      <w:pPr>
        <w:spacing w:after="0" w:line="288" w:lineRule="exact"/>
        <w:rPr>
          <w:sz w:val="20"/>
          <w:szCs w:val="20"/>
          <w:color w:val="auto"/>
        </w:rPr>
      </w:pPr>
    </w:p>
    <w:p>
      <w:pPr>
        <w:jc w:val="both"/>
        <w:ind w:left="340"/>
        <w:spacing w:after="0" w:line="225" w:lineRule="auto"/>
        <w:rPr>
          <w:sz w:val="20"/>
          <w:szCs w:val="20"/>
          <w:color w:val="auto"/>
        </w:rPr>
      </w:pPr>
      <w:r>
        <w:rPr>
          <w:rFonts w:ascii="Calibri" w:cs="Calibri" w:eastAsia="Calibri" w:hAnsi="Calibri"/>
          <w:sz w:val="18"/>
          <w:szCs w:val="18"/>
          <w:color w:val="auto"/>
        </w:rPr>
        <w:t>On May 1, 2020, the Company issued convertble debt for gross proceeds of $300. The terms of the convertble debt were: maturity on August 10, 2020; non-interest bearing and convertble to Common Shares at a price of $0.25 per Common Share. The convertble debt automatcally converted to 1,200,000 Common Shares on executon of the amalgamaton agreement for the Reverse Takeover (see note 1).</w:t>
      </w:r>
    </w:p>
    <w:p>
      <w:pPr>
        <w:spacing w:after="0" w:line="233" w:lineRule="exact"/>
        <w:rPr>
          <w:sz w:val="20"/>
          <w:szCs w:val="20"/>
          <w:color w:val="auto"/>
        </w:rPr>
      </w:pPr>
    </w:p>
    <w:p>
      <w:pPr>
        <w:jc w:val="both"/>
        <w:ind w:left="340"/>
        <w:spacing w:after="0" w:line="223" w:lineRule="auto"/>
        <w:rPr>
          <w:sz w:val="20"/>
          <w:szCs w:val="20"/>
          <w:color w:val="auto"/>
        </w:rPr>
      </w:pPr>
      <w:r>
        <w:rPr>
          <w:rFonts w:ascii="Calibri" w:cs="Calibri" w:eastAsia="Calibri" w:hAnsi="Calibri"/>
          <w:sz w:val="18"/>
          <w:szCs w:val="18"/>
          <w:color w:val="auto"/>
        </w:rPr>
        <w:t>On October 19, 2020, the Company issued 60,000,000 subscripton receipts (the “Subscripton Receipts”) at a price of $0.75 per Subscripton Receipt for aggregate gross proceeds of $45,000. On closing of the Reverse Takeover, each Subscripton Receipt was converted into one Common Share. In connecton with the ofering, a cash fee equal to 6% of the aggregate gross proceeds of the ofering from non-U.S. resident investors was paid to the agents, except for certain orders on a president’s list (the “President’s List”) pursuant to which a cash fee of 1.5% was payable (the “Agents’ Cash Fee”). The Agents also received broker warrants (“Broker Warrants”) equal to 6.0% of the number of Subscripton Receipts issued pursuant to the ofering from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Page 30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33" w:name="page34"/>
    <w:bookmarkEnd w:id="33"/>
    <w:p>
      <w:pPr>
        <w:spacing w:after="0"/>
        <w:rPr>
          <w:sz w:val="20"/>
          <w:szCs w:val="20"/>
          <w:color w:val="auto"/>
        </w:rPr>
      </w:pPr>
      <w:r>
        <w:rPr>
          <w:rFonts w:ascii="Calibri" w:cs="Calibri" w:eastAsia="Calibri" w:hAnsi="Calibri"/>
          <w:sz w:val="22"/>
          <w:szCs w:val="22"/>
          <w:b w:val="1"/>
          <w:bCs w:val="1"/>
          <w:color w:val="auto"/>
        </w:rPr>
        <w:t>CYBIN INC.</w:t>
      </w:r>
    </w:p>
    <w:p>
      <w:pPr>
        <w:spacing w:after="0" w:line="231"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6"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260"/>
        <w:spacing w:after="0" w:line="237" w:lineRule="auto"/>
        <w:rPr>
          <w:sz w:val="20"/>
          <w:szCs w:val="20"/>
          <w:color w:val="auto"/>
        </w:rPr>
      </w:pPr>
      <w:r>
        <w:rPr>
          <w:rFonts w:ascii="Calibri" w:cs="Calibri" w:eastAsia="Calibri" w:hAnsi="Calibri"/>
          <w:sz w:val="17"/>
          <w:szCs w:val="17"/>
          <w:color w:val="auto"/>
        </w:rPr>
        <w:t>U.S. resident investors, except for orders on the President’s List pursuant to which no Broker Warrants were issued. Each Broker Warrant is exercisable into one Common Share (subject to customary adjustments) for a period of 24 months following the closing of the Reverse Takeover at an exercise price of $0.75, subject to adjustment in certain customary circumstances. In exchange for certain advisory services provided by the agents, the agents also received an advisory fee of $479 and 16,000 warrants on the same terms as the Broker Warrants. The Company also paid an additonal cash fee of $1,180 and 2,590,000 warrants on the same terms as the Broker Warrants to certain fnders and other advisors of the Company.</w:t>
      </w:r>
    </w:p>
    <w:p>
      <w:pPr>
        <w:spacing w:after="0" w:line="231" w:lineRule="exact"/>
        <w:rPr>
          <w:sz w:val="20"/>
          <w:szCs w:val="20"/>
          <w:color w:val="auto"/>
        </w:rPr>
      </w:pPr>
    </w:p>
    <w:p>
      <w:pPr>
        <w:jc w:val="both"/>
        <w:ind w:left="260" w:right="20"/>
        <w:spacing w:after="0" w:line="227" w:lineRule="auto"/>
        <w:rPr>
          <w:sz w:val="20"/>
          <w:szCs w:val="20"/>
          <w:color w:val="auto"/>
        </w:rPr>
      </w:pPr>
      <w:r>
        <w:rPr>
          <w:rFonts w:ascii="Calibri" w:cs="Calibri" w:eastAsia="Calibri" w:hAnsi="Calibri"/>
          <w:sz w:val="18"/>
          <w:szCs w:val="18"/>
          <w:color w:val="auto"/>
        </w:rPr>
        <w:t>On November 5, 2020, the Company completed the Reverse Takeover transacton resultng in the previous shareholders of Clarmin holding 2,128,295 Common Shares.</w:t>
      </w:r>
    </w:p>
    <w:p>
      <w:pPr>
        <w:spacing w:after="0" w:line="219" w:lineRule="exact"/>
        <w:rPr>
          <w:sz w:val="20"/>
          <w:szCs w:val="20"/>
          <w:color w:val="auto"/>
        </w:rPr>
      </w:pPr>
    </w:p>
    <w:p>
      <w:pPr>
        <w:jc w:val="both"/>
        <w:ind w:left="260"/>
        <w:spacing w:after="0" w:line="222" w:lineRule="auto"/>
        <w:rPr>
          <w:sz w:val="20"/>
          <w:szCs w:val="20"/>
          <w:color w:val="auto"/>
        </w:rPr>
      </w:pPr>
      <w:r>
        <w:rPr>
          <w:rFonts w:ascii="Calibri" w:cs="Calibri" w:eastAsia="Calibri" w:hAnsi="Calibri"/>
          <w:sz w:val="18"/>
          <w:szCs w:val="18"/>
          <w:color w:val="auto"/>
        </w:rPr>
        <w:t>On February 4, 2021, the Company completed a bought deal short form prospectus ofering of 15,246,000 units of the Company (the “Units”) at a price of $2.25 per Unit for aggregate gross proceeds of $34,303 (the “Ofering”). Each Unit consists of one Common Share and one-half of one Common Share purchase warrant (each whole warrant, a “2021 Warrant”). Each 2021 Warrant enttles the holder thereof to acquire one Common Share at an exercise price of $3.25 per Common Share expiring on February 4, 2024. In the event that the volume weighted average trading price of the Common Shares for ten consecutve trading days exceeds $5.00, the Company is to have the right to accelerate the expiry date of the 2021 Warrants upon not less than thirty trading days’ notce. In consideraton for the services of the underwriters, the Company paid a cash commission equal to $1,955 and issued 868,740 Unit purchase warrants of the Company (the “Underwriters’ Warrants”). Each Underwriters’ Warrant is exercisable to acquire one Unit at $2.25, and expires on February 4, 2024.</w:t>
      </w:r>
    </w:p>
    <w:p>
      <w:pPr>
        <w:spacing w:after="0" w:line="1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During the year ended March 31, 2022, the Company completed the following share issuances:</w:t>
      </w:r>
    </w:p>
    <w:p>
      <w:pPr>
        <w:spacing w:after="0" w:line="177" w:lineRule="exact"/>
        <w:rPr>
          <w:sz w:val="20"/>
          <w:szCs w:val="20"/>
          <w:color w:val="auto"/>
        </w:rPr>
      </w:pPr>
    </w:p>
    <w:p>
      <w:pPr>
        <w:jc w:val="both"/>
        <w:ind w:left="260" w:right="20"/>
        <w:spacing w:after="0" w:line="235" w:lineRule="auto"/>
        <w:rPr>
          <w:sz w:val="20"/>
          <w:szCs w:val="20"/>
          <w:color w:val="auto"/>
        </w:rPr>
      </w:pPr>
      <w:r>
        <w:rPr>
          <w:rFonts w:ascii="Calibri" w:cs="Calibri" w:eastAsia="Calibri" w:hAnsi="Calibri"/>
          <w:sz w:val="18"/>
          <w:szCs w:val="18"/>
          <w:color w:val="auto"/>
        </w:rPr>
        <w:t>On August 3, 2021, Cybin completed a public ofering of 10,147,600 Common Shares at a price of $3.40 per Common Share for gross proceeds of $34,502 (the “August 2021 Ofering”).</w:t>
      </w:r>
    </w:p>
    <w:p>
      <w:pPr>
        <w:spacing w:after="0" w:line="191"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In connecton with the August 2021 Ofering, Cybin paid the underwriters a cash commission of $2,240 and issued 658,860 compensaton Common Share purchase warrants of Cybin, with each compensaton Common Share purchase warrant being exercisable to acquire one Common Share at a price of $3.40 for a period of 24 months. In additon, the Company incurred additonal share issuance costs related to professional fees of $754.</w:t>
      </w:r>
    </w:p>
    <w:p>
      <w:pPr>
        <w:spacing w:after="0" w:line="16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Cybin US Class B Shares</w:t>
      </w:r>
    </w:p>
    <w:p>
      <w:pPr>
        <w:spacing w:after="0" w:line="280"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5660" w:type="dxa"/>
            <w:vAlign w:val="bottom"/>
          </w:tcPr>
          <w:p>
            <w:pPr>
              <w:spacing w:after="0"/>
              <w:rPr>
                <w:sz w:val="19"/>
                <w:szCs w:val="19"/>
                <w:color w:val="auto"/>
              </w:rPr>
            </w:pPr>
          </w:p>
        </w:tc>
        <w:tc>
          <w:tcPr>
            <w:tcW w:w="4840" w:type="dxa"/>
            <w:vAlign w:val="bottom"/>
          </w:tcPr>
          <w:p>
            <w:pPr>
              <w:jc w:val="right"/>
              <w:spacing w:after="0"/>
              <w:rPr>
                <w:sz w:val="20"/>
                <w:szCs w:val="20"/>
                <w:color w:val="auto"/>
              </w:rPr>
            </w:pPr>
            <w:r>
              <w:rPr>
                <w:rFonts w:ascii="Calibri" w:cs="Calibri" w:eastAsia="Calibri" w:hAnsi="Calibri"/>
                <w:sz w:val="18"/>
                <w:szCs w:val="18"/>
                <w:b w:val="1"/>
                <w:bCs w:val="1"/>
                <w:color w:val="auto"/>
              </w:rPr>
              <w:t>Number of Class B Shares</w:t>
            </w:r>
          </w:p>
        </w:tc>
      </w:tr>
      <w:tr>
        <w:trPr>
          <w:trHeight w:val="23"/>
        </w:trPr>
        <w:tc>
          <w:tcPr>
            <w:tcW w:w="566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08"/>
        </w:trPr>
        <w:tc>
          <w:tcPr>
            <w:tcW w:w="5660" w:type="dxa"/>
            <w:vAlign w:val="bottom"/>
          </w:tcPr>
          <w:p>
            <w:pPr>
              <w:ind w:left="40"/>
              <w:spacing w:after="0" w:line="208" w:lineRule="exact"/>
              <w:rPr>
                <w:sz w:val="20"/>
                <w:szCs w:val="20"/>
                <w:color w:val="auto"/>
              </w:rPr>
            </w:pPr>
            <w:r>
              <w:rPr>
                <w:rFonts w:ascii="Calibri" w:cs="Calibri" w:eastAsia="Calibri" w:hAnsi="Calibri"/>
                <w:sz w:val="18"/>
                <w:szCs w:val="18"/>
                <w:color w:val="auto"/>
              </w:rPr>
              <w:t>As at March 31, 2020</w:t>
            </w:r>
          </w:p>
        </w:tc>
        <w:tc>
          <w:tcPr>
            <w:tcW w:w="484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r>
      <w:tr>
        <w:trPr>
          <w:trHeight w:val="221"/>
        </w:trPr>
        <w:tc>
          <w:tcPr>
            <w:tcW w:w="5660" w:type="dxa"/>
            <w:vAlign w:val="bottom"/>
          </w:tcPr>
          <w:p>
            <w:pPr>
              <w:ind w:left="40"/>
              <w:spacing w:after="0"/>
              <w:rPr>
                <w:sz w:val="20"/>
                <w:szCs w:val="20"/>
                <w:color w:val="auto"/>
              </w:rPr>
            </w:pPr>
            <w:r>
              <w:rPr>
                <w:rFonts w:ascii="Calibri" w:cs="Calibri" w:eastAsia="Calibri" w:hAnsi="Calibri"/>
                <w:sz w:val="18"/>
                <w:szCs w:val="18"/>
                <w:color w:val="auto"/>
              </w:rPr>
              <w:t>Issued for acquisiton</w:t>
            </w:r>
          </w:p>
        </w:tc>
        <w:tc>
          <w:tcPr>
            <w:tcW w:w="4840" w:type="dxa"/>
            <w:vAlign w:val="bottom"/>
          </w:tcPr>
          <w:p>
            <w:pPr>
              <w:jc w:val="right"/>
              <w:spacing w:after="0"/>
              <w:rPr>
                <w:sz w:val="20"/>
                <w:szCs w:val="20"/>
                <w:color w:val="auto"/>
              </w:rPr>
            </w:pPr>
            <w:r>
              <w:rPr>
                <w:rFonts w:ascii="Calibri" w:cs="Calibri" w:eastAsia="Calibri" w:hAnsi="Calibri"/>
                <w:sz w:val="18"/>
                <w:szCs w:val="18"/>
                <w:color w:val="auto"/>
              </w:rPr>
              <w:t>868,833.0</w:t>
            </w:r>
          </w:p>
        </w:tc>
      </w:tr>
      <w:tr>
        <w:trPr>
          <w:trHeight w:val="230"/>
        </w:trPr>
        <w:tc>
          <w:tcPr>
            <w:tcW w:w="5660" w:type="dxa"/>
            <w:vAlign w:val="bottom"/>
          </w:tcPr>
          <w:p>
            <w:pPr>
              <w:ind w:left="40"/>
              <w:spacing w:after="0"/>
              <w:rPr>
                <w:sz w:val="20"/>
                <w:szCs w:val="20"/>
                <w:color w:val="auto"/>
              </w:rPr>
            </w:pPr>
            <w:r>
              <w:rPr>
                <w:rFonts w:ascii="Calibri" w:cs="Calibri" w:eastAsia="Calibri" w:hAnsi="Calibri"/>
                <w:sz w:val="18"/>
                <w:szCs w:val="18"/>
                <w:color w:val="auto"/>
              </w:rPr>
              <w:t>Issued on achievement of milestones</w:t>
            </w:r>
          </w:p>
        </w:tc>
        <w:tc>
          <w:tcPr>
            <w:tcW w:w="4840" w:type="dxa"/>
            <w:vAlign w:val="bottom"/>
          </w:tcPr>
          <w:p>
            <w:pPr>
              <w:jc w:val="right"/>
              <w:spacing w:after="0"/>
              <w:rPr>
                <w:sz w:val="20"/>
                <w:szCs w:val="20"/>
                <w:color w:val="auto"/>
              </w:rPr>
            </w:pPr>
            <w:r>
              <w:rPr>
                <w:rFonts w:ascii="Calibri" w:cs="Calibri" w:eastAsia="Calibri" w:hAnsi="Calibri"/>
                <w:sz w:val="18"/>
                <w:szCs w:val="18"/>
                <w:color w:val="auto"/>
              </w:rPr>
              <w:t>93,410.3</w:t>
            </w:r>
          </w:p>
        </w:tc>
      </w:tr>
      <w:tr>
        <w:trPr>
          <w:trHeight w:val="23"/>
        </w:trPr>
        <w:tc>
          <w:tcPr>
            <w:tcW w:w="5660" w:type="dxa"/>
            <w:vAlign w:val="bottom"/>
            <w:tcBorders>
              <w:bottom w:val="single" w:sz="8" w:color="929292"/>
            </w:tcBorders>
          </w:tcPr>
          <w:p>
            <w:pPr>
              <w:spacing w:after="0"/>
              <w:rPr>
                <w:sz w:val="2"/>
                <w:szCs w:val="2"/>
                <w:color w:val="auto"/>
              </w:rPr>
            </w:pPr>
          </w:p>
        </w:tc>
        <w:tc>
          <w:tcPr>
            <w:tcW w:w="4840" w:type="dxa"/>
            <w:vAlign w:val="bottom"/>
            <w:tcBorders>
              <w:bottom w:val="single" w:sz="8" w:color="929292"/>
            </w:tcBorders>
          </w:tcPr>
          <w:p>
            <w:pPr>
              <w:spacing w:after="0"/>
              <w:rPr>
                <w:sz w:val="2"/>
                <w:szCs w:val="2"/>
                <w:color w:val="auto"/>
              </w:rPr>
            </w:pPr>
          </w:p>
        </w:tc>
      </w:tr>
      <w:tr>
        <w:trPr>
          <w:trHeight w:val="208"/>
        </w:trPr>
        <w:tc>
          <w:tcPr>
            <w:tcW w:w="5660" w:type="dxa"/>
            <w:vAlign w:val="bottom"/>
          </w:tcPr>
          <w:p>
            <w:pPr>
              <w:ind w:left="40"/>
              <w:spacing w:after="0" w:line="208" w:lineRule="exact"/>
              <w:rPr>
                <w:sz w:val="20"/>
                <w:szCs w:val="20"/>
                <w:color w:val="auto"/>
              </w:rPr>
            </w:pPr>
            <w:r>
              <w:rPr>
                <w:rFonts w:ascii="Calibri" w:cs="Calibri" w:eastAsia="Calibri" w:hAnsi="Calibri"/>
                <w:sz w:val="18"/>
                <w:szCs w:val="18"/>
                <w:b w:val="1"/>
                <w:bCs w:val="1"/>
                <w:color w:val="auto"/>
              </w:rPr>
              <w:t>Balance as at March 31, 2021</w:t>
            </w:r>
          </w:p>
        </w:tc>
        <w:tc>
          <w:tcPr>
            <w:tcW w:w="484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962,243.3</w:t>
            </w:r>
          </w:p>
        </w:tc>
      </w:tr>
      <w:tr>
        <w:trPr>
          <w:trHeight w:val="221"/>
        </w:trPr>
        <w:tc>
          <w:tcPr>
            <w:tcW w:w="5660" w:type="dxa"/>
            <w:vAlign w:val="bottom"/>
          </w:tcPr>
          <w:p>
            <w:pPr>
              <w:ind w:left="40"/>
              <w:spacing w:after="0"/>
              <w:rPr>
                <w:sz w:val="20"/>
                <w:szCs w:val="20"/>
                <w:color w:val="auto"/>
              </w:rPr>
            </w:pPr>
            <w:r>
              <w:rPr>
                <w:rFonts w:ascii="Calibri" w:cs="Calibri" w:eastAsia="Calibri" w:hAnsi="Calibri"/>
                <w:sz w:val="18"/>
                <w:szCs w:val="18"/>
                <w:color w:val="auto"/>
              </w:rPr>
              <w:t>Issued on achievement of milestones</w:t>
            </w:r>
          </w:p>
        </w:tc>
        <w:tc>
          <w:tcPr>
            <w:tcW w:w="4840" w:type="dxa"/>
            <w:vAlign w:val="bottom"/>
          </w:tcPr>
          <w:p>
            <w:pPr>
              <w:jc w:val="right"/>
              <w:spacing w:after="0"/>
              <w:rPr>
                <w:sz w:val="20"/>
                <w:szCs w:val="20"/>
                <w:color w:val="auto"/>
              </w:rPr>
            </w:pPr>
            <w:r>
              <w:rPr>
                <w:rFonts w:ascii="Calibri" w:cs="Calibri" w:eastAsia="Calibri" w:hAnsi="Calibri"/>
                <w:sz w:val="18"/>
                <w:szCs w:val="18"/>
                <w:color w:val="auto"/>
              </w:rPr>
              <w:t>269,007.8</w:t>
            </w:r>
          </w:p>
        </w:tc>
      </w:tr>
      <w:tr>
        <w:trPr>
          <w:trHeight w:val="230"/>
        </w:trPr>
        <w:tc>
          <w:tcPr>
            <w:tcW w:w="5660" w:type="dxa"/>
            <w:vAlign w:val="bottom"/>
          </w:tcPr>
          <w:p>
            <w:pPr>
              <w:ind w:left="40"/>
              <w:spacing w:after="0"/>
              <w:rPr>
                <w:sz w:val="20"/>
                <w:szCs w:val="20"/>
                <w:color w:val="auto"/>
              </w:rPr>
            </w:pPr>
            <w:r>
              <w:rPr>
                <w:rFonts w:ascii="Calibri" w:cs="Calibri" w:eastAsia="Calibri" w:hAnsi="Calibri"/>
                <w:sz w:val="18"/>
                <w:szCs w:val="18"/>
                <w:color w:val="auto"/>
              </w:rPr>
              <w:t>Converted into Common Shares</w:t>
            </w:r>
          </w:p>
        </w:tc>
        <w:tc>
          <w:tcPr>
            <w:tcW w:w="4840" w:type="dxa"/>
            <w:vAlign w:val="bottom"/>
          </w:tcPr>
          <w:p>
            <w:pPr>
              <w:jc w:val="right"/>
              <w:spacing w:after="0"/>
              <w:rPr>
                <w:sz w:val="20"/>
                <w:szCs w:val="20"/>
                <w:color w:val="auto"/>
              </w:rPr>
            </w:pPr>
            <w:r>
              <w:rPr>
                <w:rFonts w:ascii="Calibri" w:cs="Calibri" w:eastAsia="Calibri" w:hAnsi="Calibri"/>
                <w:sz w:val="18"/>
                <w:szCs w:val="18"/>
                <w:color w:val="auto"/>
              </w:rPr>
              <w:t>(184,116.0)</w:t>
            </w:r>
          </w:p>
        </w:tc>
      </w:tr>
      <w:tr>
        <w:trPr>
          <w:trHeight w:val="23"/>
        </w:trPr>
        <w:tc>
          <w:tcPr>
            <w:tcW w:w="5660" w:type="dxa"/>
            <w:vAlign w:val="bottom"/>
            <w:tcBorders>
              <w:bottom w:val="single" w:sz="8" w:color="929292"/>
            </w:tcBorders>
          </w:tcPr>
          <w:p>
            <w:pPr>
              <w:spacing w:after="0"/>
              <w:rPr>
                <w:sz w:val="2"/>
                <w:szCs w:val="2"/>
                <w:color w:val="auto"/>
              </w:rPr>
            </w:pPr>
          </w:p>
        </w:tc>
        <w:tc>
          <w:tcPr>
            <w:tcW w:w="4840" w:type="dxa"/>
            <w:vAlign w:val="bottom"/>
            <w:tcBorders>
              <w:bottom w:val="single" w:sz="8" w:color="929292"/>
            </w:tcBorders>
          </w:tcPr>
          <w:p>
            <w:pPr>
              <w:spacing w:after="0"/>
              <w:rPr>
                <w:sz w:val="2"/>
                <w:szCs w:val="2"/>
                <w:color w:val="auto"/>
              </w:rPr>
            </w:pPr>
          </w:p>
        </w:tc>
      </w:tr>
      <w:tr>
        <w:trPr>
          <w:trHeight w:val="216"/>
        </w:trPr>
        <w:tc>
          <w:tcPr>
            <w:tcW w:w="5660" w:type="dxa"/>
            <w:vAlign w:val="bottom"/>
            <w:tcBorders>
              <w:bottom w:val="single" w:sz="8" w:color="auto"/>
            </w:tcBorders>
          </w:tcPr>
          <w:p>
            <w:pPr>
              <w:ind w:left="40"/>
              <w:spacing w:after="0" w:line="215" w:lineRule="exact"/>
              <w:rPr>
                <w:sz w:val="20"/>
                <w:szCs w:val="20"/>
                <w:color w:val="auto"/>
              </w:rPr>
            </w:pPr>
            <w:r>
              <w:rPr>
                <w:rFonts w:ascii="Calibri" w:cs="Calibri" w:eastAsia="Calibri" w:hAnsi="Calibri"/>
                <w:sz w:val="18"/>
                <w:szCs w:val="18"/>
                <w:b w:val="1"/>
                <w:bCs w:val="1"/>
                <w:color w:val="auto"/>
              </w:rPr>
              <w:t>Balance as at March 31, 2022</w:t>
            </w:r>
          </w:p>
        </w:tc>
        <w:tc>
          <w:tcPr>
            <w:tcW w:w="4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1,047,135.1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31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2" w:right="339" w:bottom="1440" w:gutter="0" w:footer="0" w:header="0"/>
        </w:sectPr>
      </w:pPr>
    </w:p>
    <w:bookmarkStart w:id="34" w:name="page35"/>
    <w:bookmarkEnd w:id="34"/>
    <w:p>
      <w:pPr>
        <w:spacing w:after="0"/>
        <w:rPr>
          <w:sz w:val="20"/>
          <w:szCs w:val="20"/>
          <w:color w:val="auto"/>
        </w:rPr>
      </w:pPr>
      <w:r>
        <w:rPr>
          <w:rFonts w:ascii="Calibri" w:cs="Calibri" w:eastAsia="Calibri" w:hAnsi="Calibri"/>
          <w:sz w:val="22"/>
          <w:szCs w:val="22"/>
          <w:b w:val="1"/>
          <w:bCs w:val="1"/>
          <w:color w:val="auto"/>
        </w:rPr>
        <w:t>CYBIN INC.</w:t>
      </w:r>
    </w:p>
    <w:p>
      <w:pPr>
        <w:spacing w:after="0" w:line="231"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6"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As at March 31, 2022, 1,047,135.1 Class B Shares were outstanding (March 31, 2021 - 962,243.3), which are exchangeable for a total of 10,471,351 Common Shares (March 31, 2021 - 9,622,433) (note 11). No Class B Shares were exchangeable prior to December 14, 2021, and not more than: (i) 33 1/3% of the Class B Shares are to be exchangeable prior to December 14, 2022; (ii) 66 2/3% of the Class B Shares are to be exchangeable prior to December 14, 2023; and (iii) thereafer, 100% of the Class B Shares are to be exchangeable. These consolidated fnancial statements refect all of the issued Class B Shares on an as-converted basis.</w:t>
      </w:r>
    </w:p>
    <w:p>
      <w:pPr>
        <w:spacing w:after="0" w:line="18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During the year ended March 31, 2021, the Company completed the following Class B Shares issuances:</w:t>
      </w:r>
    </w:p>
    <w:p>
      <w:pPr>
        <w:spacing w:after="0" w:line="231"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On December 4, 2020, Cybin US issued 868,833 Class B Shares, which are exchangeable into 8,688,330 Common Shares of the Company, pursuant to the Adelia Transacton (see note 4).</w:t>
      </w:r>
    </w:p>
    <w:p>
      <w:pPr>
        <w:spacing w:after="0" w:line="228"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Accordingly, $3,146 of share issuance costs were recorded against the proceeds of the share issuance.</w:t>
      </w:r>
    </w:p>
    <w:p>
      <w:pPr>
        <w:spacing w:after="0" w:line="217"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On January 12, 2021, pursuant to the terms of the Contributon Agreement, an aggregate of 51,163 Class B Shares were issued to the Former Adelia Shareholders in satsfacton of the achievement of the frst Milestone, amountng to $1,018. The Class B Shares are exchangeable for a total of 511,630 Common Shares, resultng in an efectve issue price of $1.99 per Common Share.</w:t>
      </w:r>
    </w:p>
    <w:p>
      <w:pPr>
        <w:spacing w:after="0" w:line="233"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On March 11, 2021, pursuant to the terms of the Contributon Agreement, an aggregate of 42,247.3 Class B Shares were issued to the Former Adelia Shareholders in satsfacton of partal achievement of the second Milestone, amountng to $686. The Class B Shares are exchangeable for a total of 422,473 Common Shares, representng an efectve issue price of $1.62 per Common Share.</w:t>
      </w:r>
    </w:p>
    <w:p>
      <w:pPr>
        <w:spacing w:after="0" w:line="16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During the year ended March 31, 2022, the Company completed the following Class B Shares issuances and conversions:</w:t>
      </w:r>
    </w:p>
    <w:p>
      <w:pPr>
        <w:spacing w:after="0" w:line="231"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On June 28, 2021, pursuant to the terms of the Contributon Agreement, 15,777.1 Class B Shares were issued to the Former Adelia Shareholders due to the achievement of the remaining requirements of the second Milestone, amountng to $458. The Class B Shares are exchangeable for a total of 157,771 Common Shares, representng an efectve issue price of $2.90 per Common Share.</w:t>
      </w:r>
    </w:p>
    <w:p>
      <w:pPr>
        <w:spacing w:after="0" w:line="233"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On August 17, 2021, pursuant to the terms of the Contributon Agreement, an additonal 18,788.5 Class B Shares were issued to the Former Adelia Shareholders due to the achievement of certain requirements of the third and fourth Milestones, amountng to $633. The Class B Shares are exchangeable for a total of 187,886 Common Shares, representng an efectve issue price of $3.37 per Common Share.</w:t>
      </w:r>
    </w:p>
    <w:p>
      <w:pPr>
        <w:spacing w:after="0" w:line="233"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On August 31, 2021, pursuant to the terms of the Contributon Agreement, the remaining requirements of the third Milestone were achieved. Accordingly, 9,392.6 Class B Shares were issued to the Former Adelia Shareholders, amountng to $317. The Class B Shares are exchangeable for a total of 93,926 Common Shares, representng an efectve issue price of $3.38 per Common Share.</w:t>
      </w:r>
    </w:p>
    <w:p>
      <w:pPr>
        <w:spacing w:after="0" w:line="233" w:lineRule="exact"/>
        <w:rPr>
          <w:sz w:val="20"/>
          <w:szCs w:val="20"/>
          <w:color w:val="auto"/>
        </w:rPr>
      </w:pPr>
    </w:p>
    <w:p>
      <w:pPr>
        <w:jc w:val="both"/>
        <w:ind w:left="260"/>
        <w:spacing w:after="0" w:line="220" w:lineRule="auto"/>
        <w:rPr>
          <w:sz w:val="20"/>
          <w:szCs w:val="20"/>
          <w:color w:val="auto"/>
        </w:rPr>
      </w:pPr>
      <w:r>
        <w:rPr>
          <w:rFonts w:ascii="Calibri" w:cs="Calibri" w:eastAsia="Calibri" w:hAnsi="Calibri"/>
          <w:sz w:val="18"/>
          <w:szCs w:val="18"/>
          <w:color w:val="auto"/>
        </w:rPr>
        <w:t>On November 18, 2021, pursuant to the terms of the Contributon Agreement, an additonal 28,903 Class B Shares were issued to the Former Adelia Shareholders due to the achievement of certain requirements of the fourth and ffh Milestones, amountng to $706. These Class B Shares are exchangeable for a total of 289,030 Common Shares, representng an efectve issue price of $2.44 per Common Share.</w:t>
      </w:r>
    </w:p>
    <w:p>
      <w:pPr>
        <w:spacing w:after="0" w:line="233"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On November 29, 2021, pursuant to the terms of the Contributon Agreement, an additonal 31,721.5 Class B Shares were issued to the Former Adelia Shareholders due to the achievement of certain requirements of the fourth and ffh Milestones, amountng to $629. These Class B Shares are exchangeable for a total of 317,215 Common Shares, representng an efectve issue price of $1.98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32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71120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2" w:right="339" w:bottom="1440" w:gutter="0" w:footer="0" w:header="0"/>
        </w:sectPr>
      </w:pPr>
    </w:p>
    <w:bookmarkStart w:id="35" w:name="page36"/>
    <w:bookmarkEnd w:id="35"/>
    <w:p>
      <w:pPr>
        <w:spacing w:after="0"/>
        <w:rPr>
          <w:sz w:val="20"/>
          <w:szCs w:val="20"/>
          <w:color w:val="auto"/>
        </w:rPr>
      </w:pPr>
      <w:r>
        <w:rPr>
          <w:rFonts w:ascii="Calibri" w:cs="Calibri" w:eastAsia="Calibri" w:hAnsi="Calibri"/>
          <w:sz w:val="22"/>
          <w:szCs w:val="22"/>
          <w:b w:val="1"/>
          <w:bCs w:val="1"/>
          <w:color w:val="auto"/>
        </w:rPr>
        <w:t>CYBIN INC.</w:t>
      </w:r>
    </w:p>
    <w:p>
      <w:pPr>
        <w:spacing w:after="0" w:line="231"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6"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260"/>
        <w:spacing w:after="0" w:line="224" w:lineRule="auto"/>
        <w:rPr>
          <w:sz w:val="20"/>
          <w:szCs w:val="20"/>
          <w:color w:val="auto"/>
        </w:rPr>
      </w:pPr>
      <w:r>
        <w:rPr>
          <w:rFonts w:ascii="Calibri" w:cs="Calibri" w:eastAsia="Calibri" w:hAnsi="Calibri"/>
          <w:sz w:val="18"/>
          <w:szCs w:val="18"/>
          <w:color w:val="auto"/>
        </w:rPr>
        <w:t>On January 6, 2022, pursuant to the terms of the Contributon Agreement, an additonal 15,611.4 Class B Shares were issued to the Former Adelia Shareholders due to the achievement of the Milestone identfed as Year 2 Q1 (v), as contemplated by the terms of the Contributon Agreement, amountng to $236. These Class B Shares are exchangeable for a total of 156,114 Common Shares, representng an efectve issue price of $1.51 per Common Share.</w:t>
      </w:r>
    </w:p>
    <w:p>
      <w:pPr>
        <w:spacing w:after="0" w:line="233" w:lineRule="exact"/>
        <w:rPr>
          <w:sz w:val="20"/>
          <w:szCs w:val="20"/>
          <w:color w:val="auto"/>
        </w:rPr>
      </w:pPr>
    </w:p>
    <w:p>
      <w:pPr>
        <w:jc w:val="both"/>
        <w:ind w:left="260"/>
        <w:spacing w:after="0" w:line="220" w:lineRule="auto"/>
        <w:rPr>
          <w:sz w:val="20"/>
          <w:szCs w:val="20"/>
          <w:color w:val="auto"/>
        </w:rPr>
      </w:pPr>
      <w:r>
        <w:rPr>
          <w:rFonts w:ascii="Calibri" w:cs="Calibri" w:eastAsia="Calibri" w:hAnsi="Calibri"/>
          <w:sz w:val="18"/>
          <w:szCs w:val="18"/>
          <w:color w:val="auto"/>
        </w:rPr>
        <w:t>On February 14, 2022, pursuant to the terms of the Contributon Agreement, an additonal 41,028.2 Class B Shares were issued to the Former Adelia Shareholders due to the achievement of the Milestones identfed as Y1, Q4 (iv), Y1, Q4 (v) and Y2, Q1 (vi), as contemplated by the terms of the Contributon Agreement, amountng to $551 at a price per Class B Share of $13.43. These Class B Shares are exchangeable for a total of 410,282 Common Shares, representng an efectve issue price of $1.34 per Common Share.</w:t>
      </w:r>
    </w:p>
    <w:p>
      <w:pPr>
        <w:spacing w:after="0" w:line="234" w:lineRule="exact"/>
        <w:rPr>
          <w:sz w:val="20"/>
          <w:szCs w:val="20"/>
          <w:color w:val="auto"/>
        </w:rPr>
      </w:pPr>
    </w:p>
    <w:p>
      <w:pPr>
        <w:jc w:val="both"/>
        <w:ind w:left="260"/>
        <w:spacing w:after="0" w:line="224" w:lineRule="auto"/>
        <w:rPr>
          <w:sz w:val="20"/>
          <w:szCs w:val="20"/>
          <w:color w:val="auto"/>
        </w:rPr>
      </w:pPr>
      <w:r>
        <w:rPr>
          <w:rFonts w:ascii="Calibri" w:cs="Calibri" w:eastAsia="Calibri" w:hAnsi="Calibri"/>
          <w:sz w:val="18"/>
          <w:szCs w:val="18"/>
          <w:color w:val="auto"/>
        </w:rPr>
        <w:t>On February 18, 2022, pursuant to the terms of the Contributon Agreement, an additonal 17,239.5 Class B Shares were issued to the Former Adelia Shareholders due to the achievement of certain Milestones identfed as Y2, Q2 (iii), as contemplated by the terms of the Contributon Agreement, having an aggregate value of $233 at a price per Class B Share of $13.54. These Class B Shares are exchangeable for a total of 172,395 Common Shares, representng an efectve issue price of $1.35 per Common Share.</w:t>
      </w:r>
    </w:p>
    <w:p>
      <w:pPr>
        <w:spacing w:after="0" w:line="233" w:lineRule="exact"/>
        <w:rPr>
          <w:sz w:val="20"/>
          <w:szCs w:val="20"/>
          <w:color w:val="auto"/>
        </w:rPr>
      </w:pPr>
    </w:p>
    <w:p>
      <w:pPr>
        <w:jc w:val="both"/>
        <w:ind w:left="260"/>
        <w:spacing w:after="0" w:line="224" w:lineRule="auto"/>
        <w:rPr>
          <w:sz w:val="20"/>
          <w:szCs w:val="20"/>
          <w:color w:val="auto"/>
        </w:rPr>
      </w:pPr>
      <w:r>
        <w:rPr>
          <w:rFonts w:ascii="Calibri" w:cs="Calibri" w:eastAsia="Calibri" w:hAnsi="Calibri"/>
          <w:sz w:val="18"/>
          <w:szCs w:val="18"/>
          <w:color w:val="auto"/>
        </w:rPr>
        <w:t>On March 25, 2022, pursuant to the terms of the Contributon Agreement, an additonal 90,546.0 Class B Shares were issued to Former Adelia Shareholders due to the achievement of certain Milestones identfed as Year 1 Q4 (vi); Year 2 Q2 (ii); Year 2 Q2 (v) and Year 2, Q3 (iii), as contemplated by the terms of the Contributon Agreement, having an aggregate value of $905 at a price per Class B Share of $9.99. These Class B Shares are exchangeable for a total of 905,460 Common Shares, representng an efectve issue price of $1.00 per Common Share.</w:t>
      </w:r>
    </w:p>
    <w:p>
      <w:pPr>
        <w:spacing w:after="0" w:line="174"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During the year ended March 31, 2022, certain Former Adelia Shareholders converted 184,116 Class B shares into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33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71120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2" w:right="339" w:bottom="1440" w:gutter="0" w:footer="0" w:header="0"/>
        </w:sectPr>
      </w:pPr>
    </w:p>
    <w:bookmarkStart w:id="36" w:name="page37"/>
    <w:bookmarkEnd w:id="36"/>
    <w:p>
      <w:pPr>
        <w:spacing w:after="0"/>
        <w:rPr>
          <w:sz w:val="20"/>
          <w:szCs w:val="20"/>
          <w:color w:val="auto"/>
        </w:rPr>
      </w:pPr>
      <w:r>
        <w:rPr>
          <w:rFonts w:ascii="Calibri" w:cs="Calibri" w:eastAsia="Calibri" w:hAnsi="Calibri"/>
          <w:sz w:val="22"/>
          <w:szCs w:val="22"/>
          <w:b w:val="1"/>
          <w:bCs w:val="1"/>
          <w:color w:val="auto"/>
        </w:rPr>
        <w:t>CYBIN INC.</w:t>
      </w:r>
    </w:p>
    <w:p>
      <w:pPr>
        <w:spacing w:after="0" w:line="231"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6"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960" w:type="dxa"/>
            <w:vAlign w:val="bottom"/>
            <w:gridSpan w:val="3"/>
          </w:tcPr>
          <w:p>
            <w:pPr>
              <w:spacing w:after="0"/>
              <w:rPr>
                <w:sz w:val="20"/>
                <w:szCs w:val="20"/>
                <w:color w:val="auto"/>
              </w:rPr>
            </w:pPr>
            <w:r>
              <w:rPr>
                <w:rFonts w:ascii="Calibri" w:cs="Calibri" w:eastAsia="Calibri" w:hAnsi="Calibri"/>
                <w:sz w:val="18"/>
                <w:szCs w:val="18"/>
                <w:b w:val="1"/>
                <w:bCs w:val="1"/>
                <w:i w:val="1"/>
                <w:iCs w:val="1"/>
                <w:color w:val="auto"/>
              </w:rPr>
              <w:t xml:space="preserve">c)  </w:t>
            </w:r>
            <w:r>
              <w:rPr>
                <w:rFonts w:ascii="Calibri" w:cs="Calibri" w:eastAsia="Calibri" w:hAnsi="Calibri"/>
                <w:sz w:val="18"/>
                <w:szCs w:val="18"/>
                <w:b w:val="1"/>
                <w:bCs w:val="1"/>
                <w:color w:val="auto"/>
              </w:rPr>
              <w:t>Warrants</w:t>
            </w:r>
          </w:p>
        </w:tc>
        <w:tc>
          <w:tcPr>
            <w:tcW w:w="19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69"/>
        </w:trPr>
        <w:tc>
          <w:tcPr>
            <w:tcW w:w="6960" w:type="dxa"/>
            <w:vAlign w:val="bottom"/>
            <w:gridSpan w:val="3"/>
          </w:tcPr>
          <w:p>
            <w:pPr>
              <w:spacing w:after="0"/>
              <w:rPr>
                <w:sz w:val="20"/>
                <w:szCs w:val="20"/>
                <w:color w:val="auto"/>
              </w:rPr>
            </w:pPr>
            <w:r>
              <w:rPr>
                <w:rFonts w:ascii="Calibri" w:cs="Calibri" w:eastAsia="Calibri" w:hAnsi="Calibri"/>
                <w:sz w:val="18"/>
                <w:szCs w:val="18"/>
                <w:color w:val="auto"/>
                <w:w w:val="98"/>
              </w:rPr>
              <w:t>The contnuity of the outstanding warrants for the two years ended March 31, 2022 is as follows:</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3"/>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Calibri" w:cs="Calibri" w:eastAsia="Calibri" w:hAnsi="Calibri"/>
                <w:sz w:val="18"/>
                <w:szCs w:val="18"/>
                <w:b w:val="1"/>
                <w:bCs w:val="1"/>
                <w:color w:val="auto"/>
              </w:rPr>
              <w:t>Weighted average</w:t>
            </w:r>
          </w:p>
        </w:tc>
      </w:tr>
      <w:tr>
        <w:trPr>
          <w:trHeight w:val="228"/>
        </w:trPr>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900" w:type="dxa"/>
            <w:vAlign w:val="bottom"/>
          </w:tcPr>
          <w:p>
            <w:pPr>
              <w:jc w:val="right"/>
              <w:ind w:right="210"/>
              <w:spacing w:after="0"/>
              <w:rPr>
                <w:sz w:val="20"/>
                <w:szCs w:val="20"/>
                <w:color w:val="auto"/>
              </w:rPr>
            </w:pPr>
            <w:r>
              <w:rPr>
                <w:rFonts w:ascii="Calibri" w:cs="Calibri" w:eastAsia="Calibri" w:hAnsi="Calibri"/>
                <w:sz w:val="18"/>
                <w:szCs w:val="18"/>
                <w:b w:val="1"/>
                <w:bCs w:val="1"/>
                <w:color w:val="auto"/>
              </w:rPr>
              <w:t>Number of Warrants</w:t>
            </w: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exercise price</w:t>
            </w:r>
          </w:p>
        </w:tc>
      </w:tr>
      <w:tr>
        <w:trPr>
          <w:trHeight w:val="230"/>
        </w:trPr>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r>
      <w:tr>
        <w:trPr>
          <w:trHeight w:val="229"/>
        </w:trPr>
        <w:tc>
          <w:tcPr>
            <w:tcW w:w="6960" w:type="dxa"/>
            <w:vAlign w:val="bottom"/>
            <w:gridSpan w:val="3"/>
          </w:tcPr>
          <w:p>
            <w:pPr>
              <w:ind w:left="60"/>
              <w:spacing w:after="0"/>
              <w:rPr>
                <w:sz w:val="20"/>
                <w:szCs w:val="20"/>
                <w:color w:val="auto"/>
              </w:rPr>
            </w:pPr>
            <w:r>
              <w:rPr>
                <w:rFonts w:ascii="Calibri" w:cs="Calibri" w:eastAsia="Calibri" w:hAnsi="Calibri"/>
                <w:sz w:val="18"/>
                <w:szCs w:val="18"/>
                <w:b w:val="1"/>
                <w:bCs w:val="1"/>
                <w:i w:val="1"/>
                <w:iCs w:val="1"/>
                <w:color w:val="auto"/>
              </w:rPr>
              <w:t>Common Share Purchase Warrants</w:t>
            </w:r>
          </w:p>
        </w:tc>
        <w:tc>
          <w:tcPr>
            <w:tcW w:w="19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
        </w:trPr>
        <w:tc>
          <w:tcPr>
            <w:tcW w:w="6960" w:type="dxa"/>
            <w:vAlign w:val="bottom"/>
            <w:tcBorders>
              <w:bottom w:val="single" w:sz="8" w:color="auto"/>
            </w:tcBorders>
            <w:gridSpan w:val="3"/>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8"/>
        </w:trPr>
        <w:tc>
          <w:tcPr>
            <w:tcW w:w="6960" w:type="dxa"/>
            <w:vAlign w:val="bottom"/>
            <w:gridSpan w:val="3"/>
          </w:tcPr>
          <w:p>
            <w:pPr>
              <w:ind w:left="60"/>
              <w:spacing w:after="0" w:line="208" w:lineRule="exact"/>
              <w:rPr>
                <w:sz w:val="20"/>
                <w:szCs w:val="20"/>
                <w:color w:val="auto"/>
              </w:rPr>
            </w:pPr>
            <w:r>
              <w:rPr>
                <w:rFonts w:ascii="Calibri" w:cs="Calibri" w:eastAsia="Calibri" w:hAnsi="Calibri"/>
                <w:sz w:val="18"/>
                <w:szCs w:val="18"/>
                <w:color w:val="auto"/>
              </w:rPr>
              <w:t>As at March 31, 2020</w:t>
            </w:r>
          </w:p>
        </w:tc>
        <w:tc>
          <w:tcPr>
            <w:tcW w:w="1900" w:type="dxa"/>
            <w:vAlign w:val="bottom"/>
          </w:tcPr>
          <w:p>
            <w:pPr>
              <w:jc w:val="right"/>
              <w:ind w:right="210"/>
              <w:spacing w:after="0" w:line="208" w:lineRule="exact"/>
              <w:rPr>
                <w:sz w:val="20"/>
                <w:szCs w:val="20"/>
                <w:color w:val="auto"/>
              </w:rPr>
            </w:pPr>
            <w:r>
              <w:rPr>
                <w:rFonts w:ascii="Calibri" w:cs="Calibri" w:eastAsia="Calibri" w:hAnsi="Calibri"/>
                <w:sz w:val="18"/>
                <w:szCs w:val="18"/>
                <w:color w:val="auto"/>
              </w:rPr>
              <w:t>60,000</w:t>
            </w:r>
          </w:p>
        </w:tc>
        <w:tc>
          <w:tcPr>
            <w:tcW w:w="1640" w:type="dxa"/>
            <w:vAlign w:val="bottom"/>
          </w:tcPr>
          <w:p>
            <w:pPr>
              <w:jc w:val="right"/>
              <w:spacing w:after="0" w:line="208" w:lineRule="exact"/>
              <w:rPr>
                <w:sz w:val="20"/>
                <w:szCs w:val="20"/>
                <w:color w:val="auto"/>
              </w:rPr>
            </w:pPr>
            <w:r>
              <w:rPr>
                <w:rFonts w:ascii="Calibri" w:cs="Calibri" w:eastAsia="Calibri" w:hAnsi="Calibri"/>
                <w:sz w:val="18"/>
                <w:szCs w:val="18"/>
                <w:color w:val="auto"/>
              </w:rPr>
              <w:t>0.25</w:t>
            </w:r>
          </w:p>
        </w:tc>
      </w:tr>
      <w:tr>
        <w:trPr>
          <w:trHeight w:val="221"/>
        </w:trPr>
        <w:tc>
          <w:tcPr>
            <w:tcW w:w="6960" w:type="dxa"/>
            <w:vAlign w:val="bottom"/>
            <w:gridSpan w:val="3"/>
          </w:tcPr>
          <w:p>
            <w:pPr>
              <w:ind w:left="60"/>
              <w:spacing w:after="0"/>
              <w:rPr>
                <w:sz w:val="20"/>
                <w:szCs w:val="20"/>
                <w:color w:val="auto"/>
              </w:rPr>
            </w:pPr>
            <w:r>
              <w:rPr>
                <w:rFonts w:ascii="Calibri" w:cs="Calibri" w:eastAsia="Calibri" w:hAnsi="Calibri"/>
                <w:sz w:val="18"/>
                <w:szCs w:val="18"/>
                <w:color w:val="auto"/>
              </w:rPr>
              <w:t>Issued</w:t>
            </w:r>
          </w:p>
        </w:tc>
        <w:tc>
          <w:tcPr>
            <w:tcW w:w="1900" w:type="dxa"/>
            <w:vAlign w:val="bottom"/>
          </w:tcPr>
          <w:p>
            <w:pPr>
              <w:jc w:val="right"/>
              <w:ind w:right="210"/>
              <w:spacing w:after="0"/>
              <w:rPr>
                <w:sz w:val="20"/>
                <w:szCs w:val="20"/>
                <w:color w:val="auto"/>
              </w:rPr>
            </w:pPr>
            <w:r>
              <w:rPr>
                <w:rFonts w:ascii="Calibri" w:cs="Calibri" w:eastAsia="Calibri" w:hAnsi="Calibri"/>
                <w:sz w:val="18"/>
                <w:szCs w:val="18"/>
                <w:color w:val="auto"/>
              </w:rPr>
              <w:t>29,451,284</w:t>
            </w:r>
          </w:p>
        </w:tc>
        <w:tc>
          <w:tcPr>
            <w:tcW w:w="1640" w:type="dxa"/>
            <w:vAlign w:val="bottom"/>
          </w:tcPr>
          <w:p>
            <w:pPr>
              <w:jc w:val="right"/>
              <w:spacing w:after="0"/>
              <w:rPr>
                <w:sz w:val="20"/>
                <w:szCs w:val="20"/>
                <w:color w:val="auto"/>
              </w:rPr>
            </w:pPr>
            <w:r>
              <w:rPr>
                <w:rFonts w:ascii="Calibri" w:cs="Calibri" w:eastAsia="Calibri" w:hAnsi="Calibri"/>
                <w:sz w:val="18"/>
                <w:szCs w:val="18"/>
                <w:color w:val="auto"/>
              </w:rPr>
              <w:t>1.13</w:t>
            </w:r>
          </w:p>
        </w:tc>
      </w:tr>
      <w:tr>
        <w:trPr>
          <w:trHeight w:val="229"/>
        </w:trPr>
        <w:tc>
          <w:tcPr>
            <w:tcW w:w="6960" w:type="dxa"/>
            <w:vAlign w:val="bottom"/>
            <w:gridSpan w:val="3"/>
          </w:tcPr>
          <w:p>
            <w:pPr>
              <w:ind w:left="60"/>
              <w:spacing w:after="0"/>
              <w:rPr>
                <w:sz w:val="20"/>
                <w:szCs w:val="20"/>
                <w:color w:val="auto"/>
              </w:rPr>
            </w:pPr>
            <w:r>
              <w:rPr>
                <w:rFonts w:ascii="Calibri" w:cs="Calibri" w:eastAsia="Calibri" w:hAnsi="Calibri"/>
                <w:sz w:val="18"/>
                <w:szCs w:val="18"/>
                <w:color w:val="auto"/>
              </w:rPr>
              <w:t>Exercised</w:t>
            </w:r>
          </w:p>
        </w:tc>
        <w:tc>
          <w:tcPr>
            <w:tcW w:w="1900" w:type="dxa"/>
            <w:vAlign w:val="bottom"/>
          </w:tcPr>
          <w:p>
            <w:pPr>
              <w:jc w:val="right"/>
              <w:ind w:right="170"/>
              <w:spacing w:after="0"/>
              <w:rPr>
                <w:sz w:val="20"/>
                <w:szCs w:val="20"/>
                <w:color w:val="auto"/>
              </w:rPr>
            </w:pPr>
            <w:r>
              <w:rPr>
                <w:rFonts w:ascii="Calibri" w:cs="Calibri" w:eastAsia="Calibri" w:hAnsi="Calibri"/>
                <w:sz w:val="18"/>
                <w:szCs w:val="18"/>
                <w:color w:val="auto"/>
              </w:rPr>
              <w:t>(815,047)</w:t>
            </w:r>
          </w:p>
        </w:tc>
        <w:tc>
          <w:tcPr>
            <w:tcW w:w="1640" w:type="dxa"/>
            <w:vAlign w:val="bottom"/>
          </w:tcPr>
          <w:p>
            <w:pPr>
              <w:jc w:val="right"/>
              <w:spacing w:after="0"/>
              <w:rPr>
                <w:sz w:val="20"/>
                <w:szCs w:val="20"/>
                <w:color w:val="auto"/>
              </w:rPr>
            </w:pPr>
            <w:r>
              <w:rPr>
                <w:rFonts w:ascii="Calibri" w:cs="Calibri" w:eastAsia="Calibri" w:hAnsi="Calibri"/>
                <w:sz w:val="18"/>
                <w:szCs w:val="18"/>
                <w:color w:val="auto"/>
              </w:rPr>
              <w:t>0.50</w:t>
            </w:r>
          </w:p>
        </w:tc>
      </w:tr>
      <w:tr>
        <w:trPr>
          <w:trHeight w:val="23"/>
        </w:trPr>
        <w:tc>
          <w:tcPr>
            <w:tcW w:w="6960" w:type="dxa"/>
            <w:vAlign w:val="bottom"/>
            <w:tcBorders>
              <w:bottom w:val="single" w:sz="8" w:color="auto"/>
            </w:tcBorders>
            <w:gridSpan w:val="3"/>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8"/>
        </w:trPr>
        <w:tc>
          <w:tcPr>
            <w:tcW w:w="6960" w:type="dxa"/>
            <w:vAlign w:val="bottom"/>
            <w:gridSpan w:val="3"/>
          </w:tcPr>
          <w:p>
            <w:pPr>
              <w:ind w:left="60"/>
              <w:spacing w:after="0" w:line="208" w:lineRule="exact"/>
              <w:rPr>
                <w:sz w:val="20"/>
                <w:szCs w:val="20"/>
                <w:color w:val="auto"/>
              </w:rPr>
            </w:pPr>
            <w:r>
              <w:rPr>
                <w:rFonts w:ascii="Calibri" w:cs="Calibri" w:eastAsia="Calibri" w:hAnsi="Calibri"/>
                <w:sz w:val="18"/>
                <w:szCs w:val="18"/>
                <w:color w:val="auto"/>
              </w:rPr>
              <w:t>As at March 31, 2021</w:t>
            </w:r>
          </w:p>
        </w:tc>
        <w:tc>
          <w:tcPr>
            <w:tcW w:w="1900" w:type="dxa"/>
            <w:vAlign w:val="bottom"/>
          </w:tcPr>
          <w:p>
            <w:pPr>
              <w:jc w:val="right"/>
              <w:ind w:right="210"/>
              <w:spacing w:after="0" w:line="208" w:lineRule="exact"/>
              <w:rPr>
                <w:sz w:val="20"/>
                <w:szCs w:val="20"/>
                <w:color w:val="auto"/>
              </w:rPr>
            </w:pPr>
            <w:r>
              <w:rPr>
                <w:rFonts w:ascii="Calibri" w:cs="Calibri" w:eastAsia="Calibri" w:hAnsi="Calibri"/>
                <w:sz w:val="18"/>
                <w:szCs w:val="18"/>
                <w:color w:val="auto"/>
              </w:rPr>
              <w:t>28,696,237</w:t>
            </w:r>
          </w:p>
        </w:tc>
        <w:tc>
          <w:tcPr>
            <w:tcW w:w="1640" w:type="dxa"/>
            <w:vAlign w:val="bottom"/>
          </w:tcPr>
          <w:p>
            <w:pPr>
              <w:jc w:val="right"/>
              <w:spacing w:after="0" w:line="208" w:lineRule="exact"/>
              <w:rPr>
                <w:sz w:val="20"/>
                <w:szCs w:val="20"/>
                <w:color w:val="auto"/>
              </w:rPr>
            </w:pPr>
            <w:r>
              <w:rPr>
                <w:rFonts w:ascii="Calibri" w:cs="Calibri" w:eastAsia="Calibri" w:hAnsi="Calibri"/>
                <w:sz w:val="18"/>
                <w:szCs w:val="18"/>
                <w:color w:val="auto"/>
              </w:rPr>
              <w:t>1.15</w:t>
            </w:r>
          </w:p>
        </w:tc>
      </w:tr>
      <w:tr>
        <w:trPr>
          <w:trHeight w:val="221"/>
        </w:trPr>
        <w:tc>
          <w:tcPr>
            <w:tcW w:w="6960" w:type="dxa"/>
            <w:vAlign w:val="bottom"/>
            <w:gridSpan w:val="3"/>
          </w:tcPr>
          <w:p>
            <w:pPr>
              <w:ind w:left="60"/>
              <w:spacing w:after="0"/>
              <w:rPr>
                <w:sz w:val="20"/>
                <w:szCs w:val="20"/>
                <w:color w:val="auto"/>
              </w:rPr>
            </w:pPr>
            <w:r>
              <w:rPr>
                <w:rFonts w:ascii="Calibri" w:cs="Calibri" w:eastAsia="Calibri" w:hAnsi="Calibri"/>
                <w:sz w:val="18"/>
                <w:szCs w:val="18"/>
                <w:color w:val="auto"/>
              </w:rPr>
              <w:t>Issued</w:t>
            </w:r>
          </w:p>
        </w:tc>
        <w:tc>
          <w:tcPr>
            <w:tcW w:w="1900" w:type="dxa"/>
            <w:vAlign w:val="bottom"/>
          </w:tcPr>
          <w:p>
            <w:pPr>
              <w:jc w:val="right"/>
              <w:ind w:right="210"/>
              <w:spacing w:after="0"/>
              <w:rPr>
                <w:sz w:val="20"/>
                <w:szCs w:val="20"/>
                <w:color w:val="auto"/>
              </w:rPr>
            </w:pPr>
            <w:r>
              <w:rPr>
                <w:rFonts w:ascii="Calibri" w:cs="Calibri" w:eastAsia="Calibri" w:hAnsi="Calibri"/>
                <w:sz w:val="18"/>
                <w:szCs w:val="18"/>
                <w:color w:val="auto"/>
              </w:rPr>
              <w:t>658,860</w:t>
            </w:r>
          </w:p>
        </w:tc>
        <w:tc>
          <w:tcPr>
            <w:tcW w:w="1640" w:type="dxa"/>
            <w:vAlign w:val="bottom"/>
          </w:tcPr>
          <w:p>
            <w:pPr>
              <w:jc w:val="right"/>
              <w:spacing w:after="0"/>
              <w:rPr>
                <w:sz w:val="20"/>
                <w:szCs w:val="20"/>
                <w:color w:val="auto"/>
              </w:rPr>
            </w:pPr>
            <w:r>
              <w:rPr>
                <w:rFonts w:ascii="Calibri" w:cs="Calibri" w:eastAsia="Calibri" w:hAnsi="Calibri"/>
                <w:sz w:val="18"/>
                <w:szCs w:val="18"/>
                <w:color w:val="auto"/>
              </w:rPr>
              <w:t>3.40</w:t>
            </w:r>
          </w:p>
        </w:tc>
      </w:tr>
      <w:tr>
        <w:trPr>
          <w:trHeight w:val="230"/>
        </w:trPr>
        <w:tc>
          <w:tcPr>
            <w:tcW w:w="6960" w:type="dxa"/>
            <w:vAlign w:val="bottom"/>
            <w:gridSpan w:val="3"/>
          </w:tcPr>
          <w:p>
            <w:pPr>
              <w:ind w:left="60"/>
              <w:spacing w:after="0"/>
              <w:rPr>
                <w:sz w:val="20"/>
                <w:szCs w:val="20"/>
                <w:color w:val="auto"/>
              </w:rPr>
            </w:pPr>
            <w:r>
              <w:rPr>
                <w:rFonts w:ascii="Calibri" w:cs="Calibri" w:eastAsia="Calibri" w:hAnsi="Calibri"/>
                <w:sz w:val="18"/>
                <w:szCs w:val="18"/>
                <w:color w:val="auto"/>
              </w:rPr>
              <w:t>Exercised</w:t>
            </w:r>
          </w:p>
        </w:tc>
        <w:tc>
          <w:tcPr>
            <w:tcW w:w="1900" w:type="dxa"/>
            <w:vAlign w:val="bottom"/>
          </w:tcPr>
          <w:p>
            <w:pPr>
              <w:jc w:val="right"/>
              <w:ind w:right="210"/>
              <w:spacing w:after="0"/>
              <w:rPr>
                <w:sz w:val="20"/>
                <w:szCs w:val="20"/>
                <w:color w:val="auto"/>
              </w:rPr>
            </w:pPr>
            <w:r>
              <w:rPr>
                <w:rFonts w:ascii="Calibri" w:cs="Calibri" w:eastAsia="Calibri" w:hAnsi="Calibri"/>
                <w:sz w:val="18"/>
                <w:szCs w:val="18"/>
                <w:color w:val="auto"/>
              </w:rPr>
              <w:t>(3,231,261)</w:t>
            </w:r>
          </w:p>
        </w:tc>
        <w:tc>
          <w:tcPr>
            <w:tcW w:w="1640" w:type="dxa"/>
            <w:vAlign w:val="bottom"/>
          </w:tcPr>
          <w:p>
            <w:pPr>
              <w:jc w:val="right"/>
              <w:spacing w:after="0"/>
              <w:rPr>
                <w:sz w:val="20"/>
                <w:szCs w:val="20"/>
                <w:color w:val="auto"/>
              </w:rPr>
            </w:pPr>
            <w:r>
              <w:rPr>
                <w:rFonts w:ascii="Calibri" w:cs="Calibri" w:eastAsia="Calibri" w:hAnsi="Calibri"/>
                <w:sz w:val="18"/>
                <w:szCs w:val="18"/>
                <w:color w:val="auto"/>
              </w:rPr>
              <w:t>0.91</w:t>
            </w:r>
          </w:p>
        </w:tc>
      </w:tr>
      <w:tr>
        <w:trPr>
          <w:trHeight w:val="229"/>
        </w:trPr>
        <w:tc>
          <w:tcPr>
            <w:tcW w:w="6960" w:type="dxa"/>
            <w:vAlign w:val="bottom"/>
            <w:gridSpan w:val="3"/>
          </w:tcPr>
          <w:p>
            <w:pPr>
              <w:ind w:left="60"/>
              <w:spacing w:after="0"/>
              <w:rPr>
                <w:sz w:val="20"/>
                <w:szCs w:val="20"/>
                <w:color w:val="auto"/>
              </w:rPr>
            </w:pPr>
            <w:r>
              <w:rPr>
                <w:rFonts w:ascii="Calibri" w:cs="Calibri" w:eastAsia="Calibri" w:hAnsi="Calibri"/>
                <w:sz w:val="18"/>
                <w:szCs w:val="18"/>
                <w:color w:val="auto"/>
              </w:rPr>
              <w:t>Forfeited</w:t>
            </w:r>
          </w:p>
        </w:tc>
        <w:tc>
          <w:tcPr>
            <w:tcW w:w="1900" w:type="dxa"/>
            <w:vAlign w:val="bottom"/>
          </w:tcPr>
          <w:p>
            <w:pPr>
              <w:jc w:val="right"/>
              <w:ind w:right="170"/>
              <w:spacing w:after="0"/>
              <w:rPr>
                <w:sz w:val="20"/>
                <w:szCs w:val="20"/>
                <w:color w:val="auto"/>
              </w:rPr>
            </w:pPr>
            <w:r>
              <w:rPr>
                <w:rFonts w:ascii="Calibri" w:cs="Calibri" w:eastAsia="Calibri" w:hAnsi="Calibri"/>
                <w:sz w:val="18"/>
                <w:szCs w:val="18"/>
                <w:color w:val="auto"/>
              </w:rPr>
              <w:t>(575,000)</w:t>
            </w:r>
          </w:p>
        </w:tc>
        <w:tc>
          <w:tcPr>
            <w:tcW w:w="1640" w:type="dxa"/>
            <w:vAlign w:val="bottom"/>
          </w:tcPr>
          <w:p>
            <w:pPr>
              <w:jc w:val="right"/>
              <w:spacing w:after="0"/>
              <w:rPr>
                <w:sz w:val="20"/>
                <w:szCs w:val="20"/>
                <w:color w:val="auto"/>
              </w:rPr>
            </w:pPr>
            <w:r>
              <w:rPr>
                <w:rFonts w:ascii="Calibri" w:cs="Calibri" w:eastAsia="Calibri" w:hAnsi="Calibri"/>
                <w:sz w:val="18"/>
                <w:szCs w:val="18"/>
                <w:color w:val="auto"/>
              </w:rPr>
              <w:t>0.54</w:t>
            </w:r>
          </w:p>
        </w:tc>
      </w:tr>
      <w:tr>
        <w:trPr>
          <w:trHeight w:val="23"/>
        </w:trPr>
        <w:tc>
          <w:tcPr>
            <w:tcW w:w="6960" w:type="dxa"/>
            <w:vAlign w:val="bottom"/>
            <w:tcBorders>
              <w:bottom w:val="single" w:sz="8" w:color="auto"/>
            </w:tcBorders>
            <w:gridSpan w:val="3"/>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6960" w:type="dxa"/>
            <w:vAlign w:val="bottom"/>
            <w:tcBorders>
              <w:bottom w:val="single" w:sz="8" w:color="auto"/>
            </w:tcBorders>
            <w:gridSpan w:val="3"/>
          </w:tcPr>
          <w:p>
            <w:pPr>
              <w:ind w:left="60"/>
              <w:spacing w:after="0" w:line="215" w:lineRule="exact"/>
              <w:rPr>
                <w:sz w:val="20"/>
                <w:szCs w:val="20"/>
                <w:color w:val="auto"/>
              </w:rPr>
            </w:pPr>
            <w:r>
              <w:rPr>
                <w:rFonts w:ascii="Calibri" w:cs="Calibri" w:eastAsia="Calibri" w:hAnsi="Calibri"/>
                <w:sz w:val="18"/>
                <w:szCs w:val="18"/>
                <w:b w:val="1"/>
                <w:bCs w:val="1"/>
                <w:color w:val="auto"/>
              </w:rPr>
              <w:t>Outstanding as at March 31, 2022</w:t>
            </w:r>
          </w:p>
        </w:tc>
        <w:tc>
          <w:tcPr>
            <w:tcW w:w="1900" w:type="dxa"/>
            <w:vAlign w:val="bottom"/>
            <w:tcBorders>
              <w:bottom w:val="single" w:sz="8" w:color="auto"/>
            </w:tcBorders>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25,548,836</w:t>
            </w:r>
          </w:p>
        </w:tc>
        <w:tc>
          <w:tcPr>
            <w:tcW w:w="16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1.22</w:t>
            </w:r>
          </w:p>
        </w:tc>
      </w:tr>
      <w:tr>
        <w:trPr>
          <w:trHeight w:val="223"/>
        </w:trPr>
        <w:tc>
          <w:tcPr>
            <w:tcW w:w="6960" w:type="dxa"/>
            <w:vAlign w:val="bottom"/>
            <w:tcBorders>
              <w:bottom w:val="single" w:sz="8" w:color="auto"/>
            </w:tcBorders>
            <w:gridSpan w:val="3"/>
          </w:tcPr>
          <w:p>
            <w:pPr>
              <w:ind w:left="60"/>
              <w:spacing w:after="0" w:line="215" w:lineRule="exact"/>
              <w:rPr>
                <w:sz w:val="20"/>
                <w:szCs w:val="20"/>
                <w:color w:val="auto"/>
              </w:rPr>
            </w:pPr>
            <w:r>
              <w:rPr>
                <w:rFonts w:ascii="Calibri" w:cs="Calibri" w:eastAsia="Calibri" w:hAnsi="Calibri"/>
                <w:sz w:val="18"/>
                <w:szCs w:val="18"/>
                <w:b w:val="1"/>
                <w:bCs w:val="1"/>
                <w:color w:val="auto"/>
              </w:rPr>
              <w:t>Exercisable as at March 31, 2022</w:t>
            </w:r>
          </w:p>
        </w:tc>
        <w:tc>
          <w:tcPr>
            <w:tcW w:w="1900" w:type="dxa"/>
            <w:vAlign w:val="bottom"/>
            <w:tcBorders>
              <w:bottom w:val="single" w:sz="8" w:color="auto"/>
            </w:tcBorders>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24,755,086</w:t>
            </w:r>
          </w:p>
        </w:tc>
        <w:tc>
          <w:tcPr>
            <w:tcW w:w="16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1.25</w:t>
            </w:r>
          </w:p>
        </w:tc>
      </w:tr>
      <w:tr>
        <w:trPr>
          <w:trHeight w:val="378"/>
        </w:trPr>
        <w:tc>
          <w:tcPr>
            <w:tcW w:w="6960" w:type="dxa"/>
            <w:vAlign w:val="bottom"/>
            <w:tcBorders>
              <w:bottom w:val="single" w:sz="8" w:color="auto"/>
            </w:tcBorders>
            <w:gridSpan w:val="3"/>
          </w:tcPr>
          <w:p>
            <w:pPr>
              <w:ind w:left="60"/>
              <w:spacing w:after="0"/>
              <w:rPr>
                <w:sz w:val="20"/>
                <w:szCs w:val="20"/>
                <w:color w:val="auto"/>
              </w:rPr>
            </w:pPr>
            <w:r>
              <w:rPr>
                <w:rFonts w:ascii="Calibri" w:cs="Calibri" w:eastAsia="Calibri" w:hAnsi="Calibri"/>
                <w:sz w:val="18"/>
                <w:szCs w:val="18"/>
                <w:b w:val="1"/>
                <w:bCs w:val="1"/>
                <w:i w:val="1"/>
                <w:iCs w:val="1"/>
                <w:color w:val="auto"/>
              </w:rPr>
              <w:t>Unit Purchase Warrants</w:t>
            </w:r>
            <w:r>
              <w:rPr>
                <w:rFonts w:ascii="Calibri" w:cs="Calibri" w:eastAsia="Calibri" w:hAnsi="Calibri"/>
                <w:sz w:val="23"/>
                <w:szCs w:val="23"/>
                <w:b w:val="1"/>
                <w:bCs w:val="1"/>
                <w:i w:val="1"/>
                <w:iCs w:val="1"/>
                <w:color w:val="auto"/>
                <w:vertAlign w:val="superscript"/>
              </w:rPr>
              <w:t>(1)</w:t>
            </w:r>
          </w:p>
        </w:tc>
        <w:tc>
          <w:tcPr>
            <w:tcW w:w="1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08"/>
        </w:trPr>
        <w:tc>
          <w:tcPr>
            <w:tcW w:w="6960" w:type="dxa"/>
            <w:vAlign w:val="bottom"/>
            <w:gridSpan w:val="3"/>
          </w:tcPr>
          <w:p>
            <w:pPr>
              <w:ind w:left="60"/>
              <w:spacing w:after="0" w:line="208" w:lineRule="exact"/>
              <w:rPr>
                <w:sz w:val="20"/>
                <w:szCs w:val="20"/>
                <w:color w:val="auto"/>
              </w:rPr>
            </w:pPr>
            <w:r>
              <w:rPr>
                <w:rFonts w:ascii="Calibri" w:cs="Calibri" w:eastAsia="Calibri" w:hAnsi="Calibri"/>
                <w:sz w:val="18"/>
                <w:szCs w:val="18"/>
                <w:color w:val="auto"/>
              </w:rPr>
              <w:t>As at March 31, 2020</w:t>
            </w:r>
          </w:p>
        </w:tc>
        <w:tc>
          <w:tcPr>
            <w:tcW w:w="1900" w:type="dxa"/>
            <w:vAlign w:val="bottom"/>
          </w:tcPr>
          <w:p>
            <w:pPr>
              <w:jc w:val="right"/>
              <w:ind w:right="210"/>
              <w:spacing w:after="0" w:line="208" w:lineRule="exact"/>
              <w:rPr>
                <w:sz w:val="20"/>
                <w:szCs w:val="20"/>
                <w:color w:val="auto"/>
              </w:rPr>
            </w:pPr>
            <w:r>
              <w:rPr>
                <w:rFonts w:ascii="Calibri" w:cs="Calibri" w:eastAsia="Calibri" w:hAnsi="Calibri"/>
                <w:sz w:val="18"/>
                <w:szCs w:val="18"/>
                <w:color w:val="auto"/>
              </w:rPr>
              <w:t>—</w:t>
            </w:r>
          </w:p>
        </w:tc>
        <w:tc>
          <w:tcPr>
            <w:tcW w:w="164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r>
      <w:tr>
        <w:trPr>
          <w:trHeight w:val="221"/>
        </w:trPr>
        <w:tc>
          <w:tcPr>
            <w:tcW w:w="6960" w:type="dxa"/>
            <w:vAlign w:val="bottom"/>
            <w:gridSpan w:val="3"/>
          </w:tcPr>
          <w:p>
            <w:pPr>
              <w:ind w:left="60"/>
              <w:spacing w:after="0"/>
              <w:rPr>
                <w:sz w:val="20"/>
                <w:szCs w:val="20"/>
                <w:color w:val="auto"/>
              </w:rPr>
            </w:pPr>
            <w:r>
              <w:rPr>
                <w:rFonts w:ascii="Calibri" w:cs="Calibri" w:eastAsia="Calibri" w:hAnsi="Calibri"/>
                <w:sz w:val="18"/>
                <w:szCs w:val="18"/>
                <w:color w:val="auto"/>
              </w:rPr>
              <w:t>Issued</w:t>
            </w:r>
          </w:p>
        </w:tc>
        <w:tc>
          <w:tcPr>
            <w:tcW w:w="1900" w:type="dxa"/>
            <w:vAlign w:val="bottom"/>
          </w:tcPr>
          <w:p>
            <w:pPr>
              <w:jc w:val="right"/>
              <w:ind w:right="210"/>
              <w:spacing w:after="0"/>
              <w:rPr>
                <w:sz w:val="20"/>
                <w:szCs w:val="20"/>
                <w:color w:val="auto"/>
              </w:rPr>
            </w:pPr>
            <w:r>
              <w:rPr>
                <w:rFonts w:ascii="Calibri" w:cs="Calibri" w:eastAsia="Calibri" w:hAnsi="Calibri"/>
                <w:sz w:val="18"/>
                <w:szCs w:val="18"/>
                <w:color w:val="auto"/>
              </w:rPr>
              <w:t>868,740</w:t>
            </w:r>
          </w:p>
        </w:tc>
        <w:tc>
          <w:tcPr>
            <w:tcW w:w="1640" w:type="dxa"/>
            <w:vAlign w:val="bottom"/>
          </w:tcPr>
          <w:p>
            <w:pPr>
              <w:jc w:val="right"/>
              <w:spacing w:after="0"/>
              <w:rPr>
                <w:sz w:val="20"/>
                <w:szCs w:val="20"/>
                <w:color w:val="auto"/>
              </w:rPr>
            </w:pPr>
            <w:r>
              <w:rPr>
                <w:rFonts w:ascii="Calibri" w:cs="Calibri" w:eastAsia="Calibri" w:hAnsi="Calibri"/>
                <w:sz w:val="18"/>
                <w:szCs w:val="18"/>
                <w:color w:val="auto"/>
              </w:rPr>
              <w:t>2.25</w:t>
            </w:r>
          </w:p>
        </w:tc>
      </w:tr>
      <w:tr>
        <w:trPr>
          <w:trHeight w:val="23"/>
        </w:trPr>
        <w:tc>
          <w:tcPr>
            <w:tcW w:w="6960" w:type="dxa"/>
            <w:vAlign w:val="bottom"/>
            <w:tcBorders>
              <w:bottom w:val="single" w:sz="8" w:color="auto"/>
            </w:tcBorders>
            <w:gridSpan w:val="3"/>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8"/>
        </w:trPr>
        <w:tc>
          <w:tcPr>
            <w:tcW w:w="6960" w:type="dxa"/>
            <w:vAlign w:val="bottom"/>
            <w:gridSpan w:val="3"/>
          </w:tcPr>
          <w:p>
            <w:pPr>
              <w:ind w:left="60"/>
              <w:spacing w:after="0" w:line="208" w:lineRule="exact"/>
              <w:rPr>
                <w:sz w:val="20"/>
                <w:szCs w:val="20"/>
                <w:color w:val="auto"/>
              </w:rPr>
            </w:pPr>
            <w:r>
              <w:rPr>
                <w:rFonts w:ascii="Calibri" w:cs="Calibri" w:eastAsia="Calibri" w:hAnsi="Calibri"/>
                <w:sz w:val="18"/>
                <w:szCs w:val="18"/>
                <w:color w:val="auto"/>
              </w:rPr>
              <w:t>As at March 31, 2021</w:t>
            </w:r>
          </w:p>
        </w:tc>
        <w:tc>
          <w:tcPr>
            <w:tcW w:w="1900" w:type="dxa"/>
            <w:vAlign w:val="bottom"/>
          </w:tcPr>
          <w:p>
            <w:pPr>
              <w:jc w:val="right"/>
              <w:ind w:right="210"/>
              <w:spacing w:after="0" w:line="208" w:lineRule="exact"/>
              <w:rPr>
                <w:sz w:val="20"/>
                <w:szCs w:val="20"/>
                <w:color w:val="auto"/>
              </w:rPr>
            </w:pPr>
            <w:r>
              <w:rPr>
                <w:rFonts w:ascii="Calibri" w:cs="Calibri" w:eastAsia="Calibri" w:hAnsi="Calibri"/>
                <w:sz w:val="18"/>
                <w:szCs w:val="18"/>
                <w:color w:val="auto"/>
              </w:rPr>
              <w:t>868,740</w:t>
            </w:r>
          </w:p>
        </w:tc>
        <w:tc>
          <w:tcPr>
            <w:tcW w:w="1640" w:type="dxa"/>
            <w:vAlign w:val="bottom"/>
          </w:tcPr>
          <w:p>
            <w:pPr>
              <w:jc w:val="right"/>
              <w:spacing w:after="0" w:line="208" w:lineRule="exact"/>
              <w:rPr>
                <w:sz w:val="20"/>
                <w:szCs w:val="20"/>
                <w:color w:val="auto"/>
              </w:rPr>
            </w:pPr>
            <w:r>
              <w:rPr>
                <w:rFonts w:ascii="Calibri" w:cs="Calibri" w:eastAsia="Calibri" w:hAnsi="Calibri"/>
                <w:sz w:val="18"/>
                <w:szCs w:val="18"/>
                <w:color w:val="auto"/>
              </w:rPr>
              <w:t>2.25</w:t>
            </w:r>
          </w:p>
        </w:tc>
      </w:tr>
      <w:tr>
        <w:trPr>
          <w:trHeight w:val="221"/>
        </w:trPr>
        <w:tc>
          <w:tcPr>
            <w:tcW w:w="6960" w:type="dxa"/>
            <w:vAlign w:val="bottom"/>
            <w:gridSpan w:val="3"/>
          </w:tcPr>
          <w:p>
            <w:pPr>
              <w:ind w:left="60"/>
              <w:spacing w:after="0"/>
              <w:rPr>
                <w:sz w:val="20"/>
                <w:szCs w:val="20"/>
                <w:color w:val="auto"/>
              </w:rPr>
            </w:pPr>
            <w:r>
              <w:rPr>
                <w:rFonts w:ascii="Calibri" w:cs="Calibri" w:eastAsia="Calibri" w:hAnsi="Calibri"/>
                <w:sz w:val="18"/>
                <w:szCs w:val="18"/>
                <w:color w:val="auto"/>
              </w:rPr>
              <w:t>Issued</w:t>
            </w:r>
          </w:p>
        </w:tc>
        <w:tc>
          <w:tcPr>
            <w:tcW w:w="1900" w:type="dxa"/>
            <w:vAlign w:val="bottom"/>
          </w:tcPr>
          <w:p>
            <w:pPr>
              <w:jc w:val="right"/>
              <w:ind w:right="210"/>
              <w:spacing w:after="0"/>
              <w:rPr>
                <w:sz w:val="20"/>
                <w:szCs w:val="20"/>
                <w:color w:val="auto"/>
              </w:rPr>
            </w:pPr>
            <w:r>
              <w:rPr>
                <w:rFonts w:ascii="Calibri" w:cs="Calibri" w:eastAsia="Calibri" w:hAnsi="Calibri"/>
                <w:sz w:val="18"/>
                <w:szCs w:val="18"/>
                <w:color w:val="auto"/>
              </w:rPr>
              <w:t>—</w:t>
            </w:r>
          </w:p>
        </w:tc>
        <w:tc>
          <w:tcPr>
            <w:tcW w:w="164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30"/>
        </w:trPr>
        <w:tc>
          <w:tcPr>
            <w:tcW w:w="6960" w:type="dxa"/>
            <w:vAlign w:val="bottom"/>
            <w:gridSpan w:val="3"/>
          </w:tcPr>
          <w:p>
            <w:pPr>
              <w:ind w:left="60"/>
              <w:spacing w:after="0"/>
              <w:rPr>
                <w:sz w:val="20"/>
                <w:szCs w:val="20"/>
                <w:color w:val="auto"/>
              </w:rPr>
            </w:pPr>
            <w:r>
              <w:rPr>
                <w:rFonts w:ascii="Calibri" w:cs="Calibri" w:eastAsia="Calibri" w:hAnsi="Calibri"/>
                <w:sz w:val="18"/>
                <w:szCs w:val="18"/>
                <w:color w:val="auto"/>
              </w:rPr>
              <w:t>Exercised</w:t>
            </w:r>
          </w:p>
        </w:tc>
        <w:tc>
          <w:tcPr>
            <w:tcW w:w="1900" w:type="dxa"/>
            <w:vAlign w:val="bottom"/>
          </w:tcPr>
          <w:p>
            <w:pPr>
              <w:jc w:val="right"/>
              <w:ind w:right="210"/>
              <w:spacing w:after="0"/>
              <w:rPr>
                <w:sz w:val="20"/>
                <w:szCs w:val="20"/>
                <w:color w:val="auto"/>
              </w:rPr>
            </w:pPr>
            <w:r>
              <w:rPr>
                <w:rFonts w:ascii="Calibri" w:cs="Calibri" w:eastAsia="Calibri" w:hAnsi="Calibri"/>
                <w:sz w:val="18"/>
                <w:szCs w:val="18"/>
                <w:color w:val="auto"/>
              </w:rPr>
              <w:t>—</w:t>
            </w:r>
          </w:p>
        </w:tc>
        <w:tc>
          <w:tcPr>
            <w:tcW w:w="164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29"/>
        </w:trPr>
        <w:tc>
          <w:tcPr>
            <w:tcW w:w="6960" w:type="dxa"/>
            <w:vAlign w:val="bottom"/>
            <w:gridSpan w:val="3"/>
          </w:tcPr>
          <w:p>
            <w:pPr>
              <w:ind w:left="60"/>
              <w:spacing w:after="0"/>
              <w:rPr>
                <w:sz w:val="20"/>
                <w:szCs w:val="20"/>
                <w:color w:val="auto"/>
              </w:rPr>
            </w:pPr>
            <w:r>
              <w:rPr>
                <w:rFonts w:ascii="Calibri" w:cs="Calibri" w:eastAsia="Calibri" w:hAnsi="Calibri"/>
                <w:sz w:val="18"/>
                <w:szCs w:val="18"/>
                <w:color w:val="auto"/>
              </w:rPr>
              <w:t>Forfeited</w:t>
            </w:r>
          </w:p>
        </w:tc>
        <w:tc>
          <w:tcPr>
            <w:tcW w:w="1900" w:type="dxa"/>
            <w:vAlign w:val="bottom"/>
          </w:tcPr>
          <w:p>
            <w:pPr>
              <w:jc w:val="right"/>
              <w:ind w:right="210"/>
              <w:spacing w:after="0"/>
              <w:rPr>
                <w:sz w:val="20"/>
                <w:szCs w:val="20"/>
                <w:color w:val="auto"/>
              </w:rPr>
            </w:pPr>
            <w:r>
              <w:rPr>
                <w:rFonts w:ascii="Calibri" w:cs="Calibri" w:eastAsia="Calibri" w:hAnsi="Calibri"/>
                <w:sz w:val="18"/>
                <w:szCs w:val="18"/>
                <w:color w:val="auto"/>
              </w:rPr>
              <w:t>—</w:t>
            </w:r>
          </w:p>
        </w:tc>
        <w:tc>
          <w:tcPr>
            <w:tcW w:w="164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3"/>
        </w:trPr>
        <w:tc>
          <w:tcPr>
            <w:tcW w:w="6960" w:type="dxa"/>
            <w:vAlign w:val="bottom"/>
            <w:tcBorders>
              <w:bottom w:val="single" w:sz="8" w:color="auto"/>
            </w:tcBorders>
            <w:gridSpan w:val="3"/>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6960" w:type="dxa"/>
            <w:vAlign w:val="bottom"/>
            <w:tcBorders>
              <w:bottom w:val="single" w:sz="8" w:color="auto"/>
            </w:tcBorders>
            <w:gridSpan w:val="3"/>
          </w:tcPr>
          <w:p>
            <w:pPr>
              <w:ind w:left="60"/>
              <w:spacing w:after="0" w:line="215" w:lineRule="exact"/>
              <w:rPr>
                <w:sz w:val="20"/>
                <w:szCs w:val="20"/>
                <w:color w:val="auto"/>
              </w:rPr>
            </w:pPr>
            <w:r>
              <w:rPr>
                <w:rFonts w:ascii="Calibri" w:cs="Calibri" w:eastAsia="Calibri" w:hAnsi="Calibri"/>
                <w:sz w:val="18"/>
                <w:szCs w:val="18"/>
                <w:b w:val="1"/>
                <w:bCs w:val="1"/>
                <w:color w:val="auto"/>
              </w:rPr>
              <w:t>Outstanding as at March 31, 2022</w:t>
            </w:r>
          </w:p>
        </w:tc>
        <w:tc>
          <w:tcPr>
            <w:tcW w:w="1900" w:type="dxa"/>
            <w:vAlign w:val="bottom"/>
            <w:tcBorders>
              <w:bottom w:val="single" w:sz="8" w:color="auto"/>
            </w:tcBorders>
          </w:tcPr>
          <w:p>
            <w:pPr>
              <w:jc w:val="right"/>
              <w:ind w:right="210"/>
              <w:spacing w:after="0" w:line="215" w:lineRule="exact"/>
              <w:rPr>
                <w:sz w:val="20"/>
                <w:szCs w:val="20"/>
                <w:color w:val="auto"/>
              </w:rPr>
            </w:pPr>
            <w:r>
              <w:rPr>
                <w:rFonts w:ascii="Calibri" w:cs="Calibri" w:eastAsia="Calibri" w:hAnsi="Calibri"/>
                <w:sz w:val="18"/>
                <w:szCs w:val="18"/>
                <w:b w:val="1"/>
                <w:bCs w:val="1"/>
                <w:color w:val="auto"/>
              </w:rPr>
              <w:t>868,740</w:t>
            </w:r>
          </w:p>
        </w:tc>
        <w:tc>
          <w:tcPr>
            <w:tcW w:w="16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2.25</w:t>
            </w:r>
          </w:p>
        </w:tc>
      </w:tr>
      <w:tr>
        <w:trPr>
          <w:trHeight w:val="223"/>
        </w:trPr>
        <w:tc>
          <w:tcPr>
            <w:tcW w:w="6960" w:type="dxa"/>
            <w:vAlign w:val="bottom"/>
            <w:tcBorders>
              <w:bottom w:val="single" w:sz="8" w:color="auto"/>
            </w:tcBorders>
            <w:gridSpan w:val="3"/>
          </w:tcPr>
          <w:p>
            <w:pPr>
              <w:ind w:left="60"/>
              <w:spacing w:after="0" w:line="215" w:lineRule="exact"/>
              <w:rPr>
                <w:sz w:val="20"/>
                <w:szCs w:val="20"/>
                <w:color w:val="auto"/>
              </w:rPr>
            </w:pPr>
            <w:r>
              <w:rPr>
                <w:rFonts w:ascii="Calibri" w:cs="Calibri" w:eastAsia="Calibri" w:hAnsi="Calibri"/>
                <w:sz w:val="18"/>
                <w:szCs w:val="18"/>
                <w:b w:val="1"/>
                <w:bCs w:val="1"/>
                <w:color w:val="auto"/>
              </w:rPr>
              <w:t>Exercisable as at March 31, 2022</w:t>
            </w:r>
          </w:p>
        </w:tc>
        <w:tc>
          <w:tcPr>
            <w:tcW w:w="1900" w:type="dxa"/>
            <w:vAlign w:val="bottom"/>
            <w:tcBorders>
              <w:bottom w:val="single" w:sz="8" w:color="auto"/>
            </w:tcBorders>
          </w:tcPr>
          <w:p>
            <w:pPr>
              <w:jc w:val="right"/>
              <w:ind w:right="210"/>
              <w:spacing w:after="0" w:line="215" w:lineRule="exact"/>
              <w:rPr>
                <w:sz w:val="20"/>
                <w:szCs w:val="20"/>
                <w:color w:val="auto"/>
              </w:rPr>
            </w:pPr>
            <w:r>
              <w:rPr>
                <w:rFonts w:ascii="Calibri" w:cs="Calibri" w:eastAsia="Calibri" w:hAnsi="Calibri"/>
                <w:sz w:val="18"/>
                <w:szCs w:val="18"/>
                <w:b w:val="1"/>
                <w:bCs w:val="1"/>
                <w:color w:val="auto"/>
              </w:rPr>
              <w:t>868,740</w:t>
            </w:r>
          </w:p>
        </w:tc>
        <w:tc>
          <w:tcPr>
            <w:tcW w:w="16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2.25</w:t>
            </w:r>
          </w:p>
        </w:tc>
      </w:tr>
    </w:tbl>
    <w:p>
      <w:pPr>
        <w:spacing w:after="0" w:line="76" w:lineRule="exact"/>
        <w:rPr>
          <w:sz w:val="20"/>
          <w:szCs w:val="20"/>
          <w:color w:val="auto"/>
        </w:rPr>
      </w:pPr>
    </w:p>
    <w:p>
      <w:pPr>
        <w:ind w:left="260" w:hanging="8"/>
        <w:spacing w:after="0" w:line="203" w:lineRule="auto"/>
        <w:tabs>
          <w:tab w:leader="none" w:pos="421" w:val="left"/>
        </w:tabs>
        <w:numPr>
          <w:ilvl w:val="0"/>
          <w:numId w:val="15"/>
        </w:numPr>
        <w:rPr>
          <w:rFonts w:ascii="Calibri" w:cs="Calibri" w:eastAsia="Calibri" w:hAnsi="Calibri"/>
          <w:sz w:val="21"/>
          <w:szCs w:val="21"/>
          <w:i w:val="1"/>
          <w:iCs w:val="1"/>
          <w:color w:val="auto"/>
          <w:vertAlign w:val="superscript"/>
        </w:rPr>
      </w:pPr>
      <w:r>
        <w:rPr>
          <w:rFonts w:ascii="Calibri" w:cs="Calibri" w:eastAsia="Calibri" w:hAnsi="Calibri"/>
          <w:sz w:val="16"/>
          <w:szCs w:val="16"/>
          <w:i w:val="1"/>
          <w:iCs w:val="1"/>
          <w:color w:val="auto"/>
        </w:rPr>
        <w:t>Each unit consisted of one Common Share and one half of one Common Share purchase warrant, with each Common Share purchase warrant being exercisable to acquire one Common Share at an exercise price of $3.25 per Common Share.</w:t>
      </w:r>
    </w:p>
    <w:p>
      <w:pPr>
        <w:spacing w:after="0" w:line="23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During the year ended March 31, 2022, 3,231,261 Common Share purchase warrants (March 31, 2021 - 815,047) were exercised by various holders for aggregate proceeds to the Company of $2,928 (March 31, 2021 - $407).</w:t>
      </w:r>
    </w:p>
    <w:p>
      <w:pPr>
        <w:spacing w:after="0" w:line="15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During the year ended March 31, 2021, the Company completed the following warrant issuances:</w:t>
      </w:r>
    </w:p>
    <w:p>
      <w:pPr>
        <w:spacing w:after="0" w:line="244" w:lineRule="exact"/>
        <w:rPr>
          <w:sz w:val="20"/>
          <w:szCs w:val="20"/>
          <w:color w:val="auto"/>
        </w:rPr>
      </w:pPr>
    </w:p>
    <w:p>
      <w:pPr>
        <w:jc w:val="both"/>
        <w:ind w:left="260"/>
        <w:spacing w:after="0" w:line="230" w:lineRule="auto"/>
        <w:rPr>
          <w:sz w:val="20"/>
          <w:szCs w:val="20"/>
          <w:color w:val="auto"/>
        </w:rPr>
      </w:pPr>
      <w:r>
        <w:rPr>
          <w:rFonts w:ascii="Calibri" w:cs="Calibri" w:eastAsia="Calibri" w:hAnsi="Calibri"/>
          <w:sz w:val="18"/>
          <w:szCs w:val="18"/>
          <w:color w:val="auto"/>
        </w:rPr>
        <w:t>On June 15, 2020, the Company issued 14,725,000 warrants to directors, ofcers and advisors for services provided and to be provided. Each warrant enttles the holder to acquire one Common Share for $0.25 for a period of 60 months from the date of issuance. The vestng period for these warrants are as following:</w:t>
      </w:r>
    </w:p>
    <w:p>
      <w:pPr>
        <w:spacing w:after="0" w:line="214" w:lineRule="exact"/>
        <w:rPr>
          <w:sz w:val="20"/>
          <w:szCs w:val="20"/>
          <w:color w:val="auto"/>
        </w:rPr>
      </w:pPr>
    </w:p>
    <w:p>
      <w:pPr>
        <w:ind w:left="1220" w:hanging="406"/>
        <w:spacing w:after="0"/>
        <w:tabs>
          <w:tab w:leader="none" w:pos="1220" w:val="left"/>
        </w:tabs>
        <w:numPr>
          <w:ilvl w:val="1"/>
          <w:numId w:val="16"/>
        </w:numPr>
        <w:rPr>
          <w:rFonts w:ascii="Calibri" w:cs="Calibri" w:eastAsia="Calibri" w:hAnsi="Calibri"/>
          <w:sz w:val="18"/>
          <w:szCs w:val="18"/>
          <w:color w:val="auto"/>
        </w:rPr>
      </w:pPr>
      <w:r>
        <w:rPr>
          <w:rFonts w:ascii="Calibri" w:cs="Calibri" w:eastAsia="Calibri" w:hAnsi="Calibri"/>
          <w:sz w:val="18"/>
          <w:szCs w:val="18"/>
          <w:color w:val="auto"/>
        </w:rPr>
        <w:t>12,875,000 warrants vested on the date of issuance.</w:t>
      </w:r>
    </w:p>
    <w:p>
      <w:pPr>
        <w:ind w:left="1220" w:hanging="448"/>
        <w:spacing w:after="0" w:line="221" w:lineRule="auto"/>
        <w:tabs>
          <w:tab w:leader="none" w:pos="1220" w:val="left"/>
        </w:tabs>
        <w:numPr>
          <w:ilvl w:val="1"/>
          <w:numId w:val="16"/>
        </w:numPr>
        <w:rPr>
          <w:rFonts w:ascii="Calibri" w:cs="Calibri" w:eastAsia="Calibri" w:hAnsi="Calibri"/>
          <w:sz w:val="18"/>
          <w:szCs w:val="18"/>
          <w:color w:val="auto"/>
        </w:rPr>
      </w:pPr>
      <w:r>
        <w:rPr>
          <w:rFonts w:ascii="Calibri" w:cs="Calibri" w:eastAsia="Calibri" w:hAnsi="Calibri"/>
          <w:sz w:val="18"/>
          <w:szCs w:val="18"/>
          <w:color w:val="auto"/>
        </w:rPr>
        <w:t>700,000 warrants vested quarterly over 24 months from the date of issuance.</w:t>
      </w:r>
    </w:p>
    <w:p>
      <w:pPr>
        <w:ind w:left="1220" w:hanging="489"/>
        <w:spacing w:after="0" w:line="221" w:lineRule="auto"/>
        <w:tabs>
          <w:tab w:leader="none" w:pos="1220" w:val="left"/>
        </w:tabs>
        <w:numPr>
          <w:ilvl w:val="1"/>
          <w:numId w:val="16"/>
        </w:numPr>
        <w:rPr>
          <w:rFonts w:ascii="Calibri" w:cs="Calibri" w:eastAsia="Calibri" w:hAnsi="Calibri"/>
          <w:sz w:val="18"/>
          <w:szCs w:val="18"/>
          <w:color w:val="auto"/>
        </w:rPr>
      </w:pPr>
      <w:r>
        <w:rPr>
          <w:rFonts w:ascii="Calibri" w:cs="Calibri" w:eastAsia="Calibri" w:hAnsi="Calibri"/>
          <w:sz w:val="18"/>
          <w:szCs w:val="18"/>
          <w:color w:val="auto"/>
        </w:rPr>
        <w:t>300,000 warrants vested monthly over 18 months from the date of issuance.</w:t>
      </w:r>
    </w:p>
    <w:p>
      <w:pPr>
        <w:ind w:left="1200" w:hanging="468"/>
        <w:spacing w:after="0" w:line="221" w:lineRule="auto"/>
        <w:tabs>
          <w:tab w:leader="none" w:pos="120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150,000 warrants vested upon Cybin Corp. completng a public ofering.</w:t>
      </w:r>
    </w:p>
    <w:p>
      <w:pPr>
        <w:ind w:left="1200" w:hanging="426"/>
        <w:spacing w:after="0" w:line="221" w:lineRule="auto"/>
        <w:tabs>
          <w:tab w:leader="none" w:pos="120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700,000 warrants vested upon Cybin Corp. reaching certain performance milestones.</w:t>
      </w:r>
    </w:p>
    <w:p>
      <w:pPr>
        <w:sectPr>
          <w:pgSz w:w="11900" w:h="16838" w:orient="portrait"/>
          <w:cols w:equalWidth="0" w:num="1">
            <w:col w:w="11160"/>
          </w:cols>
          <w:pgMar w:left="400" w:top="1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60"/>
        <w:spacing w:after="0"/>
        <w:rPr>
          <w:sz w:val="20"/>
          <w:szCs w:val="20"/>
          <w:color w:val="auto"/>
        </w:rPr>
      </w:pPr>
      <w:r>
        <w:rPr>
          <w:rFonts w:ascii="Calibri" w:cs="Calibri" w:eastAsia="Calibri" w:hAnsi="Calibri"/>
          <w:sz w:val="17"/>
          <w:szCs w:val="17"/>
          <w:b w:val="1"/>
          <w:bCs w:val="1"/>
          <w:color w:val="auto"/>
        </w:rPr>
        <w:t>Page 34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75565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2" w:right="33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22"/>
          <w:szCs w:val="22"/>
          <w:b w:val="1"/>
          <w:bCs w:val="1"/>
          <w:color w:val="auto"/>
        </w:rPr>
        <w:t>CYBIN INC.</w:t>
      </w:r>
    </w:p>
    <w:p>
      <w:pPr>
        <w:spacing w:after="0" w:line="231"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6"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60" w:right="20"/>
        <w:spacing w:after="0" w:line="227" w:lineRule="auto"/>
        <w:rPr>
          <w:sz w:val="20"/>
          <w:szCs w:val="20"/>
          <w:color w:val="auto"/>
        </w:rPr>
      </w:pPr>
      <w:r>
        <w:rPr>
          <w:rFonts w:ascii="Calibri" w:cs="Calibri" w:eastAsia="Calibri" w:hAnsi="Calibri"/>
          <w:sz w:val="18"/>
          <w:szCs w:val="18"/>
          <w:color w:val="auto"/>
        </w:rPr>
        <w:t>The Company estmated the aggregate fair value of these warrants using the Black-Scholes opton pricing model to be $2,668 with the following assumptons:</w:t>
      </w:r>
    </w:p>
    <w:p>
      <w:pPr>
        <w:spacing w:after="0" w:line="200" w:lineRule="exact"/>
        <w:rPr>
          <w:sz w:val="20"/>
          <w:szCs w:val="20"/>
          <w:color w:val="auto"/>
        </w:rPr>
      </w:pPr>
    </w:p>
    <w:p>
      <w:pPr>
        <w:spacing w:after="0" w:line="325"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7080" w:type="dxa"/>
            <w:vAlign w:val="bottom"/>
          </w:tcPr>
          <w:p>
            <w:pPr>
              <w:ind w:left="20"/>
              <w:spacing w:after="0"/>
              <w:rPr>
                <w:sz w:val="20"/>
                <w:szCs w:val="20"/>
                <w:color w:val="auto"/>
              </w:rPr>
            </w:pPr>
            <w:r>
              <w:rPr>
                <w:rFonts w:ascii="Calibri" w:cs="Calibri" w:eastAsia="Calibri" w:hAnsi="Calibri"/>
                <w:sz w:val="18"/>
                <w:szCs w:val="18"/>
                <w:color w:val="auto"/>
              </w:rPr>
              <w:t>Risk-free interest rate</w:t>
            </w:r>
          </w:p>
        </w:tc>
        <w:tc>
          <w:tcPr>
            <w:tcW w:w="3380" w:type="dxa"/>
            <w:vAlign w:val="bottom"/>
          </w:tcPr>
          <w:p>
            <w:pPr>
              <w:jc w:val="right"/>
              <w:spacing w:after="0"/>
              <w:rPr>
                <w:sz w:val="20"/>
                <w:szCs w:val="20"/>
                <w:color w:val="auto"/>
              </w:rPr>
            </w:pPr>
            <w:r>
              <w:rPr>
                <w:rFonts w:ascii="Calibri" w:cs="Calibri" w:eastAsia="Calibri" w:hAnsi="Calibri"/>
                <w:sz w:val="18"/>
                <w:szCs w:val="18"/>
                <w:color w:val="auto"/>
              </w:rPr>
              <w:t>1.82%</w:t>
            </w:r>
          </w:p>
        </w:tc>
      </w:tr>
      <w:tr>
        <w:trPr>
          <w:trHeight w:val="257"/>
        </w:trPr>
        <w:tc>
          <w:tcPr>
            <w:tcW w:w="7080" w:type="dxa"/>
            <w:vAlign w:val="bottom"/>
          </w:tcPr>
          <w:p>
            <w:pPr>
              <w:ind w:left="20"/>
              <w:spacing w:after="0"/>
              <w:rPr>
                <w:sz w:val="20"/>
                <w:szCs w:val="20"/>
                <w:color w:val="auto"/>
              </w:rPr>
            </w:pPr>
            <w:r>
              <w:rPr>
                <w:rFonts w:ascii="Calibri" w:cs="Calibri" w:eastAsia="Calibri" w:hAnsi="Calibri"/>
                <w:sz w:val="18"/>
                <w:szCs w:val="18"/>
                <w:color w:val="auto"/>
              </w:rPr>
              <w:t>Expected annual volatlity, based on comparable companies</w:t>
            </w:r>
          </w:p>
        </w:tc>
        <w:tc>
          <w:tcPr>
            <w:tcW w:w="3380" w:type="dxa"/>
            <w:vAlign w:val="bottom"/>
          </w:tcPr>
          <w:p>
            <w:pPr>
              <w:jc w:val="right"/>
              <w:spacing w:after="0"/>
              <w:rPr>
                <w:sz w:val="20"/>
                <w:szCs w:val="20"/>
                <w:color w:val="auto"/>
              </w:rPr>
            </w:pPr>
            <w:r>
              <w:rPr>
                <w:rFonts w:ascii="Calibri" w:cs="Calibri" w:eastAsia="Calibri" w:hAnsi="Calibri"/>
                <w:sz w:val="18"/>
                <w:szCs w:val="18"/>
                <w:color w:val="auto"/>
              </w:rPr>
              <w:t>95.00%</w:t>
            </w:r>
          </w:p>
        </w:tc>
      </w:tr>
      <w:tr>
        <w:trPr>
          <w:trHeight w:val="256"/>
        </w:trPr>
        <w:tc>
          <w:tcPr>
            <w:tcW w:w="7080" w:type="dxa"/>
            <w:vAlign w:val="bottom"/>
          </w:tcPr>
          <w:p>
            <w:pPr>
              <w:ind w:left="20"/>
              <w:spacing w:after="0"/>
              <w:rPr>
                <w:sz w:val="20"/>
                <w:szCs w:val="20"/>
                <w:color w:val="auto"/>
              </w:rPr>
            </w:pPr>
            <w:r>
              <w:rPr>
                <w:rFonts w:ascii="Calibri" w:cs="Calibri" w:eastAsia="Calibri" w:hAnsi="Calibri"/>
                <w:sz w:val="18"/>
                <w:szCs w:val="18"/>
                <w:color w:val="auto"/>
              </w:rPr>
              <w:t>Expected life (in years)</w:t>
            </w:r>
          </w:p>
        </w:tc>
        <w:tc>
          <w:tcPr>
            <w:tcW w:w="338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257"/>
        </w:trPr>
        <w:tc>
          <w:tcPr>
            <w:tcW w:w="7080" w:type="dxa"/>
            <w:vAlign w:val="bottom"/>
          </w:tcPr>
          <w:p>
            <w:pPr>
              <w:ind w:left="20"/>
              <w:spacing w:after="0"/>
              <w:rPr>
                <w:sz w:val="20"/>
                <w:szCs w:val="20"/>
                <w:color w:val="auto"/>
              </w:rPr>
            </w:pPr>
            <w:r>
              <w:rPr>
                <w:rFonts w:ascii="Calibri" w:cs="Calibri" w:eastAsia="Calibri" w:hAnsi="Calibri"/>
                <w:sz w:val="18"/>
                <w:szCs w:val="18"/>
                <w:color w:val="auto"/>
              </w:rPr>
              <w:t>Expected dividend yield</w:t>
            </w:r>
          </w:p>
        </w:tc>
        <w:tc>
          <w:tcPr>
            <w:tcW w:w="33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57"/>
        </w:trPr>
        <w:tc>
          <w:tcPr>
            <w:tcW w:w="7080" w:type="dxa"/>
            <w:vAlign w:val="bottom"/>
          </w:tcPr>
          <w:p>
            <w:pPr>
              <w:ind w:left="20"/>
              <w:spacing w:after="0"/>
              <w:rPr>
                <w:sz w:val="20"/>
                <w:szCs w:val="20"/>
                <w:color w:val="auto"/>
              </w:rPr>
            </w:pPr>
            <w:r>
              <w:rPr>
                <w:rFonts w:ascii="Calibri" w:cs="Calibri" w:eastAsia="Calibri" w:hAnsi="Calibri"/>
                <w:sz w:val="18"/>
                <w:szCs w:val="18"/>
                <w:color w:val="auto"/>
              </w:rPr>
              <w:t>Share price</w:t>
            </w:r>
          </w:p>
        </w:tc>
        <w:tc>
          <w:tcPr>
            <w:tcW w:w="3380" w:type="dxa"/>
            <w:vAlign w:val="bottom"/>
          </w:tcPr>
          <w:p>
            <w:pPr>
              <w:jc w:val="right"/>
              <w:spacing w:after="0"/>
              <w:rPr>
                <w:sz w:val="20"/>
                <w:szCs w:val="20"/>
                <w:color w:val="auto"/>
              </w:rPr>
            </w:pPr>
            <w:r>
              <w:rPr>
                <w:rFonts w:ascii="Calibri" w:cs="Calibri" w:eastAsia="Calibri" w:hAnsi="Calibri"/>
                <w:sz w:val="18"/>
                <w:szCs w:val="18"/>
                <w:color w:val="auto"/>
              </w:rPr>
              <w:t>$ 0.25</w:t>
            </w:r>
          </w:p>
        </w:tc>
      </w:tr>
      <w:tr>
        <w:trPr>
          <w:trHeight w:val="257"/>
        </w:trPr>
        <w:tc>
          <w:tcPr>
            <w:tcW w:w="7080" w:type="dxa"/>
            <w:vAlign w:val="bottom"/>
          </w:tcPr>
          <w:p>
            <w:pPr>
              <w:ind w:left="20"/>
              <w:spacing w:after="0"/>
              <w:rPr>
                <w:sz w:val="20"/>
                <w:szCs w:val="20"/>
                <w:color w:val="auto"/>
              </w:rPr>
            </w:pPr>
            <w:r>
              <w:rPr>
                <w:rFonts w:ascii="Calibri" w:cs="Calibri" w:eastAsia="Calibri" w:hAnsi="Calibri"/>
                <w:sz w:val="18"/>
                <w:szCs w:val="18"/>
                <w:color w:val="auto"/>
              </w:rPr>
              <w:t>Exercise price</w:t>
            </w:r>
          </w:p>
        </w:tc>
        <w:tc>
          <w:tcPr>
            <w:tcW w:w="3380" w:type="dxa"/>
            <w:vAlign w:val="bottom"/>
          </w:tcPr>
          <w:p>
            <w:pPr>
              <w:jc w:val="right"/>
              <w:spacing w:after="0"/>
              <w:rPr>
                <w:sz w:val="20"/>
                <w:szCs w:val="20"/>
                <w:color w:val="auto"/>
              </w:rPr>
            </w:pPr>
            <w:r>
              <w:rPr>
                <w:rFonts w:ascii="Calibri" w:cs="Calibri" w:eastAsia="Calibri" w:hAnsi="Calibri"/>
                <w:sz w:val="18"/>
                <w:szCs w:val="18"/>
                <w:color w:val="auto"/>
              </w:rPr>
              <w:t>$ 0.25</w:t>
            </w:r>
          </w:p>
        </w:tc>
      </w:tr>
      <w:tr>
        <w:trPr>
          <w:trHeight w:val="50"/>
        </w:trPr>
        <w:tc>
          <w:tcPr>
            <w:tcW w:w="708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345" w:lineRule="exact"/>
        <w:rPr>
          <w:sz w:val="20"/>
          <w:szCs w:val="20"/>
          <w:color w:val="auto"/>
        </w:rPr>
      </w:pPr>
    </w:p>
    <w:p>
      <w:pPr>
        <w:ind w:left="260"/>
        <w:spacing w:after="0"/>
        <w:rPr>
          <w:sz w:val="20"/>
          <w:szCs w:val="20"/>
          <w:color w:val="auto"/>
        </w:rPr>
      </w:pPr>
      <w:r>
        <w:rPr>
          <w:rFonts w:ascii="Calibri" w:cs="Calibri" w:eastAsia="Calibri" w:hAnsi="Calibri"/>
          <w:sz w:val="17"/>
          <w:szCs w:val="17"/>
          <w:color w:val="auto"/>
        </w:rPr>
        <w:t>On August 20, 2020, the Company issued 2,000,125 warrants to directors and advisors of the Company. Each warrant enttles the holder to acquire one</w:t>
      </w:r>
    </w:p>
    <w:p>
      <w:pPr>
        <w:spacing w:after="0" w:line="4"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Common Share for $0.64 for a period of 60 months from the date of issuance. The vestng period for these warrants are as following:</w:t>
      </w:r>
    </w:p>
    <w:p>
      <w:pPr>
        <w:spacing w:after="0" w:line="226" w:lineRule="exact"/>
        <w:rPr>
          <w:sz w:val="20"/>
          <w:szCs w:val="20"/>
          <w:color w:val="auto"/>
        </w:rPr>
      </w:pPr>
    </w:p>
    <w:p>
      <w:pPr>
        <w:ind w:left="1220" w:hanging="320"/>
        <w:spacing w:after="0"/>
        <w:tabs>
          <w:tab w:leader="none" w:pos="122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600,125 warrants vested on the date of issuance.</w:t>
      </w:r>
    </w:p>
    <w:p>
      <w:pPr>
        <w:ind w:left="1220" w:hanging="320"/>
        <w:spacing w:after="0" w:line="221" w:lineRule="auto"/>
        <w:tabs>
          <w:tab w:leader="none" w:pos="122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1,400,000 warrants vest quarterly over 24 months from the date of issuance.</w:t>
      </w:r>
    </w:p>
    <w:p>
      <w:pPr>
        <w:spacing w:after="0" w:line="244"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On September 14, 2020, the Company issued 56,250 warrants to advisors of Cybin Corp. Each warrant enttles the holder to acquire one Common Share for $0.64 for a period of 60 months from the date of issuance, vestng immediately.</w:t>
      </w:r>
    </w:p>
    <w:p>
      <w:pPr>
        <w:spacing w:after="0" w:line="232"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The Company estmated the aggregate fair value of the warrants issued on August 20, 2020 and September 14, 2020 using the Black-Scholes opton pricing model to be $948 with the following assumptons:</w:t>
      </w:r>
    </w:p>
    <w:p>
      <w:pPr>
        <w:spacing w:after="0" w:line="267"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7080" w:type="dxa"/>
            <w:vAlign w:val="bottom"/>
          </w:tcPr>
          <w:p>
            <w:pPr>
              <w:ind w:left="20"/>
              <w:spacing w:after="0"/>
              <w:rPr>
                <w:sz w:val="20"/>
                <w:szCs w:val="20"/>
                <w:color w:val="auto"/>
              </w:rPr>
            </w:pPr>
            <w:r>
              <w:rPr>
                <w:rFonts w:ascii="Calibri" w:cs="Calibri" w:eastAsia="Calibri" w:hAnsi="Calibri"/>
                <w:sz w:val="18"/>
                <w:szCs w:val="18"/>
                <w:color w:val="auto"/>
              </w:rPr>
              <w:t>Risk-free interest rate</w:t>
            </w:r>
          </w:p>
        </w:tc>
        <w:tc>
          <w:tcPr>
            <w:tcW w:w="3360" w:type="dxa"/>
            <w:vAlign w:val="bottom"/>
          </w:tcPr>
          <w:p>
            <w:pPr>
              <w:jc w:val="right"/>
              <w:spacing w:after="0"/>
              <w:rPr>
                <w:sz w:val="20"/>
                <w:szCs w:val="20"/>
                <w:color w:val="auto"/>
              </w:rPr>
            </w:pPr>
            <w:r>
              <w:rPr>
                <w:rFonts w:ascii="Calibri" w:cs="Calibri" w:eastAsia="Calibri" w:hAnsi="Calibri"/>
                <w:sz w:val="18"/>
                <w:szCs w:val="18"/>
                <w:color w:val="auto"/>
              </w:rPr>
              <w:t>1.21%</w:t>
            </w:r>
          </w:p>
        </w:tc>
      </w:tr>
      <w:tr>
        <w:trPr>
          <w:trHeight w:val="257"/>
        </w:trPr>
        <w:tc>
          <w:tcPr>
            <w:tcW w:w="7080" w:type="dxa"/>
            <w:vAlign w:val="bottom"/>
          </w:tcPr>
          <w:p>
            <w:pPr>
              <w:ind w:left="20"/>
              <w:spacing w:after="0"/>
              <w:rPr>
                <w:sz w:val="20"/>
                <w:szCs w:val="20"/>
                <w:color w:val="auto"/>
              </w:rPr>
            </w:pPr>
            <w:r>
              <w:rPr>
                <w:rFonts w:ascii="Calibri" w:cs="Calibri" w:eastAsia="Calibri" w:hAnsi="Calibri"/>
                <w:sz w:val="18"/>
                <w:szCs w:val="18"/>
                <w:color w:val="auto"/>
              </w:rPr>
              <w:t>Expected annual volatlity, based on comparable companies</w:t>
            </w:r>
          </w:p>
        </w:tc>
        <w:tc>
          <w:tcPr>
            <w:tcW w:w="3360" w:type="dxa"/>
            <w:vAlign w:val="bottom"/>
          </w:tcPr>
          <w:p>
            <w:pPr>
              <w:jc w:val="right"/>
              <w:spacing w:after="0"/>
              <w:rPr>
                <w:sz w:val="20"/>
                <w:szCs w:val="20"/>
                <w:color w:val="auto"/>
              </w:rPr>
            </w:pPr>
            <w:r>
              <w:rPr>
                <w:rFonts w:ascii="Calibri" w:cs="Calibri" w:eastAsia="Calibri" w:hAnsi="Calibri"/>
                <w:sz w:val="18"/>
                <w:szCs w:val="18"/>
                <w:color w:val="auto"/>
              </w:rPr>
              <w:t>95.00%</w:t>
            </w:r>
          </w:p>
        </w:tc>
      </w:tr>
      <w:tr>
        <w:trPr>
          <w:trHeight w:val="256"/>
        </w:trPr>
        <w:tc>
          <w:tcPr>
            <w:tcW w:w="7080" w:type="dxa"/>
            <w:vAlign w:val="bottom"/>
          </w:tcPr>
          <w:p>
            <w:pPr>
              <w:ind w:left="20"/>
              <w:spacing w:after="0"/>
              <w:rPr>
                <w:sz w:val="20"/>
                <w:szCs w:val="20"/>
                <w:color w:val="auto"/>
              </w:rPr>
            </w:pPr>
            <w:r>
              <w:rPr>
                <w:rFonts w:ascii="Calibri" w:cs="Calibri" w:eastAsia="Calibri" w:hAnsi="Calibri"/>
                <w:sz w:val="18"/>
                <w:szCs w:val="18"/>
                <w:color w:val="auto"/>
              </w:rPr>
              <w:t>Expected life (in years)</w:t>
            </w:r>
          </w:p>
        </w:tc>
        <w:tc>
          <w:tcPr>
            <w:tcW w:w="336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257"/>
        </w:trPr>
        <w:tc>
          <w:tcPr>
            <w:tcW w:w="7080" w:type="dxa"/>
            <w:vAlign w:val="bottom"/>
          </w:tcPr>
          <w:p>
            <w:pPr>
              <w:ind w:left="20"/>
              <w:spacing w:after="0"/>
              <w:rPr>
                <w:sz w:val="20"/>
                <w:szCs w:val="20"/>
                <w:color w:val="auto"/>
              </w:rPr>
            </w:pPr>
            <w:r>
              <w:rPr>
                <w:rFonts w:ascii="Calibri" w:cs="Calibri" w:eastAsia="Calibri" w:hAnsi="Calibri"/>
                <w:sz w:val="18"/>
                <w:szCs w:val="18"/>
                <w:color w:val="auto"/>
              </w:rPr>
              <w:t>Expected dividend yield</w:t>
            </w:r>
          </w:p>
        </w:tc>
        <w:tc>
          <w:tcPr>
            <w:tcW w:w="336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56"/>
        </w:trPr>
        <w:tc>
          <w:tcPr>
            <w:tcW w:w="7080" w:type="dxa"/>
            <w:vAlign w:val="bottom"/>
          </w:tcPr>
          <w:p>
            <w:pPr>
              <w:ind w:left="20"/>
              <w:spacing w:after="0"/>
              <w:rPr>
                <w:sz w:val="20"/>
                <w:szCs w:val="20"/>
                <w:color w:val="auto"/>
              </w:rPr>
            </w:pPr>
            <w:r>
              <w:rPr>
                <w:rFonts w:ascii="Calibri" w:cs="Calibri" w:eastAsia="Calibri" w:hAnsi="Calibri"/>
                <w:sz w:val="18"/>
                <w:szCs w:val="18"/>
                <w:color w:val="auto"/>
              </w:rPr>
              <w:t>Share price</w:t>
            </w:r>
          </w:p>
        </w:tc>
        <w:tc>
          <w:tcPr>
            <w:tcW w:w="3360" w:type="dxa"/>
            <w:vAlign w:val="bottom"/>
          </w:tcPr>
          <w:p>
            <w:pPr>
              <w:jc w:val="right"/>
              <w:spacing w:after="0"/>
              <w:rPr>
                <w:sz w:val="20"/>
                <w:szCs w:val="20"/>
                <w:color w:val="auto"/>
              </w:rPr>
            </w:pPr>
            <w:r>
              <w:rPr>
                <w:rFonts w:ascii="Calibri" w:cs="Calibri" w:eastAsia="Calibri" w:hAnsi="Calibri"/>
                <w:sz w:val="18"/>
                <w:szCs w:val="18"/>
                <w:color w:val="auto"/>
              </w:rPr>
              <w:t>$ 0.64</w:t>
            </w:r>
          </w:p>
        </w:tc>
      </w:tr>
      <w:tr>
        <w:trPr>
          <w:trHeight w:val="257"/>
        </w:trPr>
        <w:tc>
          <w:tcPr>
            <w:tcW w:w="7080" w:type="dxa"/>
            <w:vAlign w:val="bottom"/>
          </w:tcPr>
          <w:p>
            <w:pPr>
              <w:ind w:left="20"/>
              <w:spacing w:after="0"/>
              <w:rPr>
                <w:sz w:val="20"/>
                <w:szCs w:val="20"/>
                <w:color w:val="auto"/>
              </w:rPr>
            </w:pPr>
            <w:r>
              <w:rPr>
                <w:rFonts w:ascii="Calibri" w:cs="Calibri" w:eastAsia="Calibri" w:hAnsi="Calibri"/>
                <w:sz w:val="18"/>
                <w:szCs w:val="18"/>
                <w:color w:val="auto"/>
              </w:rPr>
              <w:t>Exercise price</w:t>
            </w:r>
          </w:p>
        </w:tc>
        <w:tc>
          <w:tcPr>
            <w:tcW w:w="3360" w:type="dxa"/>
            <w:vAlign w:val="bottom"/>
          </w:tcPr>
          <w:p>
            <w:pPr>
              <w:jc w:val="right"/>
              <w:spacing w:after="0"/>
              <w:rPr>
                <w:sz w:val="20"/>
                <w:szCs w:val="20"/>
                <w:color w:val="auto"/>
              </w:rPr>
            </w:pPr>
            <w:r>
              <w:rPr>
                <w:rFonts w:ascii="Calibri" w:cs="Calibri" w:eastAsia="Calibri" w:hAnsi="Calibri"/>
                <w:sz w:val="18"/>
                <w:szCs w:val="18"/>
                <w:color w:val="auto"/>
              </w:rPr>
              <w:t>$ 0.64</w:t>
            </w:r>
          </w:p>
        </w:tc>
      </w:tr>
      <w:tr>
        <w:trPr>
          <w:trHeight w:val="50"/>
        </w:trPr>
        <w:tc>
          <w:tcPr>
            <w:tcW w:w="70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r>
    </w:tbl>
    <w:p>
      <w:pPr>
        <w:spacing w:after="0" w:line="315" w:lineRule="exact"/>
        <w:rPr>
          <w:sz w:val="20"/>
          <w:szCs w:val="20"/>
          <w:color w:val="auto"/>
        </w:rPr>
      </w:pPr>
    </w:p>
    <w:p>
      <w:pPr>
        <w:jc w:val="both"/>
        <w:ind w:left="260"/>
        <w:spacing w:after="0" w:line="225" w:lineRule="auto"/>
        <w:rPr>
          <w:sz w:val="20"/>
          <w:szCs w:val="20"/>
          <w:color w:val="auto"/>
        </w:rPr>
      </w:pPr>
      <w:r>
        <w:rPr>
          <w:rFonts w:ascii="Calibri" w:cs="Calibri" w:eastAsia="Calibri" w:hAnsi="Calibri"/>
          <w:sz w:val="18"/>
          <w:szCs w:val="18"/>
          <w:color w:val="auto"/>
        </w:rPr>
        <w:t>On October 19, 2020, the Company issued 127,600 Broker Warrants to brokers and 16,000 warrants to advisors. On November 3, 2020, the Company issued 2,590,000 warrants to other fnders on the same terms as the Broker Warrants. Each warrant enttles the holder to acquire one Common Share for $0.75 for a period of 24 months from the date of issuance, vestng immediately.</w:t>
      </w:r>
    </w:p>
    <w:p>
      <w:pPr>
        <w:spacing w:after="0" w:line="246"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The Company estmated the aggregate fair value of the warrants issued on October 19, 2020 using the Black-Scholes opton pricing model to be $49 with the following assumptons: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35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71120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2" w:right="339" w:bottom="1440" w:gutter="0" w:footer="0" w:header="0"/>
        </w:sectPr>
      </w:pPr>
    </w:p>
    <w:bookmarkStart w:id="38" w:name="page39"/>
    <w:bookmarkEnd w:id="38"/>
    <w:p>
      <w:pPr>
        <w:spacing w:after="0"/>
        <w:rPr>
          <w:sz w:val="20"/>
          <w:szCs w:val="20"/>
          <w:color w:val="auto"/>
        </w:rPr>
      </w:pPr>
      <w:r>
        <w:rPr>
          <w:rFonts w:ascii="Calibri" w:cs="Calibri" w:eastAsia="Calibri" w:hAnsi="Calibri"/>
          <w:sz w:val="22"/>
          <w:szCs w:val="22"/>
          <w:b w:val="1"/>
          <w:bCs w:val="1"/>
          <w:color w:val="auto"/>
        </w:rPr>
        <w:t>CYBIN INC.</w:t>
      </w:r>
    </w:p>
    <w:p>
      <w:pPr>
        <w:spacing w:after="0" w:line="231"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6"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7060" w:type="dxa"/>
            <w:vAlign w:val="bottom"/>
          </w:tcPr>
          <w:p>
            <w:pPr>
              <w:ind w:left="20"/>
              <w:spacing w:after="0"/>
              <w:rPr>
                <w:sz w:val="20"/>
                <w:szCs w:val="20"/>
                <w:color w:val="auto"/>
              </w:rPr>
            </w:pPr>
            <w:r>
              <w:rPr>
                <w:rFonts w:ascii="Calibri" w:cs="Calibri" w:eastAsia="Calibri" w:hAnsi="Calibri"/>
                <w:sz w:val="18"/>
                <w:szCs w:val="18"/>
                <w:color w:val="auto"/>
              </w:rPr>
              <w:t>Risk-free interest rate</w:t>
            </w:r>
          </w:p>
        </w:tc>
        <w:tc>
          <w:tcPr>
            <w:tcW w:w="3280" w:type="dxa"/>
            <w:vAlign w:val="bottom"/>
          </w:tcPr>
          <w:p>
            <w:pPr>
              <w:jc w:val="right"/>
              <w:spacing w:after="0"/>
              <w:rPr>
                <w:sz w:val="20"/>
                <w:szCs w:val="20"/>
                <w:color w:val="auto"/>
              </w:rPr>
            </w:pPr>
            <w:r>
              <w:rPr>
                <w:rFonts w:ascii="Calibri" w:cs="Calibri" w:eastAsia="Calibri" w:hAnsi="Calibri"/>
                <w:sz w:val="18"/>
                <w:szCs w:val="18"/>
                <w:color w:val="auto"/>
              </w:rPr>
              <w:t>0.36%</w:t>
            </w:r>
          </w:p>
        </w:tc>
      </w:tr>
      <w:tr>
        <w:trPr>
          <w:trHeight w:val="257"/>
        </w:trPr>
        <w:tc>
          <w:tcPr>
            <w:tcW w:w="7060" w:type="dxa"/>
            <w:vAlign w:val="bottom"/>
          </w:tcPr>
          <w:p>
            <w:pPr>
              <w:ind w:left="20"/>
              <w:spacing w:after="0"/>
              <w:rPr>
                <w:sz w:val="20"/>
                <w:szCs w:val="20"/>
                <w:color w:val="auto"/>
              </w:rPr>
            </w:pPr>
            <w:r>
              <w:rPr>
                <w:rFonts w:ascii="Calibri" w:cs="Calibri" w:eastAsia="Calibri" w:hAnsi="Calibri"/>
                <w:sz w:val="18"/>
                <w:szCs w:val="18"/>
                <w:color w:val="auto"/>
              </w:rPr>
              <w:t>Expected annual volatlity, based on comparable companies</w:t>
            </w:r>
          </w:p>
        </w:tc>
        <w:tc>
          <w:tcPr>
            <w:tcW w:w="3280" w:type="dxa"/>
            <w:vAlign w:val="bottom"/>
          </w:tcPr>
          <w:p>
            <w:pPr>
              <w:jc w:val="right"/>
              <w:spacing w:after="0"/>
              <w:rPr>
                <w:sz w:val="20"/>
                <w:szCs w:val="20"/>
                <w:color w:val="auto"/>
              </w:rPr>
            </w:pPr>
            <w:r>
              <w:rPr>
                <w:rFonts w:ascii="Calibri" w:cs="Calibri" w:eastAsia="Calibri" w:hAnsi="Calibri"/>
                <w:sz w:val="18"/>
                <w:szCs w:val="18"/>
                <w:color w:val="auto"/>
              </w:rPr>
              <w:t>85%</w:t>
            </w:r>
          </w:p>
        </w:tc>
      </w:tr>
      <w:tr>
        <w:trPr>
          <w:trHeight w:val="257"/>
        </w:trPr>
        <w:tc>
          <w:tcPr>
            <w:tcW w:w="7060" w:type="dxa"/>
            <w:vAlign w:val="bottom"/>
          </w:tcPr>
          <w:p>
            <w:pPr>
              <w:ind w:left="20"/>
              <w:spacing w:after="0"/>
              <w:rPr>
                <w:sz w:val="20"/>
                <w:szCs w:val="20"/>
                <w:color w:val="auto"/>
              </w:rPr>
            </w:pPr>
            <w:r>
              <w:rPr>
                <w:rFonts w:ascii="Calibri" w:cs="Calibri" w:eastAsia="Calibri" w:hAnsi="Calibri"/>
                <w:sz w:val="18"/>
                <w:szCs w:val="18"/>
                <w:color w:val="auto"/>
              </w:rPr>
              <w:t>Expected life (in years)</w:t>
            </w:r>
          </w:p>
        </w:tc>
        <w:tc>
          <w:tcPr>
            <w:tcW w:w="328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56"/>
        </w:trPr>
        <w:tc>
          <w:tcPr>
            <w:tcW w:w="7060" w:type="dxa"/>
            <w:vAlign w:val="bottom"/>
          </w:tcPr>
          <w:p>
            <w:pPr>
              <w:ind w:left="20"/>
              <w:spacing w:after="0"/>
              <w:rPr>
                <w:sz w:val="20"/>
                <w:szCs w:val="20"/>
                <w:color w:val="auto"/>
              </w:rPr>
            </w:pPr>
            <w:r>
              <w:rPr>
                <w:rFonts w:ascii="Calibri" w:cs="Calibri" w:eastAsia="Calibri" w:hAnsi="Calibri"/>
                <w:sz w:val="18"/>
                <w:szCs w:val="18"/>
                <w:color w:val="auto"/>
              </w:rPr>
              <w:t>Expected dividend yield</w:t>
            </w:r>
          </w:p>
        </w:tc>
        <w:tc>
          <w:tcPr>
            <w:tcW w:w="32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57"/>
        </w:trPr>
        <w:tc>
          <w:tcPr>
            <w:tcW w:w="7060" w:type="dxa"/>
            <w:vAlign w:val="bottom"/>
          </w:tcPr>
          <w:p>
            <w:pPr>
              <w:ind w:left="20"/>
              <w:spacing w:after="0"/>
              <w:rPr>
                <w:sz w:val="20"/>
                <w:szCs w:val="20"/>
                <w:color w:val="auto"/>
              </w:rPr>
            </w:pPr>
            <w:r>
              <w:rPr>
                <w:rFonts w:ascii="Calibri" w:cs="Calibri" w:eastAsia="Calibri" w:hAnsi="Calibri"/>
                <w:sz w:val="18"/>
                <w:szCs w:val="18"/>
                <w:color w:val="auto"/>
              </w:rPr>
              <w:t>Share price</w:t>
            </w:r>
          </w:p>
        </w:tc>
        <w:tc>
          <w:tcPr>
            <w:tcW w:w="3280" w:type="dxa"/>
            <w:vAlign w:val="bottom"/>
          </w:tcPr>
          <w:p>
            <w:pPr>
              <w:jc w:val="right"/>
              <w:spacing w:after="0"/>
              <w:rPr>
                <w:sz w:val="20"/>
                <w:szCs w:val="20"/>
                <w:color w:val="auto"/>
              </w:rPr>
            </w:pPr>
            <w:r>
              <w:rPr>
                <w:rFonts w:ascii="Calibri" w:cs="Calibri" w:eastAsia="Calibri" w:hAnsi="Calibri"/>
                <w:sz w:val="18"/>
                <w:szCs w:val="18"/>
                <w:color w:val="auto"/>
              </w:rPr>
              <w:t>$ 0.75</w:t>
            </w:r>
          </w:p>
        </w:tc>
      </w:tr>
      <w:tr>
        <w:trPr>
          <w:trHeight w:val="257"/>
        </w:trPr>
        <w:tc>
          <w:tcPr>
            <w:tcW w:w="7060" w:type="dxa"/>
            <w:vAlign w:val="bottom"/>
          </w:tcPr>
          <w:p>
            <w:pPr>
              <w:ind w:left="20"/>
              <w:spacing w:after="0"/>
              <w:rPr>
                <w:sz w:val="20"/>
                <w:szCs w:val="20"/>
                <w:color w:val="auto"/>
              </w:rPr>
            </w:pPr>
            <w:r>
              <w:rPr>
                <w:rFonts w:ascii="Calibri" w:cs="Calibri" w:eastAsia="Calibri" w:hAnsi="Calibri"/>
                <w:sz w:val="18"/>
                <w:szCs w:val="18"/>
                <w:color w:val="auto"/>
              </w:rPr>
              <w:t>Exercise price</w:t>
            </w:r>
          </w:p>
        </w:tc>
        <w:tc>
          <w:tcPr>
            <w:tcW w:w="3280" w:type="dxa"/>
            <w:vAlign w:val="bottom"/>
          </w:tcPr>
          <w:p>
            <w:pPr>
              <w:jc w:val="right"/>
              <w:spacing w:after="0"/>
              <w:rPr>
                <w:sz w:val="20"/>
                <w:szCs w:val="20"/>
                <w:color w:val="auto"/>
              </w:rPr>
            </w:pPr>
            <w:r>
              <w:rPr>
                <w:rFonts w:ascii="Calibri" w:cs="Calibri" w:eastAsia="Calibri" w:hAnsi="Calibri"/>
                <w:sz w:val="18"/>
                <w:szCs w:val="18"/>
                <w:color w:val="auto"/>
              </w:rPr>
              <w:t>$ 0.75</w:t>
            </w:r>
          </w:p>
        </w:tc>
      </w:tr>
      <w:tr>
        <w:trPr>
          <w:trHeight w:val="50"/>
        </w:trPr>
        <w:tc>
          <w:tcPr>
            <w:tcW w:w="706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r>
    </w:tbl>
    <w:p>
      <w:pPr>
        <w:spacing w:after="0" w:line="315"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The Company estmated the aggregate fair value of the warrants issued on November 3, 2020 using the Black-Scholes opton pricing model to be $1,388 with the following assumptons:</w:t>
      </w:r>
    </w:p>
    <w:p>
      <w:pPr>
        <w:spacing w:after="0" w:line="268"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7040" w:type="dxa"/>
            <w:vAlign w:val="bottom"/>
          </w:tcPr>
          <w:p>
            <w:pPr>
              <w:ind w:left="20"/>
              <w:spacing w:after="0"/>
              <w:rPr>
                <w:sz w:val="20"/>
                <w:szCs w:val="20"/>
                <w:color w:val="auto"/>
              </w:rPr>
            </w:pPr>
            <w:r>
              <w:rPr>
                <w:rFonts w:ascii="Calibri" w:cs="Calibri" w:eastAsia="Calibri" w:hAnsi="Calibri"/>
                <w:sz w:val="18"/>
                <w:szCs w:val="18"/>
                <w:color w:val="auto"/>
              </w:rPr>
              <w:t>Risk-free interest rate</w:t>
            </w:r>
          </w:p>
        </w:tc>
        <w:tc>
          <w:tcPr>
            <w:tcW w:w="3340" w:type="dxa"/>
            <w:vAlign w:val="bottom"/>
          </w:tcPr>
          <w:p>
            <w:pPr>
              <w:jc w:val="right"/>
              <w:spacing w:after="0"/>
              <w:rPr>
                <w:sz w:val="20"/>
                <w:szCs w:val="20"/>
                <w:color w:val="auto"/>
              </w:rPr>
            </w:pPr>
            <w:r>
              <w:rPr>
                <w:rFonts w:ascii="Calibri" w:cs="Calibri" w:eastAsia="Calibri" w:hAnsi="Calibri"/>
                <w:sz w:val="18"/>
                <w:szCs w:val="18"/>
                <w:color w:val="auto"/>
              </w:rPr>
              <w:t>0.38%</w:t>
            </w:r>
          </w:p>
        </w:tc>
      </w:tr>
      <w:tr>
        <w:trPr>
          <w:trHeight w:val="257"/>
        </w:trPr>
        <w:tc>
          <w:tcPr>
            <w:tcW w:w="7040" w:type="dxa"/>
            <w:vAlign w:val="bottom"/>
          </w:tcPr>
          <w:p>
            <w:pPr>
              <w:ind w:left="20"/>
              <w:spacing w:after="0"/>
              <w:rPr>
                <w:sz w:val="20"/>
                <w:szCs w:val="20"/>
                <w:color w:val="auto"/>
              </w:rPr>
            </w:pPr>
            <w:r>
              <w:rPr>
                <w:rFonts w:ascii="Calibri" w:cs="Calibri" w:eastAsia="Calibri" w:hAnsi="Calibri"/>
                <w:sz w:val="18"/>
                <w:szCs w:val="18"/>
                <w:color w:val="auto"/>
              </w:rPr>
              <w:t>Expected annual volatlity, based on comparable companies</w:t>
            </w:r>
          </w:p>
        </w:tc>
        <w:tc>
          <w:tcPr>
            <w:tcW w:w="3340" w:type="dxa"/>
            <w:vAlign w:val="bottom"/>
          </w:tcPr>
          <w:p>
            <w:pPr>
              <w:jc w:val="right"/>
              <w:spacing w:after="0"/>
              <w:rPr>
                <w:sz w:val="20"/>
                <w:szCs w:val="20"/>
                <w:color w:val="auto"/>
              </w:rPr>
            </w:pPr>
            <w:r>
              <w:rPr>
                <w:rFonts w:ascii="Calibri" w:cs="Calibri" w:eastAsia="Calibri" w:hAnsi="Calibri"/>
                <w:sz w:val="18"/>
                <w:szCs w:val="18"/>
                <w:color w:val="auto"/>
              </w:rPr>
              <w:t>95.00%</w:t>
            </w:r>
          </w:p>
        </w:tc>
      </w:tr>
      <w:tr>
        <w:trPr>
          <w:trHeight w:val="256"/>
        </w:trPr>
        <w:tc>
          <w:tcPr>
            <w:tcW w:w="7040" w:type="dxa"/>
            <w:vAlign w:val="bottom"/>
          </w:tcPr>
          <w:p>
            <w:pPr>
              <w:ind w:left="20"/>
              <w:spacing w:after="0"/>
              <w:rPr>
                <w:sz w:val="20"/>
                <w:szCs w:val="20"/>
                <w:color w:val="auto"/>
              </w:rPr>
            </w:pPr>
            <w:r>
              <w:rPr>
                <w:rFonts w:ascii="Calibri" w:cs="Calibri" w:eastAsia="Calibri" w:hAnsi="Calibri"/>
                <w:sz w:val="18"/>
                <w:szCs w:val="18"/>
                <w:color w:val="auto"/>
              </w:rPr>
              <w:t>Expected life (in years)</w:t>
            </w:r>
          </w:p>
        </w:tc>
        <w:tc>
          <w:tcPr>
            <w:tcW w:w="334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257"/>
        </w:trPr>
        <w:tc>
          <w:tcPr>
            <w:tcW w:w="7040" w:type="dxa"/>
            <w:vAlign w:val="bottom"/>
          </w:tcPr>
          <w:p>
            <w:pPr>
              <w:ind w:left="20"/>
              <w:spacing w:after="0"/>
              <w:rPr>
                <w:sz w:val="20"/>
                <w:szCs w:val="20"/>
                <w:color w:val="auto"/>
              </w:rPr>
            </w:pPr>
            <w:r>
              <w:rPr>
                <w:rFonts w:ascii="Calibri" w:cs="Calibri" w:eastAsia="Calibri" w:hAnsi="Calibri"/>
                <w:sz w:val="18"/>
                <w:szCs w:val="18"/>
                <w:color w:val="auto"/>
              </w:rPr>
              <w:t>Expected dividend yield</w:t>
            </w:r>
          </w:p>
        </w:tc>
        <w:tc>
          <w:tcPr>
            <w:tcW w:w="334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57"/>
        </w:trPr>
        <w:tc>
          <w:tcPr>
            <w:tcW w:w="7040" w:type="dxa"/>
            <w:vAlign w:val="bottom"/>
          </w:tcPr>
          <w:p>
            <w:pPr>
              <w:ind w:left="20"/>
              <w:spacing w:after="0"/>
              <w:rPr>
                <w:sz w:val="20"/>
                <w:szCs w:val="20"/>
                <w:color w:val="auto"/>
              </w:rPr>
            </w:pPr>
            <w:r>
              <w:rPr>
                <w:rFonts w:ascii="Calibri" w:cs="Calibri" w:eastAsia="Calibri" w:hAnsi="Calibri"/>
                <w:sz w:val="18"/>
                <w:szCs w:val="18"/>
                <w:color w:val="auto"/>
              </w:rPr>
              <w:t>Share price</w:t>
            </w:r>
          </w:p>
        </w:tc>
        <w:tc>
          <w:tcPr>
            <w:tcW w:w="3340" w:type="dxa"/>
            <w:vAlign w:val="bottom"/>
          </w:tcPr>
          <w:p>
            <w:pPr>
              <w:jc w:val="right"/>
              <w:spacing w:after="0"/>
              <w:rPr>
                <w:sz w:val="20"/>
                <w:szCs w:val="20"/>
                <w:color w:val="auto"/>
              </w:rPr>
            </w:pPr>
            <w:r>
              <w:rPr>
                <w:rFonts w:ascii="Calibri" w:cs="Calibri" w:eastAsia="Calibri" w:hAnsi="Calibri"/>
                <w:sz w:val="18"/>
                <w:szCs w:val="18"/>
                <w:color w:val="auto"/>
              </w:rPr>
              <w:t>$ 0.75</w:t>
            </w:r>
          </w:p>
        </w:tc>
      </w:tr>
      <w:tr>
        <w:trPr>
          <w:trHeight w:val="256"/>
        </w:trPr>
        <w:tc>
          <w:tcPr>
            <w:tcW w:w="7040" w:type="dxa"/>
            <w:vAlign w:val="bottom"/>
          </w:tcPr>
          <w:p>
            <w:pPr>
              <w:ind w:left="20"/>
              <w:spacing w:after="0"/>
              <w:rPr>
                <w:sz w:val="20"/>
                <w:szCs w:val="20"/>
                <w:color w:val="auto"/>
              </w:rPr>
            </w:pPr>
            <w:r>
              <w:rPr>
                <w:rFonts w:ascii="Calibri" w:cs="Calibri" w:eastAsia="Calibri" w:hAnsi="Calibri"/>
                <w:sz w:val="18"/>
                <w:szCs w:val="18"/>
                <w:color w:val="auto"/>
              </w:rPr>
              <w:t>Exercise price</w:t>
            </w:r>
          </w:p>
        </w:tc>
        <w:tc>
          <w:tcPr>
            <w:tcW w:w="3340" w:type="dxa"/>
            <w:vAlign w:val="bottom"/>
          </w:tcPr>
          <w:p>
            <w:pPr>
              <w:jc w:val="right"/>
              <w:spacing w:after="0"/>
              <w:rPr>
                <w:sz w:val="20"/>
                <w:szCs w:val="20"/>
                <w:color w:val="auto"/>
              </w:rPr>
            </w:pPr>
            <w:r>
              <w:rPr>
                <w:rFonts w:ascii="Calibri" w:cs="Calibri" w:eastAsia="Calibri" w:hAnsi="Calibri"/>
                <w:sz w:val="18"/>
                <w:szCs w:val="18"/>
                <w:color w:val="auto"/>
              </w:rPr>
              <w:t>$ 0.75</w:t>
            </w:r>
          </w:p>
        </w:tc>
      </w:tr>
      <w:tr>
        <w:trPr>
          <w:trHeight w:val="50"/>
        </w:trPr>
        <w:tc>
          <w:tcPr>
            <w:tcW w:w="704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bl>
    <w:p>
      <w:pPr>
        <w:spacing w:after="0" w:line="315" w:lineRule="exact"/>
        <w:rPr>
          <w:sz w:val="20"/>
          <w:szCs w:val="20"/>
          <w:color w:val="auto"/>
        </w:rPr>
      </w:pPr>
    </w:p>
    <w:p>
      <w:pPr>
        <w:jc w:val="both"/>
        <w:ind w:left="260"/>
        <w:spacing w:after="0" w:line="228" w:lineRule="auto"/>
        <w:rPr>
          <w:sz w:val="20"/>
          <w:szCs w:val="20"/>
          <w:color w:val="auto"/>
        </w:rPr>
      </w:pPr>
      <w:r>
        <w:rPr>
          <w:rFonts w:ascii="Calibri" w:cs="Calibri" w:eastAsia="Calibri" w:hAnsi="Calibri"/>
          <w:sz w:val="18"/>
          <w:szCs w:val="18"/>
          <w:color w:val="auto"/>
        </w:rPr>
        <w:t>On November 4, 2020, the Company amended the warrant agreement of one of its directors. Previously the vestng terms were: 300,000 warrants to vest over 18 months; 150,000 to vest on the completon of a merger, public ofering, or sale of all or substantally all assets or shares of the Company or other change of control transacton; and 400,000 were based on milestone achievements of the Company The vestng requirements were revised to: 83,330 warrants vest in equal monthly tranches of 16,666 warrants on the frst day of each month for 5 months following the date of issuance; and 766,670 warrants vest on completon of an amalgamaton, merger, public ofering, or sale of all or substantally all assets or shares of the Company or other change of control transacton. The warrants have an exercise price of $0.25 per share expiring on June 15, 2025.</w:t>
      </w:r>
    </w:p>
    <w:p>
      <w:pPr>
        <w:spacing w:after="0" w:line="233" w:lineRule="exact"/>
        <w:rPr>
          <w:sz w:val="20"/>
          <w:szCs w:val="20"/>
          <w:color w:val="auto"/>
        </w:rPr>
      </w:pPr>
    </w:p>
    <w:p>
      <w:pPr>
        <w:jc w:val="both"/>
        <w:ind w:left="260"/>
        <w:spacing w:after="0" w:line="230" w:lineRule="auto"/>
        <w:rPr>
          <w:sz w:val="20"/>
          <w:szCs w:val="20"/>
          <w:color w:val="auto"/>
        </w:rPr>
      </w:pPr>
      <w:r>
        <w:rPr>
          <w:rFonts w:ascii="Calibri" w:cs="Calibri" w:eastAsia="Calibri" w:hAnsi="Calibri"/>
          <w:sz w:val="18"/>
          <w:szCs w:val="18"/>
          <w:color w:val="auto"/>
        </w:rPr>
        <w:t>On November 27, 2020, the vestng criteria for 2,000,000 share purchase warrants issued on June 15, 2020 and exchanged for warrants of the Company in connecton with the Reverse Takeover were in renegotatons. The warrants now vest quarterly over a 24-month period commencing November 27, 2020.</w:t>
      </w:r>
    </w:p>
    <w:p>
      <w:pPr>
        <w:spacing w:after="0" w:line="232" w:lineRule="exact"/>
        <w:rPr>
          <w:sz w:val="20"/>
          <w:szCs w:val="20"/>
          <w:color w:val="auto"/>
        </w:rPr>
      </w:pPr>
    </w:p>
    <w:p>
      <w:pPr>
        <w:jc w:val="both"/>
        <w:ind w:left="260"/>
        <w:spacing w:after="0" w:line="228" w:lineRule="auto"/>
        <w:rPr>
          <w:sz w:val="20"/>
          <w:szCs w:val="20"/>
          <w:color w:val="auto"/>
        </w:rPr>
      </w:pPr>
      <w:r>
        <w:rPr>
          <w:rFonts w:ascii="Calibri" w:cs="Calibri" w:eastAsia="Calibri" w:hAnsi="Calibri"/>
          <w:sz w:val="18"/>
          <w:szCs w:val="18"/>
          <w:color w:val="auto"/>
        </w:rPr>
        <w:t>On February 4, 2021, the Company issued 7,623,000 2021 Warrants in connecton with the February 2021 Ofering (see “Issued share capital”). Each 2021 Warrant enttles the holder thereof to acquire one Common Share at an exercise price of $3.25 per Common Share expiring on February 4, 2024. In the event that the volume weighted average trading price of the Common Shares for ten consecutve trading days exceeds $5.00, the Company shall have the right to accelerate the expiry date of the 2021 Warrants upon not less than thirty trading days’ notce. In consideraton for the services of the underwriters, the Company issued 868,740 Underwriters’ Warrants. Each Underwriters’ Warrant is exercisable to acquire one Unit at the Issue Price, and expires on February 4, 2024.</w:t>
      </w:r>
    </w:p>
    <w:p>
      <w:pPr>
        <w:spacing w:after="0" w:line="233"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The Company estmated the aggregate fair value of the 2021 Warrants issued on February 4, 2021 using the Black-Scholes opton pricing model to be $5,899 with the following assumptons: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36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2" w:right="339" w:bottom="1440" w:gutter="0" w:footer="0" w:header="0"/>
        </w:sectPr>
      </w:pPr>
    </w:p>
    <w:bookmarkStart w:id="39" w:name="page40"/>
    <w:bookmarkEnd w:id="39"/>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9"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7220" w:type="dxa"/>
            <w:vAlign w:val="bottom"/>
          </w:tcPr>
          <w:p>
            <w:pPr>
              <w:ind w:left="20"/>
              <w:spacing w:after="0"/>
              <w:rPr>
                <w:sz w:val="20"/>
                <w:szCs w:val="20"/>
                <w:color w:val="auto"/>
              </w:rPr>
            </w:pPr>
            <w:r>
              <w:rPr>
                <w:rFonts w:ascii="Calibri" w:cs="Calibri" w:eastAsia="Calibri" w:hAnsi="Calibri"/>
                <w:sz w:val="18"/>
                <w:szCs w:val="18"/>
                <w:color w:val="auto"/>
              </w:rPr>
              <w:t>Risk-free interest rate</w:t>
            </w:r>
          </w:p>
        </w:tc>
        <w:tc>
          <w:tcPr>
            <w:tcW w:w="3420" w:type="dxa"/>
            <w:vAlign w:val="bottom"/>
          </w:tcPr>
          <w:p>
            <w:pPr>
              <w:jc w:val="right"/>
              <w:spacing w:after="0"/>
              <w:rPr>
                <w:sz w:val="20"/>
                <w:szCs w:val="20"/>
                <w:color w:val="auto"/>
              </w:rPr>
            </w:pPr>
            <w:r>
              <w:rPr>
                <w:rFonts w:ascii="Calibri" w:cs="Calibri" w:eastAsia="Calibri" w:hAnsi="Calibri"/>
                <w:sz w:val="18"/>
                <w:szCs w:val="18"/>
                <w:color w:val="auto"/>
              </w:rPr>
              <w:t>0.32%</w:t>
            </w:r>
          </w:p>
        </w:tc>
      </w:tr>
      <w:tr>
        <w:trPr>
          <w:trHeight w:val="257"/>
        </w:trPr>
        <w:tc>
          <w:tcPr>
            <w:tcW w:w="7220" w:type="dxa"/>
            <w:vAlign w:val="bottom"/>
          </w:tcPr>
          <w:p>
            <w:pPr>
              <w:ind w:left="20"/>
              <w:spacing w:after="0"/>
              <w:rPr>
                <w:sz w:val="20"/>
                <w:szCs w:val="20"/>
                <w:color w:val="auto"/>
              </w:rPr>
            </w:pPr>
            <w:r>
              <w:rPr>
                <w:rFonts w:ascii="Calibri" w:cs="Calibri" w:eastAsia="Calibri" w:hAnsi="Calibri"/>
                <w:sz w:val="18"/>
                <w:szCs w:val="18"/>
                <w:color w:val="auto"/>
              </w:rPr>
              <w:t>Expected annual volatlity, based on comparable companies</w:t>
            </w:r>
          </w:p>
        </w:tc>
        <w:tc>
          <w:tcPr>
            <w:tcW w:w="3420" w:type="dxa"/>
            <w:vAlign w:val="bottom"/>
          </w:tcPr>
          <w:p>
            <w:pPr>
              <w:jc w:val="right"/>
              <w:spacing w:after="0"/>
              <w:rPr>
                <w:sz w:val="20"/>
                <w:szCs w:val="20"/>
                <w:color w:val="auto"/>
              </w:rPr>
            </w:pPr>
            <w:r>
              <w:rPr>
                <w:rFonts w:ascii="Calibri" w:cs="Calibri" w:eastAsia="Calibri" w:hAnsi="Calibri"/>
                <w:sz w:val="18"/>
                <w:szCs w:val="18"/>
                <w:color w:val="auto"/>
              </w:rPr>
              <w:t>85%</w:t>
            </w:r>
          </w:p>
        </w:tc>
      </w:tr>
      <w:tr>
        <w:trPr>
          <w:trHeight w:val="257"/>
        </w:trPr>
        <w:tc>
          <w:tcPr>
            <w:tcW w:w="7220" w:type="dxa"/>
            <w:vAlign w:val="bottom"/>
          </w:tcPr>
          <w:p>
            <w:pPr>
              <w:ind w:left="20"/>
              <w:spacing w:after="0"/>
              <w:rPr>
                <w:sz w:val="20"/>
                <w:szCs w:val="20"/>
                <w:color w:val="auto"/>
              </w:rPr>
            </w:pPr>
            <w:r>
              <w:rPr>
                <w:rFonts w:ascii="Calibri" w:cs="Calibri" w:eastAsia="Calibri" w:hAnsi="Calibri"/>
                <w:sz w:val="18"/>
                <w:szCs w:val="18"/>
                <w:color w:val="auto"/>
              </w:rPr>
              <w:t>Expected life (in years)</w:t>
            </w:r>
          </w:p>
        </w:tc>
        <w:tc>
          <w:tcPr>
            <w:tcW w:w="3420" w:type="dxa"/>
            <w:vAlign w:val="bottom"/>
          </w:tcPr>
          <w:p>
            <w:pPr>
              <w:jc w:val="right"/>
              <w:spacing w:after="0"/>
              <w:rPr>
                <w:sz w:val="20"/>
                <w:szCs w:val="20"/>
                <w:color w:val="auto"/>
              </w:rPr>
            </w:pPr>
            <w:r>
              <w:rPr>
                <w:rFonts w:ascii="Calibri" w:cs="Calibri" w:eastAsia="Calibri" w:hAnsi="Calibri"/>
                <w:sz w:val="18"/>
                <w:szCs w:val="18"/>
                <w:color w:val="auto"/>
              </w:rPr>
              <w:t>3</w:t>
            </w:r>
          </w:p>
        </w:tc>
      </w:tr>
      <w:tr>
        <w:trPr>
          <w:trHeight w:val="256"/>
        </w:trPr>
        <w:tc>
          <w:tcPr>
            <w:tcW w:w="7220" w:type="dxa"/>
            <w:vAlign w:val="bottom"/>
          </w:tcPr>
          <w:p>
            <w:pPr>
              <w:ind w:left="20"/>
              <w:spacing w:after="0"/>
              <w:rPr>
                <w:sz w:val="20"/>
                <w:szCs w:val="20"/>
                <w:color w:val="auto"/>
              </w:rPr>
            </w:pPr>
            <w:r>
              <w:rPr>
                <w:rFonts w:ascii="Calibri" w:cs="Calibri" w:eastAsia="Calibri" w:hAnsi="Calibri"/>
                <w:sz w:val="18"/>
                <w:szCs w:val="18"/>
                <w:color w:val="auto"/>
              </w:rPr>
              <w:t>Expected dividend yield</w:t>
            </w:r>
          </w:p>
        </w:tc>
        <w:tc>
          <w:tcPr>
            <w:tcW w:w="342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57"/>
        </w:trPr>
        <w:tc>
          <w:tcPr>
            <w:tcW w:w="7220" w:type="dxa"/>
            <w:vAlign w:val="bottom"/>
          </w:tcPr>
          <w:p>
            <w:pPr>
              <w:ind w:left="20"/>
              <w:spacing w:after="0"/>
              <w:rPr>
                <w:sz w:val="20"/>
                <w:szCs w:val="20"/>
                <w:color w:val="auto"/>
              </w:rPr>
            </w:pPr>
            <w:r>
              <w:rPr>
                <w:rFonts w:ascii="Calibri" w:cs="Calibri" w:eastAsia="Calibri" w:hAnsi="Calibri"/>
                <w:sz w:val="18"/>
                <w:szCs w:val="18"/>
                <w:color w:val="auto"/>
              </w:rPr>
              <w:t>Share price</w:t>
            </w:r>
          </w:p>
        </w:tc>
        <w:tc>
          <w:tcPr>
            <w:tcW w:w="3420" w:type="dxa"/>
            <w:vAlign w:val="bottom"/>
          </w:tcPr>
          <w:p>
            <w:pPr>
              <w:jc w:val="right"/>
              <w:spacing w:after="0"/>
              <w:rPr>
                <w:sz w:val="20"/>
                <w:szCs w:val="20"/>
                <w:color w:val="auto"/>
              </w:rPr>
            </w:pPr>
            <w:r>
              <w:rPr>
                <w:rFonts w:ascii="Calibri" w:cs="Calibri" w:eastAsia="Calibri" w:hAnsi="Calibri"/>
                <w:sz w:val="18"/>
                <w:szCs w:val="18"/>
                <w:color w:val="auto"/>
              </w:rPr>
              <w:t>$ 2.12</w:t>
            </w:r>
          </w:p>
        </w:tc>
      </w:tr>
      <w:tr>
        <w:trPr>
          <w:trHeight w:val="257"/>
        </w:trPr>
        <w:tc>
          <w:tcPr>
            <w:tcW w:w="7220" w:type="dxa"/>
            <w:vAlign w:val="bottom"/>
          </w:tcPr>
          <w:p>
            <w:pPr>
              <w:ind w:left="20"/>
              <w:spacing w:after="0"/>
              <w:rPr>
                <w:sz w:val="20"/>
                <w:szCs w:val="20"/>
                <w:color w:val="auto"/>
              </w:rPr>
            </w:pPr>
            <w:r>
              <w:rPr>
                <w:rFonts w:ascii="Calibri" w:cs="Calibri" w:eastAsia="Calibri" w:hAnsi="Calibri"/>
                <w:sz w:val="18"/>
                <w:szCs w:val="18"/>
                <w:color w:val="auto"/>
              </w:rPr>
              <w:t>Exercise price</w:t>
            </w:r>
          </w:p>
        </w:tc>
        <w:tc>
          <w:tcPr>
            <w:tcW w:w="3420" w:type="dxa"/>
            <w:vAlign w:val="bottom"/>
          </w:tcPr>
          <w:p>
            <w:pPr>
              <w:jc w:val="right"/>
              <w:spacing w:after="0"/>
              <w:rPr>
                <w:sz w:val="20"/>
                <w:szCs w:val="20"/>
                <w:color w:val="auto"/>
              </w:rPr>
            </w:pPr>
            <w:r>
              <w:rPr>
                <w:rFonts w:ascii="Calibri" w:cs="Calibri" w:eastAsia="Calibri" w:hAnsi="Calibri"/>
                <w:sz w:val="18"/>
                <w:szCs w:val="18"/>
                <w:color w:val="auto"/>
              </w:rPr>
              <w:t>$ 3.25</w:t>
            </w:r>
          </w:p>
        </w:tc>
      </w:tr>
      <w:tr>
        <w:trPr>
          <w:trHeight w:val="50"/>
        </w:trPr>
        <w:tc>
          <w:tcPr>
            <w:tcW w:w="722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r>
    </w:tbl>
    <w:p>
      <w:pPr>
        <w:spacing w:after="0" w:line="315" w:lineRule="exact"/>
        <w:rPr>
          <w:sz w:val="20"/>
          <w:szCs w:val="20"/>
          <w:color w:val="auto"/>
        </w:rPr>
      </w:pPr>
    </w:p>
    <w:p>
      <w:pPr>
        <w:jc w:val="both"/>
        <w:ind w:left="260"/>
        <w:spacing w:after="0" w:line="227" w:lineRule="auto"/>
        <w:rPr>
          <w:sz w:val="20"/>
          <w:szCs w:val="20"/>
          <w:color w:val="auto"/>
        </w:rPr>
      </w:pPr>
      <w:r>
        <w:rPr>
          <w:rFonts w:ascii="Calibri" w:cs="Calibri" w:eastAsia="Calibri" w:hAnsi="Calibri"/>
          <w:sz w:val="18"/>
          <w:szCs w:val="18"/>
          <w:color w:val="auto"/>
        </w:rPr>
        <w:t>The Company estmated the aggregate fair value of the Underwriters’ Warrants issued on February 4, 2021 using the Black-Scholes opton pricing model to be $970 with the following assumptons:</w:t>
      </w:r>
    </w:p>
    <w:p>
      <w:pPr>
        <w:spacing w:after="0" w:line="268"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7180" w:type="dxa"/>
            <w:vAlign w:val="bottom"/>
          </w:tcPr>
          <w:p>
            <w:pPr>
              <w:ind w:left="20"/>
              <w:spacing w:after="0"/>
              <w:rPr>
                <w:sz w:val="20"/>
                <w:szCs w:val="20"/>
                <w:color w:val="auto"/>
              </w:rPr>
            </w:pPr>
            <w:r>
              <w:rPr>
                <w:rFonts w:ascii="Calibri" w:cs="Calibri" w:eastAsia="Calibri" w:hAnsi="Calibri"/>
                <w:sz w:val="18"/>
                <w:szCs w:val="18"/>
                <w:color w:val="auto"/>
              </w:rPr>
              <w:t>Risk-free interest rate</w:t>
            </w:r>
          </w:p>
        </w:tc>
        <w:tc>
          <w:tcPr>
            <w:tcW w:w="3400" w:type="dxa"/>
            <w:vAlign w:val="bottom"/>
          </w:tcPr>
          <w:p>
            <w:pPr>
              <w:jc w:val="right"/>
              <w:spacing w:after="0"/>
              <w:rPr>
                <w:sz w:val="20"/>
                <w:szCs w:val="20"/>
                <w:color w:val="auto"/>
              </w:rPr>
            </w:pPr>
            <w:r>
              <w:rPr>
                <w:rFonts w:ascii="Calibri" w:cs="Calibri" w:eastAsia="Calibri" w:hAnsi="Calibri"/>
                <w:sz w:val="18"/>
                <w:szCs w:val="18"/>
                <w:color w:val="auto"/>
              </w:rPr>
              <w:t>0.32%</w:t>
            </w:r>
          </w:p>
        </w:tc>
      </w:tr>
      <w:tr>
        <w:trPr>
          <w:trHeight w:val="257"/>
        </w:trPr>
        <w:tc>
          <w:tcPr>
            <w:tcW w:w="7180" w:type="dxa"/>
            <w:vAlign w:val="bottom"/>
          </w:tcPr>
          <w:p>
            <w:pPr>
              <w:ind w:left="20"/>
              <w:spacing w:after="0"/>
              <w:rPr>
                <w:sz w:val="20"/>
                <w:szCs w:val="20"/>
                <w:color w:val="auto"/>
              </w:rPr>
            </w:pPr>
            <w:r>
              <w:rPr>
                <w:rFonts w:ascii="Calibri" w:cs="Calibri" w:eastAsia="Calibri" w:hAnsi="Calibri"/>
                <w:sz w:val="18"/>
                <w:szCs w:val="18"/>
                <w:color w:val="auto"/>
              </w:rPr>
              <w:t>Expected annual volatlity, based on comparable companies</w:t>
            </w:r>
          </w:p>
        </w:tc>
        <w:tc>
          <w:tcPr>
            <w:tcW w:w="3400" w:type="dxa"/>
            <w:vAlign w:val="bottom"/>
          </w:tcPr>
          <w:p>
            <w:pPr>
              <w:jc w:val="right"/>
              <w:spacing w:after="0"/>
              <w:rPr>
                <w:sz w:val="20"/>
                <w:szCs w:val="20"/>
                <w:color w:val="auto"/>
              </w:rPr>
            </w:pPr>
            <w:r>
              <w:rPr>
                <w:rFonts w:ascii="Calibri" w:cs="Calibri" w:eastAsia="Calibri" w:hAnsi="Calibri"/>
                <w:sz w:val="18"/>
                <w:szCs w:val="18"/>
                <w:color w:val="auto"/>
              </w:rPr>
              <w:t>85%</w:t>
            </w:r>
          </w:p>
        </w:tc>
      </w:tr>
      <w:tr>
        <w:trPr>
          <w:trHeight w:val="256"/>
        </w:trPr>
        <w:tc>
          <w:tcPr>
            <w:tcW w:w="7180" w:type="dxa"/>
            <w:vAlign w:val="bottom"/>
          </w:tcPr>
          <w:p>
            <w:pPr>
              <w:ind w:left="20"/>
              <w:spacing w:after="0"/>
              <w:rPr>
                <w:sz w:val="20"/>
                <w:szCs w:val="20"/>
                <w:color w:val="auto"/>
              </w:rPr>
            </w:pPr>
            <w:r>
              <w:rPr>
                <w:rFonts w:ascii="Calibri" w:cs="Calibri" w:eastAsia="Calibri" w:hAnsi="Calibri"/>
                <w:sz w:val="18"/>
                <w:szCs w:val="18"/>
                <w:color w:val="auto"/>
              </w:rPr>
              <w:t>Expected life (in years)</w:t>
            </w:r>
          </w:p>
        </w:tc>
        <w:tc>
          <w:tcPr>
            <w:tcW w:w="3400" w:type="dxa"/>
            <w:vAlign w:val="bottom"/>
          </w:tcPr>
          <w:p>
            <w:pPr>
              <w:jc w:val="right"/>
              <w:spacing w:after="0"/>
              <w:rPr>
                <w:sz w:val="20"/>
                <w:szCs w:val="20"/>
                <w:color w:val="auto"/>
              </w:rPr>
            </w:pPr>
            <w:r>
              <w:rPr>
                <w:rFonts w:ascii="Calibri" w:cs="Calibri" w:eastAsia="Calibri" w:hAnsi="Calibri"/>
                <w:sz w:val="18"/>
                <w:szCs w:val="18"/>
                <w:color w:val="auto"/>
              </w:rPr>
              <w:t>3</w:t>
            </w:r>
          </w:p>
        </w:tc>
      </w:tr>
      <w:tr>
        <w:trPr>
          <w:trHeight w:val="257"/>
        </w:trPr>
        <w:tc>
          <w:tcPr>
            <w:tcW w:w="7180" w:type="dxa"/>
            <w:vAlign w:val="bottom"/>
          </w:tcPr>
          <w:p>
            <w:pPr>
              <w:ind w:left="20"/>
              <w:spacing w:after="0"/>
              <w:rPr>
                <w:sz w:val="20"/>
                <w:szCs w:val="20"/>
                <w:color w:val="auto"/>
              </w:rPr>
            </w:pPr>
            <w:r>
              <w:rPr>
                <w:rFonts w:ascii="Calibri" w:cs="Calibri" w:eastAsia="Calibri" w:hAnsi="Calibri"/>
                <w:sz w:val="18"/>
                <w:szCs w:val="18"/>
                <w:color w:val="auto"/>
              </w:rPr>
              <w:t>Expected dividend yield</w:t>
            </w:r>
          </w:p>
        </w:tc>
        <w:tc>
          <w:tcPr>
            <w:tcW w:w="340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57"/>
        </w:trPr>
        <w:tc>
          <w:tcPr>
            <w:tcW w:w="7180" w:type="dxa"/>
            <w:vAlign w:val="bottom"/>
          </w:tcPr>
          <w:p>
            <w:pPr>
              <w:ind w:left="20"/>
              <w:spacing w:after="0"/>
              <w:rPr>
                <w:sz w:val="20"/>
                <w:szCs w:val="20"/>
                <w:color w:val="auto"/>
              </w:rPr>
            </w:pPr>
            <w:r>
              <w:rPr>
                <w:rFonts w:ascii="Calibri" w:cs="Calibri" w:eastAsia="Calibri" w:hAnsi="Calibri"/>
                <w:sz w:val="18"/>
                <w:szCs w:val="18"/>
                <w:color w:val="auto"/>
              </w:rPr>
              <w:t>Share price</w:t>
            </w:r>
          </w:p>
        </w:tc>
        <w:tc>
          <w:tcPr>
            <w:tcW w:w="3400" w:type="dxa"/>
            <w:vAlign w:val="bottom"/>
          </w:tcPr>
          <w:p>
            <w:pPr>
              <w:jc w:val="right"/>
              <w:spacing w:after="0"/>
              <w:rPr>
                <w:sz w:val="20"/>
                <w:szCs w:val="20"/>
                <w:color w:val="auto"/>
              </w:rPr>
            </w:pPr>
            <w:r>
              <w:rPr>
                <w:rFonts w:ascii="Calibri" w:cs="Calibri" w:eastAsia="Calibri" w:hAnsi="Calibri"/>
                <w:sz w:val="18"/>
                <w:szCs w:val="18"/>
                <w:color w:val="auto"/>
              </w:rPr>
              <w:t>$ 2.12</w:t>
            </w:r>
          </w:p>
        </w:tc>
      </w:tr>
      <w:tr>
        <w:trPr>
          <w:trHeight w:val="256"/>
        </w:trPr>
        <w:tc>
          <w:tcPr>
            <w:tcW w:w="7180" w:type="dxa"/>
            <w:vAlign w:val="bottom"/>
          </w:tcPr>
          <w:p>
            <w:pPr>
              <w:ind w:left="20"/>
              <w:spacing w:after="0"/>
              <w:rPr>
                <w:sz w:val="20"/>
                <w:szCs w:val="20"/>
                <w:color w:val="auto"/>
              </w:rPr>
            </w:pPr>
            <w:r>
              <w:rPr>
                <w:rFonts w:ascii="Calibri" w:cs="Calibri" w:eastAsia="Calibri" w:hAnsi="Calibri"/>
                <w:sz w:val="18"/>
                <w:szCs w:val="18"/>
                <w:color w:val="auto"/>
              </w:rPr>
              <w:t>Exercise price</w:t>
            </w:r>
          </w:p>
        </w:tc>
        <w:tc>
          <w:tcPr>
            <w:tcW w:w="3400" w:type="dxa"/>
            <w:vAlign w:val="bottom"/>
          </w:tcPr>
          <w:p>
            <w:pPr>
              <w:jc w:val="right"/>
              <w:spacing w:after="0"/>
              <w:rPr>
                <w:sz w:val="20"/>
                <w:szCs w:val="20"/>
                <w:color w:val="auto"/>
              </w:rPr>
            </w:pPr>
            <w:r>
              <w:rPr>
                <w:rFonts w:ascii="Calibri" w:cs="Calibri" w:eastAsia="Calibri" w:hAnsi="Calibri"/>
                <w:sz w:val="18"/>
                <w:szCs w:val="18"/>
                <w:color w:val="auto"/>
              </w:rPr>
              <w:t>$ 2.25</w:t>
            </w:r>
          </w:p>
        </w:tc>
      </w:tr>
      <w:tr>
        <w:trPr>
          <w:trHeight w:val="50"/>
        </w:trPr>
        <w:tc>
          <w:tcPr>
            <w:tcW w:w="718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During the year ended March 31, 2022, the Company completed the following warrant issuances and modifcatons:</w:t>
      </w:r>
    </w:p>
    <w:p>
      <w:pPr>
        <w:spacing w:after="0" w:line="177"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In connecton with the August 2021 Ofering, the Company issued 658,860 compensaton Common Share purchase warrants, with each compensaton Common Share purchase warrant being exercisable to acquire one Common Share at a price of $3.40 for a period of 24 months. The Company estmated the aggregate fair value of the compensaton Common Share purchase warrants issued on August 3, 2021 using the Black-Scholes opton pricing model to be $1,299 with the following assumptons:</w:t>
      </w:r>
    </w:p>
    <w:p>
      <w:pPr>
        <w:spacing w:after="0" w:line="282"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7120" w:type="dxa"/>
            <w:vAlign w:val="bottom"/>
          </w:tcPr>
          <w:p>
            <w:pPr>
              <w:ind w:left="20"/>
              <w:spacing w:after="0"/>
              <w:rPr>
                <w:sz w:val="20"/>
                <w:szCs w:val="20"/>
                <w:color w:val="auto"/>
              </w:rPr>
            </w:pPr>
            <w:r>
              <w:rPr>
                <w:rFonts w:ascii="Calibri" w:cs="Calibri" w:eastAsia="Calibri" w:hAnsi="Calibri"/>
                <w:sz w:val="18"/>
                <w:szCs w:val="18"/>
                <w:color w:val="auto"/>
              </w:rPr>
              <w:t>Risk-free interest rate</w:t>
            </w:r>
          </w:p>
        </w:tc>
        <w:tc>
          <w:tcPr>
            <w:tcW w:w="3380" w:type="dxa"/>
            <w:vAlign w:val="bottom"/>
          </w:tcPr>
          <w:p>
            <w:pPr>
              <w:jc w:val="right"/>
              <w:spacing w:after="0"/>
              <w:rPr>
                <w:sz w:val="20"/>
                <w:szCs w:val="20"/>
                <w:color w:val="auto"/>
              </w:rPr>
            </w:pPr>
            <w:r>
              <w:rPr>
                <w:rFonts w:ascii="Calibri" w:cs="Calibri" w:eastAsia="Calibri" w:hAnsi="Calibri"/>
                <w:sz w:val="18"/>
                <w:szCs w:val="18"/>
                <w:color w:val="auto"/>
              </w:rPr>
              <w:t>0.42 %</w:t>
            </w:r>
          </w:p>
        </w:tc>
      </w:tr>
      <w:tr>
        <w:trPr>
          <w:trHeight w:val="257"/>
        </w:trPr>
        <w:tc>
          <w:tcPr>
            <w:tcW w:w="7120" w:type="dxa"/>
            <w:vAlign w:val="bottom"/>
          </w:tcPr>
          <w:p>
            <w:pPr>
              <w:ind w:left="20"/>
              <w:spacing w:after="0"/>
              <w:rPr>
                <w:sz w:val="20"/>
                <w:szCs w:val="20"/>
                <w:color w:val="auto"/>
              </w:rPr>
            </w:pPr>
            <w:r>
              <w:rPr>
                <w:rFonts w:ascii="Calibri" w:cs="Calibri" w:eastAsia="Calibri" w:hAnsi="Calibri"/>
                <w:sz w:val="18"/>
                <w:szCs w:val="18"/>
                <w:color w:val="auto"/>
              </w:rPr>
              <w:t>Expected annual volatlity, based on comparable companies</w:t>
            </w:r>
          </w:p>
        </w:tc>
        <w:tc>
          <w:tcPr>
            <w:tcW w:w="3380" w:type="dxa"/>
            <w:vAlign w:val="bottom"/>
          </w:tcPr>
          <w:p>
            <w:pPr>
              <w:jc w:val="right"/>
              <w:spacing w:after="0"/>
              <w:rPr>
                <w:sz w:val="20"/>
                <w:szCs w:val="20"/>
                <w:color w:val="auto"/>
              </w:rPr>
            </w:pPr>
            <w:r>
              <w:rPr>
                <w:rFonts w:ascii="Calibri" w:cs="Calibri" w:eastAsia="Calibri" w:hAnsi="Calibri"/>
                <w:sz w:val="18"/>
                <w:szCs w:val="18"/>
                <w:color w:val="auto"/>
              </w:rPr>
              <w:t>85 %</w:t>
            </w:r>
          </w:p>
        </w:tc>
      </w:tr>
      <w:tr>
        <w:trPr>
          <w:trHeight w:val="257"/>
        </w:trPr>
        <w:tc>
          <w:tcPr>
            <w:tcW w:w="7120" w:type="dxa"/>
            <w:vAlign w:val="bottom"/>
          </w:tcPr>
          <w:p>
            <w:pPr>
              <w:ind w:left="20"/>
              <w:spacing w:after="0"/>
              <w:rPr>
                <w:sz w:val="20"/>
                <w:szCs w:val="20"/>
                <w:color w:val="auto"/>
              </w:rPr>
            </w:pPr>
            <w:r>
              <w:rPr>
                <w:rFonts w:ascii="Calibri" w:cs="Calibri" w:eastAsia="Calibri" w:hAnsi="Calibri"/>
                <w:sz w:val="18"/>
                <w:szCs w:val="18"/>
                <w:color w:val="auto"/>
              </w:rPr>
              <w:t>Expected life (in years)</w:t>
            </w:r>
          </w:p>
        </w:tc>
        <w:tc>
          <w:tcPr>
            <w:tcW w:w="338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56"/>
        </w:trPr>
        <w:tc>
          <w:tcPr>
            <w:tcW w:w="7120" w:type="dxa"/>
            <w:vAlign w:val="bottom"/>
          </w:tcPr>
          <w:p>
            <w:pPr>
              <w:ind w:left="20"/>
              <w:spacing w:after="0"/>
              <w:rPr>
                <w:sz w:val="20"/>
                <w:szCs w:val="20"/>
                <w:color w:val="auto"/>
              </w:rPr>
            </w:pPr>
            <w:r>
              <w:rPr>
                <w:rFonts w:ascii="Calibri" w:cs="Calibri" w:eastAsia="Calibri" w:hAnsi="Calibri"/>
                <w:sz w:val="18"/>
                <w:szCs w:val="18"/>
                <w:color w:val="auto"/>
              </w:rPr>
              <w:t>Expected dividend yield</w:t>
            </w:r>
          </w:p>
        </w:tc>
        <w:tc>
          <w:tcPr>
            <w:tcW w:w="33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57"/>
        </w:trPr>
        <w:tc>
          <w:tcPr>
            <w:tcW w:w="7120" w:type="dxa"/>
            <w:vAlign w:val="bottom"/>
          </w:tcPr>
          <w:p>
            <w:pPr>
              <w:ind w:left="20"/>
              <w:spacing w:after="0"/>
              <w:rPr>
                <w:sz w:val="20"/>
                <w:szCs w:val="20"/>
                <w:color w:val="auto"/>
              </w:rPr>
            </w:pPr>
            <w:r>
              <w:rPr>
                <w:rFonts w:ascii="Calibri" w:cs="Calibri" w:eastAsia="Calibri" w:hAnsi="Calibri"/>
                <w:sz w:val="18"/>
                <w:szCs w:val="18"/>
                <w:color w:val="auto"/>
              </w:rPr>
              <w:t>Share price</w:t>
            </w:r>
          </w:p>
        </w:tc>
        <w:tc>
          <w:tcPr>
            <w:tcW w:w="3380" w:type="dxa"/>
            <w:vAlign w:val="bottom"/>
          </w:tcPr>
          <w:p>
            <w:pPr>
              <w:jc w:val="right"/>
              <w:spacing w:after="0"/>
              <w:rPr>
                <w:sz w:val="20"/>
                <w:szCs w:val="20"/>
                <w:color w:val="auto"/>
              </w:rPr>
            </w:pPr>
            <w:r>
              <w:rPr>
                <w:rFonts w:ascii="Calibri" w:cs="Calibri" w:eastAsia="Calibri" w:hAnsi="Calibri"/>
                <w:sz w:val="18"/>
                <w:szCs w:val="18"/>
                <w:color w:val="auto"/>
              </w:rPr>
              <w:t>$3.83</w:t>
            </w:r>
          </w:p>
        </w:tc>
      </w:tr>
      <w:tr>
        <w:trPr>
          <w:trHeight w:val="256"/>
        </w:trPr>
        <w:tc>
          <w:tcPr>
            <w:tcW w:w="7120" w:type="dxa"/>
            <w:vAlign w:val="bottom"/>
          </w:tcPr>
          <w:p>
            <w:pPr>
              <w:ind w:left="20"/>
              <w:spacing w:after="0"/>
              <w:rPr>
                <w:sz w:val="20"/>
                <w:szCs w:val="20"/>
                <w:color w:val="auto"/>
              </w:rPr>
            </w:pPr>
            <w:r>
              <w:rPr>
                <w:rFonts w:ascii="Calibri" w:cs="Calibri" w:eastAsia="Calibri" w:hAnsi="Calibri"/>
                <w:sz w:val="18"/>
                <w:szCs w:val="18"/>
                <w:color w:val="auto"/>
              </w:rPr>
              <w:t>Exercise price</w:t>
            </w:r>
          </w:p>
        </w:tc>
        <w:tc>
          <w:tcPr>
            <w:tcW w:w="3380" w:type="dxa"/>
            <w:vAlign w:val="bottom"/>
          </w:tcPr>
          <w:p>
            <w:pPr>
              <w:jc w:val="right"/>
              <w:spacing w:after="0"/>
              <w:rPr>
                <w:sz w:val="20"/>
                <w:szCs w:val="20"/>
                <w:color w:val="auto"/>
              </w:rPr>
            </w:pPr>
            <w:r>
              <w:rPr>
                <w:rFonts w:ascii="Calibri" w:cs="Calibri" w:eastAsia="Calibri" w:hAnsi="Calibri"/>
                <w:sz w:val="18"/>
                <w:szCs w:val="18"/>
                <w:color w:val="auto"/>
              </w:rPr>
              <w:t>$3.40</w:t>
            </w:r>
          </w:p>
        </w:tc>
      </w:tr>
      <w:tr>
        <w:trPr>
          <w:trHeight w:val="50"/>
        </w:trPr>
        <w:tc>
          <w:tcPr>
            <w:tcW w:w="712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r>
    </w:tbl>
    <w:p>
      <w:pPr>
        <w:spacing w:after="0" w:line="248" w:lineRule="exact"/>
        <w:rPr>
          <w:sz w:val="20"/>
          <w:szCs w:val="20"/>
          <w:color w:val="auto"/>
        </w:rPr>
      </w:pPr>
    </w:p>
    <w:p>
      <w:pPr>
        <w:jc w:val="both"/>
        <w:ind w:left="260"/>
        <w:spacing w:after="0" w:line="230" w:lineRule="auto"/>
        <w:rPr>
          <w:sz w:val="20"/>
          <w:szCs w:val="20"/>
          <w:color w:val="auto"/>
        </w:rPr>
      </w:pPr>
      <w:r>
        <w:rPr>
          <w:rFonts w:ascii="Calibri" w:cs="Calibri" w:eastAsia="Calibri" w:hAnsi="Calibri"/>
          <w:sz w:val="18"/>
          <w:szCs w:val="18"/>
          <w:color w:val="auto"/>
        </w:rPr>
        <w:t>On November 10, 2021, the Company approved the amendment of the terms of 1,150,000 Common Share purchase warrants such that the expiry date was extended from June 15, 2025 to November 15, 2025. The incremental fair value using the Black-Scholes opton pricing model results in additonal share-based payment compensaton of $12 for the year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37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40" w:name="page41"/>
    <w:bookmarkEnd w:id="40"/>
    <w:p>
      <w:pPr>
        <w:spacing w:after="0"/>
        <w:rPr>
          <w:sz w:val="20"/>
          <w:szCs w:val="20"/>
          <w:color w:val="auto"/>
        </w:rPr>
      </w:pPr>
      <w:r>
        <w:rPr>
          <w:rFonts w:ascii="Calibri" w:cs="Calibri" w:eastAsia="Calibri" w:hAnsi="Calibri"/>
          <w:sz w:val="22"/>
          <w:szCs w:val="22"/>
          <w:b w:val="1"/>
          <w:bCs w:val="1"/>
          <w:color w:val="auto"/>
        </w:rPr>
        <w:t>CYBIN INC.</w:t>
      </w:r>
    </w:p>
    <w:p>
      <w:pPr>
        <w:spacing w:after="0" w:line="227"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31"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The following summarizes informaton about warrants outstanding at March 31, 2022:</w:t>
      </w:r>
    </w:p>
    <w:p>
      <w:pPr>
        <w:spacing w:after="0" w:line="186"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2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Calibri" w:cs="Calibri" w:eastAsia="Calibri" w:hAnsi="Calibri"/>
                <w:sz w:val="18"/>
                <w:szCs w:val="18"/>
                <w:b w:val="1"/>
                <w:bCs w:val="1"/>
                <w:color w:val="auto"/>
              </w:rPr>
              <w:t>Weighted average</w:t>
            </w:r>
          </w:p>
        </w:tc>
      </w:tr>
      <w:tr>
        <w:trPr>
          <w:trHeight w:val="176"/>
        </w:trPr>
        <w:tc>
          <w:tcPr>
            <w:tcW w:w="2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Calibri" w:cs="Calibri" w:eastAsia="Calibri" w:hAnsi="Calibri"/>
                <w:sz w:val="18"/>
                <w:szCs w:val="18"/>
                <w:b w:val="1"/>
                <w:bCs w:val="1"/>
                <w:color w:val="auto"/>
              </w:rPr>
              <w:t>Weighted average</w:t>
            </w:r>
          </w:p>
        </w:tc>
        <w:tc>
          <w:tcPr>
            <w:tcW w:w="1420" w:type="dxa"/>
            <w:vAlign w:val="bottom"/>
          </w:tcPr>
          <w:p>
            <w:pPr>
              <w:spacing w:after="0"/>
              <w:rPr>
                <w:sz w:val="15"/>
                <w:szCs w:val="15"/>
                <w:color w:val="auto"/>
              </w:rPr>
            </w:pPr>
          </w:p>
        </w:tc>
        <w:tc>
          <w:tcPr>
            <w:tcW w:w="1460" w:type="dxa"/>
            <w:vAlign w:val="bottom"/>
          </w:tcPr>
          <w:p>
            <w:pPr>
              <w:jc w:val="right"/>
              <w:spacing w:after="0" w:line="175" w:lineRule="exact"/>
              <w:rPr>
                <w:sz w:val="20"/>
                <w:szCs w:val="20"/>
                <w:color w:val="auto"/>
              </w:rPr>
            </w:pPr>
            <w:r>
              <w:rPr>
                <w:rFonts w:ascii="Calibri" w:cs="Calibri" w:eastAsia="Calibri" w:hAnsi="Calibri"/>
                <w:sz w:val="18"/>
                <w:szCs w:val="18"/>
                <w:b w:val="1"/>
                <w:bCs w:val="1"/>
                <w:color w:val="auto"/>
              </w:rPr>
              <w:t>remaining of</w:t>
            </w:r>
          </w:p>
        </w:tc>
      </w:tr>
      <w:tr>
        <w:trPr>
          <w:trHeight w:val="175"/>
        </w:trPr>
        <w:tc>
          <w:tcPr>
            <w:tcW w:w="2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40" w:type="dxa"/>
            <w:vAlign w:val="bottom"/>
          </w:tcPr>
          <w:p>
            <w:pPr>
              <w:jc w:val="right"/>
              <w:ind w:right="210"/>
              <w:spacing w:after="0" w:line="175" w:lineRule="exact"/>
              <w:rPr>
                <w:sz w:val="20"/>
                <w:szCs w:val="20"/>
                <w:color w:val="auto"/>
              </w:rPr>
            </w:pPr>
            <w:r>
              <w:rPr>
                <w:rFonts w:ascii="Calibri" w:cs="Calibri" w:eastAsia="Calibri" w:hAnsi="Calibri"/>
                <w:sz w:val="18"/>
                <w:szCs w:val="18"/>
                <w:b w:val="1"/>
                <w:bCs w:val="1"/>
                <w:color w:val="auto"/>
              </w:rPr>
              <w:t>Warrants</w:t>
            </w:r>
          </w:p>
        </w:tc>
        <w:tc>
          <w:tcPr>
            <w:tcW w:w="1180" w:type="dxa"/>
            <w:vAlign w:val="bottom"/>
          </w:tcPr>
          <w:p>
            <w:pPr>
              <w:jc w:val="right"/>
              <w:spacing w:after="0" w:line="175" w:lineRule="exact"/>
              <w:rPr>
                <w:sz w:val="20"/>
                <w:szCs w:val="20"/>
                <w:color w:val="auto"/>
              </w:rPr>
            </w:pPr>
            <w:r>
              <w:rPr>
                <w:rFonts w:ascii="Calibri" w:cs="Calibri" w:eastAsia="Calibri" w:hAnsi="Calibri"/>
                <w:sz w:val="18"/>
                <w:szCs w:val="18"/>
                <w:b w:val="1"/>
                <w:bCs w:val="1"/>
                <w:color w:val="auto"/>
              </w:rPr>
              <w:t>Warrants</w:t>
            </w:r>
          </w:p>
        </w:tc>
        <w:tc>
          <w:tcPr>
            <w:tcW w:w="1480" w:type="dxa"/>
            <w:vAlign w:val="bottom"/>
          </w:tcPr>
          <w:p>
            <w:pPr>
              <w:jc w:val="right"/>
              <w:spacing w:after="0" w:line="175" w:lineRule="exact"/>
              <w:rPr>
                <w:sz w:val="20"/>
                <w:szCs w:val="20"/>
                <w:color w:val="auto"/>
              </w:rPr>
            </w:pPr>
            <w:r>
              <w:rPr>
                <w:rFonts w:ascii="Calibri" w:cs="Calibri" w:eastAsia="Calibri" w:hAnsi="Calibri"/>
                <w:sz w:val="18"/>
                <w:szCs w:val="18"/>
                <w:b w:val="1"/>
                <w:bCs w:val="1"/>
                <w:color w:val="auto"/>
              </w:rPr>
              <w:t>of exercisable</w:t>
            </w:r>
          </w:p>
        </w:tc>
        <w:tc>
          <w:tcPr>
            <w:tcW w:w="1420" w:type="dxa"/>
            <w:vAlign w:val="bottom"/>
          </w:tcPr>
          <w:p>
            <w:pPr>
              <w:jc w:val="right"/>
              <w:spacing w:after="0" w:line="175" w:lineRule="exact"/>
              <w:rPr>
                <w:sz w:val="20"/>
                <w:szCs w:val="20"/>
                <w:color w:val="auto"/>
              </w:rPr>
            </w:pPr>
            <w:r>
              <w:rPr>
                <w:rFonts w:ascii="Calibri" w:cs="Calibri" w:eastAsia="Calibri" w:hAnsi="Calibri"/>
                <w:sz w:val="18"/>
                <w:szCs w:val="18"/>
                <w:b w:val="1"/>
                <w:bCs w:val="1"/>
                <w:color w:val="auto"/>
              </w:rPr>
              <w:t>Estmated grant</w:t>
            </w:r>
          </w:p>
        </w:tc>
        <w:tc>
          <w:tcPr>
            <w:tcW w:w="1460" w:type="dxa"/>
            <w:vAlign w:val="bottom"/>
          </w:tcPr>
          <w:p>
            <w:pPr>
              <w:jc w:val="right"/>
              <w:spacing w:after="0" w:line="175" w:lineRule="exact"/>
              <w:rPr>
                <w:sz w:val="20"/>
                <w:szCs w:val="20"/>
                <w:color w:val="auto"/>
              </w:rPr>
            </w:pPr>
            <w:r>
              <w:rPr>
                <w:rFonts w:ascii="Calibri" w:cs="Calibri" w:eastAsia="Calibri" w:hAnsi="Calibri"/>
                <w:sz w:val="18"/>
                <w:szCs w:val="18"/>
                <w:b w:val="1"/>
                <w:bCs w:val="1"/>
                <w:color w:val="auto"/>
              </w:rPr>
              <w:t>outstanding</w:t>
            </w:r>
          </w:p>
        </w:tc>
      </w:tr>
      <w:tr>
        <w:trPr>
          <w:trHeight w:val="228"/>
        </w:trPr>
        <w:tc>
          <w:tcPr>
            <w:tcW w:w="2140" w:type="dxa"/>
            <w:vAlign w:val="bottom"/>
          </w:tcPr>
          <w:p>
            <w:pPr>
              <w:ind w:left="60"/>
              <w:spacing w:after="0"/>
              <w:rPr>
                <w:sz w:val="20"/>
                <w:szCs w:val="20"/>
                <w:color w:val="auto"/>
              </w:rPr>
            </w:pPr>
            <w:r>
              <w:rPr>
                <w:rFonts w:ascii="Calibri" w:cs="Calibri" w:eastAsia="Calibri" w:hAnsi="Calibri"/>
                <w:sz w:val="18"/>
                <w:szCs w:val="18"/>
                <w:b w:val="1"/>
                <w:bCs w:val="1"/>
                <w:color w:val="auto"/>
              </w:rPr>
              <w:t>Date of Expiry</w:t>
            </w:r>
          </w:p>
        </w:tc>
        <w:tc>
          <w:tcPr>
            <w:tcW w:w="1780" w:type="dxa"/>
            <w:vAlign w:val="bottom"/>
          </w:tcPr>
          <w:p>
            <w:pPr>
              <w:jc w:val="right"/>
              <w:ind w:right="190"/>
              <w:spacing w:after="0"/>
              <w:rPr>
                <w:sz w:val="20"/>
                <w:szCs w:val="20"/>
                <w:color w:val="auto"/>
              </w:rPr>
            </w:pPr>
            <w:r>
              <w:rPr>
                <w:rFonts w:ascii="Calibri" w:cs="Calibri" w:eastAsia="Calibri" w:hAnsi="Calibri"/>
                <w:sz w:val="18"/>
                <w:szCs w:val="18"/>
                <w:b w:val="1"/>
                <w:bCs w:val="1"/>
                <w:color w:val="auto"/>
              </w:rPr>
              <w:t>Warrants issued</w:t>
            </w:r>
          </w:p>
        </w:tc>
        <w:tc>
          <w:tcPr>
            <w:tcW w:w="144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outstanding</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exercisable</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price</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date fair value</w:t>
            </w:r>
          </w:p>
        </w:tc>
        <w:tc>
          <w:tcPr>
            <w:tcW w:w="1460" w:type="dxa"/>
            <w:vAlign w:val="bottom"/>
          </w:tcPr>
          <w:p>
            <w:pPr>
              <w:jc w:val="right"/>
              <w:spacing w:after="0"/>
              <w:rPr>
                <w:sz w:val="20"/>
                <w:szCs w:val="20"/>
                <w:color w:val="auto"/>
              </w:rPr>
            </w:pPr>
            <w:r>
              <w:rPr>
                <w:rFonts w:ascii="Calibri" w:cs="Calibri" w:eastAsia="Calibri" w:hAnsi="Calibri"/>
                <w:sz w:val="18"/>
                <w:szCs w:val="18"/>
                <w:b w:val="1"/>
                <w:bCs w:val="1"/>
                <w:color w:val="auto"/>
              </w:rPr>
              <w:t>contractual life</w:t>
            </w:r>
          </w:p>
        </w:tc>
      </w:tr>
      <w:tr>
        <w:trPr>
          <w:trHeight w:val="229"/>
        </w:trPr>
        <w:tc>
          <w:tcPr>
            <w:tcW w:w="2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1420" w:type="dxa"/>
            <w:vAlign w:val="bottom"/>
          </w:tcPr>
          <w:p>
            <w:pPr>
              <w:jc w:val="right"/>
              <w:spacing w:after="0"/>
              <w:rPr>
                <w:sz w:val="20"/>
                <w:szCs w:val="20"/>
                <w:color w:val="auto"/>
              </w:rPr>
            </w:pPr>
            <w:r>
              <w:rPr>
                <w:rFonts w:ascii="Calibri" w:cs="Calibri" w:eastAsia="Calibri" w:hAnsi="Calibri"/>
                <w:sz w:val="18"/>
                <w:szCs w:val="18"/>
                <w:b w:val="1"/>
                <w:bCs w:val="1"/>
                <w:color w:val="auto"/>
              </w:rPr>
              <w:t>$000’s</w:t>
            </w:r>
          </w:p>
        </w:tc>
        <w:tc>
          <w:tcPr>
            <w:tcW w:w="1460" w:type="dxa"/>
            <w:vAlign w:val="bottom"/>
          </w:tcPr>
          <w:p>
            <w:pPr>
              <w:jc w:val="right"/>
              <w:spacing w:after="0"/>
              <w:rPr>
                <w:sz w:val="20"/>
                <w:szCs w:val="20"/>
                <w:color w:val="auto"/>
              </w:rPr>
            </w:pPr>
            <w:r>
              <w:rPr>
                <w:rFonts w:ascii="Calibri" w:cs="Calibri" w:eastAsia="Calibri" w:hAnsi="Calibri"/>
                <w:sz w:val="18"/>
                <w:szCs w:val="18"/>
                <w:b w:val="1"/>
                <w:bCs w:val="1"/>
                <w:color w:val="auto"/>
              </w:rPr>
              <w:t>Years</w:t>
            </w:r>
          </w:p>
        </w:tc>
      </w:tr>
      <w:tr>
        <w:trPr>
          <w:trHeight w:val="23"/>
        </w:trPr>
        <w:tc>
          <w:tcPr>
            <w:tcW w:w="39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8"/>
        </w:trPr>
        <w:tc>
          <w:tcPr>
            <w:tcW w:w="3920" w:type="dxa"/>
            <w:vAlign w:val="bottom"/>
            <w:gridSpan w:val="2"/>
          </w:tcPr>
          <w:p>
            <w:pPr>
              <w:ind w:left="60"/>
              <w:spacing w:after="0" w:line="208" w:lineRule="exact"/>
              <w:rPr>
                <w:sz w:val="20"/>
                <w:szCs w:val="20"/>
                <w:color w:val="auto"/>
              </w:rPr>
            </w:pPr>
            <w:r>
              <w:rPr>
                <w:rFonts w:ascii="Calibri" w:cs="Calibri" w:eastAsia="Calibri" w:hAnsi="Calibri"/>
                <w:sz w:val="18"/>
                <w:szCs w:val="18"/>
                <w:b w:val="1"/>
                <w:bCs w:val="1"/>
                <w:i w:val="1"/>
                <w:iCs w:val="1"/>
                <w:color w:val="auto"/>
              </w:rPr>
              <w:t>Common Share Purchase Warrants</w:t>
            </w: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1"/>
        </w:trPr>
        <w:tc>
          <w:tcPr>
            <w:tcW w:w="2140" w:type="dxa"/>
            <w:vAlign w:val="bottom"/>
          </w:tcPr>
          <w:p>
            <w:pPr>
              <w:ind w:left="20"/>
              <w:spacing w:after="0"/>
              <w:rPr>
                <w:sz w:val="20"/>
                <w:szCs w:val="20"/>
                <w:color w:val="auto"/>
              </w:rPr>
            </w:pPr>
            <w:r>
              <w:rPr>
                <w:rFonts w:ascii="Calibri" w:cs="Calibri" w:eastAsia="Calibri" w:hAnsi="Calibri"/>
                <w:sz w:val="18"/>
                <w:szCs w:val="18"/>
                <w:color w:val="auto"/>
              </w:rPr>
              <w:t>June 15, 2022</w:t>
            </w:r>
          </w:p>
        </w:tc>
        <w:tc>
          <w:tcPr>
            <w:tcW w:w="1780" w:type="dxa"/>
            <w:vAlign w:val="bottom"/>
          </w:tcPr>
          <w:p>
            <w:pPr>
              <w:jc w:val="right"/>
              <w:ind w:right="190"/>
              <w:spacing w:after="0"/>
              <w:rPr>
                <w:sz w:val="20"/>
                <w:szCs w:val="20"/>
                <w:color w:val="auto"/>
              </w:rPr>
            </w:pPr>
            <w:r>
              <w:rPr>
                <w:rFonts w:ascii="Calibri" w:cs="Calibri" w:eastAsia="Calibri" w:hAnsi="Calibri"/>
                <w:sz w:val="18"/>
                <w:szCs w:val="18"/>
                <w:color w:val="auto"/>
              </w:rPr>
              <w:t>2,018,000</w:t>
            </w:r>
          </w:p>
        </w:tc>
        <w:tc>
          <w:tcPr>
            <w:tcW w:w="1440" w:type="dxa"/>
            <w:vAlign w:val="bottom"/>
          </w:tcPr>
          <w:p>
            <w:pPr>
              <w:jc w:val="right"/>
              <w:ind w:right="210"/>
              <w:spacing w:after="0"/>
              <w:rPr>
                <w:sz w:val="20"/>
                <w:szCs w:val="20"/>
                <w:color w:val="auto"/>
              </w:rPr>
            </w:pPr>
            <w:r>
              <w:rPr>
                <w:rFonts w:ascii="Calibri" w:cs="Calibri" w:eastAsia="Calibri" w:hAnsi="Calibri"/>
                <w:sz w:val="18"/>
                <w:szCs w:val="18"/>
                <w:color w:val="auto"/>
              </w:rPr>
              <w:t>1,000,000</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500,000</w:t>
            </w:r>
          </w:p>
        </w:tc>
        <w:tc>
          <w:tcPr>
            <w:tcW w:w="1480" w:type="dxa"/>
            <w:vAlign w:val="bottom"/>
          </w:tcPr>
          <w:p>
            <w:pPr>
              <w:jc w:val="right"/>
              <w:spacing w:after="0"/>
              <w:rPr>
                <w:sz w:val="20"/>
                <w:szCs w:val="20"/>
                <w:color w:val="auto"/>
              </w:rPr>
            </w:pPr>
            <w:r>
              <w:rPr>
                <w:rFonts w:ascii="Calibri" w:cs="Calibri" w:eastAsia="Calibri" w:hAnsi="Calibri"/>
                <w:sz w:val="18"/>
                <w:szCs w:val="18"/>
                <w:color w:val="auto"/>
              </w:rPr>
              <w:t>0.25</w:t>
            </w:r>
          </w:p>
        </w:tc>
        <w:tc>
          <w:tcPr>
            <w:tcW w:w="1420" w:type="dxa"/>
            <w:vAlign w:val="bottom"/>
          </w:tcPr>
          <w:p>
            <w:pPr>
              <w:jc w:val="right"/>
              <w:spacing w:after="0"/>
              <w:rPr>
                <w:sz w:val="20"/>
                <w:szCs w:val="20"/>
                <w:color w:val="auto"/>
              </w:rPr>
            </w:pPr>
            <w:r>
              <w:rPr>
                <w:rFonts w:ascii="Calibri" w:cs="Calibri" w:eastAsia="Calibri" w:hAnsi="Calibri"/>
                <w:sz w:val="18"/>
                <w:szCs w:val="18"/>
                <w:color w:val="auto"/>
              </w:rPr>
              <w:t>108</w:t>
            </w:r>
          </w:p>
        </w:tc>
        <w:tc>
          <w:tcPr>
            <w:tcW w:w="1460" w:type="dxa"/>
            <w:vAlign w:val="bottom"/>
          </w:tcPr>
          <w:p>
            <w:pPr>
              <w:jc w:val="right"/>
              <w:spacing w:after="0"/>
              <w:rPr>
                <w:sz w:val="20"/>
                <w:szCs w:val="20"/>
                <w:color w:val="auto"/>
              </w:rPr>
            </w:pPr>
            <w:r>
              <w:rPr>
                <w:rFonts w:ascii="Calibri" w:cs="Calibri" w:eastAsia="Calibri" w:hAnsi="Calibri"/>
                <w:sz w:val="18"/>
                <w:szCs w:val="18"/>
                <w:color w:val="auto"/>
              </w:rPr>
              <w:t>0.21</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June 26, 2022</w:t>
            </w:r>
          </w:p>
        </w:tc>
        <w:tc>
          <w:tcPr>
            <w:tcW w:w="1780" w:type="dxa"/>
            <w:vAlign w:val="bottom"/>
          </w:tcPr>
          <w:p>
            <w:pPr>
              <w:jc w:val="right"/>
              <w:ind w:right="190"/>
              <w:spacing w:after="0"/>
              <w:rPr>
                <w:sz w:val="20"/>
                <w:szCs w:val="20"/>
                <w:color w:val="auto"/>
              </w:rPr>
            </w:pPr>
            <w:r>
              <w:rPr>
                <w:rFonts w:ascii="Calibri" w:cs="Calibri" w:eastAsia="Calibri" w:hAnsi="Calibri"/>
                <w:sz w:val="18"/>
                <w:szCs w:val="18"/>
                <w:color w:val="auto"/>
              </w:rPr>
              <w:t>199,275</w:t>
            </w:r>
          </w:p>
        </w:tc>
        <w:tc>
          <w:tcPr>
            <w:tcW w:w="1440" w:type="dxa"/>
            <w:vAlign w:val="bottom"/>
          </w:tcPr>
          <w:p>
            <w:pPr>
              <w:jc w:val="right"/>
              <w:ind w:right="210"/>
              <w:spacing w:after="0"/>
              <w:rPr>
                <w:sz w:val="20"/>
                <w:szCs w:val="20"/>
                <w:color w:val="auto"/>
              </w:rPr>
            </w:pPr>
            <w:r>
              <w:rPr>
                <w:rFonts w:ascii="Calibri" w:cs="Calibri" w:eastAsia="Calibri" w:hAnsi="Calibri"/>
                <w:sz w:val="18"/>
                <w:szCs w:val="18"/>
                <w:color w:val="auto"/>
              </w:rPr>
              <w:t>99,638</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99,638</w:t>
            </w:r>
          </w:p>
        </w:tc>
        <w:tc>
          <w:tcPr>
            <w:tcW w:w="1480" w:type="dxa"/>
            <w:vAlign w:val="bottom"/>
          </w:tcPr>
          <w:p>
            <w:pPr>
              <w:jc w:val="right"/>
              <w:spacing w:after="0"/>
              <w:rPr>
                <w:sz w:val="20"/>
                <w:szCs w:val="20"/>
                <w:color w:val="auto"/>
              </w:rPr>
            </w:pPr>
            <w:r>
              <w:rPr>
                <w:rFonts w:ascii="Calibri" w:cs="Calibri" w:eastAsia="Calibri" w:hAnsi="Calibri"/>
                <w:sz w:val="18"/>
                <w:szCs w:val="18"/>
                <w:color w:val="auto"/>
              </w:rPr>
              <w:t>0.64</w:t>
            </w:r>
          </w:p>
        </w:tc>
        <w:tc>
          <w:tcPr>
            <w:tcW w:w="1420" w:type="dxa"/>
            <w:vAlign w:val="bottom"/>
          </w:tcPr>
          <w:p>
            <w:pPr>
              <w:jc w:val="right"/>
              <w:spacing w:after="0"/>
              <w:rPr>
                <w:sz w:val="20"/>
                <w:szCs w:val="20"/>
                <w:color w:val="auto"/>
              </w:rPr>
            </w:pPr>
            <w:r>
              <w:rPr>
                <w:rFonts w:ascii="Calibri" w:cs="Calibri" w:eastAsia="Calibri" w:hAnsi="Calibri"/>
                <w:sz w:val="18"/>
                <w:szCs w:val="18"/>
                <w:color w:val="auto"/>
              </w:rPr>
              <w:t>29</w:t>
            </w:r>
          </w:p>
        </w:tc>
        <w:tc>
          <w:tcPr>
            <w:tcW w:w="1460" w:type="dxa"/>
            <w:vAlign w:val="bottom"/>
          </w:tcPr>
          <w:p>
            <w:pPr>
              <w:jc w:val="right"/>
              <w:spacing w:after="0"/>
              <w:rPr>
                <w:sz w:val="20"/>
                <w:szCs w:val="20"/>
                <w:color w:val="auto"/>
              </w:rPr>
            </w:pPr>
            <w:r>
              <w:rPr>
                <w:rFonts w:ascii="Calibri" w:cs="Calibri" w:eastAsia="Calibri" w:hAnsi="Calibri"/>
                <w:sz w:val="18"/>
                <w:szCs w:val="18"/>
                <w:color w:val="auto"/>
              </w:rPr>
              <w:t>0.24</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October 19, 2022</w:t>
            </w:r>
          </w:p>
        </w:tc>
        <w:tc>
          <w:tcPr>
            <w:tcW w:w="1780" w:type="dxa"/>
            <w:vAlign w:val="bottom"/>
          </w:tcPr>
          <w:p>
            <w:pPr>
              <w:jc w:val="right"/>
              <w:ind w:right="190"/>
              <w:spacing w:after="0"/>
              <w:rPr>
                <w:sz w:val="20"/>
                <w:szCs w:val="20"/>
                <w:color w:val="auto"/>
              </w:rPr>
            </w:pPr>
            <w:r>
              <w:rPr>
                <w:rFonts w:ascii="Calibri" w:cs="Calibri" w:eastAsia="Calibri" w:hAnsi="Calibri"/>
                <w:sz w:val="18"/>
                <w:szCs w:val="18"/>
                <w:color w:val="auto"/>
              </w:rPr>
              <w:t>143,600</w:t>
            </w:r>
          </w:p>
        </w:tc>
        <w:tc>
          <w:tcPr>
            <w:tcW w:w="1440" w:type="dxa"/>
            <w:vAlign w:val="bottom"/>
          </w:tcPr>
          <w:p>
            <w:pPr>
              <w:jc w:val="right"/>
              <w:ind w:right="210"/>
              <w:spacing w:after="0"/>
              <w:rPr>
                <w:sz w:val="20"/>
                <w:szCs w:val="20"/>
                <w:color w:val="auto"/>
              </w:rPr>
            </w:pPr>
            <w:r>
              <w:rPr>
                <w:rFonts w:ascii="Calibri" w:cs="Calibri" w:eastAsia="Calibri" w:hAnsi="Calibri"/>
                <w:sz w:val="18"/>
                <w:szCs w:val="18"/>
                <w:color w:val="auto"/>
              </w:rPr>
              <w:t>113,713</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113,713</w:t>
            </w:r>
          </w:p>
        </w:tc>
        <w:tc>
          <w:tcPr>
            <w:tcW w:w="1480" w:type="dxa"/>
            <w:vAlign w:val="bottom"/>
          </w:tcPr>
          <w:p>
            <w:pPr>
              <w:jc w:val="right"/>
              <w:spacing w:after="0"/>
              <w:rPr>
                <w:sz w:val="20"/>
                <w:szCs w:val="20"/>
                <w:color w:val="auto"/>
              </w:rPr>
            </w:pPr>
            <w:r>
              <w:rPr>
                <w:rFonts w:ascii="Calibri" w:cs="Calibri" w:eastAsia="Calibri" w:hAnsi="Calibri"/>
                <w:sz w:val="18"/>
                <w:szCs w:val="18"/>
                <w:color w:val="auto"/>
              </w:rPr>
              <w:t>0.75</w:t>
            </w:r>
          </w:p>
        </w:tc>
        <w:tc>
          <w:tcPr>
            <w:tcW w:w="1420" w:type="dxa"/>
            <w:vAlign w:val="bottom"/>
          </w:tcPr>
          <w:p>
            <w:pPr>
              <w:jc w:val="right"/>
              <w:spacing w:after="0"/>
              <w:rPr>
                <w:sz w:val="20"/>
                <w:szCs w:val="20"/>
                <w:color w:val="auto"/>
              </w:rPr>
            </w:pPr>
            <w:r>
              <w:rPr>
                <w:rFonts w:ascii="Calibri" w:cs="Calibri" w:eastAsia="Calibri" w:hAnsi="Calibri"/>
                <w:sz w:val="18"/>
                <w:szCs w:val="18"/>
                <w:color w:val="auto"/>
              </w:rPr>
              <w:t>42</w:t>
            </w:r>
          </w:p>
        </w:tc>
        <w:tc>
          <w:tcPr>
            <w:tcW w:w="1460" w:type="dxa"/>
            <w:vAlign w:val="bottom"/>
          </w:tcPr>
          <w:p>
            <w:pPr>
              <w:jc w:val="right"/>
              <w:spacing w:after="0"/>
              <w:rPr>
                <w:sz w:val="20"/>
                <w:szCs w:val="20"/>
                <w:color w:val="auto"/>
              </w:rPr>
            </w:pPr>
            <w:r>
              <w:rPr>
                <w:rFonts w:ascii="Calibri" w:cs="Calibri" w:eastAsia="Calibri" w:hAnsi="Calibri"/>
                <w:sz w:val="18"/>
                <w:szCs w:val="18"/>
                <w:color w:val="auto"/>
              </w:rPr>
              <w:t>0.55</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November 3, 2022</w:t>
            </w:r>
          </w:p>
        </w:tc>
        <w:tc>
          <w:tcPr>
            <w:tcW w:w="1780" w:type="dxa"/>
            <w:vAlign w:val="bottom"/>
          </w:tcPr>
          <w:p>
            <w:pPr>
              <w:jc w:val="right"/>
              <w:ind w:right="190"/>
              <w:spacing w:after="0"/>
              <w:rPr>
                <w:sz w:val="20"/>
                <w:szCs w:val="20"/>
                <w:color w:val="auto"/>
              </w:rPr>
            </w:pPr>
            <w:r>
              <w:rPr>
                <w:rFonts w:ascii="Calibri" w:cs="Calibri" w:eastAsia="Calibri" w:hAnsi="Calibri"/>
                <w:sz w:val="18"/>
                <w:szCs w:val="18"/>
                <w:color w:val="auto"/>
              </w:rPr>
              <w:t>2,590,000</w:t>
            </w:r>
          </w:p>
        </w:tc>
        <w:tc>
          <w:tcPr>
            <w:tcW w:w="1440" w:type="dxa"/>
            <w:vAlign w:val="bottom"/>
          </w:tcPr>
          <w:p>
            <w:pPr>
              <w:jc w:val="right"/>
              <w:ind w:right="210"/>
              <w:spacing w:after="0"/>
              <w:rPr>
                <w:sz w:val="20"/>
                <w:szCs w:val="20"/>
                <w:color w:val="auto"/>
              </w:rPr>
            </w:pPr>
            <w:r>
              <w:rPr>
                <w:rFonts w:ascii="Calibri" w:cs="Calibri" w:eastAsia="Calibri" w:hAnsi="Calibri"/>
                <w:sz w:val="18"/>
                <w:szCs w:val="18"/>
                <w:color w:val="auto"/>
              </w:rPr>
              <w:t>1,105,000</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1,105,000</w:t>
            </w:r>
          </w:p>
        </w:tc>
        <w:tc>
          <w:tcPr>
            <w:tcW w:w="1480" w:type="dxa"/>
            <w:vAlign w:val="bottom"/>
          </w:tcPr>
          <w:p>
            <w:pPr>
              <w:jc w:val="right"/>
              <w:spacing w:after="0"/>
              <w:rPr>
                <w:sz w:val="20"/>
                <w:szCs w:val="20"/>
                <w:color w:val="auto"/>
              </w:rPr>
            </w:pPr>
            <w:r>
              <w:rPr>
                <w:rFonts w:ascii="Calibri" w:cs="Calibri" w:eastAsia="Calibri" w:hAnsi="Calibri"/>
                <w:sz w:val="18"/>
                <w:szCs w:val="18"/>
                <w:color w:val="auto"/>
              </w:rPr>
              <w:t>0.75</w:t>
            </w:r>
          </w:p>
        </w:tc>
        <w:tc>
          <w:tcPr>
            <w:tcW w:w="1420" w:type="dxa"/>
            <w:vAlign w:val="bottom"/>
          </w:tcPr>
          <w:p>
            <w:pPr>
              <w:jc w:val="right"/>
              <w:spacing w:after="0"/>
              <w:rPr>
                <w:sz w:val="20"/>
                <w:szCs w:val="20"/>
                <w:color w:val="auto"/>
              </w:rPr>
            </w:pPr>
            <w:r>
              <w:rPr>
                <w:rFonts w:ascii="Calibri" w:cs="Calibri" w:eastAsia="Calibri" w:hAnsi="Calibri"/>
                <w:sz w:val="18"/>
                <w:szCs w:val="18"/>
                <w:color w:val="auto"/>
              </w:rPr>
              <w:t>376</w:t>
            </w:r>
          </w:p>
        </w:tc>
        <w:tc>
          <w:tcPr>
            <w:tcW w:w="1460" w:type="dxa"/>
            <w:vAlign w:val="bottom"/>
          </w:tcPr>
          <w:p>
            <w:pPr>
              <w:jc w:val="right"/>
              <w:spacing w:after="0"/>
              <w:rPr>
                <w:sz w:val="20"/>
                <w:szCs w:val="20"/>
                <w:color w:val="auto"/>
              </w:rPr>
            </w:pPr>
            <w:r>
              <w:rPr>
                <w:rFonts w:ascii="Calibri" w:cs="Calibri" w:eastAsia="Calibri" w:hAnsi="Calibri"/>
                <w:sz w:val="18"/>
                <w:szCs w:val="18"/>
                <w:color w:val="auto"/>
              </w:rPr>
              <w:t>0.59</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August 3, 2023</w:t>
            </w:r>
          </w:p>
        </w:tc>
        <w:tc>
          <w:tcPr>
            <w:tcW w:w="1780" w:type="dxa"/>
            <w:vAlign w:val="bottom"/>
          </w:tcPr>
          <w:p>
            <w:pPr>
              <w:jc w:val="right"/>
              <w:ind w:right="190"/>
              <w:spacing w:after="0"/>
              <w:rPr>
                <w:sz w:val="20"/>
                <w:szCs w:val="20"/>
                <w:color w:val="auto"/>
              </w:rPr>
            </w:pPr>
            <w:r>
              <w:rPr>
                <w:rFonts w:ascii="Calibri" w:cs="Calibri" w:eastAsia="Calibri" w:hAnsi="Calibri"/>
                <w:sz w:val="18"/>
                <w:szCs w:val="18"/>
                <w:color w:val="auto"/>
              </w:rPr>
              <w:t>658,860</w:t>
            </w:r>
          </w:p>
        </w:tc>
        <w:tc>
          <w:tcPr>
            <w:tcW w:w="1440" w:type="dxa"/>
            <w:vAlign w:val="bottom"/>
          </w:tcPr>
          <w:p>
            <w:pPr>
              <w:jc w:val="right"/>
              <w:ind w:right="210"/>
              <w:spacing w:after="0"/>
              <w:rPr>
                <w:sz w:val="20"/>
                <w:szCs w:val="20"/>
                <w:color w:val="auto"/>
              </w:rPr>
            </w:pPr>
            <w:r>
              <w:rPr>
                <w:rFonts w:ascii="Calibri" w:cs="Calibri" w:eastAsia="Calibri" w:hAnsi="Calibri"/>
                <w:sz w:val="18"/>
                <w:szCs w:val="18"/>
                <w:color w:val="auto"/>
              </w:rPr>
              <w:t>658,860</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658,860</w:t>
            </w:r>
          </w:p>
        </w:tc>
        <w:tc>
          <w:tcPr>
            <w:tcW w:w="1480" w:type="dxa"/>
            <w:vAlign w:val="bottom"/>
          </w:tcPr>
          <w:p>
            <w:pPr>
              <w:jc w:val="right"/>
              <w:spacing w:after="0"/>
              <w:rPr>
                <w:sz w:val="20"/>
                <w:szCs w:val="20"/>
                <w:color w:val="auto"/>
              </w:rPr>
            </w:pPr>
            <w:r>
              <w:rPr>
                <w:rFonts w:ascii="Calibri" w:cs="Calibri" w:eastAsia="Calibri" w:hAnsi="Calibri"/>
                <w:sz w:val="18"/>
                <w:szCs w:val="18"/>
                <w:color w:val="auto"/>
              </w:rPr>
              <w:t>3.40</w:t>
            </w:r>
          </w:p>
        </w:tc>
        <w:tc>
          <w:tcPr>
            <w:tcW w:w="1420" w:type="dxa"/>
            <w:vAlign w:val="bottom"/>
          </w:tcPr>
          <w:p>
            <w:pPr>
              <w:jc w:val="right"/>
              <w:spacing w:after="0"/>
              <w:rPr>
                <w:sz w:val="20"/>
                <w:szCs w:val="20"/>
                <w:color w:val="auto"/>
              </w:rPr>
            </w:pPr>
            <w:r>
              <w:rPr>
                <w:rFonts w:ascii="Calibri" w:cs="Calibri" w:eastAsia="Calibri" w:hAnsi="Calibri"/>
                <w:sz w:val="18"/>
                <w:szCs w:val="18"/>
                <w:color w:val="auto"/>
              </w:rPr>
              <w:t>1,229</w:t>
            </w:r>
          </w:p>
        </w:tc>
        <w:tc>
          <w:tcPr>
            <w:tcW w:w="1460" w:type="dxa"/>
            <w:vAlign w:val="bottom"/>
          </w:tcPr>
          <w:p>
            <w:pPr>
              <w:jc w:val="right"/>
              <w:spacing w:after="0"/>
              <w:rPr>
                <w:sz w:val="20"/>
                <w:szCs w:val="20"/>
                <w:color w:val="auto"/>
              </w:rPr>
            </w:pPr>
            <w:r>
              <w:rPr>
                <w:rFonts w:ascii="Calibri" w:cs="Calibri" w:eastAsia="Calibri" w:hAnsi="Calibri"/>
                <w:sz w:val="18"/>
                <w:szCs w:val="18"/>
                <w:color w:val="auto"/>
              </w:rPr>
              <w:t>1.34</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February 1, 2024</w:t>
            </w:r>
          </w:p>
        </w:tc>
        <w:tc>
          <w:tcPr>
            <w:tcW w:w="1780" w:type="dxa"/>
            <w:vAlign w:val="bottom"/>
          </w:tcPr>
          <w:p>
            <w:pPr>
              <w:jc w:val="right"/>
              <w:ind w:right="190"/>
              <w:spacing w:after="0"/>
              <w:rPr>
                <w:sz w:val="20"/>
                <w:szCs w:val="20"/>
                <w:color w:val="auto"/>
              </w:rPr>
            </w:pPr>
            <w:r>
              <w:rPr>
                <w:rFonts w:ascii="Calibri" w:cs="Calibri" w:eastAsia="Calibri" w:hAnsi="Calibri"/>
                <w:sz w:val="18"/>
                <w:szCs w:val="18"/>
                <w:color w:val="auto"/>
              </w:rPr>
              <w:t>7,623,000</w:t>
            </w:r>
          </w:p>
        </w:tc>
        <w:tc>
          <w:tcPr>
            <w:tcW w:w="1440" w:type="dxa"/>
            <w:vAlign w:val="bottom"/>
          </w:tcPr>
          <w:p>
            <w:pPr>
              <w:jc w:val="right"/>
              <w:ind w:right="210"/>
              <w:spacing w:after="0"/>
              <w:rPr>
                <w:sz w:val="20"/>
                <w:szCs w:val="20"/>
                <w:color w:val="auto"/>
              </w:rPr>
            </w:pPr>
            <w:r>
              <w:rPr>
                <w:rFonts w:ascii="Calibri" w:cs="Calibri" w:eastAsia="Calibri" w:hAnsi="Calibri"/>
                <w:sz w:val="18"/>
                <w:szCs w:val="18"/>
                <w:color w:val="auto"/>
              </w:rPr>
              <w:t>7,146,500</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7,146,500</w:t>
            </w:r>
          </w:p>
        </w:tc>
        <w:tc>
          <w:tcPr>
            <w:tcW w:w="1480" w:type="dxa"/>
            <w:vAlign w:val="bottom"/>
          </w:tcPr>
          <w:p>
            <w:pPr>
              <w:jc w:val="right"/>
              <w:spacing w:after="0"/>
              <w:rPr>
                <w:sz w:val="20"/>
                <w:szCs w:val="20"/>
                <w:color w:val="auto"/>
              </w:rPr>
            </w:pPr>
            <w:r>
              <w:rPr>
                <w:rFonts w:ascii="Calibri" w:cs="Calibri" w:eastAsia="Calibri" w:hAnsi="Calibri"/>
                <w:sz w:val="18"/>
                <w:szCs w:val="18"/>
                <w:color w:val="auto"/>
              </w:rPr>
              <w:t>3.25</w:t>
            </w:r>
          </w:p>
        </w:tc>
        <w:tc>
          <w:tcPr>
            <w:tcW w:w="1420" w:type="dxa"/>
            <w:vAlign w:val="bottom"/>
          </w:tcPr>
          <w:p>
            <w:pPr>
              <w:jc w:val="right"/>
              <w:spacing w:after="0"/>
              <w:rPr>
                <w:sz w:val="20"/>
                <w:szCs w:val="20"/>
                <w:color w:val="auto"/>
              </w:rPr>
            </w:pPr>
            <w:r>
              <w:rPr>
                <w:rFonts w:ascii="Calibri" w:cs="Calibri" w:eastAsia="Calibri" w:hAnsi="Calibri"/>
                <w:sz w:val="18"/>
                <w:szCs w:val="18"/>
                <w:color w:val="auto"/>
              </w:rPr>
              <w:t>5,454</w:t>
            </w:r>
          </w:p>
        </w:tc>
        <w:tc>
          <w:tcPr>
            <w:tcW w:w="1460" w:type="dxa"/>
            <w:vAlign w:val="bottom"/>
          </w:tcPr>
          <w:p>
            <w:pPr>
              <w:jc w:val="right"/>
              <w:spacing w:after="0"/>
              <w:rPr>
                <w:sz w:val="20"/>
                <w:szCs w:val="20"/>
                <w:color w:val="auto"/>
              </w:rPr>
            </w:pPr>
            <w:r>
              <w:rPr>
                <w:rFonts w:ascii="Calibri" w:cs="Calibri" w:eastAsia="Calibri" w:hAnsi="Calibri"/>
                <w:sz w:val="18"/>
                <w:szCs w:val="18"/>
                <w:color w:val="auto"/>
              </w:rPr>
              <w:t>1.84</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June 15, 2025</w:t>
            </w:r>
          </w:p>
        </w:tc>
        <w:tc>
          <w:tcPr>
            <w:tcW w:w="1780" w:type="dxa"/>
            <w:vAlign w:val="bottom"/>
          </w:tcPr>
          <w:p>
            <w:pPr>
              <w:jc w:val="right"/>
              <w:ind w:right="190"/>
              <w:spacing w:after="0"/>
              <w:rPr>
                <w:sz w:val="20"/>
                <w:szCs w:val="20"/>
                <w:color w:val="auto"/>
              </w:rPr>
            </w:pPr>
            <w:r>
              <w:rPr>
                <w:rFonts w:ascii="Calibri" w:cs="Calibri" w:eastAsia="Calibri" w:hAnsi="Calibri"/>
                <w:sz w:val="18"/>
                <w:szCs w:val="18"/>
                <w:color w:val="auto"/>
              </w:rPr>
              <w:t>13,575,000</w:t>
            </w:r>
          </w:p>
        </w:tc>
        <w:tc>
          <w:tcPr>
            <w:tcW w:w="1440" w:type="dxa"/>
            <w:vAlign w:val="bottom"/>
          </w:tcPr>
          <w:p>
            <w:pPr>
              <w:jc w:val="right"/>
              <w:ind w:right="210"/>
              <w:spacing w:after="0"/>
              <w:rPr>
                <w:sz w:val="20"/>
                <w:szCs w:val="20"/>
                <w:color w:val="auto"/>
              </w:rPr>
            </w:pPr>
            <w:r>
              <w:rPr>
                <w:rFonts w:ascii="Calibri" w:cs="Calibri" w:eastAsia="Calibri" w:hAnsi="Calibri"/>
                <w:sz w:val="18"/>
                <w:szCs w:val="18"/>
                <w:color w:val="auto"/>
              </w:rPr>
              <w:t>12,800,000</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12,600,000</w:t>
            </w:r>
          </w:p>
        </w:tc>
        <w:tc>
          <w:tcPr>
            <w:tcW w:w="1480" w:type="dxa"/>
            <w:vAlign w:val="bottom"/>
          </w:tcPr>
          <w:p>
            <w:pPr>
              <w:jc w:val="right"/>
              <w:spacing w:after="0"/>
              <w:rPr>
                <w:sz w:val="20"/>
                <w:szCs w:val="20"/>
                <w:color w:val="auto"/>
              </w:rPr>
            </w:pPr>
            <w:r>
              <w:rPr>
                <w:rFonts w:ascii="Calibri" w:cs="Calibri" w:eastAsia="Calibri" w:hAnsi="Calibri"/>
                <w:sz w:val="18"/>
                <w:szCs w:val="18"/>
                <w:color w:val="auto"/>
              </w:rPr>
              <w:t>0.25</w:t>
            </w:r>
          </w:p>
        </w:tc>
        <w:tc>
          <w:tcPr>
            <w:tcW w:w="1420" w:type="dxa"/>
            <w:vAlign w:val="bottom"/>
          </w:tcPr>
          <w:p>
            <w:pPr>
              <w:jc w:val="right"/>
              <w:spacing w:after="0"/>
              <w:rPr>
                <w:sz w:val="20"/>
                <w:szCs w:val="20"/>
                <w:color w:val="auto"/>
              </w:rPr>
            </w:pPr>
            <w:r>
              <w:rPr>
                <w:rFonts w:ascii="Calibri" w:cs="Calibri" w:eastAsia="Calibri" w:hAnsi="Calibri"/>
                <w:sz w:val="18"/>
                <w:szCs w:val="18"/>
                <w:color w:val="auto"/>
              </w:rPr>
              <w:t>2,318</w:t>
            </w:r>
          </w:p>
        </w:tc>
        <w:tc>
          <w:tcPr>
            <w:tcW w:w="1460" w:type="dxa"/>
            <w:vAlign w:val="bottom"/>
          </w:tcPr>
          <w:p>
            <w:pPr>
              <w:jc w:val="right"/>
              <w:spacing w:after="0"/>
              <w:rPr>
                <w:sz w:val="20"/>
                <w:szCs w:val="20"/>
                <w:color w:val="auto"/>
              </w:rPr>
            </w:pPr>
            <w:r>
              <w:rPr>
                <w:rFonts w:ascii="Calibri" w:cs="Calibri" w:eastAsia="Calibri" w:hAnsi="Calibri"/>
                <w:sz w:val="18"/>
                <w:szCs w:val="18"/>
                <w:color w:val="auto"/>
              </w:rPr>
              <w:t>3.21</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August 20, 2025</w:t>
            </w:r>
          </w:p>
        </w:tc>
        <w:tc>
          <w:tcPr>
            <w:tcW w:w="1780" w:type="dxa"/>
            <w:vAlign w:val="bottom"/>
          </w:tcPr>
          <w:p>
            <w:pPr>
              <w:jc w:val="right"/>
              <w:ind w:right="190"/>
              <w:spacing w:after="0"/>
              <w:rPr>
                <w:sz w:val="20"/>
                <w:szCs w:val="20"/>
                <w:color w:val="auto"/>
              </w:rPr>
            </w:pPr>
            <w:r>
              <w:rPr>
                <w:rFonts w:ascii="Calibri" w:cs="Calibri" w:eastAsia="Calibri" w:hAnsi="Calibri"/>
                <w:sz w:val="18"/>
                <w:szCs w:val="18"/>
                <w:color w:val="auto"/>
              </w:rPr>
              <w:t>2,000,125</w:t>
            </w:r>
          </w:p>
        </w:tc>
        <w:tc>
          <w:tcPr>
            <w:tcW w:w="1440" w:type="dxa"/>
            <w:vAlign w:val="bottom"/>
          </w:tcPr>
          <w:p>
            <w:pPr>
              <w:jc w:val="right"/>
              <w:ind w:right="210"/>
              <w:spacing w:after="0"/>
              <w:rPr>
                <w:sz w:val="20"/>
                <w:szCs w:val="20"/>
                <w:color w:val="auto"/>
              </w:rPr>
            </w:pPr>
            <w:r>
              <w:rPr>
                <w:rFonts w:ascii="Calibri" w:cs="Calibri" w:eastAsia="Calibri" w:hAnsi="Calibri"/>
                <w:sz w:val="18"/>
                <w:szCs w:val="18"/>
                <w:color w:val="auto"/>
              </w:rPr>
              <w:t>1,475,125</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1,381,375</w:t>
            </w:r>
          </w:p>
        </w:tc>
        <w:tc>
          <w:tcPr>
            <w:tcW w:w="1480" w:type="dxa"/>
            <w:vAlign w:val="bottom"/>
          </w:tcPr>
          <w:p>
            <w:pPr>
              <w:jc w:val="right"/>
              <w:spacing w:after="0"/>
              <w:rPr>
                <w:sz w:val="20"/>
                <w:szCs w:val="20"/>
                <w:color w:val="auto"/>
              </w:rPr>
            </w:pPr>
            <w:r>
              <w:rPr>
                <w:rFonts w:ascii="Calibri" w:cs="Calibri" w:eastAsia="Calibri" w:hAnsi="Calibri"/>
                <w:sz w:val="18"/>
                <w:szCs w:val="18"/>
                <w:color w:val="auto"/>
              </w:rPr>
              <w:t>0.64</w:t>
            </w:r>
          </w:p>
        </w:tc>
        <w:tc>
          <w:tcPr>
            <w:tcW w:w="1420" w:type="dxa"/>
            <w:vAlign w:val="bottom"/>
          </w:tcPr>
          <w:p>
            <w:pPr>
              <w:jc w:val="right"/>
              <w:spacing w:after="0"/>
              <w:rPr>
                <w:sz w:val="20"/>
                <w:szCs w:val="20"/>
                <w:color w:val="auto"/>
              </w:rPr>
            </w:pPr>
            <w:r>
              <w:rPr>
                <w:rFonts w:ascii="Calibri" w:cs="Calibri" w:eastAsia="Calibri" w:hAnsi="Calibri"/>
                <w:sz w:val="18"/>
                <w:szCs w:val="18"/>
                <w:color w:val="auto"/>
              </w:rPr>
              <w:t>677</w:t>
            </w:r>
          </w:p>
        </w:tc>
        <w:tc>
          <w:tcPr>
            <w:tcW w:w="1460" w:type="dxa"/>
            <w:vAlign w:val="bottom"/>
          </w:tcPr>
          <w:p>
            <w:pPr>
              <w:jc w:val="right"/>
              <w:spacing w:after="0"/>
              <w:rPr>
                <w:sz w:val="20"/>
                <w:szCs w:val="20"/>
                <w:color w:val="auto"/>
              </w:rPr>
            </w:pPr>
            <w:r>
              <w:rPr>
                <w:rFonts w:ascii="Calibri" w:cs="Calibri" w:eastAsia="Calibri" w:hAnsi="Calibri"/>
                <w:sz w:val="18"/>
                <w:szCs w:val="18"/>
                <w:color w:val="auto"/>
              </w:rPr>
              <w:t>3.39</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November 15, 2025</w:t>
            </w:r>
          </w:p>
        </w:tc>
        <w:tc>
          <w:tcPr>
            <w:tcW w:w="1780" w:type="dxa"/>
            <w:vAlign w:val="bottom"/>
          </w:tcPr>
          <w:p>
            <w:pPr>
              <w:jc w:val="right"/>
              <w:ind w:right="190"/>
              <w:spacing w:after="0"/>
              <w:rPr>
                <w:sz w:val="20"/>
                <w:szCs w:val="20"/>
                <w:color w:val="auto"/>
              </w:rPr>
            </w:pPr>
            <w:r>
              <w:rPr>
                <w:rFonts w:ascii="Calibri" w:cs="Calibri" w:eastAsia="Calibri" w:hAnsi="Calibri"/>
                <w:sz w:val="18"/>
                <w:szCs w:val="18"/>
                <w:color w:val="auto"/>
              </w:rPr>
              <w:t>1,150,000</w:t>
            </w:r>
          </w:p>
        </w:tc>
        <w:tc>
          <w:tcPr>
            <w:tcW w:w="1440" w:type="dxa"/>
            <w:vAlign w:val="bottom"/>
          </w:tcPr>
          <w:p>
            <w:pPr>
              <w:jc w:val="right"/>
              <w:ind w:right="210"/>
              <w:spacing w:after="0"/>
              <w:rPr>
                <w:sz w:val="20"/>
                <w:szCs w:val="20"/>
                <w:color w:val="auto"/>
              </w:rPr>
            </w:pPr>
            <w:r>
              <w:rPr>
                <w:rFonts w:ascii="Calibri" w:cs="Calibri" w:eastAsia="Calibri" w:hAnsi="Calibri"/>
                <w:sz w:val="18"/>
                <w:szCs w:val="18"/>
                <w:color w:val="auto"/>
              </w:rPr>
              <w:t>1,150,000</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1,150,000</w:t>
            </w:r>
          </w:p>
        </w:tc>
        <w:tc>
          <w:tcPr>
            <w:tcW w:w="1480" w:type="dxa"/>
            <w:vAlign w:val="bottom"/>
          </w:tcPr>
          <w:p>
            <w:pPr>
              <w:jc w:val="right"/>
              <w:spacing w:after="0"/>
              <w:rPr>
                <w:sz w:val="20"/>
                <w:szCs w:val="20"/>
                <w:color w:val="auto"/>
              </w:rPr>
            </w:pPr>
            <w:r>
              <w:rPr>
                <w:rFonts w:ascii="Calibri" w:cs="Calibri" w:eastAsia="Calibri" w:hAnsi="Calibri"/>
                <w:sz w:val="18"/>
                <w:szCs w:val="18"/>
                <w:color w:val="auto"/>
              </w:rPr>
              <w:t>0.25</w:t>
            </w:r>
          </w:p>
        </w:tc>
        <w:tc>
          <w:tcPr>
            <w:tcW w:w="1420" w:type="dxa"/>
            <w:vAlign w:val="bottom"/>
          </w:tcPr>
          <w:p>
            <w:pPr>
              <w:jc w:val="right"/>
              <w:spacing w:after="0"/>
              <w:rPr>
                <w:sz w:val="20"/>
                <w:szCs w:val="20"/>
                <w:color w:val="auto"/>
              </w:rPr>
            </w:pPr>
            <w:r>
              <w:rPr>
                <w:rFonts w:ascii="Calibri" w:cs="Calibri" w:eastAsia="Calibri" w:hAnsi="Calibri"/>
                <w:sz w:val="18"/>
                <w:szCs w:val="18"/>
                <w:color w:val="auto"/>
              </w:rPr>
              <w:t>220</w:t>
            </w:r>
          </w:p>
        </w:tc>
        <w:tc>
          <w:tcPr>
            <w:tcW w:w="1460" w:type="dxa"/>
            <w:vAlign w:val="bottom"/>
          </w:tcPr>
          <w:p>
            <w:pPr>
              <w:jc w:val="right"/>
              <w:spacing w:after="0"/>
              <w:rPr>
                <w:sz w:val="20"/>
                <w:szCs w:val="20"/>
                <w:color w:val="auto"/>
              </w:rPr>
            </w:pPr>
            <w:r>
              <w:rPr>
                <w:rFonts w:ascii="Calibri" w:cs="Calibri" w:eastAsia="Calibri" w:hAnsi="Calibri"/>
                <w:sz w:val="18"/>
                <w:szCs w:val="18"/>
                <w:color w:val="auto"/>
              </w:rPr>
              <w:t>3.63</w:t>
            </w:r>
          </w:p>
        </w:tc>
      </w:tr>
      <w:tr>
        <w:trPr>
          <w:trHeight w:val="23"/>
        </w:trPr>
        <w:tc>
          <w:tcPr>
            <w:tcW w:w="2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80" w:type="dxa"/>
            <w:vAlign w:val="bottom"/>
            <w:tcBorders>
              <w:bottom w:val="single" w:sz="8" w:color="929292"/>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2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29,957,860</w:t>
            </w:r>
          </w:p>
        </w:tc>
        <w:tc>
          <w:tcPr>
            <w:tcW w:w="1440" w:type="dxa"/>
            <w:vAlign w:val="bottom"/>
            <w:tcBorders>
              <w:bottom w:val="single" w:sz="8" w:color="auto"/>
            </w:tcBorders>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25,548,836</w:t>
            </w: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24,755,086</w:t>
            </w: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1.22</w:t>
            </w: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10,453</w:t>
            </w:r>
          </w:p>
        </w:tc>
        <w:tc>
          <w:tcPr>
            <w:tcW w:w="1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2.59</w:t>
            </w:r>
          </w:p>
        </w:tc>
      </w:tr>
      <w:tr>
        <w:trPr>
          <w:trHeight w:val="449"/>
        </w:trPr>
        <w:tc>
          <w:tcPr>
            <w:tcW w:w="2140" w:type="dxa"/>
            <w:vAlign w:val="bottom"/>
          </w:tcPr>
          <w:p>
            <w:pPr>
              <w:ind w:left="60"/>
              <w:spacing w:after="0"/>
              <w:rPr>
                <w:sz w:val="20"/>
                <w:szCs w:val="20"/>
                <w:color w:val="auto"/>
              </w:rPr>
            </w:pPr>
            <w:r>
              <w:rPr>
                <w:rFonts w:ascii="Calibri" w:cs="Calibri" w:eastAsia="Calibri" w:hAnsi="Calibri"/>
                <w:sz w:val="18"/>
                <w:szCs w:val="18"/>
                <w:b w:val="1"/>
                <w:bCs w:val="1"/>
                <w:i w:val="1"/>
                <w:iCs w:val="1"/>
                <w:color w:val="auto"/>
              </w:rPr>
              <w:t>Unit Purchase Warrants</w:t>
            </w: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February 4, 2024</w:t>
            </w:r>
          </w:p>
        </w:tc>
        <w:tc>
          <w:tcPr>
            <w:tcW w:w="1780" w:type="dxa"/>
            <w:vAlign w:val="bottom"/>
          </w:tcPr>
          <w:p>
            <w:pPr>
              <w:jc w:val="right"/>
              <w:ind w:right="190"/>
              <w:spacing w:after="0"/>
              <w:rPr>
                <w:sz w:val="20"/>
                <w:szCs w:val="20"/>
                <w:color w:val="auto"/>
              </w:rPr>
            </w:pPr>
            <w:r>
              <w:rPr>
                <w:rFonts w:ascii="Calibri" w:cs="Calibri" w:eastAsia="Calibri" w:hAnsi="Calibri"/>
                <w:sz w:val="18"/>
                <w:szCs w:val="18"/>
                <w:color w:val="auto"/>
              </w:rPr>
              <w:t>868,740</w:t>
            </w:r>
          </w:p>
        </w:tc>
        <w:tc>
          <w:tcPr>
            <w:tcW w:w="1440" w:type="dxa"/>
            <w:vAlign w:val="bottom"/>
          </w:tcPr>
          <w:p>
            <w:pPr>
              <w:jc w:val="right"/>
              <w:ind w:right="210"/>
              <w:spacing w:after="0"/>
              <w:rPr>
                <w:sz w:val="20"/>
                <w:szCs w:val="20"/>
                <w:color w:val="auto"/>
              </w:rPr>
            </w:pPr>
            <w:r>
              <w:rPr>
                <w:rFonts w:ascii="Calibri" w:cs="Calibri" w:eastAsia="Calibri" w:hAnsi="Calibri"/>
                <w:sz w:val="18"/>
                <w:szCs w:val="18"/>
                <w:color w:val="auto"/>
              </w:rPr>
              <w:t>868,740</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868,740</w:t>
            </w:r>
          </w:p>
        </w:tc>
        <w:tc>
          <w:tcPr>
            <w:tcW w:w="1480" w:type="dxa"/>
            <w:vAlign w:val="bottom"/>
          </w:tcPr>
          <w:p>
            <w:pPr>
              <w:jc w:val="right"/>
              <w:spacing w:after="0"/>
              <w:rPr>
                <w:sz w:val="20"/>
                <w:szCs w:val="20"/>
                <w:color w:val="auto"/>
              </w:rPr>
            </w:pPr>
            <w:r>
              <w:rPr>
                <w:rFonts w:ascii="Calibri" w:cs="Calibri" w:eastAsia="Calibri" w:hAnsi="Calibri"/>
                <w:sz w:val="18"/>
                <w:szCs w:val="18"/>
                <w:color w:val="auto"/>
              </w:rPr>
              <w:t>2.25</w:t>
            </w:r>
          </w:p>
        </w:tc>
        <w:tc>
          <w:tcPr>
            <w:tcW w:w="1420" w:type="dxa"/>
            <w:vAlign w:val="bottom"/>
          </w:tcPr>
          <w:p>
            <w:pPr>
              <w:jc w:val="right"/>
              <w:spacing w:after="0"/>
              <w:rPr>
                <w:sz w:val="20"/>
                <w:szCs w:val="20"/>
                <w:color w:val="auto"/>
              </w:rPr>
            </w:pPr>
            <w:r>
              <w:rPr>
                <w:rFonts w:ascii="Calibri" w:cs="Calibri" w:eastAsia="Calibri" w:hAnsi="Calibri"/>
                <w:sz w:val="18"/>
                <w:szCs w:val="18"/>
                <w:color w:val="auto"/>
              </w:rPr>
              <w:t>970</w:t>
            </w:r>
          </w:p>
        </w:tc>
        <w:tc>
          <w:tcPr>
            <w:tcW w:w="1460" w:type="dxa"/>
            <w:vAlign w:val="bottom"/>
          </w:tcPr>
          <w:p>
            <w:pPr>
              <w:jc w:val="right"/>
              <w:spacing w:after="0"/>
              <w:rPr>
                <w:sz w:val="20"/>
                <w:szCs w:val="20"/>
                <w:color w:val="auto"/>
              </w:rPr>
            </w:pPr>
            <w:r>
              <w:rPr>
                <w:rFonts w:ascii="Calibri" w:cs="Calibri" w:eastAsia="Calibri" w:hAnsi="Calibri"/>
                <w:sz w:val="18"/>
                <w:szCs w:val="18"/>
                <w:color w:val="auto"/>
              </w:rPr>
              <w:t>1.85</w:t>
            </w:r>
          </w:p>
        </w:tc>
      </w:tr>
      <w:tr>
        <w:trPr>
          <w:trHeight w:val="23"/>
        </w:trPr>
        <w:tc>
          <w:tcPr>
            <w:tcW w:w="2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2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b w:val="1"/>
                <w:bCs w:val="1"/>
                <w:color w:val="auto"/>
              </w:rPr>
              <w:t>868,740</w:t>
            </w:r>
          </w:p>
        </w:tc>
        <w:tc>
          <w:tcPr>
            <w:tcW w:w="1440" w:type="dxa"/>
            <w:vAlign w:val="bottom"/>
            <w:tcBorders>
              <w:bottom w:val="single" w:sz="8" w:color="auto"/>
            </w:tcBorders>
          </w:tcPr>
          <w:p>
            <w:pPr>
              <w:jc w:val="right"/>
              <w:ind w:right="210"/>
              <w:spacing w:after="0" w:line="215" w:lineRule="exact"/>
              <w:rPr>
                <w:sz w:val="20"/>
                <w:szCs w:val="20"/>
                <w:color w:val="auto"/>
              </w:rPr>
            </w:pPr>
            <w:r>
              <w:rPr>
                <w:rFonts w:ascii="Calibri" w:cs="Calibri" w:eastAsia="Calibri" w:hAnsi="Calibri"/>
                <w:sz w:val="18"/>
                <w:szCs w:val="18"/>
                <w:b w:val="1"/>
                <w:bCs w:val="1"/>
                <w:color w:val="auto"/>
              </w:rPr>
              <w:t>868,740</w:t>
            </w: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868,740</w:t>
            </w: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2.25</w:t>
            </w: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970</w:t>
            </w:r>
          </w:p>
        </w:tc>
        <w:tc>
          <w:tcPr>
            <w:tcW w:w="1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1.85</w:t>
            </w:r>
          </w:p>
        </w:tc>
      </w:tr>
    </w:tbl>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As at March 31, 2022, the Company has 3,125,032 Common Share purchase warrants held in escrow (March 31, 2021 - 9,375,094).</w:t>
      </w:r>
    </w:p>
    <w:p>
      <w:pPr>
        <w:spacing w:after="0" w:line="177"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The Company recognized share-based payments compensaton related to the issuance of Common Share purchase warrants for the year ended March 31, 2022 of $40 (March 31, 2021 - $4,242) .</w:t>
      </w:r>
    </w:p>
    <w:p>
      <w:pPr>
        <w:spacing w:after="0" w:line="172" w:lineRule="exact"/>
        <w:rPr>
          <w:sz w:val="20"/>
          <w:szCs w:val="20"/>
          <w:color w:val="auto"/>
        </w:rPr>
      </w:pPr>
    </w:p>
    <w:p>
      <w:pPr>
        <w:ind w:left="560" w:hanging="308"/>
        <w:spacing w:after="0"/>
        <w:tabs>
          <w:tab w:leader="none" w:pos="560" w:val="left"/>
        </w:tabs>
        <w:numPr>
          <w:ilvl w:val="0"/>
          <w:numId w:val="19"/>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Stock optons</w:t>
      </w:r>
    </w:p>
    <w:p>
      <w:pPr>
        <w:spacing w:after="0" w:line="190"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November 5, 2020, Cybin adopted a new equity incentve plan. Under the plan, the board of directors may grant share-based awards to acquire such number of Common Shares as is equal to up to 20% of the total number of issued and outstanding Common Shares at the tme such awards are granted. Optons granted under the plan vest over a period of tme at the discreton of the board of directors. On August 16, 2021, the board of directors and the shareholders approved an amendment to the equity incentve plan to modify certain provisions for awards granted to residents of the United States, to increase the fxed number of Incentve Stock Optons (as defned in the plan) and certain other housekeeping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38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71120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41" w:name="page42"/>
    <w:bookmarkEnd w:id="41"/>
    <w:p>
      <w:pPr>
        <w:spacing w:after="0"/>
        <w:rPr>
          <w:sz w:val="20"/>
          <w:szCs w:val="20"/>
          <w:color w:val="auto"/>
        </w:rPr>
      </w:pPr>
      <w:r>
        <w:rPr>
          <w:rFonts w:ascii="Calibri" w:cs="Calibri" w:eastAsia="Calibri" w:hAnsi="Calibri"/>
          <w:sz w:val="22"/>
          <w:szCs w:val="22"/>
          <w:b w:val="1"/>
          <w:bCs w:val="1"/>
          <w:color w:val="auto"/>
        </w:rPr>
        <w:t>CYBIN INC.</w:t>
      </w:r>
    </w:p>
    <w:p>
      <w:pPr>
        <w:spacing w:after="0" w:line="227"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31"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360" w:type="dxa"/>
            <w:vAlign w:val="bottom"/>
          </w:tcPr>
          <w:p>
            <w:pPr>
              <w:spacing w:after="0"/>
              <w:rPr>
                <w:sz w:val="20"/>
                <w:szCs w:val="20"/>
                <w:color w:val="auto"/>
              </w:rPr>
            </w:pPr>
            <w:r>
              <w:rPr>
                <w:rFonts w:ascii="Calibri" w:cs="Calibri" w:eastAsia="Calibri" w:hAnsi="Calibri"/>
                <w:sz w:val="18"/>
                <w:szCs w:val="18"/>
                <w:color w:val="auto"/>
              </w:rPr>
              <w:t>The changes in optons for the two years ended March 31, 2022 are as follows:</w:t>
            </w:r>
          </w:p>
        </w:tc>
        <w:tc>
          <w:tcPr>
            <w:tcW w:w="24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06"/>
        </w:trPr>
        <w:tc>
          <w:tcPr>
            <w:tcW w:w="6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8"/>
                <w:szCs w:val="18"/>
                <w:b w:val="1"/>
                <w:bCs w:val="1"/>
                <w:color w:val="auto"/>
              </w:rPr>
              <w:t>Weighted average</w:t>
            </w:r>
          </w:p>
        </w:tc>
      </w:tr>
      <w:tr>
        <w:trPr>
          <w:trHeight w:val="228"/>
        </w:trPr>
        <w:tc>
          <w:tcPr>
            <w:tcW w:w="6360" w:type="dxa"/>
            <w:vAlign w:val="bottom"/>
          </w:tcPr>
          <w:p>
            <w:pPr>
              <w:spacing w:after="0"/>
              <w:rPr>
                <w:sz w:val="19"/>
                <w:szCs w:val="19"/>
                <w:color w:val="auto"/>
              </w:rPr>
            </w:pPr>
          </w:p>
        </w:tc>
        <w:tc>
          <w:tcPr>
            <w:tcW w:w="2440" w:type="dxa"/>
            <w:vAlign w:val="bottom"/>
          </w:tcPr>
          <w:p>
            <w:pPr>
              <w:jc w:val="right"/>
              <w:ind w:right="190"/>
              <w:spacing w:after="0"/>
              <w:rPr>
                <w:sz w:val="20"/>
                <w:szCs w:val="20"/>
                <w:color w:val="auto"/>
              </w:rPr>
            </w:pPr>
            <w:r>
              <w:rPr>
                <w:rFonts w:ascii="Calibri" w:cs="Calibri" w:eastAsia="Calibri" w:hAnsi="Calibri"/>
                <w:sz w:val="18"/>
                <w:szCs w:val="18"/>
                <w:b w:val="1"/>
                <w:bCs w:val="1"/>
                <w:color w:val="auto"/>
              </w:rPr>
              <w:t>Number of Optons</w:t>
            </w: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exercise price</w:t>
            </w:r>
          </w:p>
        </w:tc>
      </w:tr>
      <w:tr>
        <w:trPr>
          <w:trHeight w:val="23"/>
        </w:trPr>
        <w:tc>
          <w:tcPr>
            <w:tcW w:w="63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63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w:t>
            </w:r>
          </w:p>
        </w:tc>
      </w:tr>
      <w:tr>
        <w:trPr>
          <w:trHeight w:val="215"/>
        </w:trPr>
        <w:tc>
          <w:tcPr>
            <w:tcW w:w="6360" w:type="dxa"/>
            <w:vAlign w:val="bottom"/>
          </w:tcPr>
          <w:p>
            <w:pPr>
              <w:ind w:left="60"/>
              <w:spacing w:after="0" w:line="215" w:lineRule="exact"/>
              <w:rPr>
                <w:sz w:val="20"/>
                <w:szCs w:val="20"/>
                <w:color w:val="auto"/>
              </w:rPr>
            </w:pPr>
            <w:r>
              <w:rPr>
                <w:rFonts w:ascii="Calibri" w:cs="Calibri" w:eastAsia="Calibri" w:hAnsi="Calibri"/>
                <w:sz w:val="18"/>
                <w:szCs w:val="18"/>
                <w:color w:val="auto"/>
              </w:rPr>
              <w:t>As at March 31, 2020</w:t>
            </w:r>
          </w:p>
        </w:tc>
        <w:tc>
          <w:tcPr>
            <w:tcW w:w="24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1,702,338</w:t>
            </w: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0.30</w:t>
            </w:r>
          </w:p>
        </w:tc>
      </w:tr>
      <w:tr>
        <w:trPr>
          <w:trHeight w:val="221"/>
        </w:trPr>
        <w:tc>
          <w:tcPr>
            <w:tcW w:w="6360" w:type="dxa"/>
            <w:vAlign w:val="bottom"/>
          </w:tcPr>
          <w:p>
            <w:pPr>
              <w:ind w:left="60"/>
              <w:spacing w:after="0"/>
              <w:rPr>
                <w:sz w:val="20"/>
                <w:szCs w:val="20"/>
                <w:color w:val="auto"/>
              </w:rPr>
            </w:pPr>
            <w:r>
              <w:rPr>
                <w:rFonts w:ascii="Calibri" w:cs="Calibri" w:eastAsia="Calibri" w:hAnsi="Calibri"/>
                <w:sz w:val="18"/>
                <w:szCs w:val="18"/>
                <w:color w:val="auto"/>
              </w:rPr>
              <w:t>Granted</w:t>
            </w:r>
          </w:p>
        </w:tc>
        <w:tc>
          <w:tcPr>
            <w:tcW w:w="2440" w:type="dxa"/>
            <w:vAlign w:val="bottom"/>
          </w:tcPr>
          <w:p>
            <w:pPr>
              <w:jc w:val="right"/>
              <w:ind w:right="190"/>
              <w:spacing w:after="0"/>
              <w:rPr>
                <w:sz w:val="20"/>
                <w:szCs w:val="20"/>
                <w:color w:val="auto"/>
              </w:rPr>
            </w:pPr>
            <w:r>
              <w:rPr>
                <w:rFonts w:ascii="Calibri" w:cs="Calibri" w:eastAsia="Calibri" w:hAnsi="Calibri"/>
                <w:sz w:val="18"/>
                <w:szCs w:val="18"/>
                <w:color w:val="auto"/>
              </w:rPr>
              <w:t>21,927,500</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1.02</w:t>
            </w:r>
          </w:p>
        </w:tc>
      </w:tr>
      <w:tr>
        <w:trPr>
          <w:trHeight w:val="230"/>
        </w:trPr>
        <w:tc>
          <w:tcPr>
            <w:tcW w:w="6360" w:type="dxa"/>
            <w:vAlign w:val="bottom"/>
          </w:tcPr>
          <w:p>
            <w:pPr>
              <w:ind w:left="60"/>
              <w:spacing w:after="0"/>
              <w:rPr>
                <w:sz w:val="20"/>
                <w:szCs w:val="20"/>
                <w:color w:val="auto"/>
              </w:rPr>
            </w:pPr>
            <w:r>
              <w:rPr>
                <w:rFonts w:ascii="Calibri" w:cs="Calibri" w:eastAsia="Calibri" w:hAnsi="Calibri"/>
                <w:sz w:val="18"/>
                <w:szCs w:val="18"/>
                <w:color w:val="auto"/>
              </w:rPr>
              <w:t>Exercised</w:t>
            </w:r>
          </w:p>
        </w:tc>
        <w:tc>
          <w:tcPr>
            <w:tcW w:w="2440" w:type="dxa"/>
            <w:vAlign w:val="bottom"/>
          </w:tcPr>
          <w:p>
            <w:pPr>
              <w:jc w:val="right"/>
              <w:ind w:right="190"/>
              <w:spacing w:after="0"/>
              <w:rPr>
                <w:sz w:val="20"/>
                <w:szCs w:val="20"/>
                <w:color w:val="auto"/>
              </w:rPr>
            </w:pPr>
            <w:r>
              <w:rPr>
                <w:rFonts w:ascii="Calibri" w:cs="Calibri" w:eastAsia="Calibri" w:hAnsi="Calibri"/>
                <w:sz w:val="18"/>
                <w:szCs w:val="18"/>
                <w:color w:val="auto"/>
              </w:rPr>
              <w:t>(492,386)</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0.37</w:t>
            </w:r>
          </w:p>
        </w:tc>
      </w:tr>
      <w:tr>
        <w:trPr>
          <w:trHeight w:val="229"/>
        </w:trPr>
        <w:tc>
          <w:tcPr>
            <w:tcW w:w="6360" w:type="dxa"/>
            <w:vAlign w:val="bottom"/>
          </w:tcPr>
          <w:p>
            <w:pPr>
              <w:ind w:left="60"/>
              <w:spacing w:after="0"/>
              <w:rPr>
                <w:sz w:val="20"/>
                <w:szCs w:val="20"/>
                <w:color w:val="auto"/>
              </w:rPr>
            </w:pPr>
            <w:r>
              <w:rPr>
                <w:rFonts w:ascii="Calibri" w:cs="Calibri" w:eastAsia="Calibri" w:hAnsi="Calibri"/>
                <w:sz w:val="18"/>
                <w:szCs w:val="18"/>
                <w:color w:val="auto"/>
              </w:rPr>
              <w:t>Forfeited</w:t>
            </w:r>
          </w:p>
        </w:tc>
        <w:tc>
          <w:tcPr>
            <w:tcW w:w="2440" w:type="dxa"/>
            <w:vAlign w:val="bottom"/>
          </w:tcPr>
          <w:p>
            <w:pPr>
              <w:jc w:val="right"/>
              <w:ind w:right="190"/>
              <w:spacing w:after="0"/>
              <w:rPr>
                <w:sz w:val="20"/>
                <w:szCs w:val="20"/>
                <w:color w:val="auto"/>
              </w:rPr>
            </w:pPr>
            <w:r>
              <w:rPr>
                <w:rFonts w:ascii="Calibri" w:cs="Calibri" w:eastAsia="Calibri" w:hAnsi="Calibri"/>
                <w:sz w:val="18"/>
                <w:szCs w:val="18"/>
                <w:color w:val="auto"/>
              </w:rPr>
              <w:t>(1,105,000)</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0.37</w:t>
            </w:r>
          </w:p>
        </w:tc>
      </w:tr>
      <w:tr>
        <w:trPr>
          <w:trHeight w:val="23"/>
        </w:trPr>
        <w:tc>
          <w:tcPr>
            <w:tcW w:w="63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8"/>
        </w:trPr>
        <w:tc>
          <w:tcPr>
            <w:tcW w:w="6360" w:type="dxa"/>
            <w:vAlign w:val="bottom"/>
          </w:tcPr>
          <w:p>
            <w:pPr>
              <w:ind w:left="60"/>
              <w:spacing w:after="0" w:line="208" w:lineRule="exact"/>
              <w:rPr>
                <w:sz w:val="20"/>
                <w:szCs w:val="20"/>
                <w:color w:val="auto"/>
              </w:rPr>
            </w:pPr>
            <w:r>
              <w:rPr>
                <w:rFonts w:ascii="Calibri" w:cs="Calibri" w:eastAsia="Calibri" w:hAnsi="Calibri"/>
                <w:sz w:val="18"/>
                <w:szCs w:val="18"/>
                <w:color w:val="auto"/>
              </w:rPr>
              <w:t>As at March 31, 2021</w:t>
            </w:r>
          </w:p>
        </w:tc>
        <w:tc>
          <w:tcPr>
            <w:tcW w:w="2440" w:type="dxa"/>
            <w:vAlign w:val="bottom"/>
          </w:tcPr>
          <w:p>
            <w:pPr>
              <w:jc w:val="right"/>
              <w:ind w:right="190"/>
              <w:spacing w:after="0" w:line="208" w:lineRule="exact"/>
              <w:rPr>
                <w:sz w:val="20"/>
                <w:szCs w:val="20"/>
                <w:color w:val="auto"/>
              </w:rPr>
            </w:pPr>
            <w:r>
              <w:rPr>
                <w:rFonts w:ascii="Calibri" w:cs="Calibri" w:eastAsia="Calibri" w:hAnsi="Calibri"/>
                <w:sz w:val="18"/>
                <w:szCs w:val="18"/>
                <w:color w:val="auto"/>
              </w:rPr>
              <w:t>22,032,452</w:t>
            </w:r>
          </w:p>
        </w:tc>
        <w:tc>
          <w:tcPr>
            <w:tcW w:w="1660" w:type="dxa"/>
            <w:vAlign w:val="bottom"/>
          </w:tcPr>
          <w:p>
            <w:pPr>
              <w:jc w:val="right"/>
              <w:spacing w:after="0" w:line="208" w:lineRule="exact"/>
              <w:rPr>
                <w:sz w:val="20"/>
                <w:szCs w:val="20"/>
                <w:color w:val="auto"/>
              </w:rPr>
            </w:pPr>
            <w:r>
              <w:rPr>
                <w:rFonts w:ascii="Calibri" w:cs="Calibri" w:eastAsia="Calibri" w:hAnsi="Calibri"/>
                <w:sz w:val="18"/>
                <w:szCs w:val="18"/>
                <w:color w:val="auto"/>
              </w:rPr>
              <w:t>1.01</w:t>
            </w:r>
          </w:p>
        </w:tc>
      </w:tr>
      <w:tr>
        <w:trPr>
          <w:trHeight w:val="221"/>
        </w:trPr>
        <w:tc>
          <w:tcPr>
            <w:tcW w:w="6360" w:type="dxa"/>
            <w:vAlign w:val="bottom"/>
          </w:tcPr>
          <w:p>
            <w:pPr>
              <w:ind w:left="60"/>
              <w:spacing w:after="0"/>
              <w:rPr>
                <w:sz w:val="20"/>
                <w:szCs w:val="20"/>
                <w:color w:val="auto"/>
              </w:rPr>
            </w:pPr>
            <w:r>
              <w:rPr>
                <w:rFonts w:ascii="Calibri" w:cs="Calibri" w:eastAsia="Calibri" w:hAnsi="Calibri"/>
                <w:sz w:val="18"/>
                <w:szCs w:val="18"/>
                <w:color w:val="auto"/>
              </w:rPr>
              <w:t>Granted</w:t>
            </w:r>
          </w:p>
        </w:tc>
        <w:tc>
          <w:tcPr>
            <w:tcW w:w="2440" w:type="dxa"/>
            <w:vAlign w:val="bottom"/>
          </w:tcPr>
          <w:p>
            <w:pPr>
              <w:jc w:val="right"/>
              <w:ind w:right="190"/>
              <w:spacing w:after="0"/>
              <w:rPr>
                <w:sz w:val="20"/>
                <w:szCs w:val="20"/>
                <w:color w:val="auto"/>
              </w:rPr>
            </w:pPr>
            <w:r>
              <w:rPr>
                <w:rFonts w:ascii="Calibri" w:cs="Calibri" w:eastAsia="Calibri" w:hAnsi="Calibri"/>
                <w:sz w:val="18"/>
                <w:szCs w:val="18"/>
                <w:color w:val="auto"/>
              </w:rPr>
              <w:t>9,144,600</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2.42</w:t>
            </w:r>
          </w:p>
        </w:tc>
      </w:tr>
      <w:tr>
        <w:trPr>
          <w:trHeight w:val="230"/>
        </w:trPr>
        <w:tc>
          <w:tcPr>
            <w:tcW w:w="6360" w:type="dxa"/>
            <w:vAlign w:val="bottom"/>
          </w:tcPr>
          <w:p>
            <w:pPr>
              <w:ind w:left="60"/>
              <w:spacing w:after="0"/>
              <w:rPr>
                <w:sz w:val="20"/>
                <w:szCs w:val="20"/>
                <w:color w:val="auto"/>
              </w:rPr>
            </w:pPr>
            <w:r>
              <w:rPr>
                <w:rFonts w:ascii="Calibri" w:cs="Calibri" w:eastAsia="Calibri" w:hAnsi="Calibri"/>
                <w:sz w:val="18"/>
                <w:szCs w:val="18"/>
                <w:color w:val="auto"/>
              </w:rPr>
              <w:t>Exercised</w:t>
            </w:r>
          </w:p>
        </w:tc>
        <w:tc>
          <w:tcPr>
            <w:tcW w:w="2440" w:type="dxa"/>
            <w:vAlign w:val="bottom"/>
          </w:tcPr>
          <w:p>
            <w:pPr>
              <w:jc w:val="right"/>
              <w:ind w:right="190"/>
              <w:spacing w:after="0"/>
              <w:rPr>
                <w:sz w:val="20"/>
                <w:szCs w:val="20"/>
                <w:color w:val="auto"/>
              </w:rPr>
            </w:pPr>
            <w:r>
              <w:rPr>
                <w:rFonts w:ascii="Calibri" w:cs="Calibri" w:eastAsia="Calibri" w:hAnsi="Calibri"/>
                <w:sz w:val="18"/>
                <w:szCs w:val="18"/>
                <w:color w:val="auto"/>
              </w:rPr>
              <w:t>(1,588,300)</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0.83</w:t>
            </w:r>
          </w:p>
        </w:tc>
      </w:tr>
      <w:tr>
        <w:trPr>
          <w:trHeight w:val="229"/>
        </w:trPr>
        <w:tc>
          <w:tcPr>
            <w:tcW w:w="6360" w:type="dxa"/>
            <w:vAlign w:val="bottom"/>
          </w:tcPr>
          <w:p>
            <w:pPr>
              <w:ind w:left="60"/>
              <w:spacing w:after="0"/>
              <w:rPr>
                <w:sz w:val="20"/>
                <w:szCs w:val="20"/>
                <w:color w:val="auto"/>
              </w:rPr>
            </w:pPr>
            <w:r>
              <w:rPr>
                <w:rFonts w:ascii="Calibri" w:cs="Calibri" w:eastAsia="Calibri" w:hAnsi="Calibri"/>
                <w:sz w:val="18"/>
                <w:szCs w:val="18"/>
                <w:color w:val="auto"/>
              </w:rPr>
              <w:t>Forfeited</w:t>
            </w:r>
          </w:p>
        </w:tc>
        <w:tc>
          <w:tcPr>
            <w:tcW w:w="2440" w:type="dxa"/>
            <w:vAlign w:val="bottom"/>
          </w:tcPr>
          <w:p>
            <w:pPr>
              <w:jc w:val="right"/>
              <w:ind w:right="190"/>
              <w:spacing w:after="0"/>
              <w:rPr>
                <w:sz w:val="20"/>
                <w:szCs w:val="20"/>
                <w:color w:val="auto"/>
              </w:rPr>
            </w:pPr>
            <w:r>
              <w:rPr>
                <w:rFonts w:ascii="Calibri" w:cs="Calibri" w:eastAsia="Calibri" w:hAnsi="Calibri"/>
                <w:sz w:val="18"/>
                <w:szCs w:val="18"/>
                <w:color w:val="auto"/>
              </w:rPr>
              <w:t>(683,750)</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1.55</w:t>
            </w:r>
          </w:p>
        </w:tc>
      </w:tr>
      <w:tr>
        <w:trPr>
          <w:trHeight w:val="229"/>
        </w:trPr>
        <w:tc>
          <w:tcPr>
            <w:tcW w:w="6360" w:type="dxa"/>
            <w:vAlign w:val="bottom"/>
          </w:tcPr>
          <w:p>
            <w:pPr>
              <w:ind w:left="60"/>
              <w:spacing w:after="0"/>
              <w:rPr>
                <w:sz w:val="20"/>
                <w:szCs w:val="20"/>
                <w:color w:val="auto"/>
              </w:rPr>
            </w:pPr>
            <w:r>
              <w:rPr>
                <w:rFonts w:ascii="Calibri" w:cs="Calibri" w:eastAsia="Calibri" w:hAnsi="Calibri"/>
                <w:sz w:val="18"/>
                <w:szCs w:val="18"/>
                <w:color w:val="auto"/>
              </w:rPr>
              <w:t>Cancelled</w:t>
            </w:r>
          </w:p>
        </w:tc>
        <w:tc>
          <w:tcPr>
            <w:tcW w:w="2440" w:type="dxa"/>
            <w:vAlign w:val="bottom"/>
          </w:tcPr>
          <w:p>
            <w:pPr>
              <w:jc w:val="right"/>
              <w:ind w:right="190"/>
              <w:spacing w:after="0"/>
              <w:rPr>
                <w:sz w:val="20"/>
                <w:szCs w:val="20"/>
                <w:color w:val="auto"/>
              </w:rPr>
            </w:pPr>
            <w:r>
              <w:rPr>
                <w:rFonts w:ascii="Calibri" w:cs="Calibri" w:eastAsia="Calibri" w:hAnsi="Calibri"/>
                <w:sz w:val="18"/>
                <w:szCs w:val="18"/>
                <w:color w:val="auto"/>
              </w:rPr>
              <w:t>(20,000)</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2.78</w:t>
            </w:r>
          </w:p>
        </w:tc>
      </w:tr>
      <w:tr>
        <w:trPr>
          <w:trHeight w:val="23"/>
        </w:trPr>
        <w:tc>
          <w:tcPr>
            <w:tcW w:w="63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6360" w:type="dxa"/>
            <w:vAlign w:val="bottom"/>
            <w:tcBorders>
              <w:bottom w:val="single" w:sz="8" w:color="auto"/>
            </w:tcBorders>
          </w:tcPr>
          <w:p>
            <w:pPr>
              <w:ind w:left="60"/>
              <w:spacing w:after="0" w:line="215" w:lineRule="exact"/>
              <w:rPr>
                <w:sz w:val="20"/>
                <w:szCs w:val="20"/>
                <w:color w:val="auto"/>
              </w:rPr>
            </w:pPr>
            <w:r>
              <w:rPr>
                <w:rFonts w:ascii="Calibri" w:cs="Calibri" w:eastAsia="Calibri" w:hAnsi="Calibri"/>
                <w:sz w:val="18"/>
                <w:szCs w:val="18"/>
                <w:b w:val="1"/>
                <w:bCs w:val="1"/>
                <w:color w:val="auto"/>
              </w:rPr>
              <w:t>Outstanding as at March 31, 2022</w:t>
            </w:r>
          </w:p>
        </w:tc>
        <w:tc>
          <w:tcPr>
            <w:tcW w:w="244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28,885,002</w:t>
            </w:r>
          </w:p>
        </w:tc>
        <w:tc>
          <w:tcPr>
            <w:tcW w:w="16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1.45</w:t>
            </w:r>
          </w:p>
        </w:tc>
      </w:tr>
      <w:tr>
        <w:trPr>
          <w:trHeight w:val="223"/>
        </w:trPr>
        <w:tc>
          <w:tcPr>
            <w:tcW w:w="6360" w:type="dxa"/>
            <w:vAlign w:val="bottom"/>
            <w:tcBorders>
              <w:bottom w:val="single" w:sz="8" w:color="auto"/>
            </w:tcBorders>
          </w:tcPr>
          <w:p>
            <w:pPr>
              <w:ind w:left="60"/>
              <w:spacing w:after="0" w:line="215" w:lineRule="exact"/>
              <w:rPr>
                <w:sz w:val="20"/>
                <w:szCs w:val="20"/>
                <w:color w:val="auto"/>
              </w:rPr>
            </w:pPr>
            <w:r>
              <w:rPr>
                <w:rFonts w:ascii="Calibri" w:cs="Calibri" w:eastAsia="Calibri" w:hAnsi="Calibri"/>
                <w:sz w:val="18"/>
                <w:szCs w:val="18"/>
                <w:b w:val="1"/>
                <w:bCs w:val="1"/>
                <w:color w:val="auto"/>
              </w:rPr>
              <w:t>Exercisable as at March 31, 2022</w:t>
            </w:r>
          </w:p>
        </w:tc>
        <w:tc>
          <w:tcPr>
            <w:tcW w:w="244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19,408,182</w:t>
            </w:r>
          </w:p>
        </w:tc>
        <w:tc>
          <w:tcPr>
            <w:tcW w:w="16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1.29</w:t>
            </w:r>
          </w:p>
        </w:tc>
      </w:tr>
    </w:tbl>
    <w:p>
      <w:pPr>
        <w:spacing w:after="0" w:line="243"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During the year ended March 31, 2021, the Company completed the following opton issuances:</w:t>
      </w:r>
    </w:p>
    <w:p>
      <w:pPr>
        <w:spacing w:after="0" w:line="177"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June 15, 2020, the Company granted optons to purchase up to 2,600,000 Common Shares to executve ofcers with an exercise price of $0.25. The optons will expire on June 15, 2025.</w:t>
      </w:r>
    </w:p>
    <w:p>
      <w:pPr>
        <w:spacing w:after="0" w:line="177" w:lineRule="exact"/>
        <w:rPr>
          <w:sz w:val="20"/>
          <w:szCs w:val="20"/>
          <w:color w:val="auto"/>
        </w:rPr>
      </w:pPr>
    </w:p>
    <w:p>
      <w:pPr>
        <w:ind w:left="260"/>
        <w:spacing w:after="0"/>
        <w:rPr>
          <w:sz w:val="20"/>
          <w:szCs w:val="20"/>
          <w:color w:val="auto"/>
        </w:rPr>
      </w:pPr>
      <w:r>
        <w:rPr>
          <w:rFonts w:ascii="Calibri" w:cs="Calibri" w:eastAsia="Calibri" w:hAnsi="Calibri"/>
          <w:sz w:val="17"/>
          <w:szCs w:val="17"/>
          <w:color w:val="auto"/>
        </w:rPr>
        <w:t>On July 22, 2020, the Company granted optons to purchase up to 500,000 Common Shares to executve ofcers with an exercise price of $0.64 per share.</w:t>
      </w:r>
    </w:p>
    <w:p>
      <w:pPr>
        <w:spacing w:after="0" w:line="4"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The optons will expire on July 22, 2025.</w:t>
      </w:r>
    </w:p>
    <w:p>
      <w:pPr>
        <w:spacing w:after="0" w:line="190"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October 12, 2020, the Company granted optons to purchase up to 3,000,000 Common Shares to executve ofcers with an exercise price of $0.75 per share, vestng over a 24-month period. The optons will expire on October 12, 2025.</w:t>
      </w:r>
    </w:p>
    <w:p>
      <w:pPr>
        <w:spacing w:after="0" w:line="24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November 4, 2020, the Company granted 6,200,000 optons to purchase up to: 4,500,000 Common Shares to executve ofcers, 250,000 Common Shares to employees, and 1,450,000 Common Shares to advisors, with an exercise price of $0.75 per Common Share and vestng over a 24-month period. The optons will expire on November 4, 2025.</w:t>
      </w:r>
    </w:p>
    <w:p>
      <w:pPr>
        <w:spacing w:after="0" w:line="178"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November 5, 2020, the Company completed a Common Share consolidaton on the basis of 6.6672 old Common Shares into one new Common Share. Afer completon of the consolidaton, there were 202,338 optons to purchase Common Shares outstanding, with an exercise price of $0.6672 per Common Share, with such optons being fully vested and having an expiraton date of December 11, 2022.</w:t>
      </w:r>
    </w:p>
    <w:p>
      <w:pPr>
        <w:spacing w:after="0" w:line="246"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November 13, 2020, the Company granted optons to purchase up to 500,000 Common Shares to executve ofcers with an exercise price of $0.88 per Common Share and vestng over a 24-month period. The optons will expire on November 13, 2025.</w:t>
      </w:r>
    </w:p>
    <w:p>
      <w:pPr>
        <w:spacing w:after="0" w:line="24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November 27, 2020, the Company granted optons to purchase up to 200,000 Common Shares to a consultant of the Company with an exercise price of $0.91 per Common Share, and vestng on April 27, 2021. The optons will expire on November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39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42" w:name="page43"/>
    <w:bookmarkEnd w:id="42"/>
    <w:p>
      <w:pPr>
        <w:spacing w:after="0"/>
        <w:rPr>
          <w:sz w:val="20"/>
          <w:szCs w:val="20"/>
          <w:color w:val="auto"/>
        </w:rPr>
      </w:pPr>
      <w:r>
        <w:rPr>
          <w:rFonts w:ascii="Calibri" w:cs="Calibri" w:eastAsia="Calibri" w:hAnsi="Calibri"/>
          <w:sz w:val="22"/>
          <w:szCs w:val="22"/>
          <w:b w:val="1"/>
          <w:bCs w:val="1"/>
          <w:color w:val="auto"/>
        </w:rPr>
        <w:t>CYBIN INC.</w:t>
      </w:r>
    </w:p>
    <w:p>
      <w:pPr>
        <w:spacing w:after="0" w:line="227"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31"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December 11, 2020, the Company granted optons to purchase up to 700,000 Common Shares to consultants of the Company with an exercise price of $1.48 per Common Share, and vestng over a 24-month period. The optons will expire on December 11, 2025.</w:t>
      </w:r>
    </w:p>
    <w:p>
      <w:pPr>
        <w:spacing w:after="0" w:line="245" w:lineRule="exact"/>
        <w:rPr>
          <w:sz w:val="20"/>
          <w:szCs w:val="20"/>
          <w:color w:val="auto"/>
        </w:rPr>
      </w:pPr>
    </w:p>
    <w:p>
      <w:pPr>
        <w:jc w:val="both"/>
        <w:ind w:left="260"/>
        <w:spacing w:after="0" w:line="258" w:lineRule="auto"/>
        <w:rPr>
          <w:sz w:val="20"/>
          <w:szCs w:val="20"/>
          <w:color w:val="auto"/>
        </w:rPr>
      </w:pPr>
      <w:r>
        <w:rPr>
          <w:rFonts w:ascii="Calibri" w:cs="Calibri" w:eastAsia="Calibri" w:hAnsi="Calibri"/>
          <w:sz w:val="17"/>
          <w:szCs w:val="17"/>
          <w:color w:val="auto"/>
        </w:rPr>
        <w:t>On December 14, 2020, the Company granted optons to purchase up to 2,244,100 Common Shares to executve ofcers and consultants of the Company with an exercise price of $1.74 per Common Share, and vestng over a 24-month period. The optons will expire on December 14, 2025 (see note 4).</w:t>
      </w:r>
    </w:p>
    <w:p>
      <w:pPr>
        <w:spacing w:after="0" w:line="229"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December 16, 2020, optons to purchase up to 200,000 Common Shares expired unexercised as a result of the terminaton of a consultant of the Company.</w:t>
      </w:r>
    </w:p>
    <w:p>
      <w:pPr>
        <w:spacing w:after="0" w:line="24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December 28, 2020, the Company granted optons to purchase up to 760,000 Common Shares to directors and executve ofcers with an exercise price of $1.89 per Common Share, and vestng over a 24-month period. The optons will expire on December 28, 2025.</w:t>
      </w:r>
    </w:p>
    <w:p>
      <w:pPr>
        <w:spacing w:after="0" w:line="24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January 2, 2021, the Company granted optons to purchase up to 225,000 Common Shares to an employee with an exercise price of $1.89 per Common Share, and vestng over a 24-month period. The optons will expire on January 2, 2026.</w:t>
      </w:r>
    </w:p>
    <w:p>
      <w:pPr>
        <w:spacing w:after="0" w:line="24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February 15, 2021, the Company granted optons to purchase up to 170,000 Common Shares to consultants with an exercise price of $2.03 per Common Share, and vestng over a 24-month period. The optons will expire on February 15, 2026.</w:t>
      </w:r>
    </w:p>
    <w:p>
      <w:pPr>
        <w:spacing w:after="0" w:line="245" w:lineRule="exact"/>
        <w:rPr>
          <w:sz w:val="20"/>
          <w:szCs w:val="20"/>
          <w:color w:val="auto"/>
        </w:rPr>
      </w:pPr>
    </w:p>
    <w:p>
      <w:pPr>
        <w:jc w:val="both"/>
        <w:ind w:left="260" w:right="20"/>
        <w:spacing w:after="0" w:line="235" w:lineRule="auto"/>
        <w:rPr>
          <w:sz w:val="20"/>
          <w:szCs w:val="20"/>
          <w:color w:val="auto"/>
        </w:rPr>
      </w:pPr>
      <w:r>
        <w:rPr>
          <w:rFonts w:ascii="Calibri" w:cs="Calibri" w:eastAsia="Calibri" w:hAnsi="Calibri"/>
          <w:sz w:val="18"/>
          <w:szCs w:val="18"/>
          <w:color w:val="auto"/>
        </w:rPr>
        <w:t>On February 16, 2021, the Company granted optons to purchase up to 150,000 Common Shares to a consultant with an exercise price of $2.03 per Common Share, and vestng over a 24-month period. The optons will expire on February 16, 2026.</w:t>
      </w:r>
    </w:p>
    <w:p>
      <w:pPr>
        <w:spacing w:after="0" w:line="24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March 10, 2021, the Company granted optons to purchase up to 1,900,900 Common Shares to certain executve ofcers, employees, and consultants, with an exercise price of $1.39 per Common Share and vestng over a 24-month period. The optons will expire on March 10, 2026.</w:t>
      </w:r>
    </w:p>
    <w:p>
      <w:pPr>
        <w:spacing w:after="0" w:line="24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March 15, 2021, the Company granted optons to purchase up to 300,000 Common Shares to a consultant with an exercise price of $1.55 per Common Share, and vestng over a 24-month period. The optons will expire on March 15, 2026.</w:t>
      </w:r>
    </w:p>
    <w:p>
      <w:pPr>
        <w:spacing w:after="0" w:line="24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March 28, 2021, the Company granted optons to purchase up to: 225,000 Common Shares to an executve ofcer, 275,000 Common Shares to employees, and 1,575,000 Common Shares to consultants, with an exercise price of $1.36 per Common Share and vestng over a 24-month period. The optons will expire on March 28, 2026.</w:t>
      </w:r>
    </w:p>
    <w:p>
      <w:pPr>
        <w:spacing w:after="0" w:line="246"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March 29, 2021, the Company granted optons to purchase up to 37,500 Common Shares to a consultant with an exercise price of $1.32 per Common Share, vestng over a 24-month period expiring March 29, 2026.</w:t>
      </w:r>
    </w:p>
    <w:p>
      <w:pPr>
        <w:spacing w:after="0" w:line="2"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March 31, 2021, the Company granted optons to purchase up to 20,000 Common Shares to certain employees with an exercise price of $1.74 per Common Share, and vestng over 24-month period and 345,000 Common Shares with an exercise price of $1.35 per Common Share to certain employees, vestng over a 24-month period. The optons will expire on December 25, 2025 and March 31, 2026, respectvely.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40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43" w:name="page44"/>
    <w:bookmarkEnd w:id="43"/>
    <w:p>
      <w:pPr>
        <w:spacing w:after="0"/>
        <w:rPr>
          <w:sz w:val="20"/>
          <w:szCs w:val="20"/>
          <w:color w:val="auto"/>
        </w:rPr>
      </w:pPr>
      <w:r>
        <w:rPr>
          <w:rFonts w:ascii="Calibri" w:cs="Calibri" w:eastAsia="Calibri" w:hAnsi="Calibri"/>
          <w:sz w:val="22"/>
          <w:szCs w:val="22"/>
          <w:b w:val="1"/>
          <w:bCs w:val="1"/>
          <w:color w:val="auto"/>
        </w:rPr>
        <w:t>CYBIN INC.</w:t>
      </w:r>
    </w:p>
    <w:p>
      <w:pPr>
        <w:spacing w:after="0" w:line="227"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31"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From April 1, 2020 to March 31, 2021, employees and consultants exercised 492,386 optons for gross proceeds of $183 paid to the Company.</w:t>
      </w:r>
    </w:p>
    <w:p>
      <w:pPr>
        <w:spacing w:after="0" w:line="17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During the year ended March 31, 2022, the Company completed the following opton issuances:</w:t>
      </w:r>
    </w:p>
    <w:p>
      <w:pPr>
        <w:spacing w:after="0" w:line="244"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June 28, 2021, the Company granted optons to purchase up to: 1,975,000 Common Shares to executve ofcers, 1,090,000 Common Shares to employees, and 194,000 Common Shares to consultants, with an exercise price of $2.90 per Common Share and vestng over two years. On the same date, the Company granted optons to purchase 550,000 Common Shares to consultants with an exercise price of $2.90 per Common Share and vestng over one year. In additon, the Company granted optons to purchase up to 25,000 Common Shares to a consultant that vested immediately with an exercise price of $2.90 per Common Share. The optons will expire on June 28, 2026. The aggregate estmated grant date fair value was determined to be $7,994, calculated using the Black-Scholes opton pricing model with the following assumptons:</w:t>
      </w:r>
    </w:p>
    <w:p>
      <w:pPr>
        <w:spacing w:after="0" w:line="200" w:lineRule="exact"/>
        <w:rPr>
          <w:sz w:val="20"/>
          <w:szCs w:val="20"/>
          <w:color w:val="auto"/>
        </w:rPr>
      </w:pPr>
    </w:p>
    <w:p>
      <w:pPr>
        <w:spacing w:after="0" w:line="273"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480" w:type="dxa"/>
            <w:vAlign w:val="bottom"/>
          </w:tcPr>
          <w:p>
            <w:pPr>
              <w:ind w:left="60"/>
              <w:spacing w:after="0"/>
              <w:rPr>
                <w:sz w:val="20"/>
                <w:szCs w:val="20"/>
                <w:color w:val="auto"/>
              </w:rPr>
            </w:pPr>
            <w:r>
              <w:rPr>
                <w:rFonts w:ascii="Calibri" w:cs="Calibri" w:eastAsia="Calibri" w:hAnsi="Calibri"/>
                <w:sz w:val="18"/>
                <w:szCs w:val="18"/>
                <w:color w:val="auto"/>
              </w:rPr>
              <w:t>Risk-free interest rate</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0.98%</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annual volatlity, based on comparable companies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95.00%</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life (in years)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5.00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dividend yield</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Share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2.90</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Exercise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2.90</w:t>
            </w:r>
          </w:p>
        </w:tc>
      </w:tr>
      <w:tr>
        <w:trPr>
          <w:trHeight w:val="23"/>
        </w:trPr>
        <w:tc>
          <w:tcPr>
            <w:tcW w:w="64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August 16, 2021, the Company granted optons to purchase up to: 165,000 Common Shares to employees, and 50,000 Common Shares to consultants, with an exercise price of $2.48 per Common Share, and vestng over two years. The optons will expire on August 16, 2026. The estmated grant date fair value was determined to be $383, calculated using the Black-Scholes opton pricing model with the following assumptons:</w:t>
      </w:r>
    </w:p>
    <w:p>
      <w:pPr>
        <w:spacing w:after="0" w:line="227"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480" w:type="dxa"/>
            <w:vAlign w:val="bottom"/>
          </w:tcPr>
          <w:p>
            <w:pPr>
              <w:ind w:left="60"/>
              <w:spacing w:after="0"/>
              <w:rPr>
                <w:sz w:val="20"/>
                <w:szCs w:val="20"/>
                <w:color w:val="auto"/>
              </w:rPr>
            </w:pPr>
            <w:r>
              <w:rPr>
                <w:rFonts w:ascii="Calibri" w:cs="Calibri" w:eastAsia="Calibri" w:hAnsi="Calibri"/>
                <w:sz w:val="18"/>
                <w:szCs w:val="18"/>
                <w:color w:val="auto"/>
              </w:rPr>
              <w:t>Risk-free interest rate</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0.81%</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annual volatlity, based on comparable companies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95.00%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life (in years)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5.00</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dividend yield</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Share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2.48</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Exercise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2.48</w:t>
            </w:r>
          </w:p>
        </w:tc>
      </w:tr>
      <w:tr>
        <w:trPr>
          <w:trHeight w:val="23"/>
        </w:trPr>
        <w:tc>
          <w:tcPr>
            <w:tcW w:w="64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August 18, 2021, the Company granted optons to purchase up to 300,000 Common Shares to an executve ofcer with an exercise price of $2.48 per Common Share and vestng over two years. The optons will expire on August 18, 2026. The estmated grant date fair value was determined to be $519, calculated using the Black-Scholes opton pricing model with the following assumptons: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41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44" w:name="page45"/>
    <w:bookmarkEnd w:id="44"/>
    <w:p>
      <w:pPr>
        <w:spacing w:after="0"/>
        <w:rPr>
          <w:sz w:val="20"/>
          <w:szCs w:val="20"/>
          <w:color w:val="auto"/>
        </w:rPr>
      </w:pPr>
      <w:r>
        <w:rPr>
          <w:rFonts w:ascii="Calibri" w:cs="Calibri" w:eastAsia="Calibri" w:hAnsi="Calibri"/>
          <w:sz w:val="22"/>
          <w:szCs w:val="22"/>
          <w:b w:val="1"/>
          <w:bCs w:val="1"/>
          <w:color w:val="auto"/>
        </w:rPr>
        <w:t>CYBIN INC.</w:t>
      </w:r>
    </w:p>
    <w:p>
      <w:pPr>
        <w:spacing w:after="0" w:line="227"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31"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480" w:type="dxa"/>
            <w:vAlign w:val="bottom"/>
          </w:tcPr>
          <w:p>
            <w:pPr>
              <w:ind w:left="60"/>
              <w:spacing w:after="0"/>
              <w:rPr>
                <w:sz w:val="20"/>
                <w:szCs w:val="20"/>
                <w:color w:val="auto"/>
              </w:rPr>
            </w:pPr>
            <w:r>
              <w:rPr>
                <w:rFonts w:ascii="Calibri" w:cs="Calibri" w:eastAsia="Calibri" w:hAnsi="Calibri"/>
                <w:sz w:val="18"/>
                <w:szCs w:val="18"/>
                <w:color w:val="auto"/>
              </w:rPr>
              <w:t>Risk-free interest rate</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0.82%</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annual volatlity, based on comparable companies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95.00%</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life (in years)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5.00</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dividend yield</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Share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2.42</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Exercise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2.48</w:t>
            </w:r>
          </w:p>
        </w:tc>
      </w:tr>
      <w:tr>
        <w:trPr>
          <w:trHeight w:val="23"/>
        </w:trPr>
        <w:tc>
          <w:tcPr>
            <w:tcW w:w="64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September 27, 2021, the Company granted optons to purchase up to 585,000 Common Shares to employees with an exercise price of $3.15 per Common Share and vestng over two years. The optons will expire on September 27, 2026. The estmated grant date fair value was determined to be $1,186, calculated using the Black-Scholes opton pricing model with the following assumptons:</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480" w:type="dxa"/>
            <w:vAlign w:val="bottom"/>
          </w:tcPr>
          <w:p>
            <w:pPr>
              <w:ind w:left="60"/>
              <w:spacing w:after="0"/>
              <w:rPr>
                <w:sz w:val="20"/>
                <w:szCs w:val="20"/>
                <w:color w:val="auto"/>
              </w:rPr>
            </w:pPr>
            <w:r>
              <w:rPr>
                <w:rFonts w:ascii="Calibri" w:cs="Calibri" w:eastAsia="Calibri" w:hAnsi="Calibri"/>
                <w:sz w:val="18"/>
                <w:szCs w:val="18"/>
                <w:color w:val="auto"/>
              </w:rPr>
              <w:t>Risk-free interest rate</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1.06%</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annual volatlity, based on comparable companies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95.00%</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life (in years)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5.00</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dividend yield</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Share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2.87</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Exercise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3.15</w:t>
            </w:r>
          </w:p>
        </w:tc>
      </w:tr>
      <w:tr>
        <w:trPr>
          <w:trHeight w:val="23"/>
        </w:trPr>
        <w:tc>
          <w:tcPr>
            <w:tcW w:w="64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September 27, 2021, the Company granted optons to purchase up to 195,000 Common Shares to a director with an exercise price of $2.87 per Common Share and vestng over two years. The optons will expire on September 27, 2026. The estmated grant date fair value was determined to be $403, calculated using the Black-Scholes opton pricing model with the following assumptons:</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480" w:type="dxa"/>
            <w:vAlign w:val="bottom"/>
          </w:tcPr>
          <w:p>
            <w:pPr>
              <w:ind w:left="60"/>
              <w:spacing w:after="0"/>
              <w:rPr>
                <w:sz w:val="20"/>
                <w:szCs w:val="20"/>
                <w:color w:val="auto"/>
              </w:rPr>
            </w:pPr>
            <w:r>
              <w:rPr>
                <w:rFonts w:ascii="Calibri" w:cs="Calibri" w:eastAsia="Calibri" w:hAnsi="Calibri"/>
                <w:sz w:val="18"/>
                <w:szCs w:val="18"/>
                <w:color w:val="auto"/>
              </w:rPr>
              <w:t>Risk-free interest rate</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1.06%</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annual volatlity, based on comparable companies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95.00%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life (in years)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5.00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dividend yield</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Share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2.87</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Exercise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2.87</w:t>
            </w:r>
          </w:p>
        </w:tc>
      </w:tr>
      <w:tr>
        <w:trPr>
          <w:trHeight w:val="23"/>
        </w:trPr>
        <w:tc>
          <w:tcPr>
            <w:tcW w:w="64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September 30, 2021, the Company granted optons to purchase up to 450,000 Common Shares to employees with an exercise price of $3.15 per Common Share and vestng over two years. The optons will expire on September 30, 2026. The estmated grant date fair value was determined to be $878, calculated using the Black-Scholes opton pricing model with the following assumptons:</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480" w:type="dxa"/>
            <w:vAlign w:val="bottom"/>
          </w:tcPr>
          <w:p>
            <w:pPr>
              <w:ind w:left="60"/>
              <w:spacing w:after="0"/>
              <w:rPr>
                <w:sz w:val="20"/>
                <w:szCs w:val="20"/>
                <w:color w:val="auto"/>
              </w:rPr>
            </w:pPr>
            <w:r>
              <w:rPr>
                <w:rFonts w:ascii="Calibri" w:cs="Calibri" w:eastAsia="Calibri" w:hAnsi="Calibri"/>
                <w:sz w:val="18"/>
                <w:szCs w:val="18"/>
                <w:color w:val="auto"/>
              </w:rPr>
              <w:t>Risk-free interest rate</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1.11%</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annual volatlity, based on comparable companies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95.00%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life (in years)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5.00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dividend yield</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Share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2.78</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Exercise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3.15</w:t>
            </w:r>
          </w:p>
        </w:tc>
      </w:tr>
      <w:tr>
        <w:trPr>
          <w:trHeight w:val="23"/>
        </w:trPr>
        <w:tc>
          <w:tcPr>
            <w:tcW w:w="64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42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45" w:name="page46"/>
    <w:bookmarkEnd w:id="45"/>
    <w:p>
      <w:pPr>
        <w:spacing w:after="0"/>
        <w:rPr>
          <w:sz w:val="20"/>
          <w:szCs w:val="20"/>
          <w:color w:val="auto"/>
        </w:rPr>
      </w:pPr>
      <w:r>
        <w:rPr>
          <w:rFonts w:ascii="Calibri" w:cs="Calibri" w:eastAsia="Calibri" w:hAnsi="Calibri"/>
          <w:sz w:val="22"/>
          <w:szCs w:val="22"/>
          <w:b w:val="1"/>
          <w:bCs w:val="1"/>
          <w:color w:val="auto"/>
        </w:rPr>
        <w:t>CYBIN INC.</w:t>
      </w:r>
    </w:p>
    <w:p>
      <w:pPr>
        <w:spacing w:after="0" w:line="227"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31"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September 30, 2021, the Company granted optons to purchase up to 40,000 Common Shares to a consultant with an exercise price of $2.78 per Common Share and vestng over one year. The optons will expire on June 30, 2023. The estmated grant date fair value was determined to be $48, calculated using the Black-Scholes opton pricing model with the following assumptons:</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480" w:type="dxa"/>
            <w:vAlign w:val="bottom"/>
          </w:tcPr>
          <w:p>
            <w:pPr>
              <w:ind w:left="60"/>
              <w:spacing w:after="0"/>
              <w:rPr>
                <w:sz w:val="20"/>
                <w:szCs w:val="20"/>
                <w:color w:val="auto"/>
              </w:rPr>
            </w:pPr>
            <w:r>
              <w:rPr>
                <w:rFonts w:ascii="Calibri" w:cs="Calibri" w:eastAsia="Calibri" w:hAnsi="Calibri"/>
                <w:sz w:val="18"/>
                <w:szCs w:val="18"/>
                <w:color w:val="auto"/>
              </w:rPr>
              <w:t>Risk-free interest rate</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0.53%</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annual volatlity, based on comparable companies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85.00%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life (in years)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1.75</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dividend yield</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Share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2.78</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Exercise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2.78</w:t>
            </w:r>
          </w:p>
        </w:tc>
      </w:tr>
      <w:tr>
        <w:trPr>
          <w:trHeight w:val="23"/>
        </w:trPr>
        <w:tc>
          <w:tcPr>
            <w:tcW w:w="64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September 30, 2021, the Company granted optons to purchase up to 700,000 Common Shares to consultants with an exercise price of $2.78 per Common Share and vestng over one year. The optons will expire on December 31, 2022. The estmated grant date fair value was determined to be $715, calculated using the Black-Scholes opton pricing model with the following assumptons:</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480" w:type="dxa"/>
            <w:vAlign w:val="bottom"/>
          </w:tcPr>
          <w:p>
            <w:pPr>
              <w:ind w:left="60"/>
              <w:spacing w:after="0"/>
              <w:rPr>
                <w:sz w:val="20"/>
                <w:szCs w:val="20"/>
                <w:color w:val="auto"/>
              </w:rPr>
            </w:pPr>
            <w:r>
              <w:rPr>
                <w:rFonts w:ascii="Calibri" w:cs="Calibri" w:eastAsia="Calibri" w:hAnsi="Calibri"/>
                <w:sz w:val="18"/>
                <w:szCs w:val="18"/>
                <w:color w:val="auto"/>
              </w:rPr>
              <w:t>Risk-free interest rate</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0.41%</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annual volatlity, based on comparable companies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85.00%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life (in years)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1.25</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dividend yield</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Share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2.78</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Exercise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2.78</w:t>
            </w:r>
          </w:p>
        </w:tc>
      </w:tr>
      <w:tr>
        <w:trPr>
          <w:trHeight w:val="23"/>
        </w:trPr>
        <w:tc>
          <w:tcPr>
            <w:tcW w:w="64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December 31, 2021, the Company granted optons to purchase up to 40,000 Common Shares to employees with an exercise price of $3.15 per Common Share and vestng over two years. The optons will expire on December 31, 2026. The estmated grant date fair value was determined to be $36, calculated using the Black-Scholes opton pricing model with the following assumptons:</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480" w:type="dxa"/>
            <w:vAlign w:val="bottom"/>
          </w:tcPr>
          <w:p>
            <w:pPr>
              <w:ind w:left="60"/>
              <w:spacing w:after="0"/>
              <w:rPr>
                <w:sz w:val="20"/>
                <w:szCs w:val="20"/>
                <w:color w:val="auto"/>
              </w:rPr>
            </w:pPr>
            <w:r>
              <w:rPr>
                <w:rFonts w:ascii="Calibri" w:cs="Calibri" w:eastAsia="Calibri" w:hAnsi="Calibri"/>
                <w:sz w:val="18"/>
                <w:szCs w:val="18"/>
                <w:color w:val="auto"/>
              </w:rPr>
              <w:t>Risk-free interest rate</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1.25%</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annual volatlity, based on comparable companies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95.00%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life (in years)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dividend yield</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Share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1.50</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Exercise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3.15</w:t>
            </w:r>
          </w:p>
        </w:tc>
      </w:tr>
      <w:tr>
        <w:trPr>
          <w:trHeight w:val="23"/>
        </w:trPr>
        <w:tc>
          <w:tcPr>
            <w:tcW w:w="64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December 31, 2021, the Company granted optons to purchase up to 1,250,000 Common Shares to consultants with an exercise price of $1.50 per Common Share and vestng over two years. The optons will expire on December 31, 2026. The estmated grant date fair value was determined to be $1,352, calculated using the Black-Company opton pricing model with the following assumptons: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43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46" w:name="page47"/>
    <w:bookmarkEnd w:id="46"/>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7"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9"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480" w:type="dxa"/>
            <w:vAlign w:val="bottom"/>
          </w:tcPr>
          <w:p>
            <w:pPr>
              <w:ind w:left="60"/>
              <w:spacing w:after="0"/>
              <w:rPr>
                <w:sz w:val="20"/>
                <w:szCs w:val="20"/>
                <w:color w:val="auto"/>
              </w:rPr>
            </w:pPr>
            <w:r>
              <w:rPr>
                <w:rFonts w:ascii="Calibri" w:cs="Calibri" w:eastAsia="Calibri" w:hAnsi="Calibri"/>
                <w:sz w:val="18"/>
                <w:szCs w:val="18"/>
                <w:color w:val="auto"/>
              </w:rPr>
              <w:t>Risk-free interest rate</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1.25%</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annual volatlity, based on comparable companies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95.00%</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life (in years)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dividend yield</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Share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1.50</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Exercise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1.50</w:t>
            </w:r>
          </w:p>
        </w:tc>
      </w:tr>
      <w:tr>
        <w:trPr>
          <w:trHeight w:val="23"/>
        </w:trPr>
        <w:tc>
          <w:tcPr>
            <w:tcW w:w="64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1"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March 4, 2022, the Company granted optons to purchase up to: 1,035,600 Common Shares to executve ofcers and 40,000 Common Shares to consultants, with an exercise price of $1.13 per Common Share and vestng over two years. The optons will expire on March 4, 2027. The estmated grant date fair value was determined to be $878, calculated using the Black-Scholes opton pricing model with the following assumptons:</w:t>
      </w:r>
    </w:p>
    <w:p>
      <w:pPr>
        <w:spacing w:after="0" w:line="227"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480" w:type="dxa"/>
            <w:vAlign w:val="bottom"/>
          </w:tcPr>
          <w:p>
            <w:pPr>
              <w:ind w:left="60"/>
              <w:spacing w:after="0"/>
              <w:rPr>
                <w:sz w:val="20"/>
                <w:szCs w:val="20"/>
                <w:color w:val="auto"/>
              </w:rPr>
            </w:pPr>
            <w:r>
              <w:rPr>
                <w:rFonts w:ascii="Calibri" w:cs="Calibri" w:eastAsia="Calibri" w:hAnsi="Calibri"/>
                <w:sz w:val="18"/>
                <w:szCs w:val="18"/>
                <w:color w:val="auto"/>
              </w:rPr>
              <w:t>Risk-free interest rate</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1.46%</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annual volatlity, based on comparable companies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95.00%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life (in years)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dividend yield</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Share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1.13</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Exercise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1.13</w:t>
            </w:r>
          </w:p>
        </w:tc>
      </w:tr>
      <w:tr>
        <w:trPr>
          <w:trHeight w:val="23"/>
        </w:trPr>
        <w:tc>
          <w:tcPr>
            <w:tcW w:w="64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March 4, 2022, the Company granted optons to purchase up to 60,000 Common Shares to employees with an exercise price of $3.15 per Common Share and vestng over two years. The optons will expire on March 4, 2027. The estmated grant date fair value was determined to be $38, calculated using the Black-Scholes opton pricing model with the following assumptons:</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480" w:type="dxa"/>
            <w:vAlign w:val="bottom"/>
          </w:tcPr>
          <w:p>
            <w:pPr>
              <w:ind w:left="60"/>
              <w:spacing w:after="0"/>
              <w:rPr>
                <w:sz w:val="20"/>
                <w:szCs w:val="20"/>
                <w:color w:val="auto"/>
              </w:rPr>
            </w:pPr>
            <w:r>
              <w:rPr>
                <w:rFonts w:ascii="Calibri" w:cs="Calibri" w:eastAsia="Calibri" w:hAnsi="Calibri"/>
                <w:sz w:val="18"/>
                <w:szCs w:val="18"/>
                <w:color w:val="auto"/>
              </w:rPr>
              <w:t>Risk-free interest rate</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1.46%</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annual volatlity, based on comparable companies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95.00%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life (in years)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dividend yield</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Share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1.13</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Exercise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3.15</w:t>
            </w:r>
          </w:p>
        </w:tc>
      </w:tr>
      <w:tr>
        <w:trPr>
          <w:trHeight w:val="23"/>
        </w:trPr>
        <w:tc>
          <w:tcPr>
            <w:tcW w:w="64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On March 8, 2022, the Company granted optons to purchase up to 400,000 Common Shares to a consultant with an exercise price of $1.02 per Common Share and vestng over two months. The optons will expire on March 8, 2027. The estmated grant date fair value was determined to be $295, calculated using the Black-Scholes opton pricing model with the following assumptons:</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480" w:type="dxa"/>
            <w:vAlign w:val="bottom"/>
          </w:tcPr>
          <w:p>
            <w:pPr>
              <w:ind w:left="60"/>
              <w:spacing w:after="0"/>
              <w:rPr>
                <w:sz w:val="20"/>
                <w:szCs w:val="20"/>
                <w:color w:val="auto"/>
              </w:rPr>
            </w:pPr>
            <w:r>
              <w:rPr>
                <w:rFonts w:ascii="Calibri" w:cs="Calibri" w:eastAsia="Calibri" w:hAnsi="Calibri"/>
                <w:sz w:val="18"/>
                <w:szCs w:val="18"/>
                <w:color w:val="auto"/>
              </w:rPr>
              <w:t>Risk-free interest rate</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1.61%</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annual volatlity, based on comparable companies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95.00%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life (in years)</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Expected dividend yield</w:t>
            </w:r>
          </w:p>
        </w:tc>
        <w:tc>
          <w:tcPr>
            <w:tcW w:w="2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0.00%</w:t>
            </w:r>
          </w:p>
        </w:tc>
      </w:tr>
      <w:tr>
        <w:trPr>
          <w:trHeight w:val="230"/>
        </w:trPr>
        <w:tc>
          <w:tcPr>
            <w:tcW w:w="6480" w:type="dxa"/>
            <w:vAlign w:val="bottom"/>
          </w:tcPr>
          <w:p>
            <w:pPr>
              <w:ind w:left="60"/>
              <w:spacing w:after="0"/>
              <w:rPr>
                <w:sz w:val="20"/>
                <w:szCs w:val="20"/>
                <w:color w:val="auto"/>
              </w:rPr>
            </w:pPr>
            <w:r>
              <w:rPr>
                <w:rFonts w:ascii="Calibri" w:cs="Calibri" w:eastAsia="Calibri" w:hAnsi="Calibri"/>
                <w:sz w:val="18"/>
                <w:szCs w:val="18"/>
                <w:color w:val="auto"/>
              </w:rPr>
              <w:t>Share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1.02</w:t>
            </w:r>
          </w:p>
        </w:tc>
      </w:tr>
      <w:tr>
        <w:trPr>
          <w:trHeight w:val="229"/>
        </w:trPr>
        <w:tc>
          <w:tcPr>
            <w:tcW w:w="6480" w:type="dxa"/>
            <w:vAlign w:val="bottom"/>
          </w:tcPr>
          <w:p>
            <w:pPr>
              <w:ind w:left="60"/>
              <w:spacing w:after="0"/>
              <w:rPr>
                <w:sz w:val="20"/>
                <w:szCs w:val="20"/>
                <w:color w:val="auto"/>
              </w:rPr>
            </w:pPr>
            <w:r>
              <w:rPr>
                <w:rFonts w:ascii="Calibri" w:cs="Calibri" w:eastAsia="Calibri" w:hAnsi="Calibri"/>
                <w:sz w:val="18"/>
                <w:szCs w:val="18"/>
                <w:color w:val="auto"/>
              </w:rPr>
              <w:t>Exercise price</w:t>
            </w:r>
          </w:p>
        </w:tc>
        <w:tc>
          <w:tcPr>
            <w:tcW w:w="286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1.02</w:t>
            </w:r>
          </w:p>
        </w:tc>
      </w:tr>
      <w:tr>
        <w:trPr>
          <w:trHeight w:val="24"/>
        </w:trPr>
        <w:tc>
          <w:tcPr>
            <w:tcW w:w="64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44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71120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47" w:name="page48"/>
    <w:bookmarkEnd w:id="47"/>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7"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9"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During the year ended March 31, 2022, the Company amended the vestng and expiry dates of certain optons with former employees of the Company, resultng in a modifcaton of terms. As a result of the modifcatons, the Company calculated the incremental fair value using the Black-Scholes opton pricing model. The fair value of the optons afer modifcaton was determined to be less than the fair value prior to modifcaton and therefore the original fair value of the grant was used and is being recognized over the new vestng schedule.</w:t>
      </w:r>
    </w:p>
    <w:p>
      <w:pPr>
        <w:spacing w:after="0" w:line="192"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The Company accelerated the vestng schedule of 1,031,250 optons issued to certain consultants to a date during the year ended March 31, 2022. As a result, an additonal share-based payment compensaton expense of $168 was recorded in the consolidated statement of loss and other comprehensive loss.</w:t>
      </w:r>
    </w:p>
    <w:p>
      <w:pPr>
        <w:spacing w:after="0" w:line="178"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During the year ended March 31, 2022, 1,588,300 optons (March 31, 2021 - $492,386) were exercised by various holders for aggregate proceeds to the Company of $1,342 (March 31, 2021 - $182).</w:t>
      </w:r>
    </w:p>
    <w:p>
      <w:pPr>
        <w:spacing w:after="0" w:line="172"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The following summarizes informaton about stock optons outstanding on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45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71120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48" w:name="page49"/>
    <w:bookmarkEnd w:id="48"/>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7"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9"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2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jc w:val="right"/>
              <w:ind w:right="110"/>
              <w:spacing w:after="0"/>
              <w:rPr>
                <w:sz w:val="20"/>
                <w:szCs w:val="20"/>
                <w:color w:val="auto"/>
              </w:rPr>
            </w:pPr>
            <w:r>
              <w:rPr>
                <w:rFonts w:ascii="Calibri" w:cs="Calibri" w:eastAsia="Calibri" w:hAnsi="Calibri"/>
                <w:sz w:val="18"/>
                <w:szCs w:val="18"/>
                <w:b w:val="1"/>
                <w:bCs w:val="1"/>
                <w:color w:val="auto"/>
              </w:rPr>
              <w:t>Number of optons</w:t>
            </w:r>
          </w:p>
        </w:tc>
        <w:tc>
          <w:tcPr>
            <w:tcW w:w="1780" w:type="dxa"/>
            <w:vAlign w:val="bottom"/>
          </w:tcPr>
          <w:p>
            <w:pPr>
              <w:jc w:val="right"/>
              <w:ind w:right="130"/>
              <w:spacing w:after="0"/>
              <w:rPr>
                <w:sz w:val="20"/>
                <w:szCs w:val="20"/>
                <w:color w:val="auto"/>
              </w:rPr>
            </w:pPr>
            <w:r>
              <w:rPr>
                <w:rFonts w:ascii="Calibri" w:cs="Calibri" w:eastAsia="Calibri" w:hAnsi="Calibri"/>
                <w:sz w:val="18"/>
                <w:szCs w:val="18"/>
                <w:b w:val="1"/>
                <w:bCs w:val="1"/>
                <w:color w:val="auto"/>
              </w:rPr>
              <w:t>Number of optons</w:t>
            </w:r>
          </w:p>
        </w:tc>
        <w:tc>
          <w:tcPr>
            <w:tcW w:w="1620" w:type="dxa"/>
            <w:vAlign w:val="bottom"/>
          </w:tcPr>
          <w:p>
            <w:pPr>
              <w:jc w:val="right"/>
              <w:spacing w:after="0"/>
              <w:rPr>
                <w:sz w:val="20"/>
                <w:szCs w:val="20"/>
                <w:color w:val="auto"/>
              </w:rPr>
            </w:pPr>
            <w:r>
              <w:rPr>
                <w:rFonts w:ascii="Calibri" w:cs="Calibri" w:eastAsia="Calibri" w:hAnsi="Calibri"/>
                <w:sz w:val="18"/>
                <w:szCs w:val="18"/>
                <w:b w:val="1"/>
                <w:bCs w:val="1"/>
                <w:color w:val="auto"/>
              </w:rPr>
              <w:t>Weighted average</w:t>
            </w:r>
          </w:p>
        </w:tc>
        <w:tc>
          <w:tcPr>
            <w:tcW w:w="1740" w:type="dxa"/>
            <w:vAlign w:val="bottom"/>
          </w:tcPr>
          <w:p>
            <w:pPr>
              <w:jc w:val="right"/>
              <w:spacing w:after="0"/>
              <w:rPr>
                <w:sz w:val="20"/>
                <w:szCs w:val="20"/>
                <w:color w:val="auto"/>
              </w:rPr>
            </w:pPr>
            <w:r>
              <w:rPr>
                <w:rFonts w:ascii="Calibri" w:cs="Calibri" w:eastAsia="Calibri" w:hAnsi="Calibri"/>
                <w:sz w:val="18"/>
                <w:szCs w:val="18"/>
                <w:b w:val="1"/>
                <w:bCs w:val="1"/>
                <w:color w:val="auto"/>
              </w:rPr>
              <w:t>Recognized estmated</w:t>
            </w:r>
          </w:p>
        </w:tc>
      </w:tr>
      <w:tr>
        <w:trPr>
          <w:trHeight w:val="215"/>
        </w:trPr>
        <w:tc>
          <w:tcPr>
            <w:tcW w:w="2140" w:type="dxa"/>
            <w:vAlign w:val="bottom"/>
          </w:tcPr>
          <w:p>
            <w:pPr>
              <w:spacing w:after="0"/>
              <w:rPr>
                <w:sz w:val="18"/>
                <w:szCs w:val="18"/>
                <w:color w:val="auto"/>
              </w:rPr>
            </w:pPr>
          </w:p>
        </w:tc>
        <w:tc>
          <w:tcPr>
            <w:tcW w:w="1860" w:type="dxa"/>
            <w:vAlign w:val="bottom"/>
          </w:tcPr>
          <w:p>
            <w:pPr>
              <w:jc w:val="right"/>
              <w:ind w:right="90"/>
              <w:spacing w:after="0" w:line="215" w:lineRule="exact"/>
              <w:rPr>
                <w:sz w:val="20"/>
                <w:szCs w:val="20"/>
                <w:color w:val="auto"/>
              </w:rPr>
            </w:pPr>
            <w:r>
              <w:rPr>
                <w:rFonts w:ascii="Calibri" w:cs="Calibri" w:eastAsia="Calibri" w:hAnsi="Calibri"/>
                <w:sz w:val="18"/>
                <w:szCs w:val="18"/>
                <w:b w:val="1"/>
                <w:bCs w:val="1"/>
                <w:color w:val="auto"/>
              </w:rPr>
              <w:t>Exercise Price</w:t>
            </w:r>
          </w:p>
        </w:tc>
        <w:tc>
          <w:tcPr>
            <w:tcW w:w="176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outstanding</w:t>
            </w:r>
          </w:p>
        </w:tc>
        <w:tc>
          <w:tcPr>
            <w:tcW w:w="1780" w:type="dxa"/>
            <w:vAlign w:val="bottom"/>
          </w:tcPr>
          <w:p>
            <w:pPr>
              <w:jc w:val="right"/>
              <w:ind w:right="130"/>
              <w:spacing w:after="0" w:line="215" w:lineRule="exact"/>
              <w:rPr>
                <w:sz w:val="20"/>
                <w:szCs w:val="20"/>
                <w:color w:val="auto"/>
              </w:rPr>
            </w:pPr>
            <w:r>
              <w:rPr>
                <w:rFonts w:ascii="Calibri" w:cs="Calibri" w:eastAsia="Calibri" w:hAnsi="Calibri"/>
                <w:sz w:val="18"/>
                <w:szCs w:val="18"/>
                <w:b w:val="1"/>
                <w:bCs w:val="1"/>
                <w:color w:val="auto"/>
              </w:rPr>
              <w:t>exercisable</w:t>
            </w: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remaining life</w:t>
            </w: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grant date fair value</w:t>
            </w:r>
          </w:p>
        </w:tc>
      </w:tr>
      <w:tr>
        <w:trPr>
          <w:trHeight w:val="23"/>
        </w:trPr>
        <w:tc>
          <w:tcPr>
            <w:tcW w:w="2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21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Expiry date</w:t>
            </w:r>
          </w:p>
        </w:tc>
        <w:tc>
          <w:tcPr>
            <w:tcW w:w="186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7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Years</w:t>
            </w:r>
          </w:p>
        </w:tc>
        <w:tc>
          <w:tcPr>
            <w:tcW w:w="17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$000’s</w:t>
            </w:r>
          </w:p>
        </w:tc>
      </w:tr>
      <w:tr>
        <w:trPr>
          <w:trHeight w:val="215"/>
        </w:trPr>
        <w:tc>
          <w:tcPr>
            <w:tcW w:w="2140" w:type="dxa"/>
            <w:vAlign w:val="bottom"/>
          </w:tcPr>
          <w:p>
            <w:pPr>
              <w:ind w:left="20"/>
              <w:spacing w:after="0" w:line="215" w:lineRule="exact"/>
              <w:rPr>
                <w:sz w:val="20"/>
                <w:szCs w:val="20"/>
                <w:color w:val="auto"/>
              </w:rPr>
            </w:pPr>
            <w:r>
              <w:rPr>
                <w:rFonts w:ascii="Calibri" w:cs="Calibri" w:eastAsia="Calibri" w:hAnsi="Calibri"/>
                <w:sz w:val="18"/>
                <w:szCs w:val="18"/>
                <w:color w:val="auto"/>
              </w:rPr>
              <w:t>May 10, 2022</w:t>
            </w:r>
          </w:p>
        </w:tc>
        <w:tc>
          <w:tcPr>
            <w:tcW w:w="18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2.90</w:t>
            </w:r>
          </w:p>
        </w:tc>
        <w:tc>
          <w:tcPr>
            <w:tcW w:w="17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13,500</w:t>
            </w:r>
          </w:p>
        </w:tc>
        <w:tc>
          <w:tcPr>
            <w:tcW w:w="17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13,500</w:t>
            </w: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0.11</w:t>
            </w: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color w:val="auto"/>
              </w:rPr>
              <w:t>28</w:t>
            </w:r>
          </w:p>
        </w:tc>
      </w:tr>
      <w:tr>
        <w:trPr>
          <w:trHeight w:val="221"/>
        </w:trPr>
        <w:tc>
          <w:tcPr>
            <w:tcW w:w="2140" w:type="dxa"/>
            <w:vAlign w:val="bottom"/>
          </w:tcPr>
          <w:p>
            <w:pPr>
              <w:ind w:left="20"/>
              <w:spacing w:after="0"/>
              <w:rPr>
                <w:sz w:val="20"/>
                <w:szCs w:val="20"/>
                <w:color w:val="auto"/>
              </w:rPr>
            </w:pPr>
            <w:r>
              <w:rPr>
                <w:rFonts w:ascii="Calibri" w:cs="Calibri" w:eastAsia="Calibri" w:hAnsi="Calibri"/>
                <w:sz w:val="18"/>
                <w:szCs w:val="18"/>
                <w:color w:val="auto"/>
              </w:rPr>
              <w:t>June 29, 2022</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2.90</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37,500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37,500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0.25</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78</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August 12, 2022</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2.90</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6,250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6,250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0.37</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13</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November 27, 2022</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0.91</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200,000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200,000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0.66</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91</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December 11, 2022</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0.67</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59,952</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59,952</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0.70</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23</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December 31, 2022</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2.78</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700,000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700,000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0.75</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715</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June 30, 2023</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2.78</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20,000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20,000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1.25</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24</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June 15, 2025</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0.25</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2,350,000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2,350,000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3.21</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420</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October 12, 2025</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0.75</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3,000,000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2,250,000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3.54</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1,557</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November 4, 2025</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0.75</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6,000,000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4,562,500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3.60</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3,110</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November 13, 2025</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0.88</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500,000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375,000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3.62</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303</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December 11, 2025</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1.48</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700,000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625,000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3.70</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721</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December 14, 2025</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1.74</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2,264,100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1,695,572</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3.71</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2,668</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December 28, 2025</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1.89</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760,000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570,000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3.75</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969</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January 2,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1.89</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225,000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140,625</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3.76</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286</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February 15,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2.03</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170,000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96,875</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3.88</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213</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February 16,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2.03</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150,000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93,750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3.88</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194</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March 10,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1.39</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1,272,600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1,071,633</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3.95</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1,210</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March 15,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1.55</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300,000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187,500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3.96</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318</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March 28,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1.36</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1,575,000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1,340,625</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3.99</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1,463</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March 29,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1.32</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37,500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37,500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4.00</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36</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March 31,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1.35</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345,000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165,625</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4.00</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270</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June 28,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2.90</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3,648,000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1,714,875</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4.25</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6,224</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August 16,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2.48</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215,000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80,625</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4.38</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260</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August 18,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2.48</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300,000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112,500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4.39</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352</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September 27,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3.15</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565,000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141,250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4.50</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637</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September 27,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2.87</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195,000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73,125</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4.50</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262</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September 30,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3.15</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450,000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112,500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4.50</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486</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December 31,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3.15</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40,000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10,000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4.76</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16</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December 31, 2026</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1.50</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1,250,000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87,500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4.76</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329</w:t>
            </w:r>
          </w:p>
        </w:tc>
      </w:tr>
      <w:tr>
        <w:trPr>
          <w:trHeight w:val="229"/>
        </w:trPr>
        <w:tc>
          <w:tcPr>
            <w:tcW w:w="2140" w:type="dxa"/>
            <w:vAlign w:val="bottom"/>
          </w:tcPr>
          <w:p>
            <w:pPr>
              <w:ind w:left="20"/>
              <w:spacing w:after="0"/>
              <w:rPr>
                <w:sz w:val="20"/>
                <w:szCs w:val="20"/>
                <w:color w:val="auto"/>
              </w:rPr>
            </w:pPr>
            <w:r>
              <w:rPr>
                <w:rFonts w:ascii="Calibri" w:cs="Calibri" w:eastAsia="Calibri" w:hAnsi="Calibri"/>
                <w:sz w:val="18"/>
                <w:szCs w:val="18"/>
                <w:color w:val="auto"/>
              </w:rPr>
              <w:t>March 4, 2027</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1.13</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1,075,600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268,900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4.93</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287</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March 4, 2027</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3.15</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60,000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7,500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4.93</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8</w:t>
            </w:r>
          </w:p>
        </w:tc>
      </w:tr>
      <w:tr>
        <w:trPr>
          <w:trHeight w:val="230"/>
        </w:trPr>
        <w:tc>
          <w:tcPr>
            <w:tcW w:w="2140" w:type="dxa"/>
            <w:vAlign w:val="bottom"/>
          </w:tcPr>
          <w:p>
            <w:pPr>
              <w:ind w:left="20"/>
              <w:spacing w:after="0"/>
              <w:rPr>
                <w:sz w:val="20"/>
                <w:szCs w:val="20"/>
                <w:color w:val="auto"/>
              </w:rPr>
            </w:pPr>
            <w:r>
              <w:rPr>
                <w:rFonts w:ascii="Calibri" w:cs="Calibri" w:eastAsia="Calibri" w:hAnsi="Calibri"/>
                <w:sz w:val="18"/>
                <w:szCs w:val="18"/>
                <w:color w:val="auto"/>
              </w:rPr>
              <w:t>March 8, 2027</w:t>
            </w:r>
          </w:p>
        </w:tc>
        <w:tc>
          <w:tcPr>
            <w:tcW w:w="1860" w:type="dxa"/>
            <w:vAlign w:val="bottom"/>
          </w:tcPr>
          <w:p>
            <w:pPr>
              <w:jc w:val="right"/>
              <w:ind w:right="90"/>
              <w:spacing w:after="0"/>
              <w:rPr>
                <w:sz w:val="20"/>
                <w:szCs w:val="20"/>
                <w:color w:val="auto"/>
              </w:rPr>
            </w:pPr>
            <w:r>
              <w:rPr>
                <w:rFonts w:ascii="Calibri" w:cs="Calibri" w:eastAsia="Calibri" w:hAnsi="Calibri"/>
                <w:sz w:val="18"/>
                <w:szCs w:val="18"/>
                <w:color w:val="auto"/>
              </w:rPr>
              <w:t>1.02</w:t>
            </w:r>
          </w:p>
        </w:tc>
        <w:tc>
          <w:tcPr>
            <w:tcW w:w="1760" w:type="dxa"/>
            <w:vAlign w:val="bottom"/>
          </w:tcPr>
          <w:p>
            <w:pPr>
              <w:jc w:val="right"/>
              <w:ind w:right="110"/>
              <w:spacing w:after="0"/>
              <w:rPr>
                <w:sz w:val="20"/>
                <w:szCs w:val="20"/>
                <w:color w:val="auto"/>
              </w:rPr>
            </w:pPr>
            <w:r>
              <w:rPr>
                <w:rFonts w:ascii="Calibri" w:cs="Calibri" w:eastAsia="Calibri" w:hAnsi="Calibri"/>
                <w:sz w:val="18"/>
                <w:szCs w:val="18"/>
                <w:color w:val="auto"/>
              </w:rPr>
              <w:t>400,000</w:t>
            </w:r>
          </w:p>
        </w:tc>
        <w:tc>
          <w:tcPr>
            <w:tcW w:w="1780" w:type="dxa"/>
            <w:vAlign w:val="bottom"/>
          </w:tcPr>
          <w:p>
            <w:pPr>
              <w:jc w:val="right"/>
              <w:ind w:right="130"/>
              <w:spacing w:after="0"/>
              <w:rPr>
                <w:sz w:val="20"/>
                <w:szCs w:val="20"/>
                <w:color w:val="auto"/>
              </w:rPr>
            </w:pPr>
            <w:r>
              <w:rPr>
                <w:rFonts w:ascii="Calibri" w:cs="Calibri" w:eastAsia="Calibri" w:hAnsi="Calibri"/>
                <w:sz w:val="18"/>
                <w:szCs w:val="18"/>
                <w:color w:val="auto"/>
              </w:rPr>
              <w:t>200,000</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4.94</w:t>
            </w:r>
          </w:p>
        </w:tc>
        <w:tc>
          <w:tcPr>
            <w:tcW w:w="1740" w:type="dxa"/>
            <w:vAlign w:val="bottom"/>
          </w:tcPr>
          <w:p>
            <w:pPr>
              <w:jc w:val="right"/>
              <w:spacing w:after="0"/>
              <w:rPr>
                <w:sz w:val="20"/>
                <w:szCs w:val="20"/>
                <w:color w:val="auto"/>
              </w:rPr>
            </w:pPr>
            <w:r>
              <w:rPr>
                <w:rFonts w:ascii="Calibri" w:cs="Calibri" w:eastAsia="Calibri" w:hAnsi="Calibri"/>
                <w:sz w:val="18"/>
                <w:szCs w:val="18"/>
                <w:color w:val="auto"/>
              </w:rPr>
              <w:t>212</w:t>
            </w:r>
          </w:p>
        </w:tc>
      </w:tr>
      <w:tr>
        <w:trPr>
          <w:trHeight w:val="23"/>
        </w:trPr>
        <w:tc>
          <w:tcPr>
            <w:tcW w:w="2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8"/>
        </w:trPr>
        <w:tc>
          <w:tcPr>
            <w:tcW w:w="2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60" w:type="dxa"/>
            <w:vAlign w:val="bottom"/>
          </w:tcPr>
          <w:p>
            <w:pPr>
              <w:jc w:val="right"/>
              <w:ind w:right="90"/>
              <w:spacing w:after="0" w:line="208" w:lineRule="exact"/>
              <w:rPr>
                <w:sz w:val="20"/>
                <w:szCs w:val="20"/>
                <w:color w:val="auto"/>
              </w:rPr>
            </w:pPr>
            <w:r>
              <w:rPr>
                <w:rFonts w:ascii="Calibri" w:cs="Calibri" w:eastAsia="Calibri" w:hAnsi="Calibri"/>
                <w:sz w:val="18"/>
                <w:szCs w:val="18"/>
                <w:b w:val="1"/>
                <w:bCs w:val="1"/>
                <w:color w:val="auto"/>
              </w:rPr>
              <w:t>28,885,002</w:t>
            </w:r>
          </w:p>
        </w:tc>
        <w:tc>
          <w:tcPr>
            <w:tcW w:w="1780" w:type="dxa"/>
            <w:vAlign w:val="bottom"/>
          </w:tcPr>
          <w:p>
            <w:pPr>
              <w:jc w:val="right"/>
              <w:ind w:right="130"/>
              <w:spacing w:after="0" w:line="208" w:lineRule="exact"/>
              <w:rPr>
                <w:sz w:val="20"/>
                <w:szCs w:val="20"/>
                <w:color w:val="auto"/>
              </w:rPr>
            </w:pPr>
            <w:r>
              <w:rPr>
                <w:rFonts w:ascii="Calibri" w:cs="Calibri" w:eastAsia="Calibri" w:hAnsi="Calibri"/>
                <w:sz w:val="18"/>
                <w:szCs w:val="18"/>
                <w:b w:val="1"/>
                <w:bCs w:val="1"/>
                <w:color w:val="auto"/>
              </w:rPr>
              <w:t>19,408,182</w:t>
            </w:r>
          </w:p>
        </w:tc>
        <w:tc>
          <w:tcPr>
            <w:tcW w:w="162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3.58</w:t>
            </w:r>
          </w:p>
        </w:tc>
        <w:tc>
          <w:tcPr>
            <w:tcW w:w="174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23,783</w:t>
            </w:r>
          </w:p>
        </w:tc>
      </w:tr>
    </w:tbl>
    <w:p>
      <w:pPr>
        <w:spacing w:after="0" w:line="262"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The Company recognized share-based payments expense related to the issuance of stock optons for the year ended March 31, 2022 of $17,990 (March 31, 2021 - $7,312).</w:t>
      </w:r>
    </w:p>
    <w:p>
      <w:pPr>
        <w:spacing w:after="0" w:line="186"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As at March 31, 2022, the Company has 2,981,250 optons held in escrow (March 31, 2021 - 8,475,000).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46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49" w:name="page50"/>
    <w:bookmarkEnd w:id="49"/>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7"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31"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left="80"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right="20"/>
        <w:spacing w:after="0" w:line="235" w:lineRule="auto"/>
        <w:rPr>
          <w:sz w:val="20"/>
          <w:szCs w:val="20"/>
          <w:color w:val="auto"/>
        </w:rPr>
      </w:pPr>
      <w:r>
        <w:rPr>
          <w:rFonts w:ascii="Calibri" w:cs="Calibri" w:eastAsia="Calibri" w:hAnsi="Calibri"/>
          <w:sz w:val="18"/>
          <w:szCs w:val="18"/>
          <w:color w:val="auto"/>
        </w:rPr>
        <w:t>The outstanding optons and warrants disclosed above were ant-dilutve for the two years ended March 31, 2022 and did not impact the calculaton of the loss per share.</w:t>
      </w:r>
    </w:p>
    <w:p>
      <w:pPr>
        <w:spacing w:after="0" w:line="186" w:lineRule="exact"/>
        <w:rPr>
          <w:sz w:val="20"/>
          <w:szCs w:val="20"/>
          <w:color w:val="auto"/>
        </w:rPr>
      </w:pPr>
    </w:p>
    <w:p>
      <w:pPr>
        <w:spacing w:after="0"/>
        <w:tabs>
          <w:tab w:leader="none" w:pos="380" w:val="left"/>
        </w:tabs>
        <w:rPr>
          <w:sz w:val="20"/>
          <w:szCs w:val="20"/>
          <w:color w:val="auto"/>
        </w:rPr>
      </w:pPr>
      <w:r>
        <w:rPr>
          <w:rFonts w:ascii="Calibri" w:cs="Calibri" w:eastAsia="Calibri" w:hAnsi="Calibri"/>
          <w:sz w:val="18"/>
          <w:szCs w:val="18"/>
          <w:b w:val="1"/>
          <w:bCs w:val="1"/>
          <w:color w:val="2D5F91"/>
        </w:rPr>
        <w:t>11.</w:t>
      </w:r>
      <w:r>
        <w:rPr>
          <w:sz w:val="20"/>
          <w:szCs w:val="20"/>
          <w:color w:val="auto"/>
        </w:rPr>
        <w:tab/>
      </w:r>
      <w:r>
        <w:rPr>
          <w:rFonts w:ascii="Calibri" w:cs="Calibri" w:eastAsia="Calibri" w:hAnsi="Calibri"/>
          <w:sz w:val="17"/>
          <w:szCs w:val="17"/>
          <w:b w:val="1"/>
          <w:bCs w:val="1"/>
          <w:color w:val="2D5F91"/>
        </w:rPr>
        <w:t>RELATED PARTY TRANSACTIONS AND BALANCES</w:t>
      </w:r>
    </w:p>
    <w:p>
      <w:pPr>
        <w:spacing w:after="0" w:line="177" w:lineRule="exact"/>
        <w:rPr>
          <w:sz w:val="20"/>
          <w:szCs w:val="20"/>
          <w:color w:val="auto"/>
        </w:rPr>
      </w:pPr>
    </w:p>
    <w:p>
      <w:pPr>
        <w:ind w:left="340"/>
        <w:spacing w:after="0" w:line="235" w:lineRule="auto"/>
        <w:rPr>
          <w:sz w:val="20"/>
          <w:szCs w:val="20"/>
          <w:color w:val="auto"/>
        </w:rPr>
      </w:pPr>
      <w:r>
        <w:rPr>
          <w:rFonts w:ascii="Calibri" w:cs="Calibri" w:eastAsia="Calibri" w:hAnsi="Calibri"/>
          <w:sz w:val="18"/>
          <w:szCs w:val="18"/>
          <w:color w:val="auto"/>
        </w:rPr>
        <w:t>Key management personnel include persons having the authority and responsibility for planning, directng, and controlling the actvites of the Company as a whole. The Company has determined its key management personnel to be executve ofcers and directors of the Company.</w:t>
      </w:r>
    </w:p>
    <w:p>
      <w:pPr>
        <w:spacing w:after="0" w:line="177" w:lineRule="exact"/>
        <w:rPr>
          <w:sz w:val="20"/>
          <w:szCs w:val="20"/>
          <w:color w:val="auto"/>
        </w:rPr>
      </w:pPr>
    </w:p>
    <w:p>
      <w:pPr>
        <w:ind w:left="340" w:right="20"/>
        <w:spacing w:after="0" w:line="235" w:lineRule="auto"/>
        <w:rPr>
          <w:sz w:val="20"/>
          <w:szCs w:val="20"/>
          <w:color w:val="auto"/>
        </w:rPr>
      </w:pPr>
      <w:r>
        <w:rPr>
          <w:rFonts w:ascii="Calibri" w:cs="Calibri" w:eastAsia="Calibri" w:hAnsi="Calibri"/>
          <w:sz w:val="18"/>
          <w:szCs w:val="18"/>
          <w:color w:val="auto"/>
        </w:rPr>
        <w:t>At March 31, 2022, accounts payable and accrued liabilites include accrued executve bonuses of $1,036 payable on future achievements of the Company.</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8340" w:type="dxa"/>
            <w:vAlign w:val="bottom"/>
          </w:tcPr>
          <w:p>
            <w:pPr>
              <w:spacing w:after="0"/>
              <w:rPr>
                <w:sz w:val="20"/>
                <w:szCs w:val="20"/>
                <w:color w:val="auto"/>
              </w:rPr>
            </w:pPr>
            <w:r>
              <w:rPr>
                <w:rFonts w:ascii="Calibri" w:cs="Calibri" w:eastAsia="Calibri" w:hAnsi="Calibri"/>
                <w:sz w:val="18"/>
                <w:szCs w:val="18"/>
                <w:color w:val="auto"/>
              </w:rPr>
              <w:t>The remuneraton of key management personnel for the years ended March 31, 2021 and 2022 are as follows:</w:t>
            </w:r>
          </w:p>
        </w:tc>
        <w:tc>
          <w:tcPr>
            <w:tcW w:w="1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32"/>
        </w:trPr>
        <w:tc>
          <w:tcPr>
            <w:tcW w:w="8340" w:type="dxa"/>
            <w:vAlign w:val="bottom"/>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Calibri" w:cs="Calibri" w:eastAsia="Calibri" w:hAnsi="Calibri"/>
                <w:sz w:val="18"/>
                <w:szCs w:val="18"/>
                <w:b w:val="1"/>
                <w:bCs w:val="1"/>
                <w:color w:val="auto"/>
              </w:rPr>
              <w:t>Year ended March 31,</w:t>
            </w:r>
          </w:p>
        </w:tc>
      </w:tr>
      <w:tr>
        <w:trPr>
          <w:trHeight w:val="229"/>
        </w:trPr>
        <w:tc>
          <w:tcPr>
            <w:tcW w:w="8340" w:type="dxa"/>
            <w:vAlign w:val="bottom"/>
          </w:tcPr>
          <w:p>
            <w:pPr>
              <w:spacing w:after="0"/>
              <w:rPr>
                <w:sz w:val="19"/>
                <w:szCs w:val="19"/>
                <w:color w:val="auto"/>
              </w:rPr>
            </w:pPr>
          </w:p>
        </w:tc>
        <w:tc>
          <w:tcPr>
            <w:tcW w:w="1420" w:type="dxa"/>
            <w:vAlign w:val="bottom"/>
          </w:tcPr>
          <w:p>
            <w:pPr>
              <w:jc w:val="right"/>
              <w:ind w:right="330"/>
              <w:spacing w:after="0"/>
              <w:rPr>
                <w:sz w:val="20"/>
                <w:szCs w:val="20"/>
                <w:color w:val="auto"/>
              </w:rPr>
            </w:pPr>
            <w:r>
              <w:rPr>
                <w:rFonts w:ascii="Calibri" w:cs="Calibri" w:eastAsia="Calibri" w:hAnsi="Calibri"/>
                <w:sz w:val="18"/>
                <w:szCs w:val="18"/>
                <w:b w:val="1"/>
                <w:bCs w:val="1"/>
                <w:color w:val="auto"/>
              </w:rPr>
              <w:t>2022</w:t>
            </w: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2021</w:t>
            </w:r>
          </w:p>
        </w:tc>
      </w:tr>
      <w:tr>
        <w:trPr>
          <w:trHeight w:val="230"/>
        </w:trPr>
        <w:tc>
          <w:tcPr>
            <w:tcW w:w="8340" w:type="dxa"/>
            <w:vAlign w:val="bottom"/>
          </w:tcPr>
          <w:p>
            <w:pPr>
              <w:spacing w:after="0"/>
              <w:rPr>
                <w:sz w:val="19"/>
                <w:szCs w:val="19"/>
                <w:color w:val="auto"/>
              </w:rPr>
            </w:pPr>
          </w:p>
        </w:tc>
        <w:tc>
          <w:tcPr>
            <w:tcW w:w="1420" w:type="dxa"/>
            <w:vAlign w:val="bottom"/>
          </w:tcPr>
          <w:p>
            <w:pPr>
              <w:jc w:val="right"/>
              <w:ind w:right="330"/>
              <w:spacing w:after="0"/>
              <w:rPr>
                <w:sz w:val="20"/>
                <w:szCs w:val="20"/>
                <w:color w:val="auto"/>
              </w:rPr>
            </w:pPr>
            <w:r>
              <w:rPr>
                <w:rFonts w:ascii="Calibri" w:cs="Calibri" w:eastAsia="Calibri" w:hAnsi="Calibri"/>
                <w:sz w:val="18"/>
                <w:szCs w:val="18"/>
                <w:b w:val="1"/>
                <w:bCs w:val="1"/>
                <w:color w:val="auto"/>
              </w:rPr>
              <w:t>$000’s</w:t>
            </w: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$000’s</w:t>
            </w:r>
          </w:p>
        </w:tc>
      </w:tr>
      <w:tr>
        <w:trPr>
          <w:trHeight w:val="23"/>
        </w:trPr>
        <w:tc>
          <w:tcPr>
            <w:tcW w:w="8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4"/>
        </w:trPr>
        <w:tc>
          <w:tcPr>
            <w:tcW w:w="8340" w:type="dxa"/>
            <w:vAlign w:val="bottom"/>
          </w:tcPr>
          <w:p>
            <w:pPr>
              <w:ind w:left="60"/>
              <w:spacing w:after="0" w:line="213" w:lineRule="exact"/>
              <w:rPr>
                <w:sz w:val="20"/>
                <w:szCs w:val="20"/>
                <w:color w:val="auto"/>
              </w:rPr>
            </w:pPr>
            <w:r>
              <w:rPr>
                <w:rFonts w:ascii="Calibri" w:cs="Calibri" w:eastAsia="Calibri" w:hAnsi="Calibri"/>
                <w:sz w:val="18"/>
                <w:szCs w:val="18"/>
                <w:color w:val="auto"/>
              </w:rPr>
              <w:t>Payroll, consultng and benefts</w:t>
            </w:r>
            <w:r>
              <w:rPr>
                <w:rFonts w:ascii="Calibri" w:cs="Calibri" w:eastAsia="Calibri" w:hAnsi="Calibri"/>
                <w:sz w:val="23"/>
                <w:szCs w:val="23"/>
                <w:color w:val="auto"/>
                <w:vertAlign w:val="superscript"/>
              </w:rPr>
              <w:t>(1)</w:t>
            </w:r>
          </w:p>
        </w:tc>
        <w:tc>
          <w:tcPr>
            <w:tcW w:w="1420" w:type="dxa"/>
            <w:vAlign w:val="bottom"/>
          </w:tcPr>
          <w:p>
            <w:pPr>
              <w:jc w:val="right"/>
              <w:ind w:right="330"/>
              <w:spacing w:after="0" w:line="214" w:lineRule="exact"/>
              <w:rPr>
                <w:sz w:val="20"/>
                <w:szCs w:val="20"/>
                <w:color w:val="auto"/>
              </w:rPr>
            </w:pPr>
            <w:r>
              <w:rPr>
                <w:rFonts w:ascii="Calibri" w:cs="Calibri" w:eastAsia="Calibri" w:hAnsi="Calibri"/>
                <w:sz w:val="18"/>
                <w:szCs w:val="18"/>
                <w:b w:val="1"/>
                <w:bCs w:val="1"/>
                <w:color w:val="auto"/>
              </w:rPr>
              <w:t>6,569</w:t>
            </w:r>
          </w:p>
        </w:tc>
        <w:tc>
          <w:tcPr>
            <w:tcW w:w="980" w:type="dxa"/>
            <w:vAlign w:val="bottom"/>
          </w:tcPr>
          <w:p>
            <w:pPr>
              <w:jc w:val="right"/>
              <w:spacing w:after="0" w:line="214" w:lineRule="exact"/>
              <w:rPr>
                <w:sz w:val="20"/>
                <w:szCs w:val="20"/>
                <w:color w:val="auto"/>
              </w:rPr>
            </w:pPr>
            <w:r>
              <w:rPr>
                <w:rFonts w:ascii="Calibri" w:cs="Calibri" w:eastAsia="Calibri" w:hAnsi="Calibri"/>
                <w:sz w:val="18"/>
                <w:szCs w:val="18"/>
                <w:color w:val="auto"/>
              </w:rPr>
              <w:t>4,001</w:t>
            </w:r>
          </w:p>
        </w:tc>
      </w:tr>
      <w:tr>
        <w:trPr>
          <w:trHeight w:val="215"/>
        </w:trPr>
        <w:tc>
          <w:tcPr>
            <w:tcW w:w="8340" w:type="dxa"/>
            <w:vAlign w:val="bottom"/>
          </w:tcPr>
          <w:p>
            <w:pPr>
              <w:ind w:left="60"/>
              <w:spacing w:after="0" w:line="215" w:lineRule="exact"/>
              <w:rPr>
                <w:sz w:val="20"/>
                <w:szCs w:val="20"/>
                <w:color w:val="auto"/>
              </w:rPr>
            </w:pPr>
            <w:r>
              <w:rPr>
                <w:rFonts w:ascii="Calibri" w:cs="Calibri" w:eastAsia="Calibri" w:hAnsi="Calibri"/>
                <w:sz w:val="18"/>
                <w:szCs w:val="18"/>
                <w:color w:val="auto"/>
              </w:rPr>
              <w:t>Share-based compensaton</w:t>
            </w: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8340" w:type="dxa"/>
            <w:vAlign w:val="bottom"/>
          </w:tcPr>
          <w:p>
            <w:pPr>
              <w:ind w:left="280"/>
              <w:spacing w:after="0"/>
              <w:rPr>
                <w:sz w:val="20"/>
                <w:szCs w:val="20"/>
                <w:color w:val="auto"/>
              </w:rPr>
            </w:pPr>
            <w:r>
              <w:rPr>
                <w:rFonts w:ascii="Calibri" w:cs="Calibri" w:eastAsia="Calibri" w:hAnsi="Calibri"/>
                <w:sz w:val="18"/>
                <w:szCs w:val="18"/>
                <w:color w:val="auto"/>
              </w:rPr>
              <w:t>Optons</w:t>
            </w:r>
          </w:p>
        </w:tc>
        <w:tc>
          <w:tcPr>
            <w:tcW w:w="1420" w:type="dxa"/>
            <w:vAlign w:val="bottom"/>
          </w:tcPr>
          <w:p>
            <w:pPr>
              <w:jc w:val="right"/>
              <w:ind w:right="330"/>
              <w:spacing w:after="0"/>
              <w:rPr>
                <w:sz w:val="20"/>
                <w:szCs w:val="20"/>
                <w:color w:val="auto"/>
              </w:rPr>
            </w:pPr>
            <w:r>
              <w:rPr>
                <w:rFonts w:ascii="Calibri" w:cs="Calibri" w:eastAsia="Calibri" w:hAnsi="Calibri"/>
                <w:sz w:val="18"/>
                <w:szCs w:val="18"/>
                <w:b w:val="1"/>
                <w:bCs w:val="1"/>
                <w:color w:val="auto"/>
              </w:rPr>
              <w:t>8,813</w:t>
            </w:r>
          </w:p>
        </w:tc>
        <w:tc>
          <w:tcPr>
            <w:tcW w:w="980" w:type="dxa"/>
            <w:vAlign w:val="bottom"/>
          </w:tcPr>
          <w:p>
            <w:pPr>
              <w:jc w:val="right"/>
              <w:spacing w:after="0"/>
              <w:rPr>
                <w:sz w:val="20"/>
                <w:szCs w:val="20"/>
                <w:color w:val="auto"/>
              </w:rPr>
            </w:pPr>
            <w:r>
              <w:rPr>
                <w:rFonts w:ascii="Calibri" w:cs="Calibri" w:eastAsia="Calibri" w:hAnsi="Calibri"/>
                <w:sz w:val="18"/>
                <w:szCs w:val="18"/>
                <w:color w:val="auto"/>
              </w:rPr>
              <w:t>4,786</w:t>
            </w:r>
          </w:p>
        </w:tc>
      </w:tr>
      <w:tr>
        <w:trPr>
          <w:trHeight w:val="230"/>
        </w:trPr>
        <w:tc>
          <w:tcPr>
            <w:tcW w:w="8340" w:type="dxa"/>
            <w:vAlign w:val="bottom"/>
          </w:tcPr>
          <w:p>
            <w:pPr>
              <w:ind w:left="280"/>
              <w:spacing w:after="0"/>
              <w:rPr>
                <w:sz w:val="20"/>
                <w:szCs w:val="20"/>
                <w:color w:val="auto"/>
              </w:rPr>
            </w:pPr>
            <w:r>
              <w:rPr>
                <w:rFonts w:ascii="Calibri" w:cs="Calibri" w:eastAsia="Calibri" w:hAnsi="Calibri"/>
                <w:sz w:val="18"/>
                <w:szCs w:val="18"/>
                <w:color w:val="auto"/>
              </w:rPr>
              <w:t>Warrants</w:t>
            </w:r>
          </w:p>
        </w:tc>
        <w:tc>
          <w:tcPr>
            <w:tcW w:w="1420" w:type="dxa"/>
            <w:vAlign w:val="bottom"/>
          </w:tcPr>
          <w:p>
            <w:pPr>
              <w:jc w:val="right"/>
              <w:ind w:right="330"/>
              <w:spacing w:after="0"/>
              <w:rPr>
                <w:sz w:val="20"/>
                <w:szCs w:val="20"/>
                <w:color w:val="auto"/>
              </w:rPr>
            </w:pPr>
            <w:r>
              <w:rPr>
                <w:rFonts w:ascii="Calibri" w:cs="Calibri" w:eastAsia="Calibri" w:hAnsi="Calibri"/>
                <w:sz w:val="18"/>
                <w:szCs w:val="18"/>
                <w:b w:val="1"/>
                <w:bCs w:val="1"/>
                <w:color w:val="auto"/>
              </w:rPr>
              <w:t>109</w:t>
            </w:r>
          </w:p>
        </w:tc>
        <w:tc>
          <w:tcPr>
            <w:tcW w:w="980" w:type="dxa"/>
            <w:vAlign w:val="bottom"/>
          </w:tcPr>
          <w:p>
            <w:pPr>
              <w:jc w:val="right"/>
              <w:spacing w:after="0"/>
              <w:rPr>
                <w:sz w:val="20"/>
                <w:szCs w:val="20"/>
                <w:color w:val="auto"/>
              </w:rPr>
            </w:pPr>
            <w:r>
              <w:rPr>
                <w:rFonts w:ascii="Calibri" w:cs="Calibri" w:eastAsia="Calibri" w:hAnsi="Calibri"/>
                <w:sz w:val="18"/>
                <w:szCs w:val="18"/>
                <w:color w:val="auto"/>
              </w:rPr>
              <w:t>2,665</w:t>
            </w:r>
          </w:p>
        </w:tc>
      </w:tr>
      <w:tr>
        <w:trPr>
          <w:trHeight w:val="23"/>
        </w:trPr>
        <w:tc>
          <w:tcPr>
            <w:tcW w:w="8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6"/>
        </w:trPr>
        <w:tc>
          <w:tcPr>
            <w:tcW w:w="8340" w:type="dxa"/>
            <w:vAlign w:val="bottom"/>
            <w:tcBorders>
              <w:bottom w:val="single" w:sz="8" w:color="auto"/>
            </w:tcBorders>
          </w:tcPr>
          <w:p>
            <w:pPr>
              <w:ind w:left="60"/>
              <w:spacing w:after="0" w:line="215" w:lineRule="exact"/>
              <w:rPr>
                <w:sz w:val="20"/>
                <w:szCs w:val="20"/>
                <w:color w:val="auto"/>
              </w:rPr>
            </w:pPr>
            <w:r>
              <w:rPr>
                <w:rFonts w:ascii="Calibri" w:cs="Calibri" w:eastAsia="Calibri" w:hAnsi="Calibri"/>
                <w:sz w:val="18"/>
                <w:szCs w:val="18"/>
                <w:b w:val="1"/>
                <w:bCs w:val="1"/>
                <w:color w:val="auto"/>
              </w:rPr>
              <w:t>Total</w:t>
            </w:r>
          </w:p>
        </w:tc>
        <w:tc>
          <w:tcPr>
            <w:tcW w:w="1420" w:type="dxa"/>
            <w:vAlign w:val="bottom"/>
            <w:tcBorders>
              <w:bottom w:val="single" w:sz="8" w:color="auto"/>
            </w:tcBorders>
          </w:tcPr>
          <w:p>
            <w:pPr>
              <w:jc w:val="right"/>
              <w:ind w:right="330"/>
              <w:spacing w:after="0" w:line="215" w:lineRule="exact"/>
              <w:rPr>
                <w:sz w:val="20"/>
                <w:szCs w:val="20"/>
                <w:color w:val="auto"/>
              </w:rPr>
            </w:pPr>
            <w:r>
              <w:rPr>
                <w:rFonts w:ascii="Calibri" w:cs="Calibri" w:eastAsia="Calibri" w:hAnsi="Calibri"/>
                <w:sz w:val="18"/>
                <w:szCs w:val="18"/>
                <w:b w:val="1"/>
                <w:bCs w:val="1"/>
                <w:color w:val="auto"/>
              </w:rPr>
              <w:t>15,491</w:t>
            </w: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11,452</w:t>
            </w:r>
          </w:p>
        </w:tc>
      </w:tr>
    </w:tbl>
    <w:p>
      <w:pPr>
        <w:spacing w:after="0" w:line="76" w:lineRule="exact"/>
        <w:rPr>
          <w:sz w:val="20"/>
          <w:szCs w:val="20"/>
          <w:color w:val="auto"/>
        </w:rPr>
      </w:pPr>
    </w:p>
    <w:p>
      <w:pPr>
        <w:ind w:left="340" w:right="20" w:hanging="8"/>
        <w:spacing w:after="0" w:line="203" w:lineRule="auto"/>
        <w:tabs>
          <w:tab w:leader="none" w:pos="498" w:val="left"/>
        </w:tabs>
        <w:numPr>
          <w:ilvl w:val="1"/>
          <w:numId w:val="20"/>
        </w:numPr>
        <w:rPr>
          <w:rFonts w:ascii="Calibri" w:cs="Calibri" w:eastAsia="Calibri" w:hAnsi="Calibri"/>
          <w:sz w:val="21"/>
          <w:szCs w:val="21"/>
          <w:i w:val="1"/>
          <w:iCs w:val="1"/>
          <w:color w:val="auto"/>
          <w:vertAlign w:val="superscript"/>
        </w:rPr>
      </w:pPr>
      <w:r>
        <w:rPr>
          <w:rFonts w:ascii="Calibri" w:cs="Calibri" w:eastAsia="Calibri" w:hAnsi="Calibri"/>
          <w:sz w:val="16"/>
          <w:szCs w:val="16"/>
          <w:i w:val="1"/>
          <w:iCs w:val="1"/>
          <w:color w:val="auto"/>
        </w:rPr>
        <w:t>For the year ended March 31, 2022, includes $4,596 presented in the statement of loss and comprehensive loss as a part of “General and administratve costs” and $1,973 presented in the statement of loss and comprehensive loss as a part of “Research”.</w:t>
      </w:r>
    </w:p>
    <w:p>
      <w:pPr>
        <w:spacing w:after="0" w:line="176" w:lineRule="exact"/>
        <w:rPr>
          <w:rFonts w:ascii="Calibri" w:cs="Calibri" w:eastAsia="Calibri" w:hAnsi="Calibri"/>
          <w:sz w:val="21"/>
          <w:szCs w:val="21"/>
          <w:i w:val="1"/>
          <w:iCs w:val="1"/>
          <w:color w:val="auto"/>
          <w:vertAlign w:val="superscript"/>
        </w:rPr>
      </w:pPr>
    </w:p>
    <w:p>
      <w:pPr>
        <w:ind w:left="400" w:hanging="392"/>
        <w:spacing w:after="0"/>
        <w:tabs>
          <w:tab w:leader="none" w:pos="400" w:val="left"/>
        </w:tabs>
        <w:numPr>
          <w:ilvl w:val="0"/>
          <w:numId w:val="21"/>
        </w:numPr>
        <w:rPr>
          <w:rFonts w:ascii="Calibri" w:cs="Calibri" w:eastAsia="Calibri" w:hAnsi="Calibri"/>
          <w:sz w:val="18"/>
          <w:szCs w:val="18"/>
          <w:b w:val="1"/>
          <w:bCs w:val="1"/>
          <w:color w:val="2D5F91"/>
        </w:rPr>
      </w:pPr>
      <w:r>
        <w:rPr>
          <w:rFonts w:ascii="Calibri" w:cs="Calibri" w:eastAsia="Calibri" w:hAnsi="Calibri"/>
          <w:sz w:val="18"/>
          <w:szCs w:val="18"/>
          <w:b w:val="1"/>
          <w:bCs w:val="1"/>
          <w:color w:val="2D5F91"/>
        </w:rPr>
        <w:t>GENERAL AND ADMINISTRATIVE EXPENSES</w:t>
      </w:r>
    </w:p>
    <w:p>
      <w:pPr>
        <w:spacing w:after="0" w:line="37"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5680" w:type="dxa"/>
            <w:vAlign w:val="bottom"/>
          </w:tcPr>
          <w:p>
            <w:pPr>
              <w:spacing w:after="0"/>
              <w:rPr>
                <w:sz w:val="19"/>
                <w:szCs w:val="19"/>
                <w:color w:val="auto"/>
              </w:rPr>
            </w:pPr>
          </w:p>
        </w:tc>
        <w:tc>
          <w:tcPr>
            <w:tcW w:w="5280" w:type="dxa"/>
            <w:vAlign w:val="bottom"/>
            <w:gridSpan w:val="2"/>
          </w:tcPr>
          <w:p>
            <w:pPr>
              <w:jc w:val="right"/>
              <w:spacing w:after="0"/>
              <w:rPr>
                <w:sz w:val="20"/>
                <w:szCs w:val="20"/>
                <w:color w:val="auto"/>
              </w:rPr>
            </w:pPr>
            <w:r>
              <w:rPr>
                <w:rFonts w:ascii="Calibri" w:cs="Calibri" w:eastAsia="Calibri" w:hAnsi="Calibri"/>
                <w:sz w:val="18"/>
                <w:szCs w:val="18"/>
                <w:b w:val="1"/>
                <w:bCs w:val="1"/>
                <w:color w:val="auto"/>
              </w:rPr>
              <w:t>Year ended March 31,</w:t>
            </w:r>
          </w:p>
        </w:tc>
      </w:tr>
      <w:tr>
        <w:trPr>
          <w:trHeight w:val="230"/>
        </w:trPr>
        <w:tc>
          <w:tcPr>
            <w:tcW w:w="5680" w:type="dxa"/>
            <w:vAlign w:val="bottom"/>
          </w:tcPr>
          <w:p>
            <w:pPr>
              <w:spacing w:after="0"/>
              <w:rPr>
                <w:sz w:val="19"/>
                <w:szCs w:val="19"/>
                <w:color w:val="auto"/>
              </w:rPr>
            </w:pPr>
          </w:p>
        </w:tc>
        <w:tc>
          <w:tcPr>
            <w:tcW w:w="428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2022</w:t>
            </w: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2021</w:t>
            </w:r>
          </w:p>
        </w:tc>
      </w:tr>
      <w:tr>
        <w:trPr>
          <w:trHeight w:val="229"/>
        </w:trPr>
        <w:tc>
          <w:tcPr>
            <w:tcW w:w="5680" w:type="dxa"/>
            <w:vAlign w:val="bottom"/>
          </w:tcPr>
          <w:p>
            <w:pPr>
              <w:spacing w:after="0"/>
              <w:rPr>
                <w:sz w:val="19"/>
                <w:szCs w:val="19"/>
                <w:color w:val="auto"/>
              </w:rPr>
            </w:pPr>
          </w:p>
        </w:tc>
        <w:tc>
          <w:tcPr>
            <w:tcW w:w="428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$000’s</w:t>
            </w: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$000’s</w:t>
            </w:r>
          </w:p>
        </w:tc>
      </w:tr>
      <w:tr>
        <w:trPr>
          <w:trHeight w:val="23"/>
        </w:trPr>
        <w:tc>
          <w:tcPr>
            <w:tcW w:w="568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8"/>
        </w:trPr>
        <w:tc>
          <w:tcPr>
            <w:tcW w:w="5680" w:type="dxa"/>
            <w:vAlign w:val="bottom"/>
          </w:tcPr>
          <w:p>
            <w:pPr>
              <w:ind w:left="80"/>
              <w:spacing w:after="0" w:line="208" w:lineRule="exact"/>
              <w:rPr>
                <w:sz w:val="20"/>
                <w:szCs w:val="20"/>
                <w:color w:val="auto"/>
              </w:rPr>
            </w:pPr>
            <w:r>
              <w:rPr>
                <w:rFonts w:ascii="Calibri" w:cs="Calibri" w:eastAsia="Calibri" w:hAnsi="Calibri"/>
                <w:sz w:val="18"/>
                <w:szCs w:val="18"/>
                <w:color w:val="auto"/>
              </w:rPr>
              <w:t>Payroll, consultng and benefts</w:t>
            </w:r>
          </w:p>
        </w:tc>
        <w:tc>
          <w:tcPr>
            <w:tcW w:w="428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rPr>
              <w:t>7,468</w:t>
            </w:r>
          </w:p>
        </w:tc>
        <w:tc>
          <w:tcPr>
            <w:tcW w:w="1000" w:type="dxa"/>
            <w:vAlign w:val="bottom"/>
          </w:tcPr>
          <w:p>
            <w:pPr>
              <w:jc w:val="right"/>
              <w:spacing w:after="0" w:line="208" w:lineRule="exact"/>
              <w:rPr>
                <w:sz w:val="20"/>
                <w:szCs w:val="20"/>
                <w:color w:val="auto"/>
              </w:rPr>
            </w:pPr>
            <w:r>
              <w:rPr>
                <w:rFonts w:ascii="Calibri" w:cs="Calibri" w:eastAsia="Calibri" w:hAnsi="Calibri"/>
                <w:sz w:val="18"/>
                <w:szCs w:val="18"/>
                <w:color w:val="auto"/>
              </w:rPr>
              <w:t>4,867</w:t>
            </w:r>
          </w:p>
        </w:tc>
      </w:tr>
      <w:tr>
        <w:trPr>
          <w:trHeight w:val="221"/>
        </w:trPr>
        <w:tc>
          <w:tcPr>
            <w:tcW w:w="5680" w:type="dxa"/>
            <w:vAlign w:val="bottom"/>
          </w:tcPr>
          <w:p>
            <w:pPr>
              <w:ind w:left="80"/>
              <w:spacing w:after="0"/>
              <w:rPr>
                <w:sz w:val="20"/>
                <w:szCs w:val="20"/>
                <w:color w:val="auto"/>
              </w:rPr>
            </w:pPr>
            <w:r>
              <w:rPr>
                <w:rFonts w:ascii="Calibri" w:cs="Calibri" w:eastAsia="Calibri" w:hAnsi="Calibri"/>
                <w:sz w:val="18"/>
                <w:szCs w:val="18"/>
                <w:color w:val="auto"/>
              </w:rPr>
              <w:t>Capital market</w:t>
            </w:r>
          </w:p>
        </w:tc>
        <w:tc>
          <w:tcPr>
            <w:tcW w:w="428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7,277</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2,118</w:t>
            </w:r>
          </w:p>
        </w:tc>
      </w:tr>
      <w:tr>
        <w:trPr>
          <w:trHeight w:val="230"/>
        </w:trPr>
        <w:tc>
          <w:tcPr>
            <w:tcW w:w="5680" w:type="dxa"/>
            <w:vAlign w:val="bottom"/>
          </w:tcPr>
          <w:p>
            <w:pPr>
              <w:ind w:left="80"/>
              <w:spacing w:after="0"/>
              <w:rPr>
                <w:sz w:val="20"/>
                <w:szCs w:val="20"/>
                <w:color w:val="auto"/>
              </w:rPr>
            </w:pPr>
            <w:r>
              <w:rPr>
                <w:rFonts w:ascii="Calibri" w:cs="Calibri" w:eastAsia="Calibri" w:hAnsi="Calibri"/>
                <w:sz w:val="18"/>
                <w:szCs w:val="18"/>
                <w:color w:val="auto"/>
              </w:rPr>
              <w:t>Ofce and administraton</w:t>
            </w:r>
          </w:p>
        </w:tc>
        <w:tc>
          <w:tcPr>
            <w:tcW w:w="428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3,999</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936</w:t>
            </w:r>
          </w:p>
        </w:tc>
      </w:tr>
      <w:tr>
        <w:trPr>
          <w:trHeight w:val="230"/>
        </w:trPr>
        <w:tc>
          <w:tcPr>
            <w:tcW w:w="5680" w:type="dxa"/>
            <w:vAlign w:val="bottom"/>
          </w:tcPr>
          <w:p>
            <w:pPr>
              <w:ind w:left="80"/>
              <w:spacing w:after="0"/>
              <w:rPr>
                <w:sz w:val="20"/>
                <w:szCs w:val="20"/>
                <w:color w:val="auto"/>
              </w:rPr>
            </w:pPr>
            <w:r>
              <w:rPr>
                <w:rFonts w:ascii="Calibri" w:cs="Calibri" w:eastAsia="Calibri" w:hAnsi="Calibri"/>
                <w:sz w:val="18"/>
                <w:szCs w:val="18"/>
                <w:color w:val="auto"/>
              </w:rPr>
              <w:t>Professional and consultng fees</w:t>
            </w:r>
          </w:p>
        </w:tc>
        <w:tc>
          <w:tcPr>
            <w:tcW w:w="428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3,275</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3,070</w:t>
            </w:r>
          </w:p>
        </w:tc>
      </w:tr>
      <w:tr>
        <w:trPr>
          <w:trHeight w:val="230"/>
        </w:trPr>
        <w:tc>
          <w:tcPr>
            <w:tcW w:w="5680" w:type="dxa"/>
            <w:vAlign w:val="bottom"/>
          </w:tcPr>
          <w:p>
            <w:pPr>
              <w:ind w:left="80"/>
              <w:spacing w:after="0"/>
              <w:rPr>
                <w:sz w:val="20"/>
                <w:szCs w:val="20"/>
                <w:color w:val="auto"/>
              </w:rPr>
            </w:pPr>
            <w:r>
              <w:rPr>
                <w:rFonts w:ascii="Calibri" w:cs="Calibri" w:eastAsia="Calibri" w:hAnsi="Calibri"/>
                <w:sz w:val="18"/>
                <w:szCs w:val="18"/>
                <w:color w:val="auto"/>
              </w:rPr>
              <w:t>Business development</w:t>
            </w:r>
          </w:p>
        </w:tc>
        <w:tc>
          <w:tcPr>
            <w:tcW w:w="428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2,223</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907</w:t>
            </w:r>
          </w:p>
        </w:tc>
      </w:tr>
      <w:tr>
        <w:trPr>
          <w:trHeight w:val="229"/>
        </w:trPr>
        <w:tc>
          <w:tcPr>
            <w:tcW w:w="5680" w:type="dxa"/>
            <w:vAlign w:val="bottom"/>
          </w:tcPr>
          <w:p>
            <w:pPr>
              <w:ind w:left="80"/>
              <w:spacing w:after="0"/>
              <w:rPr>
                <w:sz w:val="20"/>
                <w:szCs w:val="20"/>
                <w:color w:val="auto"/>
              </w:rPr>
            </w:pPr>
            <w:r>
              <w:rPr>
                <w:rFonts w:ascii="Calibri" w:cs="Calibri" w:eastAsia="Calibri" w:hAnsi="Calibri"/>
                <w:sz w:val="18"/>
                <w:szCs w:val="18"/>
                <w:color w:val="auto"/>
              </w:rPr>
              <w:t>Investor relatons</w:t>
            </w:r>
          </w:p>
        </w:tc>
        <w:tc>
          <w:tcPr>
            <w:tcW w:w="428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1,981</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1,271</w:t>
            </w:r>
          </w:p>
        </w:tc>
      </w:tr>
      <w:tr>
        <w:trPr>
          <w:trHeight w:val="230"/>
        </w:trPr>
        <w:tc>
          <w:tcPr>
            <w:tcW w:w="5680" w:type="dxa"/>
            <w:vAlign w:val="bottom"/>
          </w:tcPr>
          <w:p>
            <w:pPr>
              <w:ind w:left="80"/>
              <w:spacing w:after="0"/>
              <w:rPr>
                <w:sz w:val="20"/>
                <w:szCs w:val="20"/>
                <w:color w:val="auto"/>
              </w:rPr>
            </w:pPr>
            <w:r>
              <w:rPr>
                <w:rFonts w:ascii="Calibri" w:cs="Calibri" w:eastAsia="Calibri" w:hAnsi="Calibri"/>
                <w:sz w:val="18"/>
                <w:szCs w:val="18"/>
                <w:color w:val="auto"/>
              </w:rPr>
              <w:t>Marketng media</w:t>
            </w:r>
          </w:p>
        </w:tc>
        <w:tc>
          <w:tcPr>
            <w:tcW w:w="428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1,466</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649</w:t>
            </w:r>
          </w:p>
        </w:tc>
      </w:tr>
      <w:tr>
        <w:trPr>
          <w:trHeight w:val="230"/>
        </w:trPr>
        <w:tc>
          <w:tcPr>
            <w:tcW w:w="5680" w:type="dxa"/>
            <w:vAlign w:val="bottom"/>
          </w:tcPr>
          <w:p>
            <w:pPr>
              <w:ind w:left="80"/>
              <w:spacing w:after="0"/>
              <w:rPr>
                <w:sz w:val="20"/>
                <w:szCs w:val="20"/>
                <w:color w:val="auto"/>
              </w:rPr>
            </w:pPr>
            <w:r>
              <w:rPr>
                <w:rFonts w:ascii="Calibri" w:cs="Calibri" w:eastAsia="Calibri" w:hAnsi="Calibri"/>
                <w:sz w:val="18"/>
                <w:szCs w:val="18"/>
                <w:color w:val="auto"/>
              </w:rPr>
              <w:t>Listng fees</w:t>
            </w:r>
          </w:p>
        </w:tc>
        <w:tc>
          <w:tcPr>
            <w:tcW w:w="428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533</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2,052</w:t>
            </w:r>
          </w:p>
        </w:tc>
      </w:tr>
      <w:tr>
        <w:trPr>
          <w:trHeight w:val="23"/>
        </w:trPr>
        <w:tc>
          <w:tcPr>
            <w:tcW w:w="568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6"/>
        </w:trPr>
        <w:tc>
          <w:tcPr>
            <w:tcW w:w="5680" w:type="dxa"/>
            <w:vAlign w:val="bottom"/>
            <w:tcBorders>
              <w:bottom w:val="single" w:sz="8" w:color="auto"/>
            </w:tcBorders>
          </w:tcPr>
          <w:p>
            <w:pPr>
              <w:ind w:left="80"/>
              <w:spacing w:after="0" w:line="215" w:lineRule="exact"/>
              <w:rPr>
                <w:sz w:val="20"/>
                <w:szCs w:val="20"/>
                <w:color w:val="auto"/>
              </w:rPr>
            </w:pPr>
            <w:r>
              <w:rPr>
                <w:rFonts w:ascii="Calibri" w:cs="Calibri" w:eastAsia="Calibri" w:hAnsi="Calibri"/>
                <w:sz w:val="18"/>
                <w:szCs w:val="18"/>
                <w:b w:val="1"/>
                <w:bCs w:val="1"/>
                <w:color w:val="auto"/>
              </w:rPr>
              <w:t>Total</w:t>
            </w:r>
          </w:p>
        </w:tc>
        <w:tc>
          <w:tcPr>
            <w:tcW w:w="4280" w:type="dxa"/>
            <w:vAlign w:val="bottom"/>
            <w:tcBorders>
              <w:bottom w:val="single" w:sz="8" w:color="auto"/>
            </w:tcBorders>
          </w:tcPr>
          <w:p>
            <w:pPr>
              <w:jc w:val="right"/>
              <w:ind w:right="350"/>
              <w:spacing w:after="0" w:line="215" w:lineRule="exact"/>
              <w:rPr>
                <w:sz w:val="20"/>
                <w:szCs w:val="20"/>
                <w:color w:val="auto"/>
              </w:rPr>
            </w:pPr>
            <w:r>
              <w:rPr>
                <w:rFonts w:ascii="Calibri" w:cs="Calibri" w:eastAsia="Calibri" w:hAnsi="Calibri"/>
                <w:sz w:val="18"/>
                <w:szCs w:val="18"/>
                <w:b w:val="1"/>
                <w:bCs w:val="1"/>
                <w:color w:val="auto"/>
              </w:rPr>
              <w:t>28,222</w:t>
            </w: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15,870</w:t>
            </w:r>
          </w:p>
        </w:tc>
      </w:tr>
    </w:tbl>
    <w:p>
      <w:pPr>
        <w:spacing w:after="0" w:line="243" w:lineRule="exact"/>
        <w:rPr>
          <w:sz w:val="20"/>
          <w:szCs w:val="20"/>
          <w:color w:val="auto"/>
        </w:rPr>
      </w:pPr>
    </w:p>
    <w:p>
      <w:pPr>
        <w:spacing w:after="0"/>
        <w:tabs>
          <w:tab w:leader="none" w:pos="380" w:val="left"/>
        </w:tabs>
        <w:rPr>
          <w:sz w:val="20"/>
          <w:szCs w:val="20"/>
          <w:color w:val="auto"/>
        </w:rPr>
      </w:pPr>
      <w:r>
        <w:rPr>
          <w:rFonts w:ascii="Calibri" w:cs="Calibri" w:eastAsia="Calibri" w:hAnsi="Calibri"/>
          <w:sz w:val="18"/>
          <w:szCs w:val="18"/>
          <w:b w:val="1"/>
          <w:bCs w:val="1"/>
          <w:color w:val="2D5F91"/>
        </w:rPr>
        <w:t>13.</w:t>
      </w:r>
      <w:r>
        <w:rPr>
          <w:sz w:val="20"/>
          <w:szCs w:val="20"/>
          <w:color w:val="auto"/>
        </w:rPr>
        <w:tab/>
      </w:r>
      <w:r>
        <w:rPr>
          <w:rFonts w:ascii="Calibri" w:cs="Calibri" w:eastAsia="Calibri" w:hAnsi="Calibri"/>
          <w:sz w:val="17"/>
          <w:szCs w:val="17"/>
          <w:b w:val="1"/>
          <w:bCs w:val="1"/>
          <w:color w:val="2D5F91"/>
        </w:rPr>
        <w:t>CONTRACTS AND COMMITMENTS</w:t>
      </w:r>
    </w:p>
    <w:p>
      <w:pPr>
        <w:spacing w:after="0" w:line="177"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As at March 31, 2022, the Company had also entered into agreements for various studies which may require the Company to spend up to an additonal $5,968 (US$4,777). The Company expects to pay this amount within the 18 months ending September 30, 2023, however the tming and certainty of the payments are contngent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Page 47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50" w:name="page51"/>
    <w:bookmarkEnd w:id="50"/>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7"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31"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left="80"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on availability of materials and successful completon of certain milestones. The Company has the right to cancel the preclinical studies at its discreton, in which case a cancellaton fee may apply, however the Company is not liable to pay the full amount of the studies.</w:t>
      </w:r>
    </w:p>
    <w:p>
      <w:pPr>
        <w:spacing w:after="0" w:line="191"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In additon, the Company has entered into agreements with certain consultants which requires the Company to spend $437 in the year ending March 31, 2023.</w:t>
      </w:r>
    </w:p>
    <w:p>
      <w:pPr>
        <w:spacing w:after="0" w:line="172" w:lineRule="exact"/>
        <w:rPr>
          <w:sz w:val="20"/>
          <w:szCs w:val="20"/>
          <w:color w:val="auto"/>
        </w:rPr>
      </w:pPr>
    </w:p>
    <w:p>
      <w:pPr>
        <w:spacing w:after="0"/>
        <w:tabs>
          <w:tab w:leader="none" w:pos="380" w:val="left"/>
        </w:tabs>
        <w:rPr>
          <w:sz w:val="20"/>
          <w:szCs w:val="20"/>
          <w:color w:val="auto"/>
        </w:rPr>
      </w:pPr>
      <w:r>
        <w:rPr>
          <w:rFonts w:ascii="Calibri" w:cs="Calibri" w:eastAsia="Calibri" w:hAnsi="Calibri"/>
          <w:sz w:val="18"/>
          <w:szCs w:val="18"/>
          <w:b w:val="1"/>
          <w:bCs w:val="1"/>
          <w:color w:val="2D5F91"/>
        </w:rPr>
        <w:t>14.</w:t>
      </w:r>
      <w:r>
        <w:rPr>
          <w:sz w:val="20"/>
          <w:szCs w:val="20"/>
          <w:color w:val="auto"/>
        </w:rPr>
        <w:tab/>
      </w:r>
      <w:r>
        <w:rPr>
          <w:rFonts w:ascii="Calibri" w:cs="Calibri" w:eastAsia="Calibri" w:hAnsi="Calibri"/>
          <w:sz w:val="17"/>
          <w:szCs w:val="17"/>
          <w:b w:val="1"/>
          <w:bCs w:val="1"/>
          <w:color w:val="2D5F91"/>
        </w:rPr>
        <w:t>CAPITAL MANAGEMENT</w:t>
      </w:r>
    </w:p>
    <w:p>
      <w:pPr>
        <w:spacing w:after="0" w:line="177"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The Company’s objectves when managing capital are to safeguard the Company’s ability to contnue as a going concern in order to pursue business opportunites and to maintain a fexible capital structure that optmizes the costs of capital at an acceptable risk. The Company’s intentons are to (i) provide fnancial capacity and fexibility in order to preserve its ability to meet its strategic objectves and fnancial obligatons; (ii) maintain a capital structure which allows the Company to respond to changes in economic and marketplace conditons and afords the Company the ability to partcipate in new investments; (iii) optmize the use of its capital to provide an appropriate investment return to its shareholders equal with the level of risk; and (iv) maintain a fexible capital structure which optmizes the cost of capital at acceptable levels of risk.</w:t>
      </w:r>
    </w:p>
    <w:p>
      <w:pPr>
        <w:spacing w:after="0" w:line="194"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The Company’s fnancial strategy is formulated and adapted according to market conditons in order to maintain a fexible capital structure that is consistent with its objectves and the risk characteristcs of its underlying assets. The Company manages its capital structure and makes adjustments to it in light of changes in economic conditons and the risk characteristcs of its underlying assets. The Company maintains or adjusts its capital level to enable it to meet its objectves by raising capital through the issuance of securites.</w:t>
      </w:r>
    </w:p>
    <w:p>
      <w:pPr>
        <w:spacing w:after="0" w:line="174"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The Company’s capital management objectves, policies and processes generally remained unchanged during the year ended March 31, 2022.</w:t>
      </w:r>
    </w:p>
    <w:p>
      <w:pPr>
        <w:spacing w:after="0" w:line="177"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The Company requires capital to fund existng and future operatons and meet regulatory capital requirements. The Company’s policy is to maintain adequate levels of capital at all tmes.</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5660" w:type="dxa"/>
            <w:vAlign w:val="bottom"/>
          </w:tcPr>
          <w:p>
            <w:pPr>
              <w:spacing w:after="0"/>
              <w:rPr>
                <w:sz w:val="20"/>
                <w:szCs w:val="20"/>
                <w:color w:val="auto"/>
              </w:rPr>
            </w:pPr>
            <w:r>
              <w:rPr>
                <w:rFonts w:ascii="Calibri" w:cs="Calibri" w:eastAsia="Calibri" w:hAnsi="Calibri"/>
                <w:sz w:val="18"/>
                <w:szCs w:val="18"/>
                <w:color w:val="auto"/>
              </w:rPr>
              <w:t>The Company’s capital structure includes the following:</w:t>
            </w:r>
          </w:p>
        </w:tc>
        <w:tc>
          <w:tcPr>
            <w:tcW w:w="3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2"/>
        </w:trPr>
        <w:tc>
          <w:tcPr>
            <w:tcW w:w="5660" w:type="dxa"/>
            <w:vAlign w:val="bottom"/>
          </w:tcPr>
          <w:p>
            <w:pPr>
              <w:ind w:left="60"/>
              <w:spacing w:after="0"/>
              <w:rPr>
                <w:sz w:val="20"/>
                <w:szCs w:val="20"/>
                <w:color w:val="auto"/>
              </w:rPr>
            </w:pPr>
            <w:r>
              <w:rPr>
                <w:rFonts w:ascii="Calibri" w:cs="Calibri" w:eastAsia="Calibri" w:hAnsi="Calibri"/>
                <w:sz w:val="18"/>
                <w:szCs w:val="18"/>
                <w:b w:val="1"/>
                <w:bCs w:val="1"/>
                <w:color w:val="auto"/>
              </w:rPr>
              <w:t>As at</w:t>
            </w:r>
          </w:p>
        </w:tc>
        <w:tc>
          <w:tcPr>
            <w:tcW w:w="3260" w:type="dxa"/>
            <w:vAlign w:val="bottom"/>
          </w:tcPr>
          <w:p>
            <w:pPr>
              <w:jc w:val="right"/>
              <w:ind w:right="317"/>
              <w:spacing w:after="0"/>
              <w:rPr>
                <w:sz w:val="20"/>
                <w:szCs w:val="20"/>
                <w:color w:val="auto"/>
              </w:rPr>
            </w:pPr>
            <w:r>
              <w:rPr>
                <w:rFonts w:ascii="Calibri" w:cs="Calibri" w:eastAsia="Calibri" w:hAnsi="Calibri"/>
                <w:sz w:val="18"/>
                <w:szCs w:val="18"/>
                <w:b w:val="1"/>
                <w:bCs w:val="1"/>
                <w:color w:val="auto"/>
              </w:rPr>
              <w:t>March 31, 2022</w:t>
            </w:r>
          </w:p>
        </w:tc>
        <w:tc>
          <w:tcPr>
            <w:tcW w:w="1540" w:type="dxa"/>
            <w:vAlign w:val="bottom"/>
          </w:tcPr>
          <w:p>
            <w:pPr>
              <w:jc w:val="right"/>
              <w:spacing w:after="0"/>
              <w:rPr>
                <w:sz w:val="20"/>
                <w:szCs w:val="20"/>
                <w:color w:val="auto"/>
              </w:rPr>
            </w:pPr>
            <w:r>
              <w:rPr>
                <w:rFonts w:ascii="Calibri" w:cs="Calibri" w:eastAsia="Calibri" w:hAnsi="Calibri"/>
                <w:sz w:val="18"/>
                <w:szCs w:val="18"/>
                <w:b w:val="1"/>
                <w:bCs w:val="1"/>
                <w:color w:val="auto"/>
              </w:rPr>
              <w:t>March 31, 2021</w:t>
            </w:r>
          </w:p>
        </w:tc>
      </w:tr>
      <w:tr>
        <w:trPr>
          <w:trHeight w:val="230"/>
        </w:trPr>
        <w:tc>
          <w:tcPr>
            <w:tcW w:w="5660" w:type="dxa"/>
            <w:vAlign w:val="bottom"/>
          </w:tcPr>
          <w:p>
            <w:pPr>
              <w:spacing w:after="0"/>
              <w:rPr>
                <w:sz w:val="19"/>
                <w:szCs w:val="19"/>
                <w:color w:val="auto"/>
              </w:rPr>
            </w:pPr>
          </w:p>
        </w:tc>
        <w:tc>
          <w:tcPr>
            <w:tcW w:w="3260" w:type="dxa"/>
            <w:vAlign w:val="bottom"/>
          </w:tcPr>
          <w:p>
            <w:pPr>
              <w:jc w:val="right"/>
              <w:ind w:right="317"/>
              <w:spacing w:after="0"/>
              <w:rPr>
                <w:sz w:val="20"/>
                <w:szCs w:val="20"/>
                <w:color w:val="auto"/>
              </w:rPr>
            </w:pPr>
            <w:r>
              <w:rPr>
                <w:rFonts w:ascii="Calibri" w:cs="Calibri" w:eastAsia="Calibri" w:hAnsi="Calibri"/>
                <w:sz w:val="18"/>
                <w:szCs w:val="18"/>
                <w:b w:val="1"/>
                <w:bCs w:val="1"/>
                <w:color w:val="auto"/>
              </w:rPr>
              <w:t>$000’s</w:t>
            </w:r>
          </w:p>
        </w:tc>
        <w:tc>
          <w:tcPr>
            <w:tcW w:w="1540" w:type="dxa"/>
            <w:vAlign w:val="bottom"/>
          </w:tcPr>
          <w:p>
            <w:pPr>
              <w:jc w:val="right"/>
              <w:spacing w:after="0"/>
              <w:rPr>
                <w:sz w:val="20"/>
                <w:szCs w:val="20"/>
                <w:color w:val="auto"/>
              </w:rPr>
            </w:pPr>
            <w:r>
              <w:rPr>
                <w:rFonts w:ascii="Calibri" w:cs="Calibri" w:eastAsia="Calibri" w:hAnsi="Calibri"/>
                <w:sz w:val="18"/>
                <w:szCs w:val="18"/>
                <w:b w:val="1"/>
                <w:bCs w:val="1"/>
                <w:color w:val="auto"/>
              </w:rPr>
              <w:t>$000’s</w:t>
            </w:r>
          </w:p>
        </w:tc>
      </w:tr>
      <w:tr>
        <w:trPr>
          <w:trHeight w:val="23"/>
        </w:trPr>
        <w:tc>
          <w:tcPr>
            <w:tcW w:w="56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8"/>
        </w:trPr>
        <w:tc>
          <w:tcPr>
            <w:tcW w:w="5660" w:type="dxa"/>
            <w:vAlign w:val="bottom"/>
          </w:tcPr>
          <w:p>
            <w:pPr>
              <w:ind w:left="60"/>
              <w:spacing w:after="0" w:line="208" w:lineRule="exact"/>
              <w:rPr>
                <w:sz w:val="20"/>
                <w:szCs w:val="20"/>
                <w:color w:val="auto"/>
              </w:rPr>
            </w:pPr>
            <w:r>
              <w:rPr>
                <w:rFonts w:ascii="Calibri" w:cs="Calibri" w:eastAsia="Calibri" w:hAnsi="Calibri"/>
                <w:sz w:val="18"/>
                <w:szCs w:val="18"/>
                <w:color w:val="auto"/>
              </w:rPr>
              <w:t>Shareholders’ equity comprised of:</w:t>
            </w:r>
          </w:p>
        </w:tc>
        <w:tc>
          <w:tcPr>
            <w:tcW w:w="3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1"/>
        </w:trPr>
        <w:tc>
          <w:tcPr>
            <w:tcW w:w="5660" w:type="dxa"/>
            <w:vAlign w:val="bottom"/>
          </w:tcPr>
          <w:p>
            <w:pPr>
              <w:ind w:left="160"/>
              <w:spacing w:after="0"/>
              <w:rPr>
                <w:sz w:val="20"/>
                <w:szCs w:val="20"/>
                <w:color w:val="auto"/>
              </w:rPr>
            </w:pPr>
            <w:r>
              <w:rPr>
                <w:rFonts w:ascii="Calibri" w:cs="Calibri" w:eastAsia="Calibri" w:hAnsi="Calibri"/>
                <w:sz w:val="18"/>
                <w:szCs w:val="18"/>
                <w:color w:val="auto"/>
              </w:rPr>
              <w:t>Share capital</w:t>
            </w:r>
          </w:p>
        </w:tc>
        <w:tc>
          <w:tcPr>
            <w:tcW w:w="3260" w:type="dxa"/>
            <w:vAlign w:val="bottom"/>
          </w:tcPr>
          <w:p>
            <w:pPr>
              <w:jc w:val="right"/>
              <w:ind w:right="317"/>
              <w:spacing w:after="0"/>
              <w:rPr>
                <w:sz w:val="20"/>
                <w:szCs w:val="20"/>
                <w:color w:val="auto"/>
              </w:rPr>
            </w:pPr>
            <w:r>
              <w:rPr>
                <w:rFonts w:ascii="Calibri" w:cs="Calibri" w:eastAsia="Calibri" w:hAnsi="Calibri"/>
                <w:sz w:val="16"/>
                <w:szCs w:val="16"/>
                <w:b w:val="1"/>
                <w:bCs w:val="1"/>
                <w:color w:val="auto"/>
              </w:rPr>
              <w:t>141,451</w:t>
            </w:r>
          </w:p>
        </w:tc>
        <w:tc>
          <w:tcPr>
            <w:tcW w:w="1540" w:type="dxa"/>
            <w:vAlign w:val="bottom"/>
          </w:tcPr>
          <w:p>
            <w:pPr>
              <w:jc w:val="right"/>
              <w:spacing w:after="0"/>
              <w:rPr>
                <w:sz w:val="20"/>
                <w:szCs w:val="20"/>
                <w:color w:val="auto"/>
              </w:rPr>
            </w:pPr>
            <w:r>
              <w:rPr>
                <w:rFonts w:ascii="Calibri" w:cs="Calibri" w:eastAsia="Calibri" w:hAnsi="Calibri"/>
                <w:sz w:val="16"/>
                <w:szCs w:val="16"/>
                <w:color w:val="auto"/>
              </w:rPr>
              <w:t>100,676</w:t>
            </w:r>
          </w:p>
        </w:tc>
      </w:tr>
      <w:tr>
        <w:trPr>
          <w:trHeight w:val="229"/>
        </w:trPr>
        <w:tc>
          <w:tcPr>
            <w:tcW w:w="5660" w:type="dxa"/>
            <w:vAlign w:val="bottom"/>
          </w:tcPr>
          <w:p>
            <w:pPr>
              <w:ind w:left="160"/>
              <w:spacing w:after="0"/>
              <w:rPr>
                <w:sz w:val="20"/>
                <w:szCs w:val="20"/>
                <w:color w:val="auto"/>
              </w:rPr>
            </w:pPr>
            <w:r>
              <w:rPr>
                <w:rFonts w:ascii="Calibri" w:cs="Calibri" w:eastAsia="Calibri" w:hAnsi="Calibri"/>
                <w:sz w:val="18"/>
                <w:szCs w:val="18"/>
                <w:color w:val="auto"/>
              </w:rPr>
              <w:t>Contributed surplus</w:t>
            </w:r>
          </w:p>
        </w:tc>
        <w:tc>
          <w:tcPr>
            <w:tcW w:w="3260" w:type="dxa"/>
            <w:vAlign w:val="bottom"/>
          </w:tcPr>
          <w:p>
            <w:pPr>
              <w:jc w:val="right"/>
              <w:ind w:right="317"/>
              <w:spacing w:after="0"/>
              <w:rPr>
                <w:sz w:val="20"/>
                <w:szCs w:val="20"/>
                <w:color w:val="auto"/>
              </w:rPr>
            </w:pPr>
            <w:r>
              <w:rPr>
                <w:rFonts w:ascii="Calibri" w:cs="Calibri" w:eastAsia="Calibri" w:hAnsi="Calibri"/>
                <w:sz w:val="16"/>
                <w:szCs w:val="16"/>
                <w:b w:val="1"/>
                <w:bCs w:val="1"/>
                <w:color w:val="auto"/>
              </w:rPr>
              <w:t>525</w:t>
            </w:r>
          </w:p>
        </w:tc>
        <w:tc>
          <w:tcPr>
            <w:tcW w:w="1540" w:type="dxa"/>
            <w:vAlign w:val="bottom"/>
          </w:tcPr>
          <w:p>
            <w:pPr>
              <w:jc w:val="right"/>
              <w:spacing w:after="0"/>
              <w:rPr>
                <w:sz w:val="20"/>
                <w:szCs w:val="20"/>
                <w:color w:val="auto"/>
              </w:rPr>
            </w:pPr>
            <w:r>
              <w:rPr>
                <w:rFonts w:ascii="Calibri" w:cs="Calibri" w:eastAsia="Calibri" w:hAnsi="Calibri"/>
                <w:sz w:val="16"/>
                <w:szCs w:val="16"/>
                <w:color w:val="auto"/>
              </w:rPr>
              <w:t>124</w:t>
            </w:r>
          </w:p>
        </w:tc>
      </w:tr>
      <w:tr>
        <w:trPr>
          <w:trHeight w:val="230"/>
        </w:trPr>
        <w:tc>
          <w:tcPr>
            <w:tcW w:w="5660" w:type="dxa"/>
            <w:vAlign w:val="bottom"/>
          </w:tcPr>
          <w:p>
            <w:pPr>
              <w:ind w:left="160"/>
              <w:spacing w:after="0"/>
              <w:rPr>
                <w:sz w:val="20"/>
                <w:szCs w:val="20"/>
                <w:color w:val="auto"/>
              </w:rPr>
            </w:pPr>
            <w:r>
              <w:rPr>
                <w:rFonts w:ascii="Calibri" w:cs="Calibri" w:eastAsia="Calibri" w:hAnsi="Calibri"/>
                <w:sz w:val="18"/>
                <w:szCs w:val="18"/>
                <w:color w:val="auto"/>
              </w:rPr>
              <w:t>Optons reserve</w:t>
            </w:r>
          </w:p>
        </w:tc>
        <w:tc>
          <w:tcPr>
            <w:tcW w:w="3260" w:type="dxa"/>
            <w:vAlign w:val="bottom"/>
          </w:tcPr>
          <w:p>
            <w:pPr>
              <w:jc w:val="right"/>
              <w:ind w:right="317"/>
              <w:spacing w:after="0"/>
              <w:rPr>
                <w:sz w:val="20"/>
                <w:szCs w:val="20"/>
                <w:color w:val="auto"/>
              </w:rPr>
            </w:pPr>
            <w:r>
              <w:rPr>
                <w:rFonts w:ascii="Calibri" w:cs="Calibri" w:eastAsia="Calibri" w:hAnsi="Calibri"/>
                <w:sz w:val="16"/>
                <w:szCs w:val="16"/>
                <w:b w:val="1"/>
                <w:bCs w:val="1"/>
                <w:color w:val="auto"/>
              </w:rPr>
              <w:t>23,783</w:t>
            </w:r>
          </w:p>
        </w:tc>
        <w:tc>
          <w:tcPr>
            <w:tcW w:w="1540" w:type="dxa"/>
            <w:vAlign w:val="bottom"/>
          </w:tcPr>
          <w:p>
            <w:pPr>
              <w:jc w:val="right"/>
              <w:spacing w:after="0"/>
              <w:rPr>
                <w:sz w:val="20"/>
                <w:szCs w:val="20"/>
                <w:color w:val="auto"/>
              </w:rPr>
            </w:pPr>
            <w:r>
              <w:rPr>
                <w:rFonts w:ascii="Calibri" w:cs="Calibri" w:eastAsia="Calibri" w:hAnsi="Calibri"/>
                <w:sz w:val="16"/>
                <w:szCs w:val="16"/>
                <w:color w:val="auto"/>
              </w:rPr>
              <w:t>7,158</w:t>
            </w:r>
          </w:p>
        </w:tc>
      </w:tr>
      <w:tr>
        <w:trPr>
          <w:trHeight w:val="230"/>
        </w:trPr>
        <w:tc>
          <w:tcPr>
            <w:tcW w:w="5660" w:type="dxa"/>
            <w:vAlign w:val="bottom"/>
          </w:tcPr>
          <w:p>
            <w:pPr>
              <w:ind w:left="160"/>
              <w:spacing w:after="0"/>
              <w:rPr>
                <w:sz w:val="20"/>
                <w:szCs w:val="20"/>
                <w:color w:val="auto"/>
              </w:rPr>
            </w:pPr>
            <w:r>
              <w:rPr>
                <w:rFonts w:ascii="Calibri" w:cs="Calibri" w:eastAsia="Calibri" w:hAnsi="Calibri"/>
                <w:sz w:val="18"/>
                <w:szCs w:val="18"/>
                <w:color w:val="auto"/>
              </w:rPr>
              <w:t>Warrants reserve</w:t>
            </w:r>
          </w:p>
        </w:tc>
        <w:tc>
          <w:tcPr>
            <w:tcW w:w="3260" w:type="dxa"/>
            <w:vAlign w:val="bottom"/>
          </w:tcPr>
          <w:p>
            <w:pPr>
              <w:jc w:val="right"/>
              <w:ind w:right="317"/>
              <w:spacing w:after="0"/>
              <w:rPr>
                <w:sz w:val="20"/>
                <w:szCs w:val="20"/>
                <w:color w:val="auto"/>
              </w:rPr>
            </w:pPr>
            <w:r>
              <w:rPr>
                <w:rFonts w:ascii="Calibri" w:cs="Calibri" w:eastAsia="Calibri" w:hAnsi="Calibri"/>
                <w:sz w:val="16"/>
                <w:szCs w:val="16"/>
                <w:b w:val="1"/>
                <w:bCs w:val="1"/>
                <w:color w:val="auto"/>
              </w:rPr>
              <w:t>11,423</w:t>
            </w:r>
          </w:p>
        </w:tc>
        <w:tc>
          <w:tcPr>
            <w:tcW w:w="1540" w:type="dxa"/>
            <w:vAlign w:val="bottom"/>
          </w:tcPr>
          <w:p>
            <w:pPr>
              <w:jc w:val="right"/>
              <w:spacing w:after="0"/>
              <w:rPr>
                <w:sz w:val="20"/>
                <w:szCs w:val="20"/>
                <w:color w:val="auto"/>
              </w:rPr>
            </w:pPr>
            <w:r>
              <w:rPr>
                <w:rFonts w:ascii="Calibri" w:cs="Calibri" w:eastAsia="Calibri" w:hAnsi="Calibri"/>
                <w:sz w:val="16"/>
                <w:szCs w:val="16"/>
                <w:color w:val="auto"/>
              </w:rPr>
              <w:t>11,166</w:t>
            </w:r>
          </w:p>
        </w:tc>
      </w:tr>
      <w:tr>
        <w:trPr>
          <w:trHeight w:val="230"/>
        </w:trPr>
        <w:tc>
          <w:tcPr>
            <w:tcW w:w="5660" w:type="dxa"/>
            <w:vAlign w:val="bottom"/>
          </w:tcPr>
          <w:p>
            <w:pPr>
              <w:ind w:left="160"/>
              <w:spacing w:after="0"/>
              <w:rPr>
                <w:sz w:val="20"/>
                <w:szCs w:val="20"/>
                <w:color w:val="auto"/>
              </w:rPr>
            </w:pPr>
            <w:r>
              <w:rPr>
                <w:rFonts w:ascii="Calibri" w:cs="Calibri" w:eastAsia="Calibri" w:hAnsi="Calibri"/>
                <w:sz w:val="18"/>
                <w:szCs w:val="18"/>
                <w:color w:val="auto"/>
              </w:rPr>
              <w:t>Accumulated other comprehensive income (loss)</w:t>
            </w:r>
          </w:p>
        </w:tc>
        <w:tc>
          <w:tcPr>
            <w:tcW w:w="3260" w:type="dxa"/>
            <w:vAlign w:val="bottom"/>
          </w:tcPr>
          <w:p>
            <w:pPr>
              <w:jc w:val="right"/>
              <w:ind w:right="277"/>
              <w:spacing w:after="0"/>
              <w:rPr>
                <w:sz w:val="20"/>
                <w:szCs w:val="20"/>
                <w:color w:val="auto"/>
              </w:rPr>
            </w:pPr>
            <w:r>
              <w:rPr>
                <w:rFonts w:ascii="Calibri" w:cs="Calibri" w:eastAsia="Calibri" w:hAnsi="Calibri"/>
                <w:sz w:val="16"/>
                <w:szCs w:val="16"/>
                <w:b w:val="1"/>
                <w:bCs w:val="1"/>
                <w:color w:val="auto"/>
              </w:rPr>
              <w:t>(366)</w:t>
            </w:r>
          </w:p>
        </w:tc>
        <w:tc>
          <w:tcPr>
            <w:tcW w:w="1540" w:type="dxa"/>
            <w:vAlign w:val="bottom"/>
          </w:tcPr>
          <w:p>
            <w:pPr>
              <w:jc w:val="right"/>
              <w:spacing w:after="0"/>
              <w:rPr>
                <w:sz w:val="20"/>
                <w:szCs w:val="20"/>
                <w:color w:val="auto"/>
              </w:rPr>
            </w:pPr>
            <w:r>
              <w:rPr>
                <w:rFonts w:ascii="Calibri" w:cs="Calibri" w:eastAsia="Calibri" w:hAnsi="Calibri"/>
                <w:sz w:val="16"/>
                <w:szCs w:val="16"/>
                <w:color w:val="auto"/>
              </w:rPr>
              <w:t>24</w:t>
            </w:r>
          </w:p>
        </w:tc>
      </w:tr>
      <w:tr>
        <w:trPr>
          <w:trHeight w:val="229"/>
        </w:trPr>
        <w:tc>
          <w:tcPr>
            <w:tcW w:w="5660" w:type="dxa"/>
            <w:vAlign w:val="bottom"/>
          </w:tcPr>
          <w:p>
            <w:pPr>
              <w:ind w:left="160"/>
              <w:spacing w:after="0"/>
              <w:rPr>
                <w:sz w:val="20"/>
                <w:szCs w:val="20"/>
                <w:color w:val="auto"/>
              </w:rPr>
            </w:pPr>
            <w:r>
              <w:rPr>
                <w:rFonts w:ascii="Calibri" w:cs="Calibri" w:eastAsia="Calibri" w:hAnsi="Calibri"/>
                <w:sz w:val="18"/>
                <w:szCs w:val="18"/>
                <w:color w:val="auto"/>
              </w:rPr>
              <w:t>Defcit</w:t>
            </w:r>
          </w:p>
        </w:tc>
        <w:tc>
          <w:tcPr>
            <w:tcW w:w="3260" w:type="dxa"/>
            <w:vAlign w:val="bottom"/>
          </w:tcPr>
          <w:p>
            <w:pPr>
              <w:jc w:val="right"/>
              <w:ind w:right="277"/>
              <w:spacing w:after="0"/>
              <w:rPr>
                <w:sz w:val="20"/>
                <w:szCs w:val="20"/>
                <w:color w:val="auto"/>
              </w:rPr>
            </w:pPr>
            <w:r>
              <w:rPr>
                <w:rFonts w:ascii="Calibri" w:cs="Calibri" w:eastAsia="Calibri" w:hAnsi="Calibri"/>
                <w:sz w:val="16"/>
                <w:szCs w:val="16"/>
                <w:b w:val="1"/>
                <w:bCs w:val="1"/>
                <w:color w:val="auto"/>
              </w:rPr>
              <w:t>(100,661)</w:t>
            </w:r>
          </w:p>
        </w:tc>
        <w:tc>
          <w:tcPr>
            <w:tcW w:w="1540" w:type="dxa"/>
            <w:vAlign w:val="bottom"/>
          </w:tcPr>
          <w:p>
            <w:pPr>
              <w:jc w:val="right"/>
              <w:spacing w:after="0"/>
              <w:rPr>
                <w:sz w:val="20"/>
                <w:szCs w:val="20"/>
                <w:color w:val="auto"/>
              </w:rPr>
            </w:pPr>
            <w:r>
              <w:rPr>
                <w:rFonts w:ascii="Calibri" w:cs="Calibri" w:eastAsia="Calibri" w:hAnsi="Calibri"/>
                <w:sz w:val="16"/>
                <w:szCs w:val="16"/>
                <w:color w:val="auto"/>
              </w:rPr>
              <w:t>(33,030)</w:t>
            </w:r>
          </w:p>
        </w:tc>
      </w:tr>
      <w:tr>
        <w:trPr>
          <w:trHeight w:val="23"/>
        </w:trPr>
        <w:tc>
          <w:tcPr>
            <w:tcW w:w="56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5660" w:type="dxa"/>
            <w:vAlign w:val="bottom"/>
            <w:tcBorders>
              <w:bottom w:val="single" w:sz="8" w:color="auto"/>
            </w:tcBorders>
          </w:tcPr>
          <w:p>
            <w:pPr>
              <w:ind w:left="60"/>
              <w:spacing w:after="0" w:line="215" w:lineRule="exact"/>
              <w:rPr>
                <w:sz w:val="20"/>
                <w:szCs w:val="20"/>
                <w:color w:val="auto"/>
              </w:rPr>
            </w:pPr>
            <w:r>
              <w:rPr>
                <w:rFonts w:ascii="Calibri" w:cs="Calibri" w:eastAsia="Calibri" w:hAnsi="Calibri"/>
                <w:sz w:val="18"/>
                <w:szCs w:val="18"/>
                <w:b w:val="1"/>
                <w:bCs w:val="1"/>
                <w:color w:val="auto"/>
              </w:rPr>
              <w:t>Total</w:t>
            </w:r>
          </w:p>
        </w:tc>
        <w:tc>
          <w:tcPr>
            <w:tcW w:w="3260" w:type="dxa"/>
            <w:vAlign w:val="bottom"/>
            <w:tcBorders>
              <w:bottom w:val="single" w:sz="8" w:color="auto"/>
            </w:tcBorders>
          </w:tcPr>
          <w:p>
            <w:pPr>
              <w:jc w:val="right"/>
              <w:ind w:right="317"/>
              <w:spacing w:after="0" w:line="193" w:lineRule="exact"/>
              <w:rPr>
                <w:sz w:val="20"/>
                <w:szCs w:val="20"/>
                <w:color w:val="auto"/>
              </w:rPr>
            </w:pPr>
            <w:r>
              <w:rPr>
                <w:rFonts w:ascii="Calibri" w:cs="Calibri" w:eastAsia="Calibri" w:hAnsi="Calibri"/>
                <w:sz w:val="16"/>
                <w:szCs w:val="16"/>
                <w:b w:val="1"/>
                <w:bCs w:val="1"/>
                <w:color w:val="auto"/>
              </w:rPr>
              <w:t>76,155</w:t>
            </w:r>
          </w:p>
        </w:tc>
        <w:tc>
          <w:tcPr>
            <w:tcW w:w="15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86,118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Page 48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51" w:name="page52"/>
    <w:bookmarkEnd w:id="51"/>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7"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31"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7" w:lineRule="exact"/>
        <w:rPr>
          <w:sz w:val="20"/>
          <w:szCs w:val="20"/>
          <w:color w:val="auto"/>
        </w:rPr>
      </w:pPr>
    </w:p>
    <w:p>
      <w:pPr>
        <w:ind w:left="80"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80" w:val="left"/>
        </w:tabs>
        <w:rPr>
          <w:sz w:val="20"/>
          <w:szCs w:val="20"/>
          <w:color w:val="auto"/>
        </w:rPr>
      </w:pPr>
      <w:r>
        <w:rPr>
          <w:rFonts w:ascii="Calibri" w:cs="Calibri" w:eastAsia="Calibri" w:hAnsi="Calibri"/>
          <w:sz w:val="18"/>
          <w:szCs w:val="18"/>
          <w:b w:val="1"/>
          <w:bCs w:val="1"/>
          <w:color w:val="2D5F91"/>
        </w:rPr>
        <w:t>15.</w:t>
      </w:r>
      <w:r>
        <w:rPr>
          <w:sz w:val="20"/>
          <w:szCs w:val="20"/>
          <w:color w:val="auto"/>
        </w:rPr>
        <w:tab/>
      </w:r>
      <w:r>
        <w:rPr>
          <w:rFonts w:ascii="Calibri" w:cs="Calibri" w:eastAsia="Calibri" w:hAnsi="Calibri"/>
          <w:sz w:val="17"/>
          <w:szCs w:val="17"/>
          <w:b w:val="1"/>
          <w:bCs w:val="1"/>
          <w:color w:val="2D5F91"/>
        </w:rPr>
        <w:t>FINANCIAL INSTRUMENTS</w:t>
      </w:r>
    </w:p>
    <w:p>
      <w:pPr>
        <w:spacing w:after="0" w:line="185"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The Company’s fnancial instruments are exposed to certain fnancial risks, which include currency risk, credit risk, liquidity risk and interest rate risk.</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5940" w:type="dxa"/>
            <w:vAlign w:val="bottom"/>
          </w:tcPr>
          <w:p>
            <w:pPr>
              <w:spacing w:after="0"/>
              <w:rPr>
                <w:sz w:val="20"/>
                <w:szCs w:val="20"/>
                <w:color w:val="auto"/>
              </w:rPr>
            </w:pPr>
            <w:r>
              <w:rPr>
                <w:rFonts w:ascii="Calibri" w:cs="Calibri" w:eastAsia="Calibri" w:hAnsi="Calibri"/>
                <w:sz w:val="18"/>
                <w:szCs w:val="18"/>
                <w:color w:val="auto"/>
              </w:rPr>
              <w:t>The Company has classifed its fnancial instruments as follows:</w:t>
            </w:r>
          </w:p>
        </w:tc>
        <w:tc>
          <w:tcPr>
            <w:tcW w:w="3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2"/>
        </w:trPr>
        <w:tc>
          <w:tcPr>
            <w:tcW w:w="5940" w:type="dxa"/>
            <w:vAlign w:val="bottom"/>
          </w:tcPr>
          <w:p>
            <w:pPr>
              <w:ind w:left="60"/>
              <w:spacing w:after="0"/>
              <w:rPr>
                <w:sz w:val="20"/>
                <w:szCs w:val="20"/>
                <w:color w:val="auto"/>
              </w:rPr>
            </w:pPr>
            <w:r>
              <w:rPr>
                <w:rFonts w:ascii="Calibri" w:cs="Calibri" w:eastAsia="Calibri" w:hAnsi="Calibri"/>
                <w:sz w:val="18"/>
                <w:szCs w:val="18"/>
                <w:b w:val="1"/>
                <w:bCs w:val="1"/>
                <w:color w:val="auto"/>
              </w:rPr>
              <w:t>As at</w:t>
            </w:r>
          </w:p>
        </w:tc>
        <w:tc>
          <w:tcPr>
            <w:tcW w:w="3180" w:type="dxa"/>
            <w:vAlign w:val="bottom"/>
          </w:tcPr>
          <w:p>
            <w:pPr>
              <w:jc w:val="right"/>
              <w:ind w:right="490"/>
              <w:spacing w:after="0"/>
              <w:rPr>
                <w:sz w:val="20"/>
                <w:szCs w:val="20"/>
                <w:color w:val="auto"/>
              </w:rPr>
            </w:pPr>
            <w:r>
              <w:rPr>
                <w:rFonts w:ascii="Calibri" w:cs="Calibri" w:eastAsia="Calibri" w:hAnsi="Calibri"/>
                <w:sz w:val="18"/>
                <w:szCs w:val="18"/>
                <w:b w:val="1"/>
                <w:bCs w:val="1"/>
                <w:color w:val="auto"/>
              </w:rPr>
              <w:t>March 31, 2022</w:t>
            </w:r>
          </w:p>
        </w:tc>
        <w:tc>
          <w:tcPr>
            <w:tcW w:w="1780" w:type="dxa"/>
            <w:vAlign w:val="bottom"/>
          </w:tcPr>
          <w:p>
            <w:pPr>
              <w:jc w:val="right"/>
              <w:spacing w:after="0"/>
              <w:rPr>
                <w:sz w:val="20"/>
                <w:szCs w:val="20"/>
                <w:color w:val="auto"/>
              </w:rPr>
            </w:pPr>
            <w:r>
              <w:rPr>
                <w:rFonts w:ascii="Calibri" w:cs="Calibri" w:eastAsia="Calibri" w:hAnsi="Calibri"/>
                <w:sz w:val="18"/>
                <w:szCs w:val="18"/>
                <w:b w:val="1"/>
                <w:bCs w:val="1"/>
                <w:color w:val="auto"/>
              </w:rPr>
              <w:t>March 31, 2021</w:t>
            </w:r>
          </w:p>
        </w:tc>
      </w:tr>
      <w:tr>
        <w:trPr>
          <w:trHeight w:val="229"/>
        </w:trPr>
        <w:tc>
          <w:tcPr>
            <w:tcW w:w="5940" w:type="dxa"/>
            <w:vAlign w:val="bottom"/>
          </w:tcPr>
          <w:p>
            <w:pPr>
              <w:spacing w:after="0"/>
              <w:rPr>
                <w:sz w:val="19"/>
                <w:szCs w:val="19"/>
                <w:color w:val="auto"/>
              </w:rPr>
            </w:pPr>
          </w:p>
        </w:tc>
        <w:tc>
          <w:tcPr>
            <w:tcW w:w="3180" w:type="dxa"/>
            <w:vAlign w:val="bottom"/>
          </w:tcPr>
          <w:p>
            <w:pPr>
              <w:jc w:val="right"/>
              <w:ind w:right="490"/>
              <w:spacing w:after="0"/>
              <w:rPr>
                <w:sz w:val="20"/>
                <w:szCs w:val="20"/>
                <w:color w:val="auto"/>
              </w:rPr>
            </w:pPr>
            <w:r>
              <w:rPr>
                <w:rFonts w:ascii="Calibri" w:cs="Calibri" w:eastAsia="Calibri" w:hAnsi="Calibri"/>
                <w:sz w:val="18"/>
                <w:szCs w:val="18"/>
                <w:b w:val="1"/>
                <w:bCs w:val="1"/>
                <w:color w:val="auto"/>
              </w:rPr>
              <w:t>$000’s</w:t>
            </w:r>
          </w:p>
        </w:tc>
        <w:tc>
          <w:tcPr>
            <w:tcW w:w="1780" w:type="dxa"/>
            <w:vAlign w:val="bottom"/>
          </w:tcPr>
          <w:p>
            <w:pPr>
              <w:jc w:val="right"/>
              <w:spacing w:after="0"/>
              <w:rPr>
                <w:sz w:val="20"/>
                <w:szCs w:val="20"/>
                <w:color w:val="auto"/>
              </w:rPr>
            </w:pPr>
            <w:r>
              <w:rPr>
                <w:rFonts w:ascii="Calibri" w:cs="Calibri" w:eastAsia="Calibri" w:hAnsi="Calibri"/>
                <w:sz w:val="18"/>
                <w:szCs w:val="18"/>
                <w:b w:val="1"/>
                <w:bCs w:val="1"/>
                <w:color w:val="auto"/>
              </w:rPr>
              <w:t>$000’s</w:t>
            </w:r>
          </w:p>
        </w:tc>
      </w:tr>
      <w:tr>
        <w:trPr>
          <w:trHeight w:val="23"/>
        </w:trPr>
        <w:tc>
          <w:tcPr>
            <w:tcW w:w="59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8"/>
        </w:trPr>
        <w:tc>
          <w:tcPr>
            <w:tcW w:w="5940" w:type="dxa"/>
            <w:vAlign w:val="bottom"/>
          </w:tcPr>
          <w:p>
            <w:pPr>
              <w:ind w:left="60"/>
              <w:spacing w:after="0" w:line="208" w:lineRule="exact"/>
              <w:rPr>
                <w:sz w:val="20"/>
                <w:szCs w:val="20"/>
                <w:color w:val="auto"/>
              </w:rPr>
            </w:pPr>
            <w:r>
              <w:rPr>
                <w:rFonts w:ascii="Calibri" w:cs="Calibri" w:eastAsia="Calibri" w:hAnsi="Calibri"/>
                <w:sz w:val="18"/>
                <w:szCs w:val="18"/>
                <w:b w:val="1"/>
                <w:bCs w:val="1"/>
                <w:color w:val="auto"/>
              </w:rPr>
              <w:t>Financial assets, measured at fair value:</w:t>
            </w:r>
          </w:p>
        </w:tc>
        <w:tc>
          <w:tcPr>
            <w:tcW w:w="31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1"/>
        </w:trPr>
        <w:tc>
          <w:tcPr>
            <w:tcW w:w="5940" w:type="dxa"/>
            <w:vAlign w:val="bottom"/>
          </w:tcPr>
          <w:p>
            <w:pPr>
              <w:ind w:left="160"/>
              <w:spacing w:after="0"/>
              <w:rPr>
                <w:sz w:val="20"/>
                <w:szCs w:val="20"/>
                <w:color w:val="auto"/>
              </w:rPr>
            </w:pPr>
            <w:r>
              <w:rPr>
                <w:rFonts w:ascii="Calibri" w:cs="Calibri" w:eastAsia="Calibri" w:hAnsi="Calibri"/>
                <w:sz w:val="18"/>
                <w:szCs w:val="18"/>
                <w:color w:val="auto"/>
              </w:rPr>
              <w:t>Cash</w:t>
            </w:r>
          </w:p>
        </w:tc>
        <w:tc>
          <w:tcPr>
            <w:tcW w:w="3180" w:type="dxa"/>
            <w:vAlign w:val="bottom"/>
          </w:tcPr>
          <w:p>
            <w:pPr>
              <w:jc w:val="right"/>
              <w:ind w:right="490"/>
              <w:spacing w:after="0"/>
              <w:rPr>
                <w:sz w:val="20"/>
                <w:szCs w:val="20"/>
                <w:color w:val="auto"/>
              </w:rPr>
            </w:pPr>
            <w:r>
              <w:rPr>
                <w:rFonts w:ascii="Calibri" w:cs="Calibri" w:eastAsia="Calibri" w:hAnsi="Calibri"/>
                <w:sz w:val="18"/>
                <w:szCs w:val="18"/>
                <w:color w:val="auto"/>
              </w:rPr>
              <w:t>53,641</w:t>
            </w:r>
          </w:p>
        </w:tc>
        <w:tc>
          <w:tcPr>
            <w:tcW w:w="1780" w:type="dxa"/>
            <w:vAlign w:val="bottom"/>
          </w:tcPr>
          <w:p>
            <w:pPr>
              <w:jc w:val="right"/>
              <w:spacing w:after="0"/>
              <w:rPr>
                <w:sz w:val="20"/>
                <w:szCs w:val="20"/>
                <w:color w:val="auto"/>
              </w:rPr>
            </w:pPr>
            <w:r>
              <w:rPr>
                <w:rFonts w:ascii="Calibri" w:cs="Calibri" w:eastAsia="Calibri" w:hAnsi="Calibri"/>
                <w:sz w:val="18"/>
                <w:szCs w:val="18"/>
                <w:color w:val="auto"/>
              </w:rPr>
              <w:t>64,026</w:t>
            </w:r>
          </w:p>
        </w:tc>
      </w:tr>
      <w:tr>
        <w:trPr>
          <w:trHeight w:val="230"/>
        </w:trPr>
        <w:tc>
          <w:tcPr>
            <w:tcW w:w="5940" w:type="dxa"/>
            <w:vAlign w:val="bottom"/>
          </w:tcPr>
          <w:p>
            <w:pPr>
              <w:ind w:left="160"/>
              <w:spacing w:after="0"/>
              <w:rPr>
                <w:sz w:val="20"/>
                <w:szCs w:val="20"/>
                <w:color w:val="auto"/>
              </w:rPr>
            </w:pPr>
            <w:r>
              <w:rPr>
                <w:rFonts w:ascii="Calibri" w:cs="Calibri" w:eastAsia="Calibri" w:hAnsi="Calibri"/>
                <w:sz w:val="18"/>
                <w:szCs w:val="18"/>
                <w:color w:val="auto"/>
              </w:rPr>
              <w:t>Investments</w:t>
            </w:r>
          </w:p>
        </w:tc>
        <w:tc>
          <w:tcPr>
            <w:tcW w:w="3180" w:type="dxa"/>
            <w:vAlign w:val="bottom"/>
          </w:tcPr>
          <w:p>
            <w:pPr>
              <w:jc w:val="right"/>
              <w:ind w:right="490"/>
              <w:spacing w:after="0"/>
              <w:rPr>
                <w:sz w:val="20"/>
                <w:szCs w:val="20"/>
                <w:color w:val="auto"/>
              </w:rPr>
            </w:pPr>
            <w:r>
              <w:rPr>
                <w:rFonts w:ascii="Calibri" w:cs="Calibri" w:eastAsia="Calibri" w:hAnsi="Calibri"/>
                <w:sz w:val="18"/>
                <w:szCs w:val="18"/>
                <w:color w:val="auto"/>
              </w:rPr>
              <w:t>242</w:t>
            </w:r>
          </w:p>
        </w:tc>
        <w:tc>
          <w:tcPr>
            <w:tcW w:w="178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29"/>
        </w:trPr>
        <w:tc>
          <w:tcPr>
            <w:tcW w:w="5940" w:type="dxa"/>
            <w:vAlign w:val="bottom"/>
          </w:tcPr>
          <w:p>
            <w:pPr>
              <w:ind w:left="60"/>
              <w:spacing w:after="0"/>
              <w:rPr>
                <w:sz w:val="20"/>
                <w:szCs w:val="20"/>
                <w:color w:val="auto"/>
              </w:rPr>
            </w:pPr>
            <w:r>
              <w:rPr>
                <w:rFonts w:ascii="Calibri" w:cs="Calibri" w:eastAsia="Calibri" w:hAnsi="Calibri"/>
                <w:sz w:val="18"/>
                <w:szCs w:val="18"/>
                <w:b w:val="1"/>
                <w:bCs w:val="1"/>
                <w:color w:val="auto"/>
              </w:rPr>
              <w:t>Financial assets, measured at amortzed cost:</w:t>
            </w:r>
          </w:p>
        </w:tc>
        <w:tc>
          <w:tcPr>
            <w:tcW w:w="3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5940" w:type="dxa"/>
            <w:vAlign w:val="bottom"/>
          </w:tcPr>
          <w:p>
            <w:pPr>
              <w:ind w:left="160"/>
              <w:spacing w:after="0"/>
              <w:rPr>
                <w:sz w:val="20"/>
                <w:szCs w:val="20"/>
                <w:color w:val="auto"/>
              </w:rPr>
            </w:pPr>
            <w:r>
              <w:rPr>
                <w:rFonts w:ascii="Calibri" w:cs="Calibri" w:eastAsia="Calibri" w:hAnsi="Calibri"/>
                <w:sz w:val="18"/>
                <w:szCs w:val="18"/>
                <w:color w:val="auto"/>
              </w:rPr>
              <w:t>Accounts receivable</w:t>
            </w:r>
          </w:p>
        </w:tc>
        <w:tc>
          <w:tcPr>
            <w:tcW w:w="3180" w:type="dxa"/>
            <w:vAlign w:val="bottom"/>
          </w:tcPr>
          <w:p>
            <w:pPr>
              <w:jc w:val="right"/>
              <w:ind w:right="490"/>
              <w:spacing w:after="0"/>
              <w:rPr>
                <w:sz w:val="20"/>
                <w:szCs w:val="20"/>
                <w:color w:val="auto"/>
              </w:rPr>
            </w:pPr>
            <w:r>
              <w:rPr>
                <w:rFonts w:ascii="Calibri" w:cs="Calibri" w:eastAsia="Calibri" w:hAnsi="Calibri"/>
                <w:sz w:val="18"/>
                <w:szCs w:val="18"/>
                <w:color w:val="auto"/>
              </w:rPr>
              <w:t>28</w:t>
            </w:r>
          </w:p>
        </w:tc>
        <w:tc>
          <w:tcPr>
            <w:tcW w:w="178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30"/>
        </w:trPr>
        <w:tc>
          <w:tcPr>
            <w:tcW w:w="5940" w:type="dxa"/>
            <w:vAlign w:val="bottom"/>
          </w:tcPr>
          <w:p>
            <w:pPr>
              <w:ind w:left="60"/>
              <w:spacing w:after="0"/>
              <w:rPr>
                <w:sz w:val="20"/>
                <w:szCs w:val="20"/>
                <w:color w:val="auto"/>
              </w:rPr>
            </w:pPr>
            <w:r>
              <w:rPr>
                <w:rFonts w:ascii="Calibri" w:cs="Calibri" w:eastAsia="Calibri" w:hAnsi="Calibri"/>
                <w:sz w:val="18"/>
                <w:szCs w:val="18"/>
                <w:b w:val="1"/>
                <w:bCs w:val="1"/>
                <w:color w:val="auto"/>
              </w:rPr>
              <w:t>Financial liabilites, measured at fair value:</w:t>
            </w:r>
          </w:p>
        </w:tc>
        <w:tc>
          <w:tcPr>
            <w:tcW w:w="3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43"/>
        </w:trPr>
        <w:tc>
          <w:tcPr>
            <w:tcW w:w="5940" w:type="dxa"/>
            <w:vAlign w:val="bottom"/>
          </w:tcPr>
          <w:p>
            <w:pPr>
              <w:ind w:left="160"/>
              <w:spacing w:after="0"/>
              <w:rPr>
                <w:sz w:val="20"/>
                <w:szCs w:val="20"/>
                <w:color w:val="auto"/>
              </w:rPr>
            </w:pPr>
            <w:r>
              <w:rPr>
                <w:rFonts w:ascii="Calibri" w:cs="Calibri" w:eastAsia="Calibri" w:hAnsi="Calibri"/>
                <w:sz w:val="18"/>
                <w:szCs w:val="18"/>
                <w:color w:val="auto"/>
              </w:rPr>
              <w:t>Contngent consideraton payable</w:t>
            </w:r>
          </w:p>
        </w:tc>
        <w:tc>
          <w:tcPr>
            <w:tcW w:w="3180" w:type="dxa"/>
            <w:vAlign w:val="bottom"/>
          </w:tcPr>
          <w:p>
            <w:pPr>
              <w:jc w:val="right"/>
              <w:ind w:right="490"/>
              <w:spacing w:after="0"/>
              <w:rPr>
                <w:sz w:val="20"/>
                <w:szCs w:val="20"/>
                <w:color w:val="auto"/>
              </w:rPr>
            </w:pPr>
            <w:r>
              <w:rPr>
                <w:rFonts w:ascii="Calibri" w:cs="Calibri" w:eastAsia="Calibri" w:hAnsi="Calibri"/>
                <w:sz w:val="18"/>
                <w:szCs w:val="18"/>
                <w:color w:val="auto"/>
              </w:rPr>
              <w:t>2,646</w:t>
            </w:r>
          </w:p>
        </w:tc>
        <w:tc>
          <w:tcPr>
            <w:tcW w:w="1780" w:type="dxa"/>
            <w:vAlign w:val="bottom"/>
          </w:tcPr>
          <w:p>
            <w:pPr>
              <w:jc w:val="right"/>
              <w:spacing w:after="0"/>
              <w:rPr>
                <w:sz w:val="20"/>
                <w:szCs w:val="20"/>
                <w:color w:val="auto"/>
              </w:rPr>
            </w:pPr>
            <w:r>
              <w:rPr>
                <w:rFonts w:ascii="Calibri" w:cs="Calibri" w:eastAsia="Calibri" w:hAnsi="Calibri"/>
                <w:sz w:val="18"/>
                <w:szCs w:val="18"/>
                <w:color w:val="auto"/>
              </w:rPr>
              <w:t>3,201</w:t>
            </w:r>
          </w:p>
        </w:tc>
      </w:tr>
      <w:tr>
        <w:trPr>
          <w:trHeight w:val="257"/>
        </w:trPr>
        <w:tc>
          <w:tcPr>
            <w:tcW w:w="5940" w:type="dxa"/>
            <w:vAlign w:val="bottom"/>
          </w:tcPr>
          <w:p>
            <w:pPr>
              <w:ind w:left="60"/>
              <w:spacing w:after="0"/>
              <w:rPr>
                <w:sz w:val="20"/>
                <w:szCs w:val="20"/>
                <w:color w:val="auto"/>
              </w:rPr>
            </w:pPr>
            <w:r>
              <w:rPr>
                <w:rFonts w:ascii="Calibri" w:cs="Calibri" w:eastAsia="Calibri" w:hAnsi="Calibri"/>
                <w:sz w:val="18"/>
                <w:szCs w:val="18"/>
                <w:b w:val="1"/>
                <w:bCs w:val="1"/>
                <w:color w:val="auto"/>
              </w:rPr>
              <w:t>Financial liabilites, measured at amortzed cost:</w:t>
            </w:r>
          </w:p>
        </w:tc>
        <w:tc>
          <w:tcPr>
            <w:tcW w:w="31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29"/>
        </w:trPr>
        <w:tc>
          <w:tcPr>
            <w:tcW w:w="5940" w:type="dxa"/>
            <w:vAlign w:val="bottom"/>
          </w:tcPr>
          <w:p>
            <w:pPr>
              <w:ind w:left="160"/>
              <w:spacing w:after="0"/>
              <w:rPr>
                <w:sz w:val="20"/>
                <w:szCs w:val="20"/>
                <w:color w:val="auto"/>
              </w:rPr>
            </w:pPr>
            <w:r>
              <w:rPr>
                <w:rFonts w:ascii="Calibri" w:cs="Calibri" w:eastAsia="Calibri" w:hAnsi="Calibri"/>
                <w:sz w:val="18"/>
                <w:szCs w:val="18"/>
                <w:color w:val="auto"/>
              </w:rPr>
              <w:t>Accounts payable and accrued liabilites</w:t>
            </w:r>
          </w:p>
        </w:tc>
        <w:tc>
          <w:tcPr>
            <w:tcW w:w="3180" w:type="dxa"/>
            <w:vAlign w:val="bottom"/>
          </w:tcPr>
          <w:p>
            <w:pPr>
              <w:jc w:val="right"/>
              <w:ind w:right="490"/>
              <w:spacing w:after="0"/>
              <w:rPr>
                <w:sz w:val="20"/>
                <w:szCs w:val="20"/>
                <w:color w:val="auto"/>
              </w:rPr>
            </w:pPr>
            <w:r>
              <w:rPr>
                <w:rFonts w:ascii="Calibri" w:cs="Calibri" w:eastAsia="Calibri" w:hAnsi="Calibri"/>
                <w:sz w:val="18"/>
                <w:szCs w:val="18"/>
                <w:color w:val="auto"/>
              </w:rPr>
              <w:t>5,262</w:t>
            </w:r>
          </w:p>
        </w:tc>
        <w:tc>
          <w:tcPr>
            <w:tcW w:w="1780" w:type="dxa"/>
            <w:vAlign w:val="bottom"/>
          </w:tcPr>
          <w:p>
            <w:pPr>
              <w:jc w:val="right"/>
              <w:spacing w:after="0"/>
              <w:rPr>
                <w:sz w:val="20"/>
                <w:szCs w:val="20"/>
                <w:color w:val="auto"/>
              </w:rPr>
            </w:pPr>
            <w:r>
              <w:rPr>
                <w:rFonts w:ascii="Calibri" w:cs="Calibri" w:eastAsia="Calibri" w:hAnsi="Calibri"/>
                <w:sz w:val="18"/>
                <w:szCs w:val="18"/>
                <w:color w:val="auto"/>
              </w:rPr>
              <w:t>2,793</w:t>
            </w:r>
          </w:p>
        </w:tc>
      </w:tr>
      <w:tr>
        <w:trPr>
          <w:trHeight w:val="23"/>
        </w:trPr>
        <w:tc>
          <w:tcPr>
            <w:tcW w:w="59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43"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The carrying value of the Company’s fnancial instruments approximate their fair value.</w:t>
      </w:r>
    </w:p>
    <w:p>
      <w:pPr>
        <w:spacing w:after="0" w:line="185"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u w:val="single" w:color="auto"/>
          <w:color w:val="auto"/>
        </w:rPr>
        <w:t>Fair value Hierarchy of Financial Instruments</w:t>
      </w:r>
    </w:p>
    <w:p>
      <w:pPr>
        <w:spacing w:after="0" w:line="177"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The Company has categorized its fnancial instruments that are carried at fair value, based on the priority of the inputs to the valuaton techniques used to measure fair value, into a three-level fair value hierarchy as follows:</w:t>
      </w:r>
    </w:p>
    <w:p>
      <w:pPr>
        <w:spacing w:after="0" w:line="177" w:lineRule="exact"/>
        <w:rPr>
          <w:sz w:val="20"/>
          <w:szCs w:val="20"/>
          <w:color w:val="auto"/>
        </w:rPr>
      </w:pPr>
    </w:p>
    <w:p>
      <w:pPr>
        <w:jc w:val="both"/>
        <w:ind w:left="340" w:right="20"/>
        <w:spacing w:after="0" w:line="235" w:lineRule="auto"/>
        <w:rPr>
          <w:sz w:val="20"/>
          <w:szCs w:val="20"/>
          <w:color w:val="auto"/>
        </w:rPr>
      </w:pPr>
      <w:r>
        <w:rPr>
          <w:rFonts w:ascii="Calibri" w:cs="Calibri" w:eastAsia="Calibri" w:hAnsi="Calibri"/>
          <w:sz w:val="18"/>
          <w:szCs w:val="18"/>
          <w:color w:val="auto"/>
        </w:rPr>
        <w:t>Level 1: Fair value is based on unadjusted quoted prices for identcal assets or liabilites in an actve market. The types of assets and liabilites classifed as Level 1 generally included cash.</w:t>
      </w:r>
    </w:p>
    <w:p>
      <w:pPr>
        <w:spacing w:after="0" w:line="191"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Level 2: Fair value is based on quoted prices for similar assets or liabilites in actve markets, valuaton that is based on signifcant observable inputs, or inputs that are derived principally from or corroborated with observable market data through correlaton or other means. Currently, the Company has no fnancial instruments that would be classifed as Level 2.</w:t>
      </w:r>
    </w:p>
    <w:p>
      <w:pPr>
        <w:spacing w:after="0" w:line="178"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Level 3: Fair value is based on valuaton techniques that require one or more signifcant inputs that are not based on observable market inputs. These unobservable inputs refect the Company’s assumptons about the assumptons market partcipants would use in pricing the asset or liability. The investments and the contngent liabilites are classifed as Level 3.</w:t>
      </w:r>
    </w:p>
    <w:p>
      <w:pPr>
        <w:spacing w:after="0" w:line="173"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There were no transfers between levels of the fair value hierarchy for the year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Page 49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52" w:name="page53"/>
    <w:bookmarkEnd w:id="52"/>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7"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9"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The following table presents the changes in level 3 fnancial instruments for the year ended March 31, 2022.</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798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Calibri" w:cs="Calibri" w:eastAsia="Calibri" w:hAnsi="Calibri"/>
                <w:sz w:val="18"/>
                <w:szCs w:val="18"/>
                <w:b w:val="1"/>
                <w:bCs w:val="1"/>
                <w:color w:val="auto"/>
              </w:rPr>
              <w:t>$000’s</w:t>
            </w:r>
          </w:p>
        </w:tc>
      </w:tr>
      <w:tr>
        <w:trPr>
          <w:trHeight w:val="51"/>
        </w:trPr>
        <w:tc>
          <w:tcPr>
            <w:tcW w:w="79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r>
      <w:tr>
        <w:trPr>
          <w:trHeight w:val="208"/>
        </w:trPr>
        <w:tc>
          <w:tcPr>
            <w:tcW w:w="7980" w:type="dxa"/>
            <w:vAlign w:val="bottom"/>
          </w:tcPr>
          <w:p>
            <w:pPr>
              <w:ind w:left="20"/>
              <w:spacing w:after="0" w:line="208" w:lineRule="exact"/>
              <w:rPr>
                <w:sz w:val="20"/>
                <w:szCs w:val="20"/>
                <w:color w:val="auto"/>
              </w:rPr>
            </w:pPr>
            <w:r>
              <w:rPr>
                <w:rFonts w:ascii="Calibri" w:cs="Calibri" w:eastAsia="Calibri" w:hAnsi="Calibri"/>
                <w:sz w:val="18"/>
                <w:szCs w:val="18"/>
                <w:color w:val="auto"/>
              </w:rPr>
              <w:t>Balance as at March 31, 2021</w:t>
            </w:r>
          </w:p>
        </w:tc>
        <w:tc>
          <w:tcPr>
            <w:tcW w:w="27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r>
      <w:tr>
        <w:trPr>
          <w:trHeight w:val="248"/>
        </w:trPr>
        <w:tc>
          <w:tcPr>
            <w:tcW w:w="7980" w:type="dxa"/>
            <w:vAlign w:val="bottom"/>
          </w:tcPr>
          <w:p>
            <w:pPr>
              <w:ind w:left="20"/>
              <w:spacing w:after="0"/>
              <w:rPr>
                <w:sz w:val="20"/>
                <w:szCs w:val="20"/>
                <w:color w:val="auto"/>
              </w:rPr>
            </w:pPr>
            <w:r>
              <w:rPr>
                <w:rFonts w:ascii="Calibri" w:cs="Calibri" w:eastAsia="Calibri" w:hAnsi="Calibri"/>
                <w:sz w:val="18"/>
                <w:szCs w:val="18"/>
                <w:color w:val="auto"/>
              </w:rPr>
              <w:t>Additons</w:t>
            </w:r>
          </w:p>
        </w:tc>
        <w:tc>
          <w:tcPr>
            <w:tcW w:w="2780" w:type="dxa"/>
            <w:vAlign w:val="bottom"/>
          </w:tcPr>
          <w:p>
            <w:pPr>
              <w:jc w:val="right"/>
              <w:spacing w:after="0"/>
              <w:rPr>
                <w:sz w:val="20"/>
                <w:szCs w:val="20"/>
                <w:color w:val="auto"/>
              </w:rPr>
            </w:pPr>
            <w:r>
              <w:rPr>
                <w:rFonts w:ascii="Calibri" w:cs="Calibri" w:eastAsia="Calibri" w:hAnsi="Calibri"/>
                <w:sz w:val="18"/>
                <w:szCs w:val="18"/>
                <w:color w:val="auto"/>
              </w:rPr>
              <w:t>250</w:t>
            </w:r>
          </w:p>
        </w:tc>
      </w:tr>
      <w:tr>
        <w:trPr>
          <w:trHeight w:val="257"/>
        </w:trPr>
        <w:tc>
          <w:tcPr>
            <w:tcW w:w="7980" w:type="dxa"/>
            <w:vAlign w:val="bottom"/>
          </w:tcPr>
          <w:p>
            <w:pPr>
              <w:ind w:left="20"/>
              <w:spacing w:after="0"/>
              <w:rPr>
                <w:sz w:val="20"/>
                <w:szCs w:val="20"/>
                <w:color w:val="auto"/>
              </w:rPr>
            </w:pPr>
            <w:r>
              <w:rPr>
                <w:rFonts w:ascii="Calibri" w:cs="Calibri" w:eastAsia="Calibri" w:hAnsi="Calibri"/>
                <w:sz w:val="18"/>
                <w:szCs w:val="18"/>
                <w:color w:val="auto"/>
              </w:rPr>
              <w:t>Interest income</w:t>
            </w:r>
          </w:p>
        </w:tc>
        <w:tc>
          <w:tcPr>
            <w:tcW w:w="2780" w:type="dxa"/>
            <w:vAlign w:val="bottom"/>
          </w:tcPr>
          <w:p>
            <w:pPr>
              <w:jc w:val="right"/>
              <w:spacing w:after="0"/>
              <w:rPr>
                <w:sz w:val="20"/>
                <w:szCs w:val="20"/>
                <w:color w:val="auto"/>
              </w:rPr>
            </w:pPr>
            <w:r>
              <w:rPr>
                <w:rFonts w:ascii="Calibri" w:cs="Calibri" w:eastAsia="Calibri" w:hAnsi="Calibri"/>
                <w:sz w:val="18"/>
                <w:szCs w:val="18"/>
                <w:color w:val="auto"/>
              </w:rPr>
              <w:t>21</w:t>
            </w:r>
          </w:p>
        </w:tc>
      </w:tr>
      <w:tr>
        <w:trPr>
          <w:trHeight w:val="257"/>
        </w:trPr>
        <w:tc>
          <w:tcPr>
            <w:tcW w:w="7980" w:type="dxa"/>
            <w:vAlign w:val="bottom"/>
          </w:tcPr>
          <w:p>
            <w:pPr>
              <w:ind w:left="20"/>
              <w:spacing w:after="0"/>
              <w:rPr>
                <w:sz w:val="20"/>
                <w:szCs w:val="20"/>
                <w:color w:val="auto"/>
              </w:rPr>
            </w:pPr>
            <w:r>
              <w:rPr>
                <w:rFonts w:ascii="Calibri" w:cs="Calibri" w:eastAsia="Calibri" w:hAnsi="Calibri"/>
                <w:sz w:val="18"/>
                <w:szCs w:val="18"/>
                <w:color w:val="auto"/>
              </w:rPr>
              <w:t>Change in fair value of investments measured at fair value through proft or loss</w:t>
            </w:r>
          </w:p>
        </w:tc>
        <w:tc>
          <w:tcPr>
            <w:tcW w:w="2780" w:type="dxa"/>
            <w:vAlign w:val="bottom"/>
          </w:tcPr>
          <w:p>
            <w:pPr>
              <w:jc w:val="right"/>
              <w:spacing w:after="0"/>
              <w:rPr>
                <w:sz w:val="20"/>
                <w:szCs w:val="20"/>
                <w:color w:val="auto"/>
              </w:rPr>
            </w:pPr>
            <w:r>
              <w:rPr>
                <w:rFonts w:ascii="Calibri" w:cs="Calibri" w:eastAsia="Calibri" w:hAnsi="Calibri"/>
                <w:sz w:val="18"/>
                <w:szCs w:val="18"/>
                <w:color w:val="auto"/>
              </w:rPr>
              <w:t>(29)</w:t>
            </w:r>
          </w:p>
        </w:tc>
      </w:tr>
      <w:tr>
        <w:trPr>
          <w:trHeight w:val="50"/>
        </w:trPr>
        <w:tc>
          <w:tcPr>
            <w:tcW w:w="79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r>
      <w:tr>
        <w:trPr>
          <w:trHeight w:val="208"/>
        </w:trPr>
        <w:tc>
          <w:tcPr>
            <w:tcW w:w="7980" w:type="dxa"/>
            <w:vAlign w:val="bottom"/>
          </w:tcPr>
          <w:p>
            <w:pPr>
              <w:ind w:left="20"/>
              <w:spacing w:after="0" w:line="208" w:lineRule="exact"/>
              <w:rPr>
                <w:sz w:val="20"/>
                <w:szCs w:val="20"/>
                <w:color w:val="auto"/>
              </w:rPr>
            </w:pPr>
            <w:r>
              <w:rPr>
                <w:rFonts w:ascii="Calibri" w:cs="Calibri" w:eastAsia="Calibri" w:hAnsi="Calibri"/>
                <w:sz w:val="18"/>
                <w:szCs w:val="18"/>
                <w:color w:val="auto"/>
              </w:rPr>
              <w:t>Balance as at March 31, 2022</w:t>
            </w:r>
          </w:p>
        </w:tc>
        <w:tc>
          <w:tcPr>
            <w:tcW w:w="278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242</w:t>
            </w:r>
          </w:p>
        </w:tc>
      </w:tr>
      <w:tr>
        <w:trPr>
          <w:trHeight w:val="42"/>
        </w:trPr>
        <w:tc>
          <w:tcPr>
            <w:tcW w:w="798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r>
    </w:tbl>
    <w:p>
      <w:pPr>
        <w:spacing w:after="0" w:line="243"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The following table summarizes the quanttatve informaton about the signifcant unobservable inputs used in level 3 fair value measurements:</w:t>
      </w:r>
    </w:p>
    <w:p>
      <w:pPr>
        <w:spacing w:after="0" w:line="239"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Calibri" w:cs="Calibri" w:eastAsia="Calibri" w:hAnsi="Calibri"/>
                <w:sz w:val="18"/>
                <w:szCs w:val="18"/>
                <w:b w:val="1"/>
                <w:bCs w:val="1"/>
                <w:color w:val="auto"/>
              </w:rPr>
              <w:t>Fair Value as at</w:t>
            </w:r>
          </w:p>
        </w:tc>
        <w:tc>
          <w:tcPr>
            <w:tcW w:w="1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ind w:right="511"/>
              <w:spacing w:after="0" w:line="213" w:lineRule="exact"/>
              <w:rPr>
                <w:sz w:val="20"/>
                <w:szCs w:val="20"/>
                <w:color w:val="auto"/>
              </w:rPr>
            </w:pPr>
            <w:r>
              <w:rPr>
                <w:rFonts w:ascii="Calibri" w:cs="Calibri" w:eastAsia="Calibri" w:hAnsi="Calibri"/>
                <w:sz w:val="18"/>
                <w:szCs w:val="18"/>
                <w:b w:val="1"/>
                <w:bCs w:val="1"/>
                <w:color w:val="auto"/>
              </w:rPr>
              <w:t>March 31, 2022</w:t>
            </w:r>
          </w:p>
        </w:tc>
        <w:tc>
          <w:tcPr>
            <w:tcW w:w="1140" w:type="dxa"/>
            <w:vAlign w:val="bottom"/>
          </w:tcPr>
          <w:p>
            <w:pPr>
              <w:jc w:val="right"/>
              <w:spacing w:after="0" w:line="213" w:lineRule="exact"/>
              <w:rPr>
                <w:sz w:val="20"/>
                <w:szCs w:val="20"/>
                <w:color w:val="auto"/>
              </w:rPr>
            </w:pPr>
            <w:r>
              <w:rPr>
                <w:rFonts w:ascii="Calibri" w:cs="Calibri" w:eastAsia="Calibri" w:hAnsi="Calibri"/>
                <w:sz w:val="18"/>
                <w:szCs w:val="18"/>
                <w:b w:val="1"/>
                <w:bCs w:val="1"/>
                <w:color w:val="auto"/>
                <w:w w:val="96"/>
              </w:rPr>
              <w:t>March 31, 2021</w:t>
            </w:r>
          </w:p>
        </w:tc>
        <w:tc>
          <w:tcPr>
            <w:tcW w:w="2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Range of</w:t>
            </w:r>
          </w:p>
        </w:tc>
        <w:tc>
          <w:tcPr>
            <w:tcW w:w="254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Relatonship of unobservable</w:t>
            </w:r>
          </w:p>
        </w:tc>
        <w:tc>
          <w:tcPr>
            <w:tcW w:w="0" w:type="dxa"/>
            <w:vAlign w:val="bottom"/>
          </w:tcPr>
          <w:p>
            <w:pPr>
              <w:spacing w:after="0"/>
              <w:rPr>
                <w:sz w:val="1"/>
                <w:szCs w:val="1"/>
                <w:color w:val="auto"/>
              </w:rPr>
            </w:pPr>
          </w:p>
        </w:tc>
      </w:tr>
      <w:tr>
        <w:trPr>
          <w:trHeight w:val="42"/>
        </w:trPr>
        <w:tc>
          <w:tcPr>
            <w:tcW w:w="2040" w:type="dxa"/>
            <w:vAlign w:val="bottom"/>
            <w:gridSpan w:val="3"/>
            <w:vMerge w:val="restart"/>
          </w:tcPr>
          <w:p>
            <w:pPr>
              <w:ind w:left="20"/>
              <w:spacing w:after="0"/>
              <w:rPr>
                <w:sz w:val="20"/>
                <w:szCs w:val="20"/>
                <w:color w:val="auto"/>
              </w:rPr>
            </w:pPr>
            <w:r>
              <w:rPr>
                <w:rFonts w:ascii="Calibri" w:cs="Calibri" w:eastAsia="Calibri" w:hAnsi="Calibri"/>
                <w:sz w:val="18"/>
                <w:szCs w:val="18"/>
                <w:b w:val="1"/>
                <w:bCs w:val="1"/>
                <w:color w:val="auto"/>
              </w:rPr>
              <w:t>Descripton</w:t>
            </w:r>
          </w:p>
        </w:tc>
        <w:tc>
          <w:tcPr>
            <w:tcW w:w="1840" w:type="dxa"/>
            <w:vAlign w:val="bottom"/>
            <w:vMerge w:val="restart"/>
          </w:tcPr>
          <w:p>
            <w:pPr>
              <w:jc w:val="right"/>
              <w:ind w:right="551"/>
              <w:spacing w:after="0"/>
              <w:rPr>
                <w:sz w:val="20"/>
                <w:szCs w:val="20"/>
                <w:color w:val="auto"/>
              </w:rPr>
            </w:pPr>
            <w:r>
              <w:rPr>
                <w:rFonts w:ascii="Calibri" w:cs="Calibri" w:eastAsia="Calibri" w:hAnsi="Calibri"/>
                <w:sz w:val="18"/>
                <w:szCs w:val="18"/>
                <w:b w:val="1"/>
                <w:bCs w:val="1"/>
                <w:color w:val="auto"/>
              </w:rPr>
              <w:t>000’s</w:t>
            </w:r>
          </w:p>
        </w:tc>
        <w:tc>
          <w:tcPr>
            <w:tcW w:w="114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000’s</w:t>
            </w:r>
          </w:p>
        </w:tc>
        <w:tc>
          <w:tcPr>
            <w:tcW w:w="22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40" w:type="dxa"/>
            <w:vAlign w:val="bottom"/>
            <w:gridSpan w:val="3"/>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40" w:type="dxa"/>
            <w:vAlign w:val="bottom"/>
          </w:tcPr>
          <w:p>
            <w:pPr>
              <w:jc w:val="right"/>
              <w:ind w:right="132"/>
              <w:spacing w:after="0"/>
              <w:rPr>
                <w:sz w:val="20"/>
                <w:szCs w:val="20"/>
                <w:color w:val="auto"/>
              </w:rPr>
            </w:pPr>
            <w:r>
              <w:rPr>
                <w:rFonts w:ascii="Calibri" w:cs="Calibri" w:eastAsia="Calibri" w:hAnsi="Calibri"/>
                <w:sz w:val="18"/>
                <w:szCs w:val="18"/>
                <w:b w:val="1"/>
                <w:bCs w:val="1"/>
                <w:color w:val="auto"/>
              </w:rPr>
              <w:t>Unobservable inputs</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inputs</w:t>
            </w:r>
          </w:p>
        </w:tc>
        <w:tc>
          <w:tcPr>
            <w:tcW w:w="25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inputs to fair value</w:t>
            </w:r>
          </w:p>
        </w:tc>
        <w:tc>
          <w:tcPr>
            <w:tcW w:w="0" w:type="dxa"/>
            <w:vAlign w:val="bottom"/>
          </w:tcPr>
          <w:p>
            <w:pPr>
              <w:spacing w:after="0"/>
              <w:rPr>
                <w:sz w:val="1"/>
                <w:szCs w:val="1"/>
                <w:color w:val="auto"/>
              </w:rPr>
            </w:pPr>
          </w:p>
        </w:tc>
      </w:tr>
      <w:tr>
        <w:trPr>
          <w:trHeight w:val="23"/>
        </w:trPr>
        <w:tc>
          <w:tcPr>
            <w:tcW w:w="1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40" w:type="dxa"/>
            <w:vAlign w:val="bottom"/>
            <w:gridSpan w:val="3"/>
          </w:tcPr>
          <w:p>
            <w:pPr>
              <w:ind w:left="20"/>
              <w:spacing w:after="0" w:line="160" w:lineRule="exact"/>
              <w:rPr>
                <w:sz w:val="20"/>
                <w:szCs w:val="20"/>
                <w:color w:val="auto"/>
              </w:rPr>
            </w:pPr>
            <w:r>
              <w:rPr>
                <w:rFonts w:ascii="Calibri" w:cs="Calibri" w:eastAsia="Calibri" w:hAnsi="Calibri"/>
                <w:sz w:val="17"/>
                <w:szCs w:val="17"/>
                <w:color w:val="auto"/>
              </w:rPr>
              <w:t>Rx Hybrid Instrument</w:t>
            </w:r>
          </w:p>
        </w:tc>
        <w:tc>
          <w:tcPr>
            <w:tcW w:w="1840" w:type="dxa"/>
            <w:vAlign w:val="bottom"/>
          </w:tcPr>
          <w:p>
            <w:pPr>
              <w:jc w:val="right"/>
              <w:ind w:right="551"/>
              <w:spacing w:after="0" w:line="160" w:lineRule="exact"/>
              <w:rPr>
                <w:sz w:val="20"/>
                <w:szCs w:val="20"/>
                <w:color w:val="auto"/>
              </w:rPr>
            </w:pPr>
            <w:r>
              <w:rPr>
                <w:rFonts w:ascii="Calibri" w:cs="Calibri" w:eastAsia="Calibri" w:hAnsi="Calibri"/>
                <w:sz w:val="17"/>
                <w:szCs w:val="17"/>
                <w:color w:val="auto"/>
              </w:rPr>
              <w:t>242</w:t>
            </w:r>
          </w:p>
        </w:tc>
        <w:tc>
          <w:tcPr>
            <w:tcW w:w="1140" w:type="dxa"/>
            <w:vAlign w:val="bottom"/>
          </w:tcPr>
          <w:p>
            <w:pPr>
              <w:jc w:val="right"/>
              <w:spacing w:after="0" w:line="160" w:lineRule="exact"/>
              <w:rPr>
                <w:sz w:val="20"/>
                <w:szCs w:val="20"/>
                <w:color w:val="auto"/>
              </w:rPr>
            </w:pPr>
            <w:r>
              <w:rPr>
                <w:rFonts w:ascii="Calibri" w:cs="Calibri" w:eastAsia="Calibri" w:hAnsi="Calibri"/>
                <w:sz w:val="17"/>
                <w:szCs w:val="17"/>
                <w:color w:val="auto"/>
              </w:rPr>
              <w:t>—</w:t>
            </w:r>
          </w:p>
        </w:tc>
        <w:tc>
          <w:tcPr>
            <w:tcW w:w="2240" w:type="dxa"/>
            <w:vAlign w:val="bottom"/>
          </w:tcPr>
          <w:p>
            <w:pPr>
              <w:jc w:val="right"/>
              <w:ind w:right="132"/>
              <w:spacing w:after="0" w:line="160" w:lineRule="exact"/>
              <w:rPr>
                <w:sz w:val="20"/>
                <w:szCs w:val="20"/>
                <w:color w:val="auto"/>
              </w:rPr>
            </w:pPr>
            <w:r>
              <w:rPr>
                <w:rFonts w:ascii="Calibri" w:cs="Calibri" w:eastAsia="Calibri" w:hAnsi="Calibri"/>
                <w:sz w:val="17"/>
                <w:szCs w:val="17"/>
                <w:color w:val="auto"/>
              </w:rPr>
              <w:t>Fair value interest rate of</w:t>
            </w:r>
          </w:p>
        </w:tc>
        <w:tc>
          <w:tcPr>
            <w:tcW w:w="900" w:type="dxa"/>
            <w:vAlign w:val="bottom"/>
          </w:tcPr>
          <w:p>
            <w:pPr>
              <w:jc w:val="right"/>
              <w:spacing w:after="0" w:line="160" w:lineRule="exact"/>
              <w:rPr>
                <w:sz w:val="20"/>
                <w:szCs w:val="20"/>
                <w:color w:val="auto"/>
              </w:rPr>
            </w:pPr>
            <w:r>
              <w:rPr>
                <w:rFonts w:ascii="Calibri" w:cs="Calibri" w:eastAsia="Calibri" w:hAnsi="Calibri"/>
                <w:sz w:val="17"/>
                <w:szCs w:val="17"/>
                <w:color w:val="auto"/>
              </w:rPr>
              <w:t>10%</w:t>
            </w:r>
          </w:p>
        </w:tc>
        <w:tc>
          <w:tcPr>
            <w:tcW w:w="2540" w:type="dxa"/>
            <w:vAlign w:val="bottom"/>
          </w:tcPr>
          <w:p>
            <w:pPr>
              <w:jc w:val="right"/>
              <w:spacing w:after="0" w:line="160" w:lineRule="exact"/>
              <w:rPr>
                <w:sz w:val="20"/>
                <w:szCs w:val="20"/>
                <w:color w:val="auto"/>
              </w:rPr>
            </w:pPr>
            <w:r>
              <w:rPr>
                <w:rFonts w:ascii="Calibri" w:cs="Calibri" w:eastAsia="Calibri" w:hAnsi="Calibri"/>
                <w:sz w:val="17"/>
                <w:szCs w:val="17"/>
                <w:color w:val="auto"/>
              </w:rPr>
              <w:t>Increase/decrease in the fair</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40" w:type="dxa"/>
            <w:vAlign w:val="bottom"/>
          </w:tcPr>
          <w:p>
            <w:pPr>
              <w:jc w:val="right"/>
              <w:ind w:right="132"/>
              <w:spacing w:after="0" w:line="189" w:lineRule="exact"/>
              <w:rPr>
                <w:sz w:val="20"/>
                <w:szCs w:val="20"/>
                <w:color w:val="auto"/>
              </w:rPr>
            </w:pPr>
            <w:r>
              <w:rPr>
                <w:rFonts w:ascii="Calibri" w:cs="Calibri" w:eastAsia="Calibri" w:hAnsi="Calibri"/>
                <w:sz w:val="18"/>
                <w:szCs w:val="18"/>
                <w:color w:val="auto"/>
                <w:w w:val="97"/>
              </w:rPr>
              <w:t>loan and conversion feature</w:t>
            </w:r>
          </w:p>
        </w:tc>
        <w:tc>
          <w:tcPr>
            <w:tcW w:w="900" w:type="dxa"/>
            <w:vAlign w:val="bottom"/>
          </w:tcPr>
          <w:p>
            <w:pPr>
              <w:spacing w:after="0"/>
              <w:rPr>
                <w:sz w:val="16"/>
                <w:szCs w:val="16"/>
                <w:color w:val="auto"/>
              </w:rPr>
            </w:pPr>
          </w:p>
        </w:tc>
        <w:tc>
          <w:tcPr>
            <w:tcW w:w="2540" w:type="dxa"/>
            <w:vAlign w:val="bottom"/>
          </w:tcPr>
          <w:p>
            <w:pPr>
              <w:jc w:val="right"/>
              <w:spacing w:after="0" w:line="189" w:lineRule="exact"/>
              <w:rPr>
                <w:sz w:val="20"/>
                <w:szCs w:val="20"/>
                <w:color w:val="auto"/>
              </w:rPr>
            </w:pPr>
            <w:r>
              <w:rPr>
                <w:rFonts w:ascii="Calibri" w:cs="Calibri" w:eastAsia="Calibri" w:hAnsi="Calibri"/>
                <w:sz w:val="18"/>
                <w:szCs w:val="18"/>
                <w:color w:val="auto"/>
                <w:w w:val="97"/>
              </w:rPr>
              <w:t>value rate by 1% would not have a</w:t>
            </w: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40" w:type="dxa"/>
            <w:vAlign w:val="bottom"/>
          </w:tcPr>
          <w:p>
            <w:pPr>
              <w:jc w:val="right"/>
              <w:spacing w:after="0" w:line="175" w:lineRule="exact"/>
              <w:rPr>
                <w:sz w:val="20"/>
                <w:szCs w:val="20"/>
                <w:color w:val="auto"/>
              </w:rPr>
            </w:pPr>
            <w:r>
              <w:rPr>
                <w:rFonts w:ascii="Calibri" w:cs="Calibri" w:eastAsia="Calibri" w:hAnsi="Calibri"/>
                <w:sz w:val="18"/>
                <w:szCs w:val="18"/>
                <w:color w:val="auto"/>
              </w:rPr>
              <w:t>material efect on the fair value of</w:t>
            </w:r>
          </w:p>
        </w:tc>
        <w:tc>
          <w:tcPr>
            <w:tcW w:w="0" w:type="dxa"/>
            <w:vAlign w:val="bottom"/>
          </w:tcPr>
          <w:p>
            <w:pPr>
              <w:spacing w:after="0"/>
              <w:rPr>
                <w:sz w:val="1"/>
                <w:szCs w:val="1"/>
                <w:color w:val="auto"/>
              </w:rPr>
            </w:pPr>
          </w:p>
        </w:tc>
      </w:tr>
      <w:tr>
        <w:trPr>
          <w:trHeight w:val="215"/>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40" w:type="dxa"/>
            <w:vAlign w:val="bottom"/>
          </w:tcPr>
          <w:p>
            <w:pPr>
              <w:jc w:val="right"/>
              <w:spacing w:after="0" w:line="215" w:lineRule="exact"/>
              <w:rPr>
                <w:sz w:val="20"/>
                <w:szCs w:val="20"/>
                <w:color w:val="auto"/>
              </w:rPr>
            </w:pPr>
            <w:r>
              <w:rPr>
                <w:rFonts w:ascii="Calibri" w:cs="Calibri" w:eastAsia="Calibri" w:hAnsi="Calibri"/>
                <w:sz w:val="18"/>
                <w:szCs w:val="18"/>
                <w:color w:val="auto"/>
              </w:rPr>
              <w:t>the investment</w:t>
            </w:r>
          </w:p>
        </w:tc>
        <w:tc>
          <w:tcPr>
            <w:tcW w:w="0" w:type="dxa"/>
            <w:vAlign w:val="bottom"/>
          </w:tcPr>
          <w:p>
            <w:pPr>
              <w:spacing w:after="0"/>
              <w:rPr>
                <w:sz w:val="1"/>
                <w:szCs w:val="1"/>
                <w:color w:val="auto"/>
              </w:rPr>
            </w:pPr>
          </w:p>
        </w:tc>
      </w:tr>
      <w:tr>
        <w:trPr>
          <w:trHeight w:val="23"/>
        </w:trPr>
        <w:tc>
          <w:tcPr>
            <w:tcW w:w="1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2040" w:type="dxa"/>
            <w:vAlign w:val="bottom"/>
            <w:gridSpan w:val="3"/>
          </w:tcPr>
          <w:p>
            <w:pPr>
              <w:spacing w:after="0"/>
              <w:rPr>
                <w:sz w:val="20"/>
                <w:szCs w:val="20"/>
                <w:color w:val="auto"/>
              </w:rPr>
            </w:pPr>
            <w:r>
              <w:rPr>
                <w:rFonts w:ascii="Calibri" w:cs="Calibri" w:eastAsia="Calibri" w:hAnsi="Calibri"/>
                <w:sz w:val="18"/>
                <w:szCs w:val="18"/>
                <w:b w:val="1"/>
                <w:bCs w:val="1"/>
                <w:color w:val="auto"/>
              </w:rPr>
              <w:t>Financial risk management</w:t>
            </w: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940" w:type="dxa"/>
            <w:vAlign w:val="bottom"/>
            <w:tcBorders>
              <w:top w:val="single" w:sz="8" w:color="auto"/>
            </w:tcBorders>
            <w:gridSpan w:val="2"/>
          </w:tcPr>
          <w:p>
            <w:pPr>
              <w:spacing w:after="0"/>
              <w:rPr>
                <w:sz w:val="20"/>
                <w:szCs w:val="20"/>
                <w:color w:val="auto"/>
              </w:rPr>
            </w:pPr>
            <w:r>
              <w:rPr>
                <w:rFonts w:ascii="Calibri" w:cs="Calibri" w:eastAsia="Calibri" w:hAnsi="Calibri"/>
                <w:sz w:val="18"/>
                <w:szCs w:val="18"/>
                <w:b w:val="1"/>
                <w:bCs w:val="1"/>
                <w:color w:val="auto"/>
              </w:rPr>
              <w:t>Credit risk</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Credit risk is the risk that one party to a fnancial instrument will cause a fnancial loss for the other party by failing to discharge an obligaton. The Company’s cash is exposed to credit risk. The Company reduces its credit risk on cash by placing these instruments with insttutons of high credit worthiness. As at March 31, 2022, the Company’s maximum exposure to credit risk is the carrying value of its fnancial assets.</w:t>
      </w:r>
    </w:p>
    <w:p>
      <w:pPr>
        <w:spacing w:after="0" w:line="173"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auto"/>
        </w:rPr>
        <w:t>Liquidity risk</w:t>
      </w:r>
    </w:p>
    <w:p>
      <w:pPr>
        <w:spacing w:after="0" w:line="177"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Liquidity risk is the risk that an entty will encounter difculty in raising funds to meet commitments associated with fnancial instruments. The Company manages liquidity by maintaining adequate cash balances to meet liabilites as they become due.</w:t>
      </w:r>
    </w:p>
    <w:p>
      <w:pPr>
        <w:spacing w:after="0" w:line="191"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As at March 31, 2022, the Company had cash of $53,641 (March 31, 2021 - $64,026) in order to meet current liabilites. Accounts payable and accrued liabilites include trade payables and other obligatons of $5,262 (March 31, 2021 - $2,793), all amounts are due within the next 12 months.</w:t>
      </w:r>
    </w:p>
    <w:p>
      <w:pPr>
        <w:spacing w:after="0" w:line="17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auto"/>
        </w:rPr>
        <w:t>Market risk</w:t>
      </w:r>
    </w:p>
    <w:p>
      <w:pPr>
        <w:spacing w:after="0" w:line="172"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The signifcant market risks to which the Company is exposed are interest rate risk and currency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50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53" w:name="page54"/>
    <w:bookmarkEnd w:id="53"/>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27"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9" w:lineRule="exact"/>
        <w:rPr>
          <w:sz w:val="20"/>
          <w:szCs w:val="20"/>
          <w:color w:val="auto"/>
        </w:rPr>
      </w:pPr>
    </w:p>
    <w:p>
      <w:pPr>
        <w:ind w:left="80"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Calibri" w:cs="Calibri" w:eastAsia="Calibri" w:hAnsi="Calibri"/>
          <w:sz w:val="18"/>
          <w:szCs w:val="18"/>
          <w:i w:val="1"/>
          <w:iCs w:val="1"/>
          <w:u w:val="single" w:color="auto"/>
          <w:color w:val="auto"/>
        </w:rPr>
        <w:t>Interest rate risk</w:t>
      </w:r>
    </w:p>
    <w:p>
      <w:pPr>
        <w:spacing w:after="0" w:line="190"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Interest rate risk is the risk that the fair value or the future cash fows of a fnancial instrument will fuctuate because of changes in market interest rate. In seeking to minimize the risks from interest rate fuctuatons, the Company manages exposure through its normal operatng and fnancing actvites. As at March 31, 2022, the Company has determined its exposure to interest rate risk is minimal.</w:t>
      </w:r>
    </w:p>
    <w:p>
      <w:pPr>
        <w:spacing w:after="0" w:line="173" w:lineRule="exact"/>
        <w:rPr>
          <w:sz w:val="20"/>
          <w:szCs w:val="20"/>
          <w:color w:val="auto"/>
        </w:rPr>
      </w:pPr>
    </w:p>
    <w:p>
      <w:pPr>
        <w:ind w:left="340"/>
        <w:spacing w:after="0"/>
        <w:rPr>
          <w:sz w:val="20"/>
          <w:szCs w:val="20"/>
          <w:color w:val="auto"/>
        </w:rPr>
      </w:pPr>
      <w:r>
        <w:rPr>
          <w:rFonts w:ascii="Calibri" w:cs="Calibri" w:eastAsia="Calibri" w:hAnsi="Calibri"/>
          <w:sz w:val="18"/>
          <w:szCs w:val="18"/>
          <w:i w:val="1"/>
          <w:iCs w:val="1"/>
          <w:u w:val="single" w:color="auto"/>
          <w:color w:val="auto"/>
        </w:rPr>
        <w:t>Currency risk</w:t>
      </w:r>
    </w:p>
    <w:p>
      <w:pPr>
        <w:spacing w:after="0" w:line="177"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The Company is exposed to currency risk to the extent that monetary operatonal expenses are denominated in both CAD and USD while functonal currency of CAD in used for reportng. The Company has not entered into any foreign currency contracts to mitgate this risk.</w:t>
      </w:r>
    </w:p>
    <w:p>
      <w:pPr>
        <w:spacing w:after="0" w:line="186"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The Company had the following balances in monetary assets and monetary liabilites which are subject to fuctuaton against CAD:</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5140" w:type="dxa"/>
            <w:vAlign w:val="bottom"/>
          </w:tcPr>
          <w:p>
            <w:pPr>
              <w:ind w:left="3900"/>
              <w:spacing w:after="0"/>
              <w:rPr>
                <w:sz w:val="20"/>
                <w:szCs w:val="20"/>
                <w:color w:val="auto"/>
              </w:rPr>
            </w:pPr>
            <w:r>
              <w:rPr>
                <w:rFonts w:ascii="Calibri" w:cs="Calibri" w:eastAsia="Calibri" w:hAnsi="Calibri"/>
                <w:sz w:val="18"/>
                <w:szCs w:val="18"/>
                <w:b w:val="1"/>
                <w:bCs w:val="1"/>
                <w:color w:val="auto"/>
                <w:w w:val="97"/>
              </w:rPr>
              <w:t>Denominated in:</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b w:val="1"/>
                <w:bCs w:val="1"/>
                <w:color w:val="auto"/>
              </w:rPr>
              <w:t>US$000’s</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b w:val="1"/>
                <w:bCs w:val="1"/>
                <w:color w:val="auto"/>
              </w:rPr>
              <w:t>GBP 000’s</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b w:val="1"/>
                <w:bCs w:val="1"/>
                <w:color w:val="auto"/>
              </w:rPr>
              <w:t>EUR 000’s</w:t>
            </w:r>
          </w:p>
        </w:tc>
      </w:tr>
      <w:tr>
        <w:trPr>
          <w:trHeight w:val="23"/>
        </w:trPr>
        <w:tc>
          <w:tcPr>
            <w:tcW w:w="5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8"/>
        </w:trPr>
        <w:tc>
          <w:tcPr>
            <w:tcW w:w="5140" w:type="dxa"/>
            <w:vAlign w:val="bottom"/>
          </w:tcPr>
          <w:p>
            <w:pPr>
              <w:ind w:left="20"/>
              <w:spacing w:after="0" w:line="208" w:lineRule="exact"/>
              <w:rPr>
                <w:sz w:val="20"/>
                <w:szCs w:val="20"/>
                <w:color w:val="auto"/>
              </w:rPr>
            </w:pPr>
            <w:r>
              <w:rPr>
                <w:rFonts w:ascii="Calibri" w:cs="Calibri" w:eastAsia="Calibri" w:hAnsi="Calibri"/>
                <w:sz w:val="18"/>
                <w:szCs w:val="18"/>
                <w:color w:val="auto"/>
              </w:rPr>
              <w:t>Cash</w:t>
            </w:r>
          </w:p>
        </w:tc>
        <w:tc>
          <w:tcPr>
            <w:tcW w:w="580" w:type="dxa"/>
            <w:vAlign w:val="bottom"/>
          </w:tcPr>
          <w:p>
            <w:pPr>
              <w:spacing w:after="0"/>
              <w:rPr>
                <w:sz w:val="18"/>
                <w:szCs w:val="18"/>
                <w:color w:val="auto"/>
              </w:rPr>
            </w:pPr>
          </w:p>
        </w:tc>
        <w:tc>
          <w:tcPr>
            <w:tcW w:w="120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740</w:t>
            </w:r>
          </w:p>
        </w:tc>
        <w:tc>
          <w:tcPr>
            <w:tcW w:w="540" w:type="dxa"/>
            <w:vAlign w:val="bottom"/>
          </w:tcPr>
          <w:p>
            <w:pPr>
              <w:spacing w:after="0"/>
              <w:rPr>
                <w:sz w:val="18"/>
                <w:szCs w:val="18"/>
                <w:color w:val="auto"/>
              </w:rPr>
            </w:pPr>
          </w:p>
        </w:tc>
        <w:tc>
          <w:tcPr>
            <w:tcW w:w="120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485</w:t>
            </w:r>
          </w:p>
        </w:tc>
        <w:tc>
          <w:tcPr>
            <w:tcW w:w="560" w:type="dxa"/>
            <w:vAlign w:val="bottom"/>
          </w:tcPr>
          <w:p>
            <w:pPr>
              <w:spacing w:after="0"/>
              <w:rPr>
                <w:sz w:val="18"/>
                <w:szCs w:val="18"/>
                <w:color w:val="auto"/>
              </w:rPr>
            </w:pPr>
          </w:p>
        </w:tc>
        <w:tc>
          <w:tcPr>
            <w:tcW w:w="120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386</w:t>
            </w:r>
          </w:p>
        </w:tc>
      </w:tr>
      <w:tr>
        <w:trPr>
          <w:trHeight w:val="221"/>
        </w:trPr>
        <w:tc>
          <w:tcPr>
            <w:tcW w:w="5140" w:type="dxa"/>
            <w:vAlign w:val="bottom"/>
          </w:tcPr>
          <w:p>
            <w:pPr>
              <w:ind w:left="20"/>
              <w:spacing w:after="0"/>
              <w:rPr>
                <w:sz w:val="20"/>
                <w:szCs w:val="20"/>
                <w:color w:val="auto"/>
              </w:rPr>
            </w:pPr>
            <w:r>
              <w:rPr>
                <w:rFonts w:ascii="Calibri" w:cs="Calibri" w:eastAsia="Calibri" w:hAnsi="Calibri"/>
                <w:sz w:val="18"/>
                <w:szCs w:val="18"/>
                <w:color w:val="auto"/>
              </w:rPr>
              <w:t>Accounts payable and accrued liabilites</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b w:val="1"/>
                <w:bCs w:val="1"/>
                <w:color w:val="auto"/>
              </w:rPr>
              <w:t>(78)</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b w:val="1"/>
                <w:bCs w:val="1"/>
                <w:color w:val="auto"/>
              </w:rPr>
              <w:t>(29)</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r>
      <w:tr>
        <w:trPr>
          <w:trHeight w:val="23"/>
        </w:trPr>
        <w:tc>
          <w:tcPr>
            <w:tcW w:w="5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8"/>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662</w:t>
            </w:r>
          </w:p>
        </w:tc>
        <w:tc>
          <w:tcPr>
            <w:tcW w:w="540" w:type="dxa"/>
            <w:vAlign w:val="bottom"/>
          </w:tcPr>
          <w:p>
            <w:pPr>
              <w:spacing w:after="0"/>
              <w:rPr>
                <w:sz w:val="18"/>
                <w:szCs w:val="18"/>
                <w:color w:val="auto"/>
              </w:rPr>
            </w:pPr>
          </w:p>
        </w:tc>
        <w:tc>
          <w:tcPr>
            <w:tcW w:w="120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456</w:t>
            </w:r>
          </w:p>
        </w:tc>
        <w:tc>
          <w:tcPr>
            <w:tcW w:w="560" w:type="dxa"/>
            <w:vAlign w:val="bottom"/>
          </w:tcPr>
          <w:p>
            <w:pPr>
              <w:spacing w:after="0"/>
              <w:rPr>
                <w:sz w:val="18"/>
                <w:szCs w:val="18"/>
                <w:color w:val="auto"/>
              </w:rPr>
            </w:pPr>
          </w:p>
        </w:tc>
        <w:tc>
          <w:tcPr>
            <w:tcW w:w="120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386</w:t>
            </w:r>
          </w:p>
        </w:tc>
      </w:tr>
      <w:tr>
        <w:trPr>
          <w:trHeight w:val="221"/>
        </w:trPr>
        <w:tc>
          <w:tcPr>
            <w:tcW w:w="5140" w:type="dxa"/>
            <w:vAlign w:val="bottom"/>
          </w:tcPr>
          <w:p>
            <w:pPr>
              <w:ind w:left="20"/>
              <w:spacing w:after="0"/>
              <w:rPr>
                <w:sz w:val="20"/>
                <w:szCs w:val="20"/>
                <w:color w:val="auto"/>
              </w:rPr>
            </w:pPr>
            <w:r>
              <w:rPr>
                <w:rFonts w:ascii="Calibri" w:cs="Calibri" w:eastAsia="Calibri" w:hAnsi="Calibri"/>
                <w:sz w:val="18"/>
                <w:szCs w:val="18"/>
                <w:color w:val="auto"/>
              </w:rPr>
              <w:t>Foreign currency rate</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auto"/>
              </w:rPr>
              <w:t>1.2496</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auto"/>
              </w:rPr>
              <w:t>1.6417</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auto"/>
              </w:rPr>
              <w:t>1.3853</w:t>
            </w:r>
          </w:p>
        </w:tc>
      </w:tr>
      <w:tr>
        <w:trPr>
          <w:trHeight w:val="23"/>
        </w:trPr>
        <w:tc>
          <w:tcPr>
            <w:tcW w:w="5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51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Equivalent in Canadian dollars</w:t>
            </w:r>
          </w:p>
        </w:tc>
        <w:tc>
          <w:tcPr>
            <w:tcW w:w="580" w:type="dxa"/>
            <w:vAlign w:val="bottom"/>
            <w:tcBorders>
              <w:bottom w:val="single" w:sz="8" w:color="auto"/>
            </w:tcBorders>
          </w:tcPr>
          <w:p>
            <w:pPr>
              <w:jc w:val="right"/>
              <w:ind w:right="390"/>
              <w:spacing w:after="0" w:line="215" w:lineRule="exact"/>
              <w:rPr>
                <w:sz w:val="20"/>
                <w:szCs w:val="20"/>
                <w:color w:val="auto"/>
              </w:rPr>
            </w:pPr>
            <w:r>
              <w:rPr>
                <w:rFonts w:ascii="Calibri" w:cs="Calibri" w:eastAsia="Calibri" w:hAnsi="Calibri"/>
                <w:sz w:val="18"/>
                <w:szCs w:val="18"/>
                <w:b w:val="1"/>
                <w:bCs w:val="1"/>
                <w:color w:val="auto"/>
                <w:w w:val="87"/>
              </w:rPr>
              <w:t>$</w:t>
            </w: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827</w:t>
            </w:r>
          </w:p>
        </w:tc>
        <w:tc>
          <w:tcPr>
            <w:tcW w:w="540" w:type="dxa"/>
            <w:vAlign w:val="bottom"/>
            <w:tcBorders>
              <w:bottom w:val="single" w:sz="8" w:color="auto"/>
            </w:tcBorders>
          </w:tcPr>
          <w:p>
            <w:pPr>
              <w:jc w:val="right"/>
              <w:ind w:right="350"/>
              <w:spacing w:after="0" w:line="215" w:lineRule="exact"/>
              <w:rPr>
                <w:sz w:val="20"/>
                <w:szCs w:val="20"/>
                <w:color w:val="auto"/>
              </w:rPr>
            </w:pPr>
            <w:r>
              <w:rPr>
                <w:rFonts w:ascii="Calibri" w:cs="Calibri" w:eastAsia="Calibri" w:hAnsi="Calibri"/>
                <w:sz w:val="18"/>
                <w:szCs w:val="18"/>
                <w:b w:val="1"/>
                <w:bCs w:val="1"/>
                <w:color w:val="auto"/>
                <w:w w:val="87"/>
              </w:rPr>
              <w:t>$</w:t>
            </w: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749</w:t>
            </w:r>
          </w:p>
        </w:tc>
        <w:tc>
          <w:tcPr>
            <w:tcW w:w="560" w:type="dxa"/>
            <w:vAlign w:val="bottom"/>
            <w:tcBorders>
              <w:bottom w:val="single" w:sz="8" w:color="auto"/>
            </w:tcBorders>
          </w:tcPr>
          <w:p>
            <w:pPr>
              <w:jc w:val="right"/>
              <w:ind w:right="350"/>
              <w:spacing w:after="0" w:line="215" w:lineRule="exact"/>
              <w:rPr>
                <w:sz w:val="20"/>
                <w:szCs w:val="20"/>
                <w:color w:val="auto"/>
              </w:rPr>
            </w:pPr>
            <w:r>
              <w:rPr>
                <w:rFonts w:ascii="Calibri" w:cs="Calibri" w:eastAsia="Calibri" w:hAnsi="Calibri"/>
                <w:sz w:val="18"/>
                <w:szCs w:val="18"/>
                <w:b w:val="1"/>
                <w:bCs w:val="1"/>
                <w:color w:val="auto"/>
              </w:rPr>
              <w:t>$</w:t>
            </w: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535</w:t>
            </w:r>
          </w:p>
        </w:tc>
      </w:tr>
      <w:tr>
        <w:trPr>
          <w:trHeight w:val="223"/>
        </w:trPr>
        <w:tc>
          <w:tcPr>
            <w:tcW w:w="51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Impact of 10% change in foreign currency rate</w:t>
            </w:r>
          </w:p>
        </w:tc>
        <w:tc>
          <w:tcPr>
            <w:tcW w:w="580" w:type="dxa"/>
            <w:vAlign w:val="bottom"/>
            <w:tcBorders>
              <w:bottom w:val="single" w:sz="8" w:color="auto"/>
            </w:tcBorders>
          </w:tcPr>
          <w:p>
            <w:pPr>
              <w:jc w:val="right"/>
              <w:ind w:right="390"/>
              <w:spacing w:after="0" w:line="215" w:lineRule="exact"/>
              <w:rPr>
                <w:sz w:val="20"/>
                <w:szCs w:val="20"/>
                <w:color w:val="auto"/>
              </w:rPr>
            </w:pPr>
            <w:r>
              <w:rPr>
                <w:rFonts w:ascii="Calibri" w:cs="Calibri" w:eastAsia="Calibri" w:hAnsi="Calibri"/>
                <w:sz w:val="18"/>
                <w:szCs w:val="18"/>
                <w:b w:val="1"/>
                <w:bCs w:val="1"/>
                <w:color w:val="auto"/>
                <w:w w:val="87"/>
              </w:rPr>
              <w:t>$</w:t>
            </w: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83</w:t>
            </w:r>
          </w:p>
        </w:tc>
        <w:tc>
          <w:tcPr>
            <w:tcW w:w="540" w:type="dxa"/>
            <w:vAlign w:val="bottom"/>
            <w:tcBorders>
              <w:bottom w:val="single" w:sz="8" w:color="auto"/>
            </w:tcBorders>
          </w:tcPr>
          <w:p>
            <w:pPr>
              <w:jc w:val="right"/>
              <w:ind w:right="350"/>
              <w:spacing w:after="0" w:line="215" w:lineRule="exact"/>
              <w:rPr>
                <w:sz w:val="20"/>
                <w:szCs w:val="20"/>
                <w:color w:val="auto"/>
              </w:rPr>
            </w:pPr>
            <w:r>
              <w:rPr>
                <w:rFonts w:ascii="Calibri" w:cs="Calibri" w:eastAsia="Calibri" w:hAnsi="Calibri"/>
                <w:sz w:val="18"/>
                <w:szCs w:val="18"/>
                <w:b w:val="1"/>
                <w:bCs w:val="1"/>
                <w:color w:val="auto"/>
                <w:w w:val="87"/>
              </w:rPr>
              <w:t>$</w:t>
            </w: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75</w:t>
            </w:r>
          </w:p>
        </w:tc>
        <w:tc>
          <w:tcPr>
            <w:tcW w:w="560" w:type="dxa"/>
            <w:vAlign w:val="bottom"/>
            <w:tcBorders>
              <w:bottom w:val="single" w:sz="8" w:color="auto"/>
            </w:tcBorders>
          </w:tcPr>
          <w:p>
            <w:pPr>
              <w:jc w:val="right"/>
              <w:ind w:right="350"/>
              <w:spacing w:after="0" w:line="215" w:lineRule="exact"/>
              <w:rPr>
                <w:sz w:val="20"/>
                <w:szCs w:val="20"/>
                <w:color w:val="auto"/>
              </w:rPr>
            </w:pPr>
            <w:r>
              <w:rPr>
                <w:rFonts w:ascii="Calibri" w:cs="Calibri" w:eastAsia="Calibri" w:hAnsi="Calibri"/>
                <w:sz w:val="18"/>
                <w:szCs w:val="18"/>
                <w:b w:val="1"/>
                <w:bCs w:val="1"/>
                <w:color w:val="auto"/>
              </w:rPr>
              <w:t>$</w:t>
            </w: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54</w:t>
            </w:r>
          </w:p>
        </w:tc>
      </w:tr>
    </w:tbl>
    <w:p>
      <w:pPr>
        <w:spacing w:after="0" w:line="248" w:lineRule="exact"/>
        <w:rPr>
          <w:sz w:val="20"/>
          <w:szCs w:val="20"/>
          <w:color w:val="auto"/>
        </w:rPr>
      </w:pPr>
    </w:p>
    <w:p>
      <w:pPr>
        <w:ind w:left="340"/>
        <w:spacing w:after="0" w:line="235" w:lineRule="auto"/>
        <w:rPr>
          <w:sz w:val="20"/>
          <w:szCs w:val="20"/>
          <w:color w:val="auto"/>
        </w:rPr>
      </w:pPr>
      <w:r>
        <w:rPr>
          <w:rFonts w:ascii="Calibri" w:cs="Calibri" w:eastAsia="Calibri" w:hAnsi="Calibri"/>
          <w:sz w:val="18"/>
          <w:szCs w:val="18"/>
          <w:color w:val="auto"/>
        </w:rPr>
        <w:t>Based on the above net exposures as at March 31, 2022, and assuming that all other variables remain constant, a 10% change of the USD, GBP and EUR, against the CAD would impact net loss by approximately by $212.</w:t>
      </w:r>
    </w:p>
    <w:p>
      <w:pPr>
        <w:spacing w:after="0" w:line="172" w:lineRule="exact"/>
        <w:rPr>
          <w:sz w:val="20"/>
          <w:szCs w:val="20"/>
          <w:color w:val="auto"/>
        </w:rPr>
      </w:pPr>
    </w:p>
    <w:p>
      <w:pPr>
        <w:spacing w:after="0"/>
        <w:tabs>
          <w:tab w:leader="none" w:pos="380" w:val="left"/>
        </w:tabs>
        <w:rPr>
          <w:sz w:val="20"/>
          <w:szCs w:val="20"/>
          <w:color w:val="auto"/>
        </w:rPr>
      </w:pPr>
      <w:r>
        <w:rPr>
          <w:rFonts w:ascii="Calibri" w:cs="Calibri" w:eastAsia="Calibri" w:hAnsi="Calibri"/>
          <w:sz w:val="18"/>
          <w:szCs w:val="18"/>
          <w:b w:val="1"/>
          <w:bCs w:val="1"/>
          <w:color w:val="2D5F91"/>
        </w:rPr>
        <w:t>16.</w:t>
      </w:r>
      <w:r>
        <w:rPr>
          <w:sz w:val="20"/>
          <w:szCs w:val="20"/>
          <w:color w:val="auto"/>
        </w:rPr>
        <w:tab/>
      </w:r>
      <w:r>
        <w:rPr>
          <w:rFonts w:ascii="Calibri" w:cs="Calibri" w:eastAsia="Calibri" w:hAnsi="Calibri"/>
          <w:sz w:val="17"/>
          <w:szCs w:val="17"/>
          <w:b w:val="1"/>
          <w:bCs w:val="1"/>
          <w:color w:val="2D5F91"/>
        </w:rPr>
        <w:t>INCOME TAX</w:t>
      </w:r>
    </w:p>
    <w:p>
      <w:pPr>
        <w:spacing w:after="0" w:line="185"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Major items causing the Company’s income tax rate to difer from the Canadian statutory rate of approximately 26.50% are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6080" w:type="dxa"/>
            <w:vAlign w:val="bottom"/>
          </w:tcPr>
          <w:p>
            <w:pPr>
              <w:spacing w:after="0"/>
              <w:rPr>
                <w:sz w:val="19"/>
                <w:szCs w:val="19"/>
                <w:color w:val="auto"/>
              </w:rPr>
            </w:pPr>
          </w:p>
        </w:tc>
        <w:tc>
          <w:tcPr>
            <w:tcW w:w="4320" w:type="dxa"/>
            <w:vAlign w:val="bottom"/>
            <w:gridSpan w:val="2"/>
          </w:tcPr>
          <w:p>
            <w:pPr>
              <w:jc w:val="right"/>
              <w:spacing w:after="0"/>
              <w:rPr>
                <w:sz w:val="20"/>
                <w:szCs w:val="20"/>
                <w:color w:val="auto"/>
              </w:rPr>
            </w:pPr>
            <w:r>
              <w:rPr>
                <w:rFonts w:ascii="Calibri" w:cs="Calibri" w:eastAsia="Calibri" w:hAnsi="Calibri"/>
                <w:sz w:val="18"/>
                <w:szCs w:val="18"/>
                <w:b w:val="1"/>
                <w:bCs w:val="1"/>
                <w:color w:val="auto"/>
              </w:rPr>
              <w:t>Year ended March 31,</w:t>
            </w:r>
          </w:p>
        </w:tc>
      </w:tr>
      <w:tr>
        <w:trPr>
          <w:trHeight w:val="229"/>
        </w:trPr>
        <w:tc>
          <w:tcPr>
            <w:tcW w:w="6080" w:type="dxa"/>
            <w:vAlign w:val="bottom"/>
          </w:tcPr>
          <w:p>
            <w:pPr>
              <w:spacing w:after="0"/>
              <w:rPr>
                <w:sz w:val="19"/>
                <w:szCs w:val="19"/>
                <w:color w:val="auto"/>
              </w:rPr>
            </w:pPr>
          </w:p>
        </w:tc>
        <w:tc>
          <w:tcPr>
            <w:tcW w:w="332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2022</w:t>
            </w: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2021</w:t>
            </w:r>
          </w:p>
        </w:tc>
      </w:tr>
      <w:tr>
        <w:trPr>
          <w:trHeight w:val="23"/>
        </w:trPr>
        <w:tc>
          <w:tcPr>
            <w:tcW w:w="60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60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Net loss and comprehensive loss before income taxes</w:t>
            </w:r>
          </w:p>
        </w:tc>
        <w:tc>
          <w:tcPr>
            <w:tcW w:w="3320" w:type="dxa"/>
            <w:vAlign w:val="bottom"/>
            <w:tcBorders>
              <w:bottom w:val="single" w:sz="8" w:color="auto"/>
            </w:tcBorders>
          </w:tcPr>
          <w:p>
            <w:pPr>
              <w:jc w:val="right"/>
              <w:ind w:right="350"/>
              <w:spacing w:after="0" w:line="215" w:lineRule="exact"/>
              <w:rPr>
                <w:sz w:val="20"/>
                <w:szCs w:val="20"/>
                <w:color w:val="auto"/>
              </w:rPr>
            </w:pPr>
            <w:r>
              <w:rPr>
                <w:rFonts w:ascii="Calibri" w:cs="Calibri" w:eastAsia="Calibri" w:hAnsi="Calibri"/>
                <w:sz w:val="18"/>
                <w:szCs w:val="18"/>
                <w:b w:val="1"/>
                <w:bCs w:val="1"/>
                <w:color w:val="auto"/>
              </w:rPr>
              <w:t>67,631</w:t>
            </w: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32,220</w:t>
            </w:r>
          </w:p>
        </w:tc>
      </w:tr>
      <w:tr>
        <w:trPr>
          <w:trHeight w:val="409"/>
        </w:trPr>
        <w:tc>
          <w:tcPr>
            <w:tcW w:w="6080" w:type="dxa"/>
            <w:vAlign w:val="bottom"/>
          </w:tcPr>
          <w:p>
            <w:pPr>
              <w:ind w:left="20"/>
              <w:spacing w:after="0"/>
              <w:rPr>
                <w:sz w:val="20"/>
                <w:szCs w:val="20"/>
                <w:color w:val="auto"/>
              </w:rPr>
            </w:pPr>
            <w:r>
              <w:rPr>
                <w:rFonts w:ascii="Calibri" w:cs="Calibri" w:eastAsia="Calibri" w:hAnsi="Calibri"/>
                <w:sz w:val="18"/>
                <w:szCs w:val="18"/>
                <w:color w:val="auto"/>
              </w:rPr>
              <w:t>Expected recovery at statutory rate</w:t>
            </w:r>
          </w:p>
        </w:tc>
        <w:tc>
          <w:tcPr>
            <w:tcW w:w="332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17,922</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8,538</w:t>
            </w:r>
          </w:p>
        </w:tc>
      </w:tr>
      <w:tr>
        <w:trPr>
          <w:trHeight w:val="229"/>
        </w:trPr>
        <w:tc>
          <w:tcPr>
            <w:tcW w:w="6080" w:type="dxa"/>
            <w:vAlign w:val="bottom"/>
          </w:tcPr>
          <w:p>
            <w:pPr>
              <w:ind w:left="20"/>
              <w:spacing w:after="0"/>
              <w:rPr>
                <w:sz w:val="20"/>
                <w:szCs w:val="20"/>
                <w:color w:val="auto"/>
              </w:rPr>
            </w:pPr>
            <w:r>
              <w:rPr>
                <w:rFonts w:ascii="Calibri" w:cs="Calibri" w:eastAsia="Calibri" w:hAnsi="Calibri"/>
                <w:sz w:val="18"/>
                <w:szCs w:val="18"/>
                <w:color w:val="auto"/>
              </w:rPr>
              <w:t>Share-based compensaton</w:t>
            </w:r>
          </w:p>
        </w:tc>
        <w:tc>
          <w:tcPr>
            <w:tcW w:w="332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(4,778)</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(3,099)</w:t>
            </w:r>
          </w:p>
        </w:tc>
      </w:tr>
      <w:tr>
        <w:trPr>
          <w:trHeight w:val="230"/>
        </w:trPr>
        <w:tc>
          <w:tcPr>
            <w:tcW w:w="6080" w:type="dxa"/>
            <w:vAlign w:val="bottom"/>
          </w:tcPr>
          <w:p>
            <w:pPr>
              <w:ind w:left="20"/>
              <w:spacing w:after="0"/>
              <w:rPr>
                <w:sz w:val="20"/>
                <w:szCs w:val="20"/>
                <w:color w:val="auto"/>
              </w:rPr>
            </w:pPr>
            <w:r>
              <w:rPr>
                <w:rFonts w:ascii="Calibri" w:cs="Calibri" w:eastAsia="Calibri" w:hAnsi="Calibri"/>
                <w:sz w:val="18"/>
                <w:szCs w:val="18"/>
                <w:color w:val="auto"/>
              </w:rPr>
              <w:t>Share issuance costs</w:t>
            </w:r>
          </w:p>
        </w:tc>
        <w:tc>
          <w:tcPr>
            <w:tcW w:w="332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794</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1,324</w:t>
            </w:r>
          </w:p>
        </w:tc>
      </w:tr>
      <w:tr>
        <w:trPr>
          <w:trHeight w:val="230"/>
        </w:trPr>
        <w:tc>
          <w:tcPr>
            <w:tcW w:w="6080" w:type="dxa"/>
            <w:vAlign w:val="bottom"/>
          </w:tcPr>
          <w:p>
            <w:pPr>
              <w:ind w:left="20"/>
              <w:spacing w:after="0"/>
              <w:rPr>
                <w:sz w:val="20"/>
                <w:szCs w:val="20"/>
                <w:color w:val="auto"/>
              </w:rPr>
            </w:pPr>
            <w:r>
              <w:rPr>
                <w:rFonts w:ascii="Calibri" w:cs="Calibri" w:eastAsia="Calibri" w:hAnsi="Calibri"/>
                <w:sz w:val="18"/>
                <w:szCs w:val="18"/>
                <w:color w:val="auto"/>
              </w:rPr>
              <w:t>Diference between Canadian and foreign tax rates</w:t>
            </w:r>
          </w:p>
        </w:tc>
        <w:tc>
          <w:tcPr>
            <w:tcW w:w="332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(1,414)</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(97)</w:t>
            </w:r>
          </w:p>
        </w:tc>
      </w:tr>
      <w:tr>
        <w:trPr>
          <w:trHeight w:val="230"/>
        </w:trPr>
        <w:tc>
          <w:tcPr>
            <w:tcW w:w="6080" w:type="dxa"/>
            <w:vAlign w:val="bottom"/>
          </w:tcPr>
          <w:p>
            <w:pPr>
              <w:ind w:left="20"/>
              <w:spacing w:after="0"/>
              <w:rPr>
                <w:sz w:val="20"/>
                <w:szCs w:val="20"/>
                <w:color w:val="auto"/>
              </w:rPr>
            </w:pPr>
            <w:r>
              <w:rPr>
                <w:rFonts w:ascii="Calibri" w:cs="Calibri" w:eastAsia="Calibri" w:hAnsi="Calibri"/>
                <w:sz w:val="18"/>
                <w:szCs w:val="18"/>
                <w:color w:val="auto"/>
              </w:rPr>
              <w:t>Non-deductble expenses</w:t>
            </w:r>
          </w:p>
        </w:tc>
        <w:tc>
          <w:tcPr>
            <w:tcW w:w="332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(1,242)</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(40)</w:t>
            </w:r>
          </w:p>
        </w:tc>
      </w:tr>
      <w:tr>
        <w:trPr>
          <w:trHeight w:val="229"/>
        </w:trPr>
        <w:tc>
          <w:tcPr>
            <w:tcW w:w="6080" w:type="dxa"/>
            <w:vAlign w:val="bottom"/>
          </w:tcPr>
          <w:p>
            <w:pPr>
              <w:ind w:left="20"/>
              <w:spacing w:after="0"/>
              <w:rPr>
                <w:sz w:val="20"/>
                <w:szCs w:val="20"/>
                <w:color w:val="auto"/>
              </w:rPr>
            </w:pPr>
            <w:r>
              <w:rPr>
                <w:rFonts w:ascii="Calibri" w:cs="Calibri" w:eastAsia="Calibri" w:hAnsi="Calibri"/>
                <w:sz w:val="18"/>
                <w:szCs w:val="18"/>
                <w:color w:val="auto"/>
              </w:rPr>
              <w:t>Change in unrecognized deferred tax assets</w:t>
            </w:r>
          </w:p>
        </w:tc>
        <w:tc>
          <w:tcPr>
            <w:tcW w:w="3320" w:type="dxa"/>
            <w:vAlign w:val="bottom"/>
          </w:tcPr>
          <w:p>
            <w:pPr>
              <w:jc w:val="right"/>
              <w:ind w:right="350"/>
              <w:spacing w:after="0"/>
              <w:rPr>
                <w:sz w:val="20"/>
                <w:szCs w:val="20"/>
                <w:color w:val="auto"/>
              </w:rPr>
            </w:pPr>
            <w:r>
              <w:rPr>
                <w:rFonts w:ascii="Calibri" w:cs="Calibri" w:eastAsia="Calibri" w:hAnsi="Calibri"/>
                <w:sz w:val="18"/>
                <w:szCs w:val="18"/>
                <w:b w:val="1"/>
                <w:bCs w:val="1"/>
                <w:color w:val="auto"/>
              </w:rPr>
              <w:t>(11,282)</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(6,626)</w:t>
            </w:r>
          </w:p>
        </w:tc>
      </w:tr>
      <w:tr>
        <w:trPr>
          <w:trHeight w:val="23"/>
        </w:trPr>
        <w:tc>
          <w:tcPr>
            <w:tcW w:w="60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60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Income tax recovery</w:t>
            </w:r>
          </w:p>
        </w:tc>
        <w:tc>
          <w:tcPr>
            <w:tcW w:w="3320" w:type="dxa"/>
            <w:vAlign w:val="bottom"/>
            <w:tcBorders>
              <w:bottom w:val="single" w:sz="8" w:color="auto"/>
            </w:tcBorders>
          </w:tcPr>
          <w:p>
            <w:pPr>
              <w:jc w:val="right"/>
              <w:ind w:right="350"/>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Page 51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54" w:name="page55"/>
    <w:bookmarkEnd w:id="54"/>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7"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9"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The signifcant components of the Company’s deferred tax assets, resultng from temporary diferences, unused tax credits and unused tax losses, that have not been included on the consolidated statements of fnancial positon, are as follows:</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4820" w:type="dxa"/>
            <w:vAlign w:val="bottom"/>
          </w:tcPr>
          <w:p>
            <w:pPr>
              <w:ind w:left="20"/>
              <w:spacing w:after="0"/>
              <w:rPr>
                <w:sz w:val="20"/>
                <w:szCs w:val="20"/>
                <w:color w:val="auto"/>
              </w:rPr>
            </w:pPr>
            <w:r>
              <w:rPr>
                <w:rFonts w:ascii="Calibri" w:cs="Calibri" w:eastAsia="Calibri" w:hAnsi="Calibri"/>
                <w:sz w:val="18"/>
                <w:szCs w:val="18"/>
                <w:b w:val="1"/>
                <w:bCs w:val="1"/>
                <w:color w:val="auto"/>
              </w:rPr>
              <w:t>As at</w:t>
            </w:r>
          </w:p>
        </w:tc>
        <w:tc>
          <w:tcPr>
            <w:tcW w:w="4140" w:type="dxa"/>
            <w:vAlign w:val="bottom"/>
          </w:tcPr>
          <w:p>
            <w:pPr>
              <w:jc w:val="right"/>
              <w:ind w:right="290"/>
              <w:spacing w:after="0"/>
              <w:rPr>
                <w:sz w:val="20"/>
                <w:szCs w:val="20"/>
                <w:color w:val="auto"/>
              </w:rPr>
            </w:pPr>
            <w:r>
              <w:rPr>
                <w:rFonts w:ascii="Calibri" w:cs="Calibri" w:eastAsia="Calibri" w:hAnsi="Calibri"/>
                <w:sz w:val="18"/>
                <w:szCs w:val="18"/>
                <w:b w:val="1"/>
                <w:bCs w:val="1"/>
                <w:color w:val="auto"/>
              </w:rPr>
              <w:t>March 31, 2022</w:t>
            </w:r>
          </w:p>
        </w:tc>
        <w:tc>
          <w:tcPr>
            <w:tcW w:w="1560" w:type="dxa"/>
            <w:vAlign w:val="bottom"/>
          </w:tcPr>
          <w:p>
            <w:pPr>
              <w:jc w:val="right"/>
              <w:spacing w:after="0"/>
              <w:rPr>
                <w:sz w:val="20"/>
                <w:szCs w:val="20"/>
                <w:color w:val="auto"/>
              </w:rPr>
            </w:pPr>
            <w:r>
              <w:rPr>
                <w:rFonts w:ascii="Calibri" w:cs="Calibri" w:eastAsia="Calibri" w:hAnsi="Calibri"/>
                <w:sz w:val="18"/>
                <w:szCs w:val="18"/>
                <w:b w:val="1"/>
                <w:bCs w:val="1"/>
                <w:color w:val="auto"/>
              </w:rPr>
              <w:t>March 31, 2021</w:t>
            </w:r>
          </w:p>
        </w:tc>
      </w:tr>
      <w:tr>
        <w:trPr>
          <w:trHeight w:val="23"/>
        </w:trPr>
        <w:tc>
          <w:tcPr>
            <w:tcW w:w="4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8"/>
        </w:trPr>
        <w:tc>
          <w:tcPr>
            <w:tcW w:w="4820" w:type="dxa"/>
            <w:vAlign w:val="bottom"/>
          </w:tcPr>
          <w:p>
            <w:pPr>
              <w:ind w:left="20"/>
              <w:spacing w:after="0" w:line="208" w:lineRule="exact"/>
              <w:rPr>
                <w:sz w:val="20"/>
                <w:szCs w:val="20"/>
                <w:color w:val="auto"/>
              </w:rPr>
            </w:pPr>
            <w:r>
              <w:rPr>
                <w:rFonts w:ascii="Calibri" w:cs="Calibri" w:eastAsia="Calibri" w:hAnsi="Calibri"/>
                <w:sz w:val="18"/>
                <w:szCs w:val="18"/>
                <w:color w:val="auto"/>
              </w:rPr>
              <w:t>Non-capital loss carryforwards</w:t>
            </w:r>
          </w:p>
        </w:tc>
        <w:tc>
          <w:tcPr>
            <w:tcW w:w="414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16,307</w:t>
            </w:r>
          </w:p>
        </w:tc>
        <w:tc>
          <w:tcPr>
            <w:tcW w:w="1560" w:type="dxa"/>
            <w:vAlign w:val="bottom"/>
          </w:tcPr>
          <w:p>
            <w:pPr>
              <w:jc w:val="right"/>
              <w:spacing w:after="0" w:line="208" w:lineRule="exact"/>
              <w:rPr>
                <w:sz w:val="20"/>
                <w:szCs w:val="20"/>
                <w:color w:val="auto"/>
              </w:rPr>
            </w:pPr>
            <w:r>
              <w:rPr>
                <w:rFonts w:ascii="Calibri" w:cs="Calibri" w:eastAsia="Calibri" w:hAnsi="Calibri"/>
                <w:sz w:val="18"/>
                <w:szCs w:val="18"/>
                <w:color w:val="auto"/>
              </w:rPr>
              <w:t>5,660</w:t>
            </w:r>
          </w:p>
        </w:tc>
      </w:tr>
      <w:tr>
        <w:trPr>
          <w:trHeight w:val="221"/>
        </w:trPr>
        <w:tc>
          <w:tcPr>
            <w:tcW w:w="4820" w:type="dxa"/>
            <w:vAlign w:val="bottom"/>
          </w:tcPr>
          <w:p>
            <w:pPr>
              <w:ind w:left="20"/>
              <w:spacing w:after="0"/>
              <w:rPr>
                <w:sz w:val="20"/>
                <w:szCs w:val="20"/>
                <w:color w:val="auto"/>
              </w:rPr>
            </w:pPr>
            <w:r>
              <w:rPr>
                <w:rFonts w:ascii="Calibri" w:cs="Calibri" w:eastAsia="Calibri" w:hAnsi="Calibri"/>
                <w:sz w:val="18"/>
                <w:szCs w:val="18"/>
                <w:color w:val="auto"/>
              </w:rPr>
              <w:t>Share issuance costs</w:t>
            </w:r>
          </w:p>
        </w:tc>
        <w:tc>
          <w:tcPr>
            <w:tcW w:w="4140" w:type="dxa"/>
            <w:vAlign w:val="bottom"/>
          </w:tcPr>
          <w:p>
            <w:pPr>
              <w:jc w:val="right"/>
              <w:ind w:right="290"/>
              <w:spacing w:after="0"/>
              <w:rPr>
                <w:sz w:val="20"/>
                <w:szCs w:val="20"/>
                <w:color w:val="auto"/>
              </w:rPr>
            </w:pPr>
            <w:r>
              <w:rPr>
                <w:rFonts w:ascii="Calibri" w:cs="Calibri" w:eastAsia="Calibri" w:hAnsi="Calibri"/>
                <w:sz w:val="18"/>
                <w:szCs w:val="18"/>
                <w:b w:val="1"/>
                <w:bCs w:val="1"/>
                <w:color w:val="auto"/>
              </w:rPr>
              <w:t>1,526</w:t>
            </w:r>
          </w:p>
        </w:tc>
        <w:tc>
          <w:tcPr>
            <w:tcW w:w="1560" w:type="dxa"/>
            <w:vAlign w:val="bottom"/>
          </w:tcPr>
          <w:p>
            <w:pPr>
              <w:jc w:val="right"/>
              <w:spacing w:after="0"/>
              <w:rPr>
                <w:sz w:val="20"/>
                <w:szCs w:val="20"/>
                <w:color w:val="auto"/>
              </w:rPr>
            </w:pPr>
            <w:r>
              <w:rPr>
                <w:rFonts w:ascii="Calibri" w:cs="Calibri" w:eastAsia="Calibri" w:hAnsi="Calibri"/>
                <w:sz w:val="18"/>
                <w:szCs w:val="18"/>
                <w:color w:val="auto"/>
              </w:rPr>
              <w:t>1,126</w:t>
            </w:r>
          </w:p>
        </w:tc>
      </w:tr>
      <w:tr>
        <w:trPr>
          <w:trHeight w:val="230"/>
        </w:trPr>
        <w:tc>
          <w:tcPr>
            <w:tcW w:w="4820" w:type="dxa"/>
            <w:vAlign w:val="bottom"/>
          </w:tcPr>
          <w:p>
            <w:pPr>
              <w:ind w:left="20"/>
              <w:spacing w:after="0"/>
              <w:rPr>
                <w:sz w:val="20"/>
                <w:szCs w:val="20"/>
                <w:color w:val="auto"/>
              </w:rPr>
            </w:pPr>
            <w:r>
              <w:rPr>
                <w:rFonts w:ascii="Calibri" w:cs="Calibri" w:eastAsia="Calibri" w:hAnsi="Calibri"/>
                <w:sz w:val="18"/>
                <w:szCs w:val="18"/>
                <w:color w:val="auto"/>
              </w:rPr>
              <w:t>Depreciaton/CCA diferences</w:t>
            </w:r>
          </w:p>
        </w:tc>
        <w:tc>
          <w:tcPr>
            <w:tcW w:w="4140" w:type="dxa"/>
            <w:vAlign w:val="bottom"/>
          </w:tcPr>
          <w:p>
            <w:pPr>
              <w:jc w:val="right"/>
              <w:ind w:right="290"/>
              <w:spacing w:after="0"/>
              <w:rPr>
                <w:sz w:val="20"/>
                <w:szCs w:val="20"/>
                <w:color w:val="auto"/>
              </w:rPr>
            </w:pPr>
            <w:r>
              <w:rPr>
                <w:rFonts w:ascii="Calibri" w:cs="Calibri" w:eastAsia="Calibri" w:hAnsi="Calibri"/>
                <w:sz w:val="18"/>
                <w:szCs w:val="18"/>
                <w:b w:val="1"/>
                <w:bCs w:val="1"/>
                <w:color w:val="auto"/>
              </w:rPr>
              <w:t>227</w:t>
            </w:r>
          </w:p>
        </w:tc>
        <w:tc>
          <w:tcPr>
            <w:tcW w:w="1560" w:type="dxa"/>
            <w:vAlign w:val="bottom"/>
          </w:tcPr>
          <w:p>
            <w:pPr>
              <w:jc w:val="right"/>
              <w:spacing w:after="0"/>
              <w:rPr>
                <w:sz w:val="20"/>
                <w:szCs w:val="20"/>
                <w:color w:val="auto"/>
              </w:rPr>
            </w:pPr>
            <w:r>
              <w:rPr>
                <w:rFonts w:ascii="Calibri" w:cs="Calibri" w:eastAsia="Calibri" w:hAnsi="Calibri"/>
                <w:sz w:val="18"/>
                <w:szCs w:val="18"/>
                <w:color w:val="auto"/>
              </w:rPr>
              <w:t>12</w:t>
            </w:r>
          </w:p>
        </w:tc>
      </w:tr>
      <w:tr>
        <w:trPr>
          <w:trHeight w:val="229"/>
        </w:trPr>
        <w:tc>
          <w:tcPr>
            <w:tcW w:w="4820" w:type="dxa"/>
            <w:vAlign w:val="bottom"/>
          </w:tcPr>
          <w:p>
            <w:pPr>
              <w:ind w:left="20"/>
              <w:spacing w:after="0"/>
              <w:rPr>
                <w:sz w:val="20"/>
                <w:szCs w:val="20"/>
                <w:color w:val="auto"/>
              </w:rPr>
            </w:pPr>
            <w:r>
              <w:rPr>
                <w:rFonts w:ascii="Calibri" w:cs="Calibri" w:eastAsia="Calibri" w:hAnsi="Calibri"/>
                <w:sz w:val="18"/>
                <w:szCs w:val="18"/>
                <w:color w:val="auto"/>
              </w:rPr>
              <w:t>Other</w:t>
            </w:r>
          </w:p>
        </w:tc>
        <w:tc>
          <w:tcPr>
            <w:tcW w:w="4140" w:type="dxa"/>
            <w:vAlign w:val="bottom"/>
          </w:tcPr>
          <w:p>
            <w:pPr>
              <w:jc w:val="right"/>
              <w:ind w:right="290"/>
              <w:spacing w:after="0"/>
              <w:rPr>
                <w:sz w:val="20"/>
                <w:szCs w:val="20"/>
                <w:color w:val="auto"/>
              </w:rPr>
            </w:pPr>
            <w:r>
              <w:rPr>
                <w:rFonts w:ascii="Calibri" w:cs="Calibri" w:eastAsia="Calibri" w:hAnsi="Calibri"/>
                <w:sz w:val="18"/>
                <w:szCs w:val="18"/>
                <w:b w:val="1"/>
                <w:bCs w:val="1"/>
                <w:color w:val="auto"/>
              </w:rPr>
              <w:t>43</w:t>
            </w:r>
          </w:p>
        </w:tc>
        <w:tc>
          <w:tcPr>
            <w:tcW w:w="1560" w:type="dxa"/>
            <w:vAlign w:val="bottom"/>
          </w:tcPr>
          <w:p>
            <w:pPr>
              <w:jc w:val="right"/>
              <w:spacing w:after="0"/>
              <w:rPr>
                <w:sz w:val="20"/>
                <w:szCs w:val="20"/>
                <w:color w:val="auto"/>
              </w:rPr>
            </w:pPr>
            <w:r>
              <w:rPr>
                <w:rFonts w:ascii="Calibri" w:cs="Calibri" w:eastAsia="Calibri" w:hAnsi="Calibri"/>
                <w:sz w:val="18"/>
                <w:szCs w:val="18"/>
                <w:color w:val="auto"/>
              </w:rPr>
              <w:t>23</w:t>
            </w:r>
          </w:p>
        </w:tc>
      </w:tr>
      <w:tr>
        <w:trPr>
          <w:trHeight w:val="23"/>
        </w:trPr>
        <w:tc>
          <w:tcPr>
            <w:tcW w:w="4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8"/>
        </w:trPr>
        <w:tc>
          <w:tcPr>
            <w:tcW w:w="4820" w:type="dxa"/>
            <w:vAlign w:val="bottom"/>
          </w:tcPr>
          <w:p>
            <w:pPr>
              <w:spacing w:after="0"/>
              <w:rPr>
                <w:sz w:val="18"/>
                <w:szCs w:val="18"/>
                <w:color w:val="auto"/>
              </w:rPr>
            </w:pPr>
          </w:p>
        </w:tc>
        <w:tc>
          <w:tcPr>
            <w:tcW w:w="414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18,103</w:t>
            </w:r>
          </w:p>
        </w:tc>
        <w:tc>
          <w:tcPr>
            <w:tcW w:w="1560" w:type="dxa"/>
            <w:vAlign w:val="bottom"/>
          </w:tcPr>
          <w:p>
            <w:pPr>
              <w:jc w:val="right"/>
              <w:spacing w:after="0" w:line="208" w:lineRule="exact"/>
              <w:rPr>
                <w:sz w:val="20"/>
                <w:szCs w:val="20"/>
                <w:color w:val="auto"/>
              </w:rPr>
            </w:pPr>
            <w:r>
              <w:rPr>
                <w:rFonts w:ascii="Calibri" w:cs="Calibri" w:eastAsia="Calibri" w:hAnsi="Calibri"/>
                <w:sz w:val="18"/>
                <w:szCs w:val="18"/>
                <w:color w:val="auto"/>
              </w:rPr>
              <w:t>6,821</w:t>
            </w:r>
          </w:p>
        </w:tc>
      </w:tr>
      <w:tr>
        <w:trPr>
          <w:trHeight w:val="221"/>
        </w:trPr>
        <w:tc>
          <w:tcPr>
            <w:tcW w:w="4820" w:type="dxa"/>
            <w:vAlign w:val="bottom"/>
          </w:tcPr>
          <w:p>
            <w:pPr>
              <w:ind w:left="20"/>
              <w:spacing w:after="0"/>
              <w:rPr>
                <w:sz w:val="20"/>
                <w:szCs w:val="20"/>
                <w:color w:val="auto"/>
              </w:rPr>
            </w:pPr>
            <w:r>
              <w:rPr>
                <w:rFonts w:ascii="Calibri" w:cs="Calibri" w:eastAsia="Calibri" w:hAnsi="Calibri"/>
                <w:sz w:val="18"/>
                <w:szCs w:val="18"/>
                <w:color w:val="auto"/>
              </w:rPr>
              <w:t>Valuaton allowance</w:t>
            </w:r>
          </w:p>
        </w:tc>
        <w:tc>
          <w:tcPr>
            <w:tcW w:w="4140" w:type="dxa"/>
            <w:vAlign w:val="bottom"/>
          </w:tcPr>
          <w:p>
            <w:pPr>
              <w:jc w:val="right"/>
              <w:ind w:right="290"/>
              <w:spacing w:after="0"/>
              <w:rPr>
                <w:sz w:val="20"/>
                <w:szCs w:val="20"/>
                <w:color w:val="auto"/>
              </w:rPr>
            </w:pPr>
            <w:r>
              <w:rPr>
                <w:rFonts w:ascii="Calibri" w:cs="Calibri" w:eastAsia="Calibri" w:hAnsi="Calibri"/>
                <w:sz w:val="18"/>
                <w:szCs w:val="18"/>
                <w:b w:val="1"/>
                <w:bCs w:val="1"/>
                <w:color w:val="auto"/>
              </w:rPr>
              <w:t>(18,103)</w:t>
            </w:r>
          </w:p>
        </w:tc>
        <w:tc>
          <w:tcPr>
            <w:tcW w:w="1560" w:type="dxa"/>
            <w:vAlign w:val="bottom"/>
          </w:tcPr>
          <w:p>
            <w:pPr>
              <w:jc w:val="right"/>
              <w:spacing w:after="0"/>
              <w:rPr>
                <w:sz w:val="20"/>
                <w:szCs w:val="20"/>
                <w:color w:val="auto"/>
              </w:rPr>
            </w:pPr>
            <w:r>
              <w:rPr>
                <w:rFonts w:ascii="Calibri" w:cs="Calibri" w:eastAsia="Calibri" w:hAnsi="Calibri"/>
                <w:sz w:val="18"/>
                <w:szCs w:val="18"/>
                <w:color w:val="auto"/>
              </w:rPr>
              <w:t>(6,821)</w:t>
            </w:r>
          </w:p>
        </w:tc>
      </w:tr>
      <w:tr>
        <w:trPr>
          <w:trHeight w:val="23"/>
        </w:trPr>
        <w:tc>
          <w:tcPr>
            <w:tcW w:w="4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48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jc w:val="right"/>
              <w:ind w:right="290"/>
              <w:spacing w:after="0" w:line="215" w:lineRule="exact"/>
              <w:rPr>
                <w:sz w:val="20"/>
                <w:szCs w:val="20"/>
                <w:color w:val="auto"/>
              </w:rPr>
            </w:pPr>
            <w:r>
              <w:rPr>
                <w:rFonts w:ascii="Calibri" w:cs="Calibri" w:eastAsia="Calibri" w:hAnsi="Calibri"/>
                <w:sz w:val="18"/>
                <w:szCs w:val="18"/>
                <w:b w:val="1"/>
                <w:bCs w:val="1"/>
                <w:color w:val="auto"/>
              </w:rPr>
              <w:t>—</w:t>
            </w:r>
          </w:p>
        </w:tc>
        <w:tc>
          <w:tcPr>
            <w:tcW w:w="1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r>
    </w:tbl>
    <w:p>
      <w:pPr>
        <w:spacing w:after="0" w:line="248"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These deferred tax assets have not been recognized because it is not probable that future taxable proft will be available against which the Company will be able to use these potental benefts.</w:t>
      </w:r>
    </w:p>
    <w:p>
      <w:pPr>
        <w:spacing w:after="0" w:line="17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auto"/>
        </w:rPr>
        <w:t>Non-capital loss balance</w:t>
      </w:r>
    </w:p>
    <w:p>
      <w:pPr>
        <w:spacing w:after="0" w:line="177"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As at March 31, 2022, the Company has non-capital losses in Canada, which under certain circumstances can be used to reduce the taxable income of future years. The non-capital losses expire as follows:</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5440" w:type="dxa"/>
            <w:vAlign w:val="bottom"/>
          </w:tcPr>
          <w:p>
            <w:pPr>
              <w:ind w:left="20"/>
              <w:spacing w:after="0"/>
              <w:rPr>
                <w:sz w:val="20"/>
                <w:szCs w:val="20"/>
                <w:color w:val="auto"/>
              </w:rPr>
            </w:pPr>
            <w:r>
              <w:rPr>
                <w:rFonts w:ascii="Calibri" w:cs="Calibri" w:eastAsia="Calibri" w:hAnsi="Calibri"/>
                <w:sz w:val="18"/>
                <w:szCs w:val="18"/>
                <w:color w:val="auto"/>
              </w:rPr>
              <w:t>Year of expiry</w:t>
            </w:r>
          </w:p>
        </w:tc>
        <w:tc>
          <w:tcPr>
            <w:tcW w:w="502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3"/>
        </w:trPr>
        <w:tc>
          <w:tcPr>
            <w:tcW w:w="544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08"/>
        </w:trPr>
        <w:tc>
          <w:tcPr>
            <w:tcW w:w="5440" w:type="dxa"/>
            <w:vAlign w:val="bottom"/>
          </w:tcPr>
          <w:p>
            <w:pPr>
              <w:ind w:left="20"/>
              <w:spacing w:after="0" w:line="208" w:lineRule="exact"/>
              <w:rPr>
                <w:sz w:val="20"/>
                <w:szCs w:val="20"/>
                <w:color w:val="auto"/>
              </w:rPr>
            </w:pPr>
            <w:r>
              <w:rPr>
                <w:rFonts w:ascii="Calibri" w:cs="Calibri" w:eastAsia="Calibri" w:hAnsi="Calibri"/>
                <w:sz w:val="18"/>
                <w:szCs w:val="18"/>
                <w:color w:val="auto"/>
              </w:rPr>
              <w:t>2040</w:t>
            </w:r>
          </w:p>
        </w:tc>
        <w:tc>
          <w:tcPr>
            <w:tcW w:w="502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740</w:t>
            </w:r>
          </w:p>
        </w:tc>
      </w:tr>
      <w:tr>
        <w:trPr>
          <w:trHeight w:val="221"/>
        </w:trPr>
        <w:tc>
          <w:tcPr>
            <w:tcW w:w="5440" w:type="dxa"/>
            <w:vAlign w:val="bottom"/>
          </w:tcPr>
          <w:p>
            <w:pPr>
              <w:ind w:left="20"/>
              <w:spacing w:after="0"/>
              <w:rPr>
                <w:sz w:val="20"/>
                <w:szCs w:val="20"/>
                <w:color w:val="auto"/>
              </w:rPr>
            </w:pPr>
            <w:r>
              <w:rPr>
                <w:rFonts w:ascii="Calibri" w:cs="Calibri" w:eastAsia="Calibri" w:hAnsi="Calibri"/>
                <w:sz w:val="18"/>
                <w:szCs w:val="18"/>
                <w:color w:val="auto"/>
              </w:rPr>
              <w:t>2041</w:t>
            </w:r>
          </w:p>
        </w:tc>
        <w:tc>
          <w:tcPr>
            <w:tcW w:w="5020" w:type="dxa"/>
            <w:vAlign w:val="bottom"/>
          </w:tcPr>
          <w:p>
            <w:pPr>
              <w:jc w:val="right"/>
              <w:spacing w:after="0"/>
              <w:rPr>
                <w:sz w:val="20"/>
                <w:szCs w:val="20"/>
                <w:color w:val="auto"/>
              </w:rPr>
            </w:pPr>
            <w:r>
              <w:rPr>
                <w:rFonts w:ascii="Calibri" w:cs="Calibri" w:eastAsia="Calibri" w:hAnsi="Calibri"/>
                <w:sz w:val="18"/>
                <w:szCs w:val="18"/>
                <w:b w:val="1"/>
                <w:bCs w:val="1"/>
                <w:color w:val="auto"/>
              </w:rPr>
              <w:t>19,193</w:t>
            </w:r>
          </w:p>
        </w:tc>
      </w:tr>
      <w:tr>
        <w:trPr>
          <w:trHeight w:val="230"/>
        </w:trPr>
        <w:tc>
          <w:tcPr>
            <w:tcW w:w="5440" w:type="dxa"/>
            <w:vAlign w:val="bottom"/>
          </w:tcPr>
          <w:p>
            <w:pPr>
              <w:ind w:left="20"/>
              <w:spacing w:after="0"/>
              <w:rPr>
                <w:sz w:val="20"/>
                <w:szCs w:val="20"/>
                <w:color w:val="auto"/>
              </w:rPr>
            </w:pPr>
            <w:r>
              <w:rPr>
                <w:rFonts w:ascii="Calibri" w:cs="Calibri" w:eastAsia="Calibri" w:hAnsi="Calibri"/>
                <w:sz w:val="18"/>
                <w:szCs w:val="18"/>
                <w:color w:val="auto"/>
              </w:rPr>
              <w:t>2042</w:t>
            </w:r>
          </w:p>
        </w:tc>
        <w:tc>
          <w:tcPr>
            <w:tcW w:w="5020" w:type="dxa"/>
            <w:vAlign w:val="bottom"/>
          </w:tcPr>
          <w:p>
            <w:pPr>
              <w:jc w:val="right"/>
              <w:spacing w:after="0"/>
              <w:rPr>
                <w:sz w:val="20"/>
                <w:szCs w:val="20"/>
                <w:color w:val="auto"/>
              </w:rPr>
            </w:pPr>
            <w:r>
              <w:rPr>
                <w:rFonts w:ascii="Calibri" w:cs="Calibri" w:eastAsia="Calibri" w:hAnsi="Calibri"/>
                <w:sz w:val="18"/>
                <w:szCs w:val="18"/>
                <w:b w:val="1"/>
                <w:bCs w:val="1"/>
                <w:color w:val="auto"/>
              </w:rPr>
              <w:t>30,112</w:t>
            </w:r>
          </w:p>
        </w:tc>
      </w:tr>
      <w:tr>
        <w:trPr>
          <w:trHeight w:val="23"/>
        </w:trPr>
        <w:tc>
          <w:tcPr>
            <w:tcW w:w="544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16"/>
        </w:trPr>
        <w:tc>
          <w:tcPr>
            <w:tcW w:w="544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50,045</w:t>
            </w:r>
          </w:p>
        </w:tc>
      </w:tr>
    </w:tbl>
    <w:p>
      <w:pPr>
        <w:spacing w:after="0" w:line="248"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As at March 31, 2022, the Company has non-capital losses in the United States, which under certain circumstances can be used to reduce the taxable income of future years. The non-capital losses, stated in Canadian dollars, that will expire as follows:</w:t>
      </w:r>
    </w:p>
    <w:p>
      <w:pPr>
        <w:spacing w:after="0" w:line="213"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7800" w:type="dxa"/>
            <w:vAlign w:val="bottom"/>
            <w:gridSpan w:val="2"/>
          </w:tcPr>
          <w:p>
            <w:pPr>
              <w:ind w:left="20"/>
              <w:spacing w:after="0"/>
              <w:rPr>
                <w:sz w:val="20"/>
                <w:szCs w:val="20"/>
                <w:color w:val="auto"/>
              </w:rPr>
            </w:pPr>
            <w:r>
              <w:rPr>
                <w:rFonts w:ascii="Calibri" w:cs="Calibri" w:eastAsia="Calibri" w:hAnsi="Calibri"/>
                <w:sz w:val="18"/>
                <w:szCs w:val="18"/>
                <w:color w:val="auto"/>
              </w:rPr>
              <w:t>Year of expiry</w:t>
            </w:r>
          </w:p>
        </w:tc>
        <w:tc>
          <w:tcPr>
            <w:tcW w:w="266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3"/>
        </w:trPr>
        <w:tc>
          <w:tcPr>
            <w:tcW w:w="38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08"/>
        </w:trPr>
        <w:tc>
          <w:tcPr>
            <w:tcW w:w="380" w:type="dxa"/>
            <w:vAlign w:val="bottom"/>
          </w:tcPr>
          <w:p>
            <w:pPr>
              <w:ind w:left="20"/>
              <w:spacing w:after="0" w:line="208" w:lineRule="exact"/>
              <w:rPr>
                <w:sz w:val="20"/>
                <w:szCs w:val="20"/>
                <w:color w:val="auto"/>
              </w:rPr>
            </w:pPr>
            <w:r>
              <w:rPr>
                <w:rFonts w:ascii="Calibri" w:cs="Calibri" w:eastAsia="Calibri" w:hAnsi="Calibri"/>
                <w:sz w:val="18"/>
                <w:szCs w:val="18"/>
                <w:color w:val="auto"/>
                <w:w w:val="93"/>
              </w:rPr>
              <w:t>2041</w:t>
            </w:r>
          </w:p>
        </w:tc>
        <w:tc>
          <w:tcPr>
            <w:tcW w:w="7420" w:type="dxa"/>
            <w:vAlign w:val="bottom"/>
          </w:tcPr>
          <w:p>
            <w:pPr>
              <w:ind w:left="20"/>
              <w:spacing w:after="0" w:line="208" w:lineRule="exact"/>
              <w:rPr>
                <w:sz w:val="20"/>
                <w:szCs w:val="20"/>
                <w:color w:val="auto"/>
              </w:rPr>
            </w:pPr>
            <w:r>
              <w:rPr>
                <w:rFonts w:ascii="Calibri" w:cs="Calibri" w:eastAsia="Calibri" w:hAnsi="Calibri"/>
                <w:sz w:val="18"/>
                <w:szCs w:val="18"/>
                <w:color w:val="auto"/>
              </w:rPr>
              <w:t>- Pre-acquisiton loss generated up to December 4, 2020</w:t>
            </w:r>
          </w:p>
        </w:tc>
        <w:tc>
          <w:tcPr>
            <w:tcW w:w="266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933</w:t>
            </w:r>
          </w:p>
        </w:tc>
      </w:tr>
      <w:tr>
        <w:trPr>
          <w:trHeight w:val="221"/>
        </w:trPr>
        <w:tc>
          <w:tcPr>
            <w:tcW w:w="380" w:type="dxa"/>
            <w:vAlign w:val="bottom"/>
          </w:tcPr>
          <w:p>
            <w:pPr>
              <w:ind w:left="20"/>
              <w:spacing w:after="0"/>
              <w:rPr>
                <w:sz w:val="20"/>
                <w:szCs w:val="20"/>
                <w:color w:val="auto"/>
              </w:rPr>
            </w:pPr>
            <w:r>
              <w:rPr>
                <w:rFonts w:ascii="Calibri" w:cs="Calibri" w:eastAsia="Calibri" w:hAnsi="Calibri"/>
                <w:sz w:val="18"/>
                <w:szCs w:val="18"/>
                <w:color w:val="auto"/>
                <w:w w:val="93"/>
              </w:rPr>
              <w:t>2041</w:t>
            </w:r>
          </w:p>
        </w:tc>
        <w:tc>
          <w:tcPr>
            <w:tcW w:w="7420" w:type="dxa"/>
            <w:vAlign w:val="bottom"/>
          </w:tcPr>
          <w:p>
            <w:pPr>
              <w:ind w:left="20"/>
              <w:spacing w:after="0"/>
              <w:rPr>
                <w:sz w:val="20"/>
                <w:szCs w:val="20"/>
                <w:color w:val="auto"/>
              </w:rPr>
            </w:pPr>
            <w:r>
              <w:rPr>
                <w:rFonts w:ascii="Calibri" w:cs="Calibri" w:eastAsia="Calibri" w:hAnsi="Calibri"/>
                <w:sz w:val="18"/>
                <w:szCs w:val="18"/>
                <w:color w:val="auto"/>
              </w:rPr>
              <w:t>- Loss generated in the period from December 4, 2020 to March 31, 2021</w:t>
            </w:r>
          </w:p>
        </w:tc>
        <w:tc>
          <w:tcPr>
            <w:tcW w:w="2660" w:type="dxa"/>
            <w:vAlign w:val="bottom"/>
          </w:tcPr>
          <w:p>
            <w:pPr>
              <w:jc w:val="right"/>
              <w:spacing w:after="0"/>
              <w:rPr>
                <w:sz w:val="20"/>
                <w:szCs w:val="20"/>
                <w:color w:val="auto"/>
              </w:rPr>
            </w:pPr>
            <w:r>
              <w:rPr>
                <w:rFonts w:ascii="Calibri" w:cs="Calibri" w:eastAsia="Calibri" w:hAnsi="Calibri"/>
                <w:sz w:val="18"/>
                <w:szCs w:val="18"/>
                <w:b w:val="1"/>
                <w:bCs w:val="1"/>
                <w:color w:val="auto"/>
              </w:rPr>
              <w:t>1,241</w:t>
            </w:r>
          </w:p>
        </w:tc>
      </w:tr>
      <w:tr>
        <w:trPr>
          <w:trHeight w:val="229"/>
        </w:trPr>
        <w:tc>
          <w:tcPr>
            <w:tcW w:w="380" w:type="dxa"/>
            <w:vAlign w:val="bottom"/>
          </w:tcPr>
          <w:p>
            <w:pPr>
              <w:ind w:left="20"/>
              <w:spacing w:after="0"/>
              <w:rPr>
                <w:sz w:val="20"/>
                <w:szCs w:val="20"/>
                <w:color w:val="auto"/>
              </w:rPr>
            </w:pPr>
            <w:r>
              <w:rPr>
                <w:rFonts w:ascii="Calibri" w:cs="Calibri" w:eastAsia="Calibri" w:hAnsi="Calibri"/>
                <w:sz w:val="18"/>
                <w:szCs w:val="18"/>
                <w:color w:val="auto"/>
                <w:w w:val="93"/>
              </w:rPr>
              <w:t>2042</w:t>
            </w:r>
          </w:p>
        </w:tc>
        <w:tc>
          <w:tcPr>
            <w:tcW w:w="7420" w:type="dxa"/>
            <w:vAlign w:val="bottom"/>
          </w:tcPr>
          <w:p>
            <w:pPr>
              <w:ind w:left="20"/>
              <w:spacing w:after="0"/>
              <w:rPr>
                <w:sz w:val="20"/>
                <w:szCs w:val="20"/>
                <w:color w:val="auto"/>
              </w:rPr>
            </w:pPr>
            <w:r>
              <w:rPr>
                <w:rFonts w:ascii="Calibri" w:cs="Calibri" w:eastAsia="Calibri" w:hAnsi="Calibri"/>
                <w:sz w:val="18"/>
                <w:szCs w:val="18"/>
                <w:color w:val="auto"/>
              </w:rPr>
              <w:t>- Loss generated in the year ended March 31, 2022</w:t>
            </w:r>
          </w:p>
        </w:tc>
        <w:tc>
          <w:tcPr>
            <w:tcW w:w="2660" w:type="dxa"/>
            <w:vAlign w:val="bottom"/>
          </w:tcPr>
          <w:p>
            <w:pPr>
              <w:jc w:val="right"/>
              <w:spacing w:after="0"/>
              <w:rPr>
                <w:sz w:val="20"/>
                <w:szCs w:val="20"/>
                <w:color w:val="auto"/>
              </w:rPr>
            </w:pPr>
            <w:r>
              <w:rPr>
                <w:rFonts w:ascii="Calibri" w:cs="Calibri" w:eastAsia="Calibri" w:hAnsi="Calibri"/>
                <w:sz w:val="18"/>
                <w:szCs w:val="18"/>
                <w:b w:val="1"/>
                <w:bCs w:val="1"/>
                <w:color w:val="auto"/>
              </w:rPr>
              <w:t>6,722</w:t>
            </w:r>
          </w:p>
        </w:tc>
      </w:tr>
      <w:tr>
        <w:trPr>
          <w:trHeight w:val="23"/>
        </w:trPr>
        <w:tc>
          <w:tcPr>
            <w:tcW w:w="38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17"/>
        </w:trPr>
        <w:tc>
          <w:tcPr>
            <w:tcW w:w="38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8,896</w:t>
            </w:r>
          </w:p>
        </w:tc>
      </w:tr>
    </w:tbl>
    <w:p>
      <w:pPr>
        <w:spacing w:after="0" w:line="248" w:lineRule="exact"/>
        <w:rPr>
          <w:sz w:val="20"/>
          <w:szCs w:val="20"/>
          <w:color w:val="auto"/>
        </w:rPr>
      </w:pPr>
    </w:p>
    <w:p>
      <w:pPr>
        <w:jc w:val="both"/>
        <w:ind w:left="260"/>
        <w:spacing w:after="0" w:line="235" w:lineRule="auto"/>
        <w:rPr>
          <w:sz w:val="20"/>
          <w:szCs w:val="20"/>
          <w:color w:val="auto"/>
        </w:rPr>
      </w:pPr>
      <w:r>
        <w:rPr>
          <w:rFonts w:ascii="Calibri" w:cs="Calibri" w:eastAsia="Calibri" w:hAnsi="Calibri"/>
          <w:sz w:val="18"/>
          <w:szCs w:val="18"/>
          <w:color w:val="auto"/>
        </w:rPr>
        <w:t>Although the US federal losses carryforward indefnitely, they are subject to restrictons on their deductbility. The deductbility of the pre-acquisiton loss and the post-acquisiton loss is restricted to 80% of taxable income in the year of deducton. The pre-acquisiton loss is further restricted to an annual limitaton under Secton 382. As at March 31, 2022, the annual limitaton was $136.</w:t>
      </w:r>
    </w:p>
    <w:p>
      <w:pPr>
        <w:spacing w:after="0" w:line="173"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Massachusets allows for a 20-year carryforward period for restricted and unrestricted losses without limitaton.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auto"/>
        </w:rPr>
        <w:t>Page 52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71120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54" w:right="339" w:bottom="1440" w:gutter="0" w:footer="0" w:header="0"/>
        </w:sectPr>
      </w:pPr>
    </w:p>
    <w:bookmarkStart w:id="55" w:name="page56"/>
    <w:bookmarkEnd w:id="55"/>
    <w:p>
      <w:pPr>
        <w:ind w:left="80"/>
        <w:spacing w:after="0"/>
        <w:rPr>
          <w:sz w:val="20"/>
          <w:szCs w:val="20"/>
          <w:color w:val="auto"/>
        </w:rPr>
      </w:pPr>
      <w:r>
        <w:rPr>
          <w:rFonts w:ascii="Calibri" w:cs="Calibri" w:eastAsia="Calibri" w:hAnsi="Calibri"/>
          <w:sz w:val="22"/>
          <w:szCs w:val="22"/>
          <w:b w:val="1"/>
          <w:bCs w:val="1"/>
          <w:color w:val="auto"/>
        </w:rPr>
        <w:t>CYBIN INC.</w:t>
      </w:r>
    </w:p>
    <w:p>
      <w:pPr>
        <w:ind w:left="80"/>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ind w:left="80"/>
        <w:spacing w:after="0" w:line="227"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9" w:lineRule="exact"/>
        <w:rPr>
          <w:sz w:val="20"/>
          <w:szCs w:val="20"/>
          <w:color w:val="auto"/>
        </w:rPr>
      </w:pPr>
    </w:p>
    <w:p>
      <w:pPr>
        <w:ind w:left="80" w:right="52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line="235" w:lineRule="auto"/>
        <w:rPr>
          <w:sz w:val="20"/>
          <w:szCs w:val="20"/>
          <w:color w:val="auto"/>
        </w:rPr>
      </w:pPr>
      <w:r>
        <w:rPr>
          <w:rFonts w:ascii="Calibri" w:cs="Calibri" w:eastAsia="Calibri" w:hAnsi="Calibri"/>
          <w:sz w:val="18"/>
          <w:szCs w:val="18"/>
          <w:color w:val="auto"/>
        </w:rPr>
        <w:t>As at March 31, 2022, the Company has non-capital losses in Ireland, which under certain circumstances can be used to reduce the taxable income of future years. The non-capital losses, stated in Canadian dollars, expire as follows: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33"/>
        </w:trPr>
        <w:tc>
          <w:tcPr>
            <w:tcW w:w="5540" w:type="dxa"/>
            <w:vAlign w:val="bottom"/>
          </w:tcPr>
          <w:p>
            <w:pPr>
              <w:ind w:left="20"/>
              <w:spacing w:after="0"/>
              <w:rPr>
                <w:sz w:val="20"/>
                <w:szCs w:val="20"/>
                <w:color w:val="auto"/>
              </w:rPr>
            </w:pPr>
            <w:r>
              <w:rPr>
                <w:rFonts w:ascii="Calibri" w:cs="Calibri" w:eastAsia="Calibri" w:hAnsi="Calibri"/>
                <w:sz w:val="18"/>
                <w:szCs w:val="18"/>
                <w:color w:val="auto"/>
              </w:rPr>
              <w:t>Year of expiry</w:t>
            </w:r>
          </w:p>
        </w:tc>
        <w:tc>
          <w:tcPr>
            <w:tcW w:w="504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50"/>
        </w:trPr>
        <w:tc>
          <w:tcPr>
            <w:tcW w:w="5540" w:type="dxa"/>
            <w:vAlign w:val="bottom"/>
            <w:tcBorders>
              <w:bottom w:val="single" w:sz="8" w:color="auto"/>
            </w:tcBorders>
          </w:tcPr>
          <w:p>
            <w:pPr>
              <w:spacing w:after="0"/>
              <w:rPr>
                <w:sz w:val="4"/>
                <w:szCs w:val="4"/>
                <w:color w:val="auto"/>
              </w:rPr>
            </w:pPr>
          </w:p>
        </w:tc>
        <w:tc>
          <w:tcPr>
            <w:tcW w:w="5040" w:type="dxa"/>
            <w:vAlign w:val="bottom"/>
            <w:tcBorders>
              <w:bottom w:val="single" w:sz="8" w:color="auto"/>
            </w:tcBorders>
          </w:tcPr>
          <w:p>
            <w:pPr>
              <w:spacing w:after="0"/>
              <w:rPr>
                <w:sz w:val="4"/>
                <w:szCs w:val="4"/>
                <w:color w:val="auto"/>
              </w:rPr>
            </w:pPr>
          </w:p>
        </w:tc>
      </w:tr>
      <w:tr>
        <w:trPr>
          <w:trHeight w:val="213"/>
        </w:trPr>
        <w:tc>
          <w:tcPr>
            <w:tcW w:w="5540" w:type="dxa"/>
            <w:vAlign w:val="bottom"/>
          </w:tcPr>
          <w:p>
            <w:pPr>
              <w:ind w:left="20"/>
              <w:spacing w:after="0" w:line="213" w:lineRule="exact"/>
              <w:rPr>
                <w:sz w:val="20"/>
                <w:szCs w:val="20"/>
                <w:color w:val="auto"/>
              </w:rPr>
            </w:pPr>
            <w:r>
              <w:rPr>
                <w:rFonts w:ascii="Calibri" w:cs="Calibri" w:eastAsia="Calibri" w:hAnsi="Calibri"/>
                <w:sz w:val="18"/>
                <w:szCs w:val="18"/>
                <w:color w:val="auto"/>
              </w:rPr>
              <w:t>2042</w:t>
            </w:r>
          </w:p>
        </w:tc>
        <w:tc>
          <w:tcPr>
            <w:tcW w:w="5040" w:type="dxa"/>
            <w:vAlign w:val="bottom"/>
          </w:tcPr>
          <w:p>
            <w:pPr>
              <w:jc w:val="right"/>
              <w:spacing w:after="0" w:line="213" w:lineRule="exact"/>
              <w:rPr>
                <w:sz w:val="20"/>
                <w:szCs w:val="20"/>
                <w:color w:val="auto"/>
              </w:rPr>
            </w:pPr>
            <w:r>
              <w:rPr>
                <w:rFonts w:ascii="Calibri" w:cs="Calibri" w:eastAsia="Calibri" w:hAnsi="Calibri"/>
                <w:sz w:val="18"/>
                <w:szCs w:val="18"/>
                <w:b w:val="1"/>
                <w:bCs w:val="1"/>
                <w:color w:val="auto"/>
              </w:rPr>
              <w:t>9,469</w:t>
            </w:r>
          </w:p>
        </w:tc>
      </w:tr>
      <w:tr>
        <w:trPr>
          <w:trHeight w:val="50"/>
        </w:trPr>
        <w:tc>
          <w:tcPr>
            <w:tcW w:w="5540" w:type="dxa"/>
            <w:vAlign w:val="bottom"/>
            <w:tcBorders>
              <w:bottom w:val="single" w:sz="8" w:color="auto"/>
            </w:tcBorders>
          </w:tcPr>
          <w:p>
            <w:pPr>
              <w:spacing w:after="0"/>
              <w:rPr>
                <w:sz w:val="4"/>
                <w:szCs w:val="4"/>
                <w:color w:val="auto"/>
              </w:rPr>
            </w:pPr>
          </w:p>
        </w:tc>
        <w:tc>
          <w:tcPr>
            <w:tcW w:w="5040" w:type="dxa"/>
            <w:vAlign w:val="bottom"/>
            <w:tcBorders>
              <w:bottom w:val="single" w:sz="8" w:color="auto"/>
            </w:tcBorders>
          </w:tcPr>
          <w:p>
            <w:pPr>
              <w:spacing w:after="0"/>
              <w:rPr>
                <w:sz w:val="4"/>
                <w:szCs w:val="4"/>
                <w:color w:val="auto"/>
              </w:rPr>
            </w:pPr>
          </w:p>
        </w:tc>
      </w:tr>
      <w:tr>
        <w:trPr>
          <w:trHeight w:val="217"/>
        </w:trPr>
        <w:tc>
          <w:tcPr>
            <w:tcW w:w="554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9,469</w:t>
            </w:r>
          </w:p>
        </w:tc>
      </w:tr>
    </w:tbl>
    <w:p>
      <w:pPr>
        <w:spacing w:after="0" w:line="243" w:lineRule="exact"/>
        <w:rPr>
          <w:sz w:val="20"/>
          <w:szCs w:val="20"/>
          <w:color w:val="auto"/>
        </w:rPr>
      </w:pPr>
    </w:p>
    <w:p>
      <w:pPr>
        <w:ind w:left="400" w:hanging="392"/>
        <w:spacing w:after="0"/>
        <w:tabs>
          <w:tab w:leader="none" w:pos="400" w:val="left"/>
        </w:tabs>
        <w:numPr>
          <w:ilvl w:val="0"/>
          <w:numId w:val="22"/>
        </w:numPr>
        <w:rPr>
          <w:rFonts w:ascii="Calibri" w:cs="Calibri" w:eastAsia="Calibri" w:hAnsi="Calibri"/>
          <w:sz w:val="18"/>
          <w:szCs w:val="18"/>
          <w:b w:val="1"/>
          <w:bCs w:val="1"/>
          <w:color w:val="2D5F91"/>
        </w:rPr>
      </w:pPr>
      <w:r>
        <w:rPr>
          <w:rFonts w:ascii="Calibri" w:cs="Calibri" w:eastAsia="Calibri" w:hAnsi="Calibri"/>
          <w:sz w:val="18"/>
          <w:szCs w:val="18"/>
          <w:b w:val="1"/>
          <w:bCs w:val="1"/>
          <w:color w:val="2D5F91"/>
        </w:rPr>
        <w:t>SUBSEQUENT EVENTS</w:t>
      </w:r>
    </w:p>
    <w:p>
      <w:pPr>
        <w:spacing w:after="0" w:line="171" w:lineRule="exact"/>
        <w:rPr>
          <w:rFonts w:ascii="Calibri" w:cs="Calibri" w:eastAsia="Calibri" w:hAnsi="Calibri"/>
          <w:sz w:val="18"/>
          <w:szCs w:val="18"/>
          <w:b w:val="1"/>
          <w:bCs w:val="1"/>
          <w:color w:val="2D5F91"/>
        </w:rPr>
      </w:pPr>
    </w:p>
    <w:p>
      <w:pPr>
        <w:ind w:left="560" w:hanging="228"/>
        <w:spacing w:after="0"/>
        <w:tabs>
          <w:tab w:leader="none" w:pos="560" w:val="left"/>
        </w:tabs>
        <w:numPr>
          <w:ilvl w:val="1"/>
          <w:numId w:val="2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Adelia Milestones</w:t>
      </w:r>
    </w:p>
    <w:p>
      <w:pPr>
        <w:spacing w:after="0" w:line="177"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On April 1, 2022, Former Adelia Shareholders achieved the milestone identfed as Year 2 Q2 (iv), as contemplated by the terms of the Adelia Contributon Agreement. Accordingly, 22,428.30 Class B Shares having an aggregate value of $229 were issued to the Former Adelia Shareholders, at a price per share of $10.20. These Class B Shares are exchangeable for a total of 224,283 Common Shares, representng an efectve issue price of $1.02 per Common Share. In consideraton for the Milestone achieved, an additonal amount of $5 is issuable at a price per share to be determined in accordance with the terms of the Contributon Agreement and applicable securites laws.</w:t>
      </w:r>
    </w:p>
    <w:p>
      <w:pPr>
        <w:spacing w:after="0" w:line="193"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In additon, Former Adelia Shareholders achieved the milestones identfed as identfed as Y2, Q2 (i), (vi), Y2, Q3 (ii), Year 2 Q4 (i) and Year 3 Q1 (i), (ii), (iii), as contemplated by the terms of the Adelia Contributon Agreement. Accordingly, Class B Shares having an aggregate value of $2,033 became due to be issued to the Former Adelia Shareholders, at a price per share to be determined in accordance with the terms of the contributon agreement and applicable securites laws.</w:t>
      </w:r>
    </w:p>
    <w:p>
      <w:pPr>
        <w:spacing w:after="0" w:line="174"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color w:val="auto"/>
        </w:rPr>
        <w:t>(b) Exchange of Class B Shares</w:t>
      </w:r>
    </w:p>
    <w:p>
      <w:pPr>
        <w:spacing w:after="0" w:line="172"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On May 5, 2022, a Former Adelia Shareholders exchanged 38,023 Class B Shares for 380,230 Common Shares.</w:t>
      </w:r>
    </w:p>
    <w:p>
      <w:pPr>
        <w:spacing w:after="0" w:line="185"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color w:val="auto"/>
        </w:rPr>
        <w:t>(c) Asset Acquisiton</w:t>
      </w:r>
    </w:p>
    <w:p>
      <w:pPr>
        <w:spacing w:after="0" w:line="177"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On June 7, 2022, the Company entered into an agreement to acquire a Phase 1 N,N-dimethyltryptamine (“DMT”) study (the “Asset Acquisiton”) from Entheon Biomedical Corp.(“Entheon”) to accelerate the clinical development path for CYB004, Cybin’s proprietary deuterated DMT molecule for the potental treatment of anxiety disorders. The purchase price of the Asset Acquisiton is $1,000, with a deposit payable upfront and the balance due on closing. In additon, the Company may pay up to $480 for consultng services to be provided from Entheon over a period of up to twelve months following the close of the Asset Acquisiton.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Page 53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56" w:name="page57"/>
    <w:bookmarkEnd w:id="56"/>
    <w:p>
      <w:pPr>
        <w:spacing w:after="0"/>
        <w:rPr>
          <w:sz w:val="20"/>
          <w:szCs w:val="20"/>
          <w:color w:val="auto"/>
        </w:rPr>
      </w:pPr>
      <w:r>
        <w:rPr>
          <w:rFonts w:ascii="Calibri" w:cs="Calibri" w:eastAsia="Calibri" w:hAnsi="Calibri"/>
          <w:sz w:val="22"/>
          <w:szCs w:val="22"/>
          <w:b w:val="1"/>
          <w:bCs w:val="1"/>
          <w:color w:val="auto"/>
        </w:rPr>
        <w:t>CYBIN INC.</w:t>
      </w:r>
    </w:p>
    <w:p>
      <w:pPr>
        <w:spacing w:after="0" w:line="229" w:lineRule="auto"/>
        <w:rPr>
          <w:sz w:val="20"/>
          <w:szCs w:val="20"/>
          <w:color w:val="auto"/>
        </w:rPr>
      </w:pPr>
      <w:r>
        <w:rPr>
          <w:rFonts w:ascii="Calibri" w:cs="Calibri" w:eastAsia="Calibri" w:hAnsi="Calibri"/>
          <w:sz w:val="22"/>
          <w:szCs w:val="22"/>
          <w:b w:val="1"/>
          <w:bCs w:val="1"/>
          <w:color w:val="auto"/>
        </w:rPr>
        <w:t>NOTES TO THE CONSOLIDATED FINANCIAL STATEMENTS</w:t>
      </w:r>
    </w:p>
    <w:p>
      <w:pPr>
        <w:spacing w:after="0" w:line="227" w:lineRule="auto"/>
        <w:rPr>
          <w:sz w:val="20"/>
          <w:szCs w:val="20"/>
          <w:color w:val="auto"/>
        </w:rPr>
      </w:pPr>
      <w:r>
        <w:rPr>
          <w:rFonts w:ascii="Calibri" w:cs="Calibri" w:eastAsia="Calibri" w:hAnsi="Calibri"/>
          <w:sz w:val="22"/>
          <w:szCs w:val="22"/>
          <w:b w:val="1"/>
          <w:bCs w:val="1"/>
          <w:color w:val="auto"/>
        </w:rPr>
        <w:t>March 31, 2022 and March 31, 2021</w:t>
      </w:r>
    </w:p>
    <w:p>
      <w:pPr>
        <w:spacing w:after="0" w:line="19" w:lineRule="exact"/>
        <w:rPr>
          <w:sz w:val="20"/>
          <w:szCs w:val="20"/>
          <w:color w:val="auto"/>
        </w:rPr>
      </w:pPr>
    </w:p>
    <w:p>
      <w:pPr>
        <w:ind w:right="50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Company expects the Asset Acquisiton to close within 30 days, subject to the completon of certain conditons and obtaining all necessary approvals.</w:t>
      </w:r>
    </w:p>
    <w:p>
      <w:pPr>
        <w:spacing w:after="0" w:line="185"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auto"/>
        </w:rPr>
        <w:t>(d) Exercised and Expired Securites</w:t>
      </w:r>
    </w:p>
    <w:p>
      <w:pPr>
        <w:spacing w:after="0" w:line="177" w:lineRule="exact"/>
        <w:rPr>
          <w:sz w:val="20"/>
          <w:szCs w:val="20"/>
          <w:color w:val="auto"/>
        </w:rPr>
      </w:pPr>
    </w:p>
    <w:p>
      <w:pPr>
        <w:ind w:left="260"/>
        <w:spacing w:after="0" w:line="235" w:lineRule="auto"/>
        <w:rPr>
          <w:sz w:val="20"/>
          <w:szCs w:val="20"/>
          <w:color w:val="auto"/>
        </w:rPr>
      </w:pPr>
      <w:r>
        <w:rPr>
          <w:rFonts w:ascii="Calibri" w:cs="Calibri" w:eastAsia="Calibri" w:hAnsi="Calibri"/>
          <w:sz w:val="18"/>
          <w:szCs w:val="18"/>
          <w:color w:val="auto"/>
        </w:rPr>
        <w:t>During the period from April 1, 2022 to June 20, 2022, holders of warrants exercised securites resultng in the issuance of 1,000,000 Common Shares for gross proceeds of approximately $250.</w:t>
      </w:r>
    </w:p>
    <w:p>
      <w:pPr>
        <w:spacing w:after="0" w:line="172"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During the period from April 1, 2022 to June 20, 2022, 13,500 vested optons expired and 34,000 unvested optons were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Page 54 of 54</w:t>
      </w:r>
    </w:p>
    <w:sectPr>
      <w:pgSz w:w="11900" w:h="16838" w:orient="portrait"/>
      <w:cols w:equalWidth="0" w:num="1">
        <w:col w:w="11140"/>
      </w:cols>
      <w:pgMar w:left="400" w:top="15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3"/>
    </w:lvl>
  </w:abstractNum>
  <w:abstractNum w:abstractNumId="10">
    <w:nsid w:val="4E6AFB66"/>
    <w:multiLevelType w:val="hybridMultilevel"/>
    <w:lvl w:ilvl="0">
      <w:lvlJc w:val="left"/>
      <w:lvlText w:val="%1."/>
      <w:numFmt w:val="decimal"/>
      <w:start w:val="4"/>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Roman"/>
      <w:start w:val="1"/>
    </w:lvl>
    <w:lvl w:ilvl="1">
      <w:lvlJc w:val="left"/>
      <w:lvlText w:val="%2."/>
      <w:numFmt w:val="lowerRoman"/>
      <w:start w:val="1"/>
    </w:lvl>
  </w:abstractNum>
  <w:abstractNum w:abstractNumId="16">
    <w:nsid w:val="257130A3"/>
    <w:multiLevelType w:val="hybridMultilevel"/>
    <w:lvl w:ilvl="0">
      <w:lvlJc w:val="left"/>
      <w:lvlText w:val="%1."/>
      <w:numFmt w:val="lowerRoman"/>
      <w:start w:val="4"/>
    </w:lvl>
    <w:lvl w:ilvl="1">
      <w:lvlJc w:val="left"/>
      <w:lvlText w:val="%2"/>
      <w:numFmt w:val="lowerRoman"/>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lowerLetter"/>
      <w:start w:val="4"/>
    </w:lvl>
  </w:abstractNum>
  <w:abstractNum w:abstractNumId="19">
    <w:nsid w:val="628C895D"/>
    <w:multiLevelType w:val="hybridMultilevel"/>
    <w:lvl w:ilvl="0">
      <w:lvlJc w:val="left"/>
      <w:lvlText w:val="%1"/>
      <w:numFmt w:val="decimal"/>
      <w:start w:val="1"/>
    </w:lvl>
    <w:lvl w:ilvl="1">
      <w:lvlJc w:val="left"/>
      <w:lvlText w:val="(%2)"/>
      <w:numFmt w:val="decimal"/>
      <w:start w:val="1"/>
    </w:lvl>
  </w:abstractNum>
  <w:abstractNum w:abstractNumId="20">
    <w:nsid w:val="333AB105"/>
    <w:multiLevelType w:val="hybridMultilevel"/>
    <w:lvl w:ilvl="0">
      <w:lvlJc w:val="left"/>
      <w:lvlText w:val="%1."/>
      <w:numFmt w:val="decimal"/>
      <w:start w:val="12"/>
    </w:lvl>
    <w:lvl w:ilvl="1">
      <w:lvlJc w:val="left"/>
      <w:lvlText w:val="%2"/>
      <w:numFmt w:val="decimal"/>
      <w:start w:val="1"/>
    </w:lvl>
  </w:abstractNum>
  <w:abstractNum w:abstractNumId="21">
    <w:nsid w:val="721DA317"/>
    <w:multiLevelType w:val="hybridMultilevel"/>
    <w:lvl w:ilvl="0">
      <w:lvlJc w:val="left"/>
      <w:lvlText w:val="%1."/>
      <w:numFmt w:val="decimal"/>
      <w:start w:val="1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2022-07-22T15:49:37Z</dcterms:created>
  <dcterms:modified xsi:type="dcterms:W3CDTF">2022-07-22T15:49:37Z</dcterms:modified>
</cp:coreProperties>
</file>