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 No. 333-284173</w:t>
      </w:r>
    </w:p>
    <w:p>
      <w:pPr>
        <w:spacing w:after="0" w:line="176"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This prospectus supplement (the "Prospectus Supplement"), together with the short form base shelf prospectus dated August 17, 2023, as amended by Amendment No. 1 dated December 22, 2023, by Amendment No. 2 dated April 8, 2024, and by Amendment No. 3 dated January 6, 2025, to which it relates, as amended or supplemented (the "Base Shelf Prospectus"), and each document deemed to be incorporated by reference into this Prospectus Supplement and the Base Shelf Prospectus, and as may be further amended or supplemented (collectively, the "Prospectus"), constitutes a public offering of these securities only in those jurisdictions where they may be lawfully offered for sale and only by persons permitted to sell such securities. No securities regulatory authority has expressed an opinion about these securities and it is an offence to claim otherwise.</w:t>
      </w:r>
    </w:p>
    <w:p>
      <w:pPr>
        <w:spacing w:after="0" w:line="163"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the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 and www.sec.gov/edgar.</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Base Shelf Prospectus dated August 17, 2023, as amended on December 22, 2023, April 8, 2024 and January 6,</w:t>
      </w:r>
    </w:p>
    <w:p>
      <w:pPr>
        <w:jc w:val="center"/>
        <w:spacing w:after="0"/>
        <w:rPr>
          <w:sz w:val="20"/>
          <w:szCs w:val="20"/>
          <w:color w:val="auto"/>
        </w:rPr>
      </w:pPr>
      <w:r>
        <w:rPr>
          <w:rFonts w:ascii="Times New Roman" w:cs="Times New Roman" w:eastAsia="Times New Roman" w:hAnsi="Times New Roman"/>
          <w:sz w:val="22"/>
          <w:szCs w:val="22"/>
          <w:b w:val="1"/>
          <w:bCs w:val="1"/>
          <w:color w:val="auto"/>
        </w:rPr>
        <w:t>2025)</w:t>
      </w:r>
    </w:p>
    <w:p>
      <w:pPr>
        <w:spacing w:after="0" w:line="189" w:lineRule="exact"/>
        <w:rPr>
          <w:sz w:val="24"/>
          <w:szCs w:val="24"/>
          <w:color w:val="auto"/>
        </w:rPr>
      </w:pPr>
    </w:p>
    <w:p>
      <w:pPr>
        <w:spacing w:after="0"/>
        <w:tabs>
          <w:tab w:leader="none" w:pos="9900" w:val="left"/>
        </w:tabs>
        <w:rPr>
          <w:sz w:val="20"/>
          <w:szCs w:val="20"/>
          <w:color w:val="auto"/>
        </w:rPr>
      </w:pPr>
      <w:r>
        <w:rPr>
          <w:rFonts w:ascii="Times New Roman" w:cs="Times New Roman" w:eastAsia="Times New Roman" w:hAnsi="Times New Roman"/>
          <w:sz w:val="18"/>
          <w:szCs w:val="18"/>
          <w:i w:val="1"/>
          <w:iCs w:val="1"/>
          <w:u w:val="single" w:color="auto"/>
          <w:color w:val="auto"/>
        </w:rPr>
        <w:t>New Issue</w:t>
      </w:r>
      <w:r>
        <w:rPr>
          <w:sz w:val="20"/>
          <w:szCs w:val="20"/>
          <w:color w:val="auto"/>
        </w:rPr>
        <w:tab/>
      </w:r>
      <w:r>
        <w:rPr>
          <w:rFonts w:ascii="Times New Roman" w:cs="Times New Roman" w:eastAsia="Times New Roman" w:hAnsi="Times New Roman"/>
          <w:sz w:val="17"/>
          <w:szCs w:val="17"/>
          <w:color w:val="auto"/>
        </w:rPr>
        <w:t>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309880</wp:posOffset>
            </wp:positionV>
            <wp:extent cx="1405890"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US$100,000,000</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206"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Cybin Inc.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is hereby qualifying the distribution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of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xml:space="preserve">"), having an aggregate sale price of up to US$100,000,000 (or the equivalent in Canadian dollars determined using the daily exchange rate posted by the Bank of Canada on the date the Common Shares are sold),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"Description of the Common Shares".</w:t>
      </w:r>
    </w:p>
    <w:p>
      <w:pPr>
        <w:spacing w:after="0" w:line="172"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Common Shares are listed in Canada on Cboe Canada (the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and in the United States on the NYSE American LLC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in each case under the trading symbol "CYBN". On February 7, 2025, the last trading day prior to the filing of this Prospectus Supplement, the closing prices of the Common Shares listed on the CBOE Canada and NYSE American were $13.51 and US$9.00, respectively.</w:t>
      </w:r>
    </w:p>
    <w:p>
      <w:pPr>
        <w:spacing w:after="0" w:line="172"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Corporation has entered into an "at-the-market equity" distribution agreement dated February 10, 2025 (the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with Cantor Fitzgerald Canada Corporation (the "</w:t>
      </w:r>
      <w:r>
        <w:rPr>
          <w:rFonts w:ascii="Times New Roman" w:cs="Times New Roman" w:eastAsia="Times New Roman" w:hAnsi="Times New Roman"/>
          <w:sz w:val="22"/>
          <w:szCs w:val="22"/>
          <w:b w:val="1"/>
          <w:bCs w:val="1"/>
          <w:color w:val="auto"/>
        </w:rPr>
        <w:t>Canadian Agent</w:t>
      </w:r>
      <w:r>
        <w:rPr>
          <w:rFonts w:ascii="Times New Roman" w:cs="Times New Roman" w:eastAsia="Times New Roman" w:hAnsi="Times New Roman"/>
          <w:sz w:val="22"/>
          <w:szCs w:val="22"/>
          <w:color w:val="auto"/>
        </w:rPr>
        <w:t>") and Cantor Fitzgerald &amp; Co. (the "</w:t>
      </w:r>
      <w:r>
        <w:rPr>
          <w:rFonts w:ascii="Times New Roman" w:cs="Times New Roman" w:eastAsia="Times New Roman" w:hAnsi="Times New Roman"/>
          <w:sz w:val="22"/>
          <w:szCs w:val="22"/>
          <w:b w:val="1"/>
          <w:bCs w:val="1"/>
          <w:color w:val="auto"/>
        </w:rPr>
        <w:t>US Agent</w:t>
      </w:r>
      <w:r>
        <w:rPr>
          <w:rFonts w:ascii="Times New Roman" w:cs="Times New Roman" w:eastAsia="Times New Roman" w:hAnsi="Times New Roman"/>
          <w:sz w:val="22"/>
          <w:szCs w:val="22"/>
          <w:color w:val="auto"/>
        </w:rPr>
        <w:t>", together with the Canadian Agent,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pursuant to which the Corporation may distribute Common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through the Agents, as agents, in accordance with the terms of the Distribution Agreement, see "</w:t>
      </w:r>
      <w:r>
        <w:rPr>
          <w:rFonts w:ascii="Times New Roman" w:cs="Times New Roman" w:eastAsia="Times New Roman" w:hAnsi="Times New Roman"/>
          <w:sz w:val="22"/>
          <w:szCs w:val="22"/>
          <w:i w:val="1"/>
          <w:iCs w:val="1"/>
          <w:color w:val="auto"/>
        </w:rPr>
        <w:t>Plan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 Sales of Common Shares, if any, under the Prospectus are anticipated to be made in transactions that are deemed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"at-the-market distributions"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and an "at-the-market offering" as defined in Rule 415(a)(4) under the United States Securities Act of 1933, as amended (the "</w:t>
      </w:r>
      <w:r>
        <w:rPr>
          <w:rFonts w:ascii="Times New Roman" w:cs="Times New Roman" w:eastAsia="Times New Roman" w:hAnsi="Times New Roman"/>
          <w:sz w:val="22"/>
          <w:szCs w:val="22"/>
          <w:b w:val="1"/>
          <w:bCs w:val="1"/>
          <w:color w:val="auto"/>
        </w:rPr>
        <w:t>U.S.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including sales made: (i) in privately negotiated transactions with the Corporation's consent and, if required, the consent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CBOE Canada and the NYSE American; (ii) as block transactions; (iii) directly on the CBOE Canada by the Canadian Agent, and on NYSE American by the US Agent, or any other recognized marketplace upon which the Common Shares are listed or quoted or where the Common Shares are traded in Canada or the United States; or (iv) by any method permitted by law. The Common Shares will be distributed at the market prices prevailing at the time of the sale. As a result, prices at which Common Shares are sold may vary as between purchasers and during the period of any distribution. </w:t>
      </w:r>
      <w:r>
        <w:rPr>
          <w:rFonts w:ascii="Times New Roman" w:cs="Times New Roman" w:eastAsia="Times New Roman" w:hAnsi="Times New Roman"/>
          <w:sz w:val="22"/>
          <w:szCs w:val="22"/>
          <w:b w:val="1"/>
          <w:bCs w:val="1"/>
          <w:color w:val="auto"/>
        </w:rPr>
        <w:t>There is no minimum amount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funds that must be raised under the Offering. This means that the Offering may terminate after raising only a portion of the Offering amount set out above, or none at all. The Canadian Agent is not registered as a broker-dealer in the United States and, accordingly, will only sell Common Shares on marketplaces in Canada. The US Agent is not registered as an investment dealer in any Canadian jurisdiction and, accordingly, will only sell Common Shares on marketplaces in the United States. See "</w:t>
      </w:r>
      <w:r>
        <w:rPr>
          <w:rFonts w:ascii="Times New Roman" w:cs="Times New Roman" w:eastAsia="Times New Roman" w:hAnsi="Times New Roman"/>
          <w:sz w:val="22"/>
          <w:szCs w:val="22"/>
          <w:b w:val="1"/>
          <w:bCs w:val="1"/>
          <w:i w:val="1"/>
          <w:iCs w:val="1"/>
          <w:color w:val="auto"/>
        </w:rPr>
        <w:t>Plan of Distribution</w:t>
      </w:r>
      <w:r>
        <w:rPr>
          <w:rFonts w:ascii="Times New Roman" w:cs="Times New Roman" w:eastAsia="Times New Roman" w:hAnsi="Times New Roman"/>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73" w:right="339" w:bottom="680" w:gutter="0" w:footer="0" w:header="0"/>
        </w:sectPr>
      </w:pPr>
    </w:p>
    <w:bookmarkStart w:id="1" w:name="page2"/>
    <w:bookmarkEnd w:id="1"/>
    <w:p>
      <w:pPr>
        <w:jc w:val="both"/>
        <w:spacing w:after="0" w:line="244" w:lineRule="auto"/>
        <w:rPr>
          <w:sz w:val="20"/>
          <w:szCs w:val="20"/>
          <w:color w:val="auto"/>
        </w:rPr>
      </w:pPr>
      <w:r>
        <w:rPr>
          <w:rFonts w:ascii="Times New Roman" w:cs="Times New Roman" w:eastAsia="Times New Roman" w:hAnsi="Times New Roman"/>
          <w:sz w:val="22"/>
          <w:szCs w:val="22"/>
          <w:color w:val="auto"/>
        </w:rPr>
        <w:t>The Offering is being made concurrently in Canada under the terms of the Prospectus and in the United States under the Corporation's Registration Statement on Form F-10 (File No. 333-284173)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filed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of which this Prospectus Supplement forms a part.</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Corporation will pay the Agents compensation for their services in acting as agent in connection with the sale of Common Shares pursuant to the Distribution Agreement equal to 3% of the gross sale price per Common Share sold (the "</w:t>
      </w:r>
      <w:r>
        <w:rPr>
          <w:rFonts w:ascii="Times New Roman" w:cs="Times New Roman" w:eastAsia="Times New Roman" w:hAnsi="Times New Roman"/>
          <w:sz w:val="21"/>
          <w:szCs w:val="21"/>
          <w:b w:val="1"/>
          <w:bCs w:val="1"/>
          <w:color w:val="auto"/>
        </w:rPr>
        <w:t>Commission</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applied to list the Common Shares distributed hereunder on the CBOE Canada and has submitted a supplemental listing application to NYSE American relating to the listing of the Common Shares to be offered in the Offering. Listing will be subject to the Corporation fulfilling all listing requirements of the CBOE Canada and NYSE American.</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An investment in the Common Shares is highly speculative and involves significant risks that an investor should consider before purchasing Common Shares. See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section in this Prospectus Supplement, including in the documents incorporated by reference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The net proceeds that the Corporation will receive from sales of the Common Shares will vary depending on the number of shares actually sold and the offering price for such shares, but will not exceed US$97,000,000 in the aggregate. See </w:t>
      </w:r>
      <w:r>
        <w:rPr>
          <w:rFonts w:ascii="Times New Roman" w:cs="Times New Roman" w:eastAsia="Times New Roman" w:hAnsi="Times New Roman"/>
          <w:sz w:val="22"/>
          <w:szCs w:val="22"/>
          <w:i w:val="1"/>
          <w:iCs w:val="1"/>
          <w:color w:val="auto"/>
        </w:rPr>
        <w:t>"Use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Proceeds" </w:t>
      </w:r>
      <w:r>
        <w:rPr>
          <w:rFonts w:ascii="Times New Roman" w:cs="Times New Roman" w:eastAsia="Times New Roman" w:hAnsi="Times New Roman"/>
          <w:sz w:val="22"/>
          <w:szCs w:val="22"/>
          <w:color w:val="auto"/>
        </w:rPr>
        <w:t>for how the net proceeds, if any, from sales under this Prospectus Supplement will be used.</w:t>
      </w:r>
    </w:p>
    <w:p>
      <w:pPr>
        <w:spacing w:after="0" w:line="16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Offering is being made by a Canadian issuer that is permitted, under the multijurisdictional disclosure system adopted by the United States and Canada ("MJDS"), to prepare this Prospectus Supplement and the accompanying Base Shelf Prospectus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The financial statements are subject to the standards of the Public Company Accounting Oversight Board (United States) and the SEC independence standards.</w:t>
      </w:r>
    </w:p>
    <w:p>
      <w:pPr>
        <w:spacing w:after="0" w:line="1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Common Shares.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Purchasers of Common Shares should be aware that the acquisition of Common Shares may have tax consequences both in the United States and in Canada. Such consequences for purchasers who are resident in, or citizens of, the United States or who are resident in Canada may not be described fully herein. Purchasers of Common Shares should read the tax discussion contained in this Prospectus Supplement and consult their own tax advisors. See </w:t>
      </w:r>
      <w:r>
        <w:rPr>
          <w:rFonts w:ascii="Times New Roman" w:cs="Times New Roman" w:eastAsia="Times New Roman" w:hAnsi="Times New Roman"/>
          <w:sz w:val="22"/>
          <w:szCs w:val="22"/>
          <w:b w:val="1"/>
          <w:bCs w:val="1"/>
          <w:i w:val="1"/>
          <w:iCs w:val="1"/>
          <w:color w:val="auto"/>
        </w:rPr>
        <w:t>"Certain Canadian Income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xml:space="preserve">Tax Considerations" </w:t>
      </w:r>
      <w:r>
        <w:rPr>
          <w:rFonts w:ascii="Times New Roman" w:cs="Times New Roman" w:eastAsia="Times New Roman" w:hAnsi="Times New Roman"/>
          <w:sz w:val="22"/>
          <w:szCs w:val="22"/>
          <w:b w:val="1"/>
          <w:bCs w:val="1"/>
          <w:color w:val="auto"/>
        </w:rPr>
        <w:t>and</w:t>
      </w:r>
      <w:r>
        <w:rPr>
          <w:rFonts w:ascii="Times New Roman" w:cs="Times New Roman" w:eastAsia="Times New Roman" w:hAnsi="Times New Roman"/>
          <w:sz w:val="22"/>
          <w:szCs w:val="22"/>
          <w:b w:val="1"/>
          <w:bCs w:val="1"/>
          <w:i w:val="1"/>
          <w:iCs w:val="1"/>
          <w:color w:val="auto"/>
        </w:rPr>
        <w:t xml:space="preserve"> "Certain United States Federal Income Tax Considerations"</w:t>
      </w:r>
      <w:r>
        <w:rPr>
          <w:rFonts w:ascii="Times New Roman" w:cs="Times New Roman" w:eastAsia="Times New Roman" w:hAnsi="Times New Roman"/>
          <w:sz w:val="22"/>
          <w:szCs w:val="22"/>
          <w:b w:val="1"/>
          <w:bCs w:val="1"/>
          <w:color w:val="auto"/>
        </w:rPr>
        <w:t>.</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Canada, that the majority of its officers and directors are not residents of the United States, that some or all of the Agents or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Times New Roman" w:cs="Times New Roman" w:eastAsia="Times New Roman" w:hAnsi="Times New Roman"/>
          <w:sz w:val="22"/>
          <w:szCs w:val="22"/>
          <w:b w:val="1"/>
          <w:bCs w:val="1"/>
          <w:i w:val="1"/>
          <w:iCs w:val="1"/>
          <w:color w:val="auto"/>
        </w:rPr>
        <w:t>"Enforcement of Civil Liabilities by U.S. Investors"</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STATE SECURITIES COMMISSION OR REGULATOR HAS APPROVED OR DISAPPROVED THE COMMON SHARES NOR PASSED UPON THE ACCURACY OR ADEQUACY OF THE PROSPECTUS AND THIS PROSPECTUS SUPPLEMENT. ANY REPRESENTATION TO THE CONTRARY IS A CRIMINAL OFFENCE.</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In connection with the sale of the Common Shares on the Corporation's behalf, the Agents may be deemed to be an "underwriter" within the meaning of Section 2(a)(11) of the U.S. Securities Act, and the compensation of the Agents may be deemed to be underwriting commissions or discounts. The Corporation has agreed to provide indemnification and contribution to the Agents against certain liabilities, including liabilities under the U.S. Securities Act.</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sales agents, the Agents will not engage in any prohibited transactions to stabilize or maintain the price of the Common Shares. Neither the Agents nor any person or company acting jointly or in concert with either of the Agents may, in connection with the distribution, enter into any transaction that is intended to stabilize or maintain the market price of the Common Shares distributed under this Prospectus Supplement, including selling an aggregate number or principal amount of Common Shares that would result in the Agents creating an over-allocation position in the Common Shares.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Douglas Drysdale, an officer of the Corporation, 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Except as otherwise indicated, references to "Canadian dollars" or "$" are to the currency of Canada. Certain totals, subtotals and percentages may not precisely reconcile due to rounding.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147955</wp:posOffset>
            </wp:positionV>
            <wp:extent cx="115697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697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00" w:type="dxa"/>
            <w:vAlign w:val="bottom"/>
            <w:gridSpan w:val="19"/>
            <w:shd w:val="clear" w:color="auto" w:fill="EEEEEE"/>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S-2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COMMON SHARES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PRIOR SALES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INCOME TAX CONSIDERATIONS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52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44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90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 FOR U.S. INVESTORS</w:t>
            </w:r>
          </w:p>
        </w:tc>
        <w:tc>
          <w:tcPr>
            <w:tcW w:w="340" w:type="dxa"/>
            <w:vAlign w:val="bottom"/>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440" w:type="dxa"/>
            <w:vAlign w:val="bottom"/>
            <w:tcBorders>
              <w:top w:val="single" w:sz="8" w:color="0000EE"/>
            </w:tcBorders>
            <w:shd w:val="clear" w:color="auto" w:fill="EEEEEE"/>
          </w:tcPr>
          <w:p>
            <w:pPr>
              <w:spacing w:after="0" w:line="20" w:lineRule="exact"/>
              <w:rPr>
                <w:sz w:val="1"/>
                <w:szCs w:val="1"/>
                <w:color w:val="auto"/>
              </w:rPr>
            </w:pPr>
          </w:p>
        </w:tc>
        <w:tc>
          <w:tcPr>
            <w:tcW w:w="50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4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Base Shelf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40" w:type="dxa"/>
            <w:vAlign w:val="bottom"/>
            <w:gridSpan w:val="19"/>
            <w:shd w:val="clear" w:color="auto" w:fill="EEEEEE"/>
          </w:tcPr>
          <w:p>
            <w:pPr>
              <w:spacing w:after="0"/>
              <w:rPr>
                <w:sz w:val="20"/>
                <w:szCs w:val="20"/>
                <w:color w:val="auto"/>
              </w:rPr>
            </w:pPr>
            <w:r>
              <w:rPr>
                <w:rFonts w:ascii="Times New Roman" w:cs="Times New Roman" w:eastAsia="Times New Roman" w:hAnsi="Times New Roman"/>
                <w:sz w:val="18"/>
                <w:szCs w:val="18"/>
                <w:color w:val="0000EE"/>
              </w:rPr>
              <w:t>GENERAL MATTERS</w:t>
            </w:r>
          </w:p>
        </w:tc>
        <w:tc>
          <w:tcPr>
            <w:tcW w:w="24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 REGARDING FORWARD LOOKING INFORMATION AND STATEMENTS</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2240" w:type="dxa"/>
            <w:vAlign w:val="bottom"/>
            <w:tcBorders>
              <w:top w:val="single" w:sz="8" w:color="EEEEEE"/>
            </w:tcBorders>
          </w:tcPr>
          <w:p>
            <w:pPr>
              <w:spacing w:after="0"/>
              <w:rPr>
                <w:sz w:val="18"/>
                <w:szCs w:val="18"/>
                <w:color w:val="auto"/>
              </w:rPr>
            </w:pPr>
          </w:p>
        </w:tc>
        <w:tc>
          <w:tcPr>
            <w:tcW w:w="22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8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4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document consists of two parts. The first part is this Prospectus Supplement, which describes certain terms of the Common Shares that are being offered pursuant to this Prospectus Supplement and also adds to and updates certain information contained in the Base Shelf Prospectus and the documents incorporated by reference therein. The second part, the Base Shelf Prospectus, gives more general information, some of which may not apply to the Common Shares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and the Agents have not, authorized anyone to provide investors with different or additional information. The Corporation is not, and the Agents are not, making an offer to sell Common Shares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The Ontario Securities Commission issued a receipt dated August 17, 2023, in respect of the final Base Shelf Prospectus as the principal regulatory authority under Multilateral Instrument 11-102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w:t>
      </w:r>
      <w:r>
        <w:rPr>
          <w:rFonts w:ascii="Times New Roman" w:cs="Times New Roman" w:eastAsia="Times New Roman" w:hAnsi="Times New Roman"/>
          <w:sz w:val="22"/>
          <w:szCs w:val="22"/>
          <w:i w:val="1"/>
          <w:iCs w:val="1"/>
          <w:color w:val="auto"/>
        </w:rPr>
        <w:t>Process for Prospectus Review in Multiple Jurisdictions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Base Shelf Prospectus also forms part of the Registration Statement on Form F-10, which was filed with the SEC on January 8, 2025 under the U.S. Securities Act utilizing the MJDS. The Registration Statement was declared effective under the U.S. Securities Act on January 14,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Unless otherwise indicated or the context otherwise requires, all references in this Prospectus Supplement to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except as otherwise indicated or as the context otherwise indicates, mean Cybin Inc. and its subsidiaries and associated corporations</w:t>
      </w:r>
      <w:r>
        <w:rPr>
          <w:rFonts w:ascii="Times New Roman" w:cs="Times New Roman" w:eastAsia="Times New Roman" w:hAnsi="Times New Roman"/>
          <w:sz w:val="22"/>
          <w:szCs w:val="22"/>
          <w:i w:val="1"/>
          <w:iCs w:val="1"/>
          <w:color w:val="auto"/>
        </w:rPr>
        <w:t>.</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356"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Some of the risks which could affect future results and could cause results to differ materially from those expressed in the forward-looking statements contained herein include: the net proceeds, if any, from sales under this Prospectus Supplement; the Corporation's use of proceeds and business objectives and milestones and the anticipated timing of execution, see </w:t>
      </w:r>
      <w:r>
        <w:rPr>
          <w:rFonts w:ascii="Times New Roman" w:cs="Times New Roman" w:eastAsia="Times New Roman" w:hAnsi="Times New Roman"/>
          <w:sz w:val="21"/>
          <w:szCs w:val="21"/>
          <w:i w:val="1"/>
          <w:iCs w:val="1"/>
          <w:color w:val="auto"/>
        </w:rPr>
        <w:t>"Use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Proceeds"</w:t>
      </w:r>
      <w:r>
        <w:rPr>
          <w:rFonts w:ascii="Times New Roman" w:cs="Times New Roman" w:eastAsia="Times New Roman" w:hAnsi="Times New Roman"/>
          <w:sz w:val="21"/>
          <w:szCs w:val="21"/>
          <w:color w:val="auto"/>
        </w:rPr>
        <w:t>; limited operating history; achieving publicly announced milestones; speculative nature of investment risk; early stage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Common Shares is highly speculative; completion of the Offering; negative operating cash flow; discretion in the use of proceeds; potential dilution; volatile market price of the Common Shares; significant sales of Common Shares; positive return not guaranteed; and the Corporation's expectation that it will be a "passive foreign investment company".</w:t>
      </w:r>
    </w:p>
    <w:p>
      <w:pPr>
        <w:spacing w:after="0" w:line="200" w:lineRule="exact"/>
        <w:rPr>
          <w:sz w:val="20"/>
          <w:szCs w:val="20"/>
          <w:color w:val="auto"/>
        </w:rPr>
      </w:pP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73" w:lineRule="exact"/>
        <w:rPr>
          <w:sz w:val="20"/>
          <w:szCs w:val="20"/>
          <w:color w:val="auto"/>
        </w:rPr>
      </w:pPr>
    </w:p>
    <w:p>
      <w:pPr>
        <w:ind w:left="660" w:hanging="331"/>
        <w:spacing w:after="0" w:line="241"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60" w:hanging="331"/>
        <w:spacing w:after="0" w:line="230"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right="20" w:hanging="331"/>
        <w:spacing w:after="0" w:line="230"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80" w:hanging="351"/>
        <w:spacing w:after="0"/>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left="660" w:right="20" w:hanging="331"/>
        <w:spacing w:after="0" w:line="242"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31"/>
        <w:spacing w:after="0" w:line="237" w:lineRule="auto"/>
        <w:tabs>
          <w:tab w:leader="none" w:pos="68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 Canada, and filed with, or furnished to, the SEC, are specifically incorporated by reference into, and form an integral part of, this Prospectus Supplement:</w:t>
      </w:r>
    </w:p>
    <w:p>
      <w:pPr>
        <w:spacing w:after="0" w:line="169" w:lineRule="exact"/>
        <w:rPr>
          <w:sz w:val="20"/>
          <w:szCs w:val="20"/>
          <w:color w:val="auto"/>
        </w:rPr>
      </w:pPr>
    </w:p>
    <w:p>
      <w:pPr>
        <w:ind w:left="520" w:right="20" w:hanging="256"/>
        <w:spacing w:after="0" w:line="262"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25, 2024 for the year ended March 31, 2024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520" w:right="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audited consolidated financial statements of the Corporation and the notes thereto as at and for the fiscal years ended March 31, 2024 and 2023, together with the auditor's report thereon;</w:t>
      </w:r>
    </w:p>
    <w:p>
      <w:pPr>
        <w:spacing w:after="0" w:line="158"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2024;</w:t>
      </w:r>
    </w:p>
    <w:p>
      <w:pPr>
        <w:spacing w:after="0" w:line="206"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interim condensed consolidated financial statements of the Corporation and the notes thereto for the three and nine months ended December 31, 2024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ind w:left="520" w:hanging="256"/>
        <w:spacing w:after="0" w:line="259"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nine months ended December 31, 2024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24, 2024 relating to the annual and special meeting of shareholders of the Corporation held on August 27, 2024;</w:t>
      </w:r>
    </w:p>
    <w:p>
      <w:pPr>
        <w:spacing w:after="0" w:line="158" w:lineRule="exact"/>
        <w:rPr>
          <w:rFonts w:ascii="Times New Roman" w:cs="Times New Roman" w:eastAsia="Times New Roman" w:hAnsi="Times New Roman"/>
          <w:sz w:val="22"/>
          <w:szCs w:val="22"/>
          <w:color w:val="auto"/>
        </w:rPr>
      </w:pPr>
    </w:p>
    <w:p>
      <w:pPr>
        <w:jc w:val="both"/>
        <w:ind w:left="520" w:hanging="256"/>
        <w:spacing w:after="0" w:line="244"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of the Corporation dated September 19, 2024 relating to the consolidation of the Corporation's issued and outstanding Common Shares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and</w:t>
      </w:r>
    </w:p>
    <w:p>
      <w:pPr>
        <w:spacing w:after="0" w:line="169" w:lineRule="exact"/>
        <w:rPr>
          <w:rFonts w:ascii="Times New Roman" w:cs="Times New Roman" w:eastAsia="Times New Roman" w:hAnsi="Times New Roman"/>
          <w:sz w:val="22"/>
          <w:szCs w:val="22"/>
          <w:color w:val="auto"/>
        </w:rPr>
      </w:pPr>
    </w:p>
    <w:p>
      <w:pPr>
        <w:jc w:val="both"/>
        <w:ind w:left="520" w:hanging="256"/>
        <w:spacing w:after="0" w:line="246" w:lineRule="auto"/>
        <w:tabs>
          <w:tab w:leader="none" w:pos="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acquisition of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by the Corporation pursuant to the terms of the definitive agreement under which the Corporation acquired all of the issued and outstanding common shares of Small Pharma pursuant to a court-approved plan of arrangement.</w:t>
      </w:r>
    </w:p>
    <w:p>
      <w:pPr>
        <w:spacing w:after="0" w:line="17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Any document of the type referred to in Section 11.1 of Form 44-101F1 - Short Form Prospectus Distributions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if the Corporation disseminates a news release in respect of previously undisclosed information that, in the Corporation's determination, constitutes a "material fact" (as such term is defined under applicable Canadian securities laws), the Corporation will identify such news release as a "designated news release" for the purposes of the Prospectus in writing on the face page of the version of such news release that the Corporation files on SEDAR+ (any such news release, a "</w:t>
      </w:r>
      <w:r>
        <w:rPr>
          <w:rFonts w:ascii="Times New Roman" w:cs="Times New Roman" w:eastAsia="Times New Roman" w:hAnsi="Times New Roman"/>
          <w:sz w:val="22"/>
          <w:szCs w:val="22"/>
          <w:b w:val="1"/>
          <w:bCs w:val="1"/>
          <w:color w:val="auto"/>
        </w:rPr>
        <w:t>Designated News Release</w:t>
      </w:r>
      <w:r>
        <w:rPr>
          <w:rFonts w:ascii="Times New Roman" w:cs="Times New Roman" w:eastAsia="Times New Roman" w:hAnsi="Times New Roman"/>
          <w:sz w:val="22"/>
          <w:szCs w:val="22"/>
          <w:color w:val="auto"/>
        </w:rPr>
        <w:t>"), and any such Designated News Release shall be deemed to be incorporated by reference into the Prospectus only for the purposes of the Offering. These documents will be available through the internet on the Corporation's SEDAR+ profile, which can be accessed at www.sedarplus.ca. In addition, any other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xml:space="preserve">"), from the date of this Prospectus Supplement and prior to the termination or completion of the Offering shall be deemed to be incorporated by reference as exhibits to the Registration Statement of which this Prospectus Supplement and accompanying Base Shelf Prospectus forms a part, but in the case of any report on Form 6-K, only if and to the extent expressly so provided in any such report. The Corporation's current reports on Form 6-K and annual reports on Form 40-F are available on EDGAR at </w:t>
      </w:r>
      <w:r>
        <w:rPr>
          <w:rFonts w:ascii="Times New Roman" w:cs="Times New Roman" w:eastAsia="Times New Roman" w:hAnsi="Times New Roman"/>
          <w:sz w:val="22"/>
          <w:szCs w:val="22"/>
          <w:u w:val="single" w:color="auto"/>
          <w:color w:val="0563C1"/>
        </w:rPr>
        <w:t>www.sec.gov/edgar</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Copies of the documents incorporated by reference herein will be available electronically on the Corporation's SEDAR+ profile, which can be accessed at www.sedarplus.ca, and from the Corporation's EDGAR profile at www.sec.gov/edgar. The Corporation's filings through SEDAR+ and EDGAR are not incorporated by reference in the Prospectus except as specifically set out herein.</w:t>
      </w:r>
      <w:r>
        <w:rPr>
          <w:rFonts w:ascii="Times New Roman" w:cs="Times New Roman" w:eastAsia="Times New Roman" w:hAnsi="Times New Roman"/>
          <w:sz w:val="22"/>
          <w:szCs w:val="22"/>
          <w:b w:val="1"/>
          <w:bCs w:val="1"/>
          <w:color w:val="auto"/>
        </w:rPr>
        <w:t>Any statement contained in this Prospectus Supplement or in a document incorporated or deemed to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Neither the Corporation nor the Agents have provided or otherwise authorized any other person to provide investors with information other than that contained or incorporated by reference in this Prospectus Supplement or accompanying Base Shelf Prospectus, and neither the Corporation nor the Agents take any responsibility for other information that others may give you. If an investor is provided with different or inconsistent information, he or she should not rely on 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the Distribution Agreement; (ii) powers of attorney from certain of the Corporation's directors and officers (included on the signature page of the Registration Statement); (iii) the consent of Zeifmans LLP; (iv) the consent of MNP LLP; and (v) the consent of the Corporation's Canadian counsel, Aird &amp; Berlis LLP.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085"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filed with the SEC the Registration Statement under the U.S. Securities Act with respect to the Common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www.sec.gov/edgar. Reference is also made to the Registration Statement and the exhibits thereto for further information with respect to the Corporation, the Offering and the Common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an investor in deciding whether to invest in the Common Shares.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1</w:t>
      </w:r>
    </w:p>
    <w:p>
      <w:pPr>
        <w:spacing w:after="0" w:line="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CYB005, phenethylamine derivatives, and an expansive list of preclinical molecules to facilitate future drug development opportunities.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became a wholly-owned subsidiary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Corporation. Small Pharma is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357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35" w:lineRule="exact"/>
        <w:rPr>
          <w:sz w:val="20"/>
          <w:szCs w:val="20"/>
          <w:color w:val="auto"/>
        </w:rPr>
      </w:pPr>
    </w:p>
    <w:p>
      <w:pPr>
        <w:jc w:val="both"/>
        <w:ind w:firstLine="8"/>
        <w:spacing w:after="0" w:line="220" w:lineRule="auto"/>
        <w:tabs>
          <w:tab w:leader="none" w:pos="164"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883" w:gutter="0" w:footer="0" w:header="0"/>
        </w:sectPr>
      </w:pPr>
    </w:p>
    <w:bookmarkStart w:id="10" w:name="page11"/>
    <w:bookmarkEnd w:id="10"/>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On April 1, 2024, pursuant to the provisions of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(the "</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Small Pharma completed a horizontal amalgamation with Cybin Corp., with Cybin Corp. being the resulting entity. As a result of this amalgamation, Cybin UK Ltd is now a wholly-owned subsidiary of Cybin Corp.</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the Corporation now currently has over 80 granted patents and over 230 pending applications.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inhalation, via 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8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The Corporation is also developing compounds that may have the potential to address neuroinflammation</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central nervous system disorders, and psychiatric disorders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 please see the Annual Information Form and Interim MD&amp;A incorporated by reference into this Prospectus Supplement.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generally in this Prospectus Supplement, the Base Shelf Prospectus or the documents incorporated by reference herein, there have been no material developments in the business of the Corporation since February 10, 2025, the date of the Corporation's most recently issued Interim Financial Statements and the Interim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7"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See footnote 1</w:t>
      </w:r>
      <w:r>
        <w:rPr>
          <w:rFonts w:ascii="Times New Roman" w:cs="Times New Roman" w:eastAsia="Times New Roman" w:hAnsi="Times New Roman"/>
          <w:sz w:val="22"/>
          <w:szCs w:val="22"/>
          <w:b w:val="1"/>
          <w:bCs w:val="1"/>
          <w:color w:val="auto"/>
        </w:rPr>
        <w: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2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118110</wp:posOffset>
            </wp:positionV>
            <wp:extent cx="4354830" cy="3171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5483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206" w:lineRule="exact"/>
        <w:rPr>
          <w:sz w:val="20"/>
          <w:szCs w:val="20"/>
          <w:color w:val="auto"/>
        </w:rPr>
      </w:pPr>
    </w:p>
    <w:p>
      <w:pPr>
        <w:jc w:val="both"/>
        <w:ind w:left="1420" w:right="1400" w:hanging="317"/>
        <w:spacing w:after="0" w:line="241" w:lineRule="auto"/>
        <w:tabs>
          <w:tab w:leader="none" w:pos="145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Adelia Therapeutics Inc.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hold certain non-voting securities of Cybin U.S. issued in connection with the acquisition of Adelia on December 14, 2020 (the "</w:t>
      </w:r>
      <w:r>
        <w:rPr>
          <w:rFonts w:ascii="Times New Roman" w:cs="Times New Roman" w:eastAsia="Times New Roman" w:hAnsi="Times New Roman"/>
          <w:sz w:val="22"/>
          <w:szCs w:val="22"/>
          <w:b w:val="1"/>
          <w:bCs w:val="1"/>
          <w:color w:val="auto"/>
        </w:rPr>
        <w:t>Adelia Transaction</w:t>
      </w:r>
      <w:r>
        <w:rPr>
          <w:rFonts w:ascii="Times New Roman" w:cs="Times New Roman" w:eastAsia="Times New Roman" w:hAnsi="Times New Roman"/>
          <w:sz w:val="22"/>
          <w:szCs w:val="22"/>
          <w:color w:val="auto"/>
        </w:rPr>
        <w:t>"). For additional information in respect of the Adelia Transaction, please see the Annual Information Form incorporated by reference in this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COMMON SHARES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is authorized to issue an unlimited number of Common Shares and an unlimited number of preferred shares. As at February 10, 2025, the Corporation had 21,026,426 Common Shares and nil preferred shares issued and outstanding. For a summary of certain material attributes and characteristics of the Common Shares, see </w:t>
      </w:r>
      <w:r>
        <w:rPr>
          <w:rFonts w:ascii="Times New Roman" w:cs="Times New Roman" w:eastAsia="Times New Roman" w:hAnsi="Times New Roman"/>
          <w:sz w:val="22"/>
          <w:szCs w:val="22"/>
          <w:i w:val="1"/>
          <w:iCs w:val="1"/>
          <w:color w:val="auto"/>
        </w:rPr>
        <w:t>"Description of the Securities Being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Distributed - Common Shares" </w:t>
      </w:r>
      <w:r>
        <w:rPr>
          <w:rFonts w:ascii="Times New Roman" w:cs="Times New Roman" w:eastAsia="Times New Roman" w:hAnsi="Times New Roman"/>
          <w:sz w:val="22"/>
          <w:szCs w:val="22"/>
          <w:color w:val="auto"/>
        </w:rPr>
        <w:t>in the Base Shelf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210" w:lineRule="exact"/>
        <w:rPr>
          <w:sz w:val="20"/>
          <w:szCs w:val="20"/>
          <w:color w:val="auto"/>
        </w:rPr>
      </w:pPr>
    </w:p>
    <w:p>
      <w:pPr>
        <w:jc w:val="both"/>
        <w:ind w:left="80"/>
        <w:spacing w:after="0" w:line="239" w:lineRule="auto"/>
        <w:rPr>
          <w:sz w:val="20"/>
          <w:szCs w:val="20"/>
          <w:color w:val="auto"/>
        </w:rPr>
      </w:pPr>
      <w:r>
        <w:rPr>
          <w:rFonts w:ascii="Times New Roman" w:cs="Times New Roman" w:eastAsia="Times New Roman" w:hAnsi="Times New Roman"/>
          <w:sz w:val="22"/>
          <w:szCs w:val="22"/>
          <w:color w:val="auto"/>
        </w:rPr>
        <w:t>There have been no material changes in the Corporation's share or loan capitalization on a consolidated basis since the date of the Interim Financial Statements. As a result of the Offering, the shareholder's equity of the Corporation will increase by the amount of the net proceeds of the Offering and the number of issued and outstanding Common Shares will increase by the number of Common Shares actually distributed under the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net proceeds from the Offering are not determinable in light of the nature of the distribution. The net proceeds of any given distribution of Common Shares through the Agents in an "at-the-market distribution" or "at-the-market offering" will represent the gross proceeds after deducting the applicable compensation payable to the Agents under the Distribution Agreement and the expenses of the distribution. The proceeds actually received by the Corporation will depend on the number of Common Shares actually sold and the offering price of such Common Shares.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both"/>
        <w:spacing w:after="0" w:line="238" w:lineRule="auto"/>
        <w:rPr>
          <w:sz w:val="20"/>
          <w:szCs w:val="20"/>
          <w:color w:val="auto"/>
        </w:rPr>
      </w:pPr>
      <w:r>
        <w:rPr>
          <w:rFonts w:ascii="Times New Roman" w:cs="Times New Roman" w:eastAsia="Times New Roman" w:hAnsi="Times New Roman"/>
          <w:sz w:val="22"/>
          <w:szCs w:val="22"/>
          <w:color w:val="auto"/>
        </w:rPr>
        <w:t>Assuming net proceeds of the maximum of US$97,000,000 on or before the expiry of the Prospectus on September 17, 2025, the Corporation intends to use the net proceeds of the Offering for: (i) growth opportunities, and (ii) working capital initiatives. 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 To the extent the Corporation requires additional capital, it may raise funds through debt and equity financing in the future.</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use of the net proceeds of the Offering to fund potential growth initiatives and other strategic opportunities is subject to change due to the influence of many evolving variables, including those as described under </w:t>
      </w:r>
      <w:r>
        <w:rPr>
          <w:rFonts w:ascii="Times New Roman" w:cs="Times New Roman" w:eastAsia="Times New Roman" w:hAnsi="Times New Roman"/>
          <w:sz w:val="22"/>
          <w:szCs w:val="22"/>
          <w:i w:val="1"/>
          <w:iCs w:val="1"/>
          <w:color w:val="auto"/>
        </w:rPr>
        <w:t>"Stage of Development"</w:t>
      </w:r>
      <w:r>
        <w:rPr>
          <w:rFonts w:ascii="Times New Roman" w:cs="Times New Roman" w:eastAsia="Times New Roman" w:hAnsi="Times New Roman"/>
          <w:sz w:val="22"/>
          <w:szCs w:val="22"/>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Times New Roman" w:cs="Times New Roman" w:eastAsia="Times New Roman" w:hAnsi="Times New Roman"/>
          <w:sz w:val="22"/>
          <w:szCs w:val="22"/>
          <w:i w:val="1"/>
          <w:iCs w:val="1"/>
          <w:color w:val="auto"/>
        </w:rPr>
        <w:t>"Cautionary Statement Regarding Forward-Looking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Times New Roman" w:cs="Times New Roman" w:eastAsia="Times New Roman" w:hAnsi="Times New Roman"/>
          <w:sz w:val="22"/>
          <w:szCs w:val="22"/>
          <w:i w:val="1"/>
          <w:iCs w:val="1"/>
          <w:color w:val="auto"/>
        </w:rPr>
        <w:t>"Risk Factors - Risks Related to the Offering - Discretion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 Use of Proceeds"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C$422,000,000 in gross proceeds through private placement and prospectus offerings. The Corporation has experienced operating losses and cash outflows from operations since incorporation and will require ongoing financing to continue its research and development activities.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Negative Cash Flow from Operating Activities".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the Annual Information Form and the Interim MD&amp;A, to which there has been no material changes since the date of the applicable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entered into the Distribution Agreement with the Agents under which the Corporation may issue and sell from time to time Common Shares having an aggregate sale price of up to US$100,000,000 (or the equivalent in Canadian dollars determined using the daily exchange rate posted by the Bank of Canada on the date the Common Shares are sold) in each of the provinces and territories of Canada and in the United States pursuant to placement notices delivered by the Corporation to the Agents from time to time in accordance with the terms of the Distribution Agreement. Sales of Common Shares, if any, will be made in transactions that are deemed to be "at-the-market distributions" as defined in NI 44-102 and an "at-the-market offering" as defined in Rule 415(a)(4) under the U.S. Securities Act, including sales made: (i) in privately negotiated transactions with the Corporation's consent and, if required, the consent of the CBOE Canada and the NYSE American; (ii) as block transactions; (iii) directly on the CBOE Canada by the Canadian Agent, and on NYSE American by the US Agent, or any other recognized marketplace upon which the Common Shares are listed or quoted or where the Common Shares are traded in Canada or the United States; or (iv) by any method permitted by law. Subject to the pricing parameters in a placement notice, the Common Shares will be distributed at the market prices prevailing at the time of the sale. As a result, prices may vary as between purchasers and during the period of distribution. The Corporation cannot predict the number of Common Shares that the Corporation may sell under the Distribution Agreement on the CBOE Canada, NYSE American or any other trading market for the Common Shares in Canada, or if any Common Shares will be sold.</w:t>
      </w:r>
    </w:p>
    <w:p>
      <w:pPr>
        <w:sectPr>
          <w:pgSz w:w="11900" w:h="16838" w:orient="portrait"/>
          <w:cols w:equalWidth="0" w:num="1">
            <w:col w:w="11240"/>
          </w:cols>
          <w:pgMar w:left="320" w:top="112" w:right="339" w:bottom="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1"/>
          <w:szCs w:val="21"/>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153670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jc w:val="both"/>
        <w:spacing w:after="0"/>
        <w:rPr>
          <w:sz w:val="20"/>
          <w:szCs w:val="20"/>
          <w:color w:val="auto"/>
        </w:rPr>
      </w:pPr>
      <w:r>
        <w:rPr>
          <w:rFonts w:ascii="Times New Roman" w:cs="Times New Roman" w:eastAsia="Times New Roman" w:hAnsi="Times New Roman"/>
          <w:sz w:val="22"/>
          <w:szCs w:val="22"/>
          <w:color w:val="auto"/>
        </w:rPr>
        <w:t xml:space="preserve">The Agents are not required to sell any specific number or dollar amount of Common Shares, but will use their commercially reasonable efforts to sell the Common Shares pursuant to the terms and conditions of the Distribution Agreement. </w:t>
      </w:r>
      <w:r>
        <w:rPr>
          <w:rFonts w:ascii="Times New Roman" w:cs="Times New Roman" w:eastAsia="Times New Roman" w:hAnsi="Times New Roman"/>
          <w:sz w:val="22"/>
          <w:szCs w:val="22"/>
          <w:b w:val="1"/>
          <w:bCs w:val="1"/>
          <w:color w:val="auto"/>
        </w:rPr>
        <w:t>There is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minimum amount of funds that must be raised under the Offering. This means that the Offering may terminate after only raising a small portion of the offering amount set out above, or none at all.</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Agents will offer the Common Shares subject to the terms and conditions of the Distribution Agreement from time to time or as otherwise agreed upon by the Corporation and the Agents. Subject to the terms and conditions of the Distribution Agreement, the Agents will use their commercially reasonable efforts to sell, on the Corporation's behalf, all of the Common Shares requested to be sold by the Corporation. The Corporation may instruct the Agents not to sell Common Shares if the sales cannot be achieved at or above the price designated by the Corporation in a particular placement notice.</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the Corporation nor the Agents may suspend the Offering without proper notice to the other party. The Corporation and the Agents each have the right, by giving written notice as specified in the Distribution Agreement, to terminate the Distribution Agreement in each party's sole discretion at any time. Pursuant to the Distribution Agreement, the Offering will terminate upon the earliest of (i) the termination of the Distribution Agreement as provided for therein, (ii) the date on which the aggregate gross proceeds from sales of Common Shares pursuant to the Distribution Agreement equal US$100,000,000 and (iii) September 17, 2025.</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will pay the Agents the Commission for their services in acting as agent in connection with the sale of Common Shares pursuant to the Distribution Agreement in an amount equal to 3% of the gross sale price per Common Share sold (the "</w:t>
      </w:r>
      <w:r>
        <w:rPr>
          <w:rFonts w:ascii="Times New Roman" w:cs="Times New Roman" w:eastAsia="Times New Roman" w:hAnsi="Times New Roman"/>
          <w:sz w:val="21"/>
          <w:szCs w:val="21"/>
          <w:b w:val="1"/>
          <w:bCs w:val="1"/>
          <w:color w:val="auto"/>
        </w:rPr>
        <w:t>Commission</w:t>
      </w:r>
      <w:r>
        <w:rPr>
          <w:rFonts w:ascii="Times New Roman" w:cs="Times New Roman" w:eastAsia="Times New Roman" w:hAnsi="Times New Roman"/>
          <w:sz w:val="21"/>
          <w:szCs w:val="21"/>
          <w:color w:val="auto"/>
        </w:rPr>
        <w:t>"). Provided, however, that the Corporation shall not be obligated to pay the Agents any Commission on any sale of Common Shares that it is not possible to settle due to (i) a suspension or material limitation in trading in securities generally on the CBOE Canada or NYSE American, (ii) a material disruption in securities settlement or clearance services in Canada or the United States, (iii) failure by the applicable Agent to comply with its obligations under the terms of the Distribution Agreement; or (iv) if the Corporation and the Agents agree, pursuant to the terms of the Distribution Agreement, that no sale of Common shares will take place. The sales proceeds remaining after payment of the Commission and after deducting any expenses payable by the Corporation and any transaction or filing fees imposed by any governmental, regulatory, or self-regulatory organization in connection with the sales, will equal the net proceeds to the Corporation from the sale of such Common Shares.</w:t>
      </w:r>
    </w:p>
    <w:p>
      <w:pPr>
        <w:spacing w:after="0" w:line="17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applicable Agent or Agents will provide written confirmation to the Corporation no later than the opening of the trading day immediately following the trading day on which it has made sales of the Common Shares under the Distribution Agreement. Each confirmation will include the number of Common Shares sold on such day (including the number of Common Shares sold on the CBOE Canada and or NYSE American, or on any other marketplace in Canada or the United States), the average price of the Common Shares sold on such day (including the average price of Common Shares sold on CBOE Canada, NYSE American or on any other marketplace in Canada or the United States), the gross proceeds, the Commission payable by the Corporation to the Agents with respect to such sales and the net proceeds payable to the Corporation. The Agents will also assist the Corporation with such other periodic reporting as may be reasonably requested by the Corporation with respect to the sales of Common Shares.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will disclose the number and average price of the Common Shares sold under this Prospectus Supplement, as well as the gross proceeds, Commission and net proceeds from sales hereunder in the Corporation's annual and interim financial statements and related management discussion &amp; analysis, annual information forms and annual reports on Form 40-F, filed on SEDAR+ and filed or furnished, as applicable, with the SEC on EDGAR, for any quarters or annual periods in which sales of Common Shares occur.</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Settlement for sales of Common Shares will occur, unless otherwise specified in an applicable placement notice, on the second trading day on the applicable exchange following the date on which any sales were made in return for payment of the net proceeds to the Corporation. There is no arrangement for funds to be received in an escrow, trust or similar arrangement. Sales of Common Shares in the United States will be settled through the facilities of The Depository Trust Corporation or by such other means as the Corporation and the Agents may agree upon and sales of Common Shares in Canada will be settled through the facilities of The Canadian Depository for Securities or by such other means as the Corporation and the Agents may agree.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The Canadian Agent is not registered as a broker-dealer in the United States and, accordingly, will only sell Common Shares on marketplaces in Canada. The US Agent is not registered as an investment dealer in any Canadian jurisdiction and, accordingly, will only sell Common Shares on marketplaces in the United States.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Offering is being made in Canada under the terms of this Prospectus Supplement and concurrently in the United States under the terms of the Corporation's Registration Statement filed with the SEC of which this Prospectus Supplement forms a part. </w:t>
      </w:r>
      <w:r>
        <w:rPr>
          <w:rFonts w:ascii="Times New Roman" w:cs="Times New Roman" w:eastAsia="Times New Roman" w:hAnsi="Times New Roman"/>
          <w:sz w:val="22"/>
          <w:szCs w:val="22"/>
          <w:b w:val="1"/>
          <w:bCs w:val="1"/>
          <w:color w:val="auto"/>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connection with the sale of the Common Shares on the Corporation's behalf, the Agents may be deemed to be an "underwriter" within the meaning of Section 2(a)(11) of the U.S. Securities Act, and the compensation of the Agents may be deemed to be underwriting commissions or discounts. The Corporation has agreed to provide indemnification and contribution to the Agents against certain liabilities, including liabilities under the U.S. Securities Act.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agreed to pay the reasonable fees, disbursements and expenses of counsel to the Agents in connection with the Offering, subject to the terms of the Distribution Agreement and any other agreement in writing between the Corporation and the Agents. No agent, underwriter or dealer involved in the distribution of Common Shares under the Offering, no affiliate of such an agent, underwriter or dealer and no person or company acting jointly or in concert with such an agent, underwriter or dealer has over-allotted, or will over-allot, securities in connection with such distribution or effected, or will affect any other transactions that are intended to stabilize or maintain the market price of the Common Shares.</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total expenses related to the commencement of the Offering to be paid by the Corporation, excluding the Commission payable to the Agents under the Distribution Agreement, are estimated to be approximately up to US$300,000.</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of the Agents and its affiliates have in the past provided and may in the future provide various investment banking, commercial banking and other financial services for the Corporation and its affiliates, for which services they have received and may in the future receive customary fees. To the extent required by Regulation M, the Agents will not engage in any market making activities involving the Common Shares while the Offering is ongoing under this Prospectus Supplement.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has applied to list the Common Shares offered by this Prospectus Supplement on the CBOE Canada and has submitted a supplemental listing application to NYSE American relating to the listing of the Common Shares to be offered in the Offering. Listing will be subject to the Corporation fulfilling all of the listing requirements of the CBOE Canada and NYSE American.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for trading on the CBOE Canada and the NYSE American under the symbol "CYBN". The following table sets forth the reported monthly range of high and low prices per Common Share and total monthly volumes traded on the CBOE Canada and the NYSE American for each of the months indicated during the 12-month period prior to the date of this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38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CBOE Canada Price Range</w:t>
            </w:r>
          </w:p>
        </w:tc>
        <w:tc>
          <w:tcPr>
            <w:tcW w:w="18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595"/>
        </w:trPr>
        <w:tc>
          <w:tcPr>
            <w:tcW w:w="296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382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b w:val="1"/>
                <w:bCs w:val="1"/>
                <w:color w:val="auto"/>
                <w:vertAlign w:val="superscript"/>
              </w:rPr>
              <w:t>(1)</w:t>
            </w: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b w:val="1"/>
                <w:bCs w:val="1"/>
                <w:color w:val="auto"/>
                <w:vertAlign w:val="superscript"/>
              </w:rPr>
              <w:t>(1)</w:t>
            </w:r>
          </w:p>
        </w:tc>
        <w:tc>
          <w:tcPr>
            <w:tcW w:w="25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93"/>
        </w:trPr>
        <w:tc>
          <w:tcPr>
            <w:tcW w:w="29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580" w:type="dxa"/>
            <w:vAlign w:val="bottom"/>
          </w:tcPr>
          <w:p>
            <w:pPr>
              <w:spacing w:after="0"/>
              <w:rPr>
                <w:sz w:val="8"/>
                <w:szCs w:val="8"/>
                <w:color w:val="auto"/>
              </w:rPr>
            </w:pPr>
          </w:p>
        </w:tc>
      </w:tr>
      <w:tr>
        <w:trPr>
          <w:trHeight w:val="216"/>
        </w:trPr>
        <w:tc>
          <w:tcPr>
            <w:tcW w:w="296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March 2024</w:t>
            </w:r>
          </w:p>
        </w:tc>
        <w:tc>
          <w:tcPr>
            <w:tcW w:w="382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8"/>
              </w:rPr>
              <w:t>27.36</w:t>
            </w:r>
          </w:p>
        </w:tc>
        <w:tc>
          <w:tcPr>
            <w:tcW w:w="1880" w:type="dxa"/>
            <w:vAlign w:val="bottom"/>
            <w:shd w:val="clear" w:color="auto" w:fill="E6EFFF"/>
          </w:tcPr>
          <w:p>
            <w:pPr>
              <w:jc w:val="center"/>
              <w:ind w:right="890"/>
              <w:spacing w:after="0"/>
              <w:rPr>
                <w:sz w:val="20"/>
                <w:szCs w:val="20"/>
                <w:color w:val="auto"/>
              </w:rPr>
            </w:pPr>
            <w:r>
              <w:rPr>
                <w:rFonts w:ascii="Times New Roman" w:cs="Times New Roman" w:eastAsia="Times New Roman" w:hAnsi="Times New Roman"/>
                <w:sz w:val="18"/>
                <w:szCs w:val="18"/>
                <w:color w:val="auto"/>
              </w:rPr>
              <w:t>15.96</w:t>
            </w:r>
          </w:p>
        </w:tc>
        <w:tc>
          <w:tcPr>
            <w:tcW w:w="2580" w:type="dxa"/>
            <w:vAlign w:val="bottom"/>
            <w:shd w:val="clear" w:color="auto" w:fill="E6EFFF"/>
          </w:tcPr>
          <w:p>
            <w:pPr>
              <w:jc w:val="right"/>
              <w:ind w:right="850"/>
              <w:spacing w:after="0"/>
              <w:rPr>
                <w:sz w:val="20"/>
                <w:szCs w:val="20"/>
                <w:color w:val="auto"/>
              </w:rPr>
            </w:pPr>
            <w:r>
              <w:rPr>
                <w:rFonts w:ascii="Times New Roman" w:cs="Times New Roman" w:eastAsia="Times New Roman" w:hAnsi="Times New Roman"/>
                <w:sz w:val="18"/>
                <w:szCs w:val="18"/>
                <w:color w:val="auto"/>
              </w:rPr>
              <w:t>319,631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April 2024</w:t>
            </w:r>
          </w:p>
        </w:tc>
        <w:tc>
          <w:tcPr>
            <w:tcW w:w="38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24.32</w:t>
            </w:r>
          </w:p>
        </w:tc>
        <w:tc>
          <w:tcPr>
            <w:tcW w:w="18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17.10</w:t>
            </w:r>
          </w:p>
        </w:tc>
        <w:tc>
          <w:tcPr>
            <w:tcW w:w="25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202,063</w:t>
            </w:r>
          </w:p>
        </w:tc>
      </w:tr>
      <w:tr>
        <w:trPr>
          <w:trHeight w:val="216"/>
        </w:trPr>
        <w:tc>
          <w:tcPr>
            <w:tcW w:w="296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May 2024</w:t>
            </w:r>
          </w:p>
        </w:tc>
        <w:tc>
          <w:tcPr>
            <w:tcW w:w="382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8"/>
              </w:rPr>
              <w:t>19.76</w:t>
            </w:r>
          </w:p>
        </w:tc>
        <w:tc>
          <w:tcPr>
            <w:tcW w:w="1880" w:type="dxa"/>
            <w:vAlign w:val="bottom"/>
            <w:shd w:val="clear" w:color="auto" w:fill="E6EFFF"/>
          </w:tcPr>
          <w:p>
            <w:pPr>
              <w:jc w:val="center"/>
              <w:ind w:right="890"/>
              <w:spacing w:after="0"/>
              <w:rPr>
                <w:sz w:val="20"/>
                <w:szCs w:val="20"/>
                <w:color w:val="auto"/>
              </w:rPr>
            </w:pPr>
            <w:r>
              <w:rPr>
                <w:rFonts w:ascii="Times New Roman" w:cs="Times New Roman" w:eastAsia="Times New Roman" w:hAnsi="Times New Roman"/>
                <w:sz w:val="18"/>
                <w:szCs w:val="18"/>
                <w:color w:val="auto"/>
              </w:rPr>
              <w:t>16.91</w:t>
            </w:r>
          </w:p>
        </w:tc>
        <w:tc>
          <w:tcPr>
            <w:tcW w:w="2580" w:type="dxa"/>
            <w:vAlign w:val="bottom"/>
            <w:shd w:val="clear" w:color="auto" w:fill="E6EFFF"/>
          </w:tcPr>
          <w:p>
            <w:pPr>
              <w:jc w:val="right"/>
              <w:ind w:right="850"/>
              <w:spacing w:after="0"/>
              <w:rPr>
                <w:sz w:val="20"/>
                <w:szCs w:val="20"/>
                <w:color w:val="auto"/>
              </w:rPr>
            </w:pPr>
            <w:r>
              <w:rPr>
                <w:rFonts w:ascii="Times New Roman" w:cs="Times New Roman" w:eastAsia="Times New Roman" w:hAnsi="Times New Roman"/>
                <w:sz w:val="18"/>
                <w:szCs w:val="18"/>
                <w:color w:val="auto"/>
              </w:rPr>
              <w:t>153,726</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June 2024</w:t>
            </w:r>
          </w:p>
        </w:tc>
        <w:tc>
          <w:tcPr>
            <w:tcW w:w="38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18.62</w:t>
            </w:r>
          </w:p>
        </w:tc>
        <w:tc>
          <w:tcPr>
            <w:tcW w:w="18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3"/>
              </w:rPr>
              <w:t>11.78</w:t>
            </w:r>
          </w:p>
        </w:tc>
        <w:tc>
          <w:tcPr>
            <w:tcW w:w="25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211,021</w:t>
            </w:r>
          </w:p>
        </w:tc>
      </w:tr>
      <w:tr>
        <w:trPr>
          <w:trHeight w:val="216"/>
        </w:trPr>
        <w:tc>
          <w:tcPr>
            <w:tcW w:w="296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July 2024</w:t>
            </w:r>
          </w:p>
        </w:tc>
        <w:tc>
          <w:tcPr>
            <w:tcW w:w="382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8"/>
              </w:rPr>
              <w:t>19.00</w:t>
            </w:r>
          </w:p>
        </w:tc>
        <w:tc>
          <w:tcPr>
            <w:tcW w:w="1880" w:type="dxa"/>
            <w:vAlign w:val="bottom"/>
            <w:shd w:val="clear" w:color="auto" w:fill="E6EFFF"/>
          </w:tcPr>
          <w:p>
            <w:pPr>
              <w:jc w:val="center"/>
              <w:ind w:right="890"/>
              <w:spacing w:after="0"/>
              <w:rPr>
                <w:sz w:val="20"/>
                <w:szCs w:val="20"/>
                <w:color w:val="auto"/>
              </w:rPr>
            </w:pPr>
            <w:r>
              <w:rPr>
                <w:rFonts w:ascii="Times New Roman" w:cs="Times New Roman" w:eastAsia="Times New Roman" w:hAnsi="Times New Roman"/>
                <w:sz w:val="18"/>
                <w:szCs w:val="18"/>
                <w:color w:val="auto"/>
              </w:rPr>
              <w:t>12.73</w:t>
            </w:r>
          </w:p>
        </w:tc>
        <w:tc>
          <w:tcPr>
            <w:tcW w:w="2580" w:type="dxa"/>
            <w:vAlign w:val="bottom"/>
            <w:shd w:val="clear" w:color="auto" w:fill="E6EFFF"/>
          </w:tcPr>
          <w:p>
            <w:pPr>
              <w:jc w:val="right"/>
              <w:ind w:right="850"/>
              <w:spacing w:after="0"/>
              <w:rPr>
                <w:sz w:val="20"/>
                <w:szCs w:val="20"/>
                <w:color w:val="auto"/>
              </w:rPr>
            </w:pPr>
            <w:r>
              <w:rPr>
                <w:rFonts w:ascii="Times New Roman" w:cs="Times New Roman" w:eastAsia="Times New Roman" w:hAnsi="Times New Roman"/>
                <w:sz w:val="18"/>
                <w:szCs w:val="18"/>
                <w:color w:val="auto"/>
              </w:rPr>
              <w:t>199,837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August 2024</w:t>
            </w:r>
          </w:p>
        </w:tc>
        <w:tc>
          <w:tcPr>
            <w:tcW w:w="38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15.20</w:t>
            </w:r>
          </w:p>
        </w:tc>
        <w:tc>
          <w:tcPr>
            <w:tcW w:w="18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3"/>
              </w:rPr>
              <w:t>11.59</w:t>
            </w:r>
          </w:p>
        </w:tc>
        <w:tc>
          <w:tcPr>
            <w:tcW w:w="25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127,224</w:t>
            </w:r>
          </w:p>
        </w:tc>
      </w:tr>
      <w:tr>
        <w:trPr>
          <w:trHeight w:val="216"/>
        </w:trPr>
        <w:tc>
          <w:tcPr>
            <w:tcW w:w="296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3820" w:type="dxa"/>
            <w:vAlign w:val="bottom"/>
            <w:shd w:val="clear" w:color="auto" w:fill="E6EFFF"/>
          </w:tcPr>
          <w:p>
            <w:pPr>
              <w:jc w:val="center"/>
              <w:ind w:right="630"/>
              <w:spacing w:after="0"/>
              <w:rPr>
                <w:sz w:val="20"/>
                <w:szCs w:val="20"/>
                <w:color w:val="auto"/>
              </w:rPr>
            </w:pPr>
            <w:r>
              <w:rPr>
                <w:rFonts w:ascii="Times New Roman" w:cs="Times New Roman" w:eastAsia="Times New Roman" w:hAnsi="Times New Roman"/>
                <w:sz w:val="18"/>
                <w:szCs w:val="18"/>
                <w:color w:val="auto"/>
              </w:rPr>
              <w:t>14.430</w:t>
            </w:r>
          </w:p>
        </w:tc>
        <w:tc>
          <w:tcPr>
            <w:tcW w:w="1880" w:type="dxa"/>
            <w:vAlign w:val="bottom"/>
            <w:shd w:val="clear" w:color="auto" w:fill="E6EFFF"/>
          </w:tcPr>
          <w:p>
            <w:pPr>
              <w:jc w:val="center"/>
              <w:ind w:right="890"/>
              <w:spacing w:after="0"/>
              <w:rPr>
                <w:sz w:val="20"/>
                <w:szCs w:val="20"/>
                <w:color w:val="auto"/>
              </w:rPr>
            </w:pPr>
            <w:r>
              <w:rPr>
                <w:rFonts w:ascii="Times New Roman" w:cs="Times New Roman" w:eastAsia="Times New Roman" w:hAnsi="Times New Roman"/>
                <w:sz w:val="18"/>
                <w:szCs w:val="18"/>
                <w:color w:val="auto"/>
                <w:w w:val="95"/>
              </w:rPr>
              <w:t>9.50</w:t>
            </w:r>
          </w:p>
        </w:tc>
        <w:tc>
          <w:tcPr>
            <w:tcW w:w="2580" w:type="dxa"/>
            <w:vAlign w:val="bottom"/>
            <w:shd w:val="clear" w:color="auto" w:fill="E6EFFF"/>
          </w:tcPr>
          <w:p>
            <w:pPr>
              <w:jc w:val="right"/>
              <w:ind w:right="850"/>
              <w:spacing w:after="0"/>
              <w:rPr>
                <w:sz w:val="20"/>
                <w:szCs w:val="20"/>
                <w:color w:val="auto"/>
              </w:rPr>
            </w:pPr>
            <w:r>
              <w:rPr>
                <w:rFonts w:ascii="Times New Roman" w:cs="Times New Roman" w:eastAsia="Times New Roman" w:hAnsi="Times New Roman"/>
                <w:sz w:val="18"/>
                <w:szCs w:val="18"/>
                <w:color w:val="auto"/>
              </w:rPr>
              <w:t>601,212</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38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15.95</w:t>
            </w:r>
          </w:p>
        </w:tc>
        <w:tc>
          <w:tcPr>
            <w:tcW w:w="18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3"/>
              </w:rPr>
              <w:t>11.70</w:t>
            </w:r>
          </w:p>
        </w:tc>
        <w:tc>
          <w:tcPr>
            <w:tcW w:w="25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210,291</w:t>
            </w:r>
          </w:p>
        </w:tc>
      </w:tr>
      <w:tr>
        <w:trPr>
          <w:trHeight w:val="216"/>
        </w:trPr>
        <w:tc>
          <w:tcPr>
            <w:tcW w:w="296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382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8"/>
              </w:rPr>
              <w:t>19.46</w:t>
            </w:r>
          </w:p>
        </w:tc>
        <w:tc>
          <w:tcPr>
            <w:tcW w:w="1880" w:type="dxa"/>
            <w:vAlign w:val="bottom"/>
            <w:shd w:val="clear" w:color="auto" w:fill="E6EFFF"/>
          </w:tcPr>
          <w:p>
            <w:pPr>
              <w:jc w:val="center"/>
              <w:ind w:right="890"/>
              <w:spacing w:after="0"/>
              <w:rPr>
                <w:sz w:val="20"/>
                <w:szCs w:val="20"/>
                <w:color w:val="auto"/>
              </w:rPr>
            </w:pPr>
            <w:r>
              <w:rPr>
                <w:rFonts w:ascii="Times New Roman" w:cs="Times New Roman" w:eastAsia="Times New Roman" w:hAnsi="Times New Roman"/>
                <w:sz w:val="18"/>
                <w:szCs w:val="18"/>
                <w:color w:val="auto"/>
              </w:rPr>
              <w:t>13.85</w:t>
            </w:r>
          </w:p>
        </w:tc>
        <w:tc>
          <w:tcPr>
            <w:tcW w:w="2580" w:type="dxa"/>
            <w:vAlign w:val="bottom"/>
            <w:shd w:val="clear" w:color="auto" w:fill="E6EFFF"/>
          </w:tcPr>
          <w:p>
            <w:pPr>
              <w:jc w:val="right"/>
              <w:ind w:right="850"/>
              <w:spacing w:after="0"/>
              <w:rPr>
                <w:sz w:val="20"/>
                <w:szCs w:val="20"/>
                <w:color w:val="auto"/>
              </w:rPr>
            </w:pPr>
            <w:r>
              <w:rPr>
                <w:rFonts w:ascii="Times New Roman" w:cs="Times New Roman" w:eastAsia="Times New Roman" w:hAnsi="Times New Roman"/>
                <w:sz w:val="18"/>
                <w:szCs w:val="18"/>
                <w:color w:val="auto"/>
              </w:rPr>
              <w:t>611,576</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38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15.5</w:t>
            </w:r>
          </w:p>
        </w:tc>
        <w:tc>
          <w:tcPr>
            <w:tcW w:w="18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12.55</w:t>
            </w:r>
          </w:p>
        </w:tc>
        <w:tc>
          <w:tcPr>
            <w:tcW w:w="25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248,590</w:t>
            </w:r>
          </w:p>
        </w:tc>
      </w:tr>
      <w:tr>
        <w:trPr>
          <w:trHeight w:val="216"/>
        </w:trPr>
        <w:tc>
          <w:tcPr>
            <w:tcW w:w="296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3820" w:type="dxa"/>
            <w:vAlign w:val="bottom"/>
            <w:shd w:val="clear" w:color="auto" w:fill="E6EFFF"/>
          </w:tcPr>
          <w:p>
            <w:pPr>
              <w:jc w:val="center"/>
              <w:ind w:right="610"/>
              <w:spacing w:after="0"/>
              <w:rPr>
                <w:sz w:val="20"/>
                <w:szCs w:val="20"/>
                <w:color w:val="auto"/>
              </w:rPr>
            </w:pPr>
            <w:r>
              <w:rPr>
                <w:rFonts w:ascii="Times New Roman" w:cs="Times New Roman" w:eastAsia="Times New Roman" w:hAnsi="Times New Roman"/>
                <w:sz w:val="18"/>
                <w:szCs w:val="18"/>
                <w:color w:val="auto"/>
                <w:w w:val="98"/>
              </w:rPr>
              <w:t>15.55</w:t>
            </w:r>
          </w:p>
        </w:tc>
        <w:tc>
          <w:tcPr>
            <w:tcW w:w="1880" w:type="dxa"/>
            <w:vAlign w:val="bottom"/>
            <w:shd w:val="clear" w:color="auto" w:fill="E6EFFF"/>
          </w:tcPr>
          <w:p>
            <w:pPr>
              <w:jc w:val="center"/>
              <w:ind w:right="890"/>
              <w:spacing w:after="0"/>
              <w:rPr>
                <w:sz w:val="20"/>
                <w:szCs w:val="20"/>
                <w:color w:val="auto"/>
              </w:rPr>
            </w:pPr>
            <w:r>
              <w:rPr>
                <w:rFonts w:ascii="Times New Roman" w:cs="Times New Roman" w:eastAsia="Times New Roman" w:hAnsi="Times New Roman"/>
                <w:sz w:val="18"/>
                <w:szCs w:val="18"/>
                <w:color w:val="auto"/>
              </w:rPr>
              <w:t>12.55</w:t>
            </w:r>
          </w:p>
        </w:tc>
        <w:tc>
          <w:tcPr>
            <w:tcW w:w="2580" w:type="dxa"/>
            <w:vAlign w:val="bottom"/>
            <w:shd w:val="clear" w:color="auto" w:fill="E6EFFF"/>
          </w:tcPr>
          <w:p>
            <w:pPr>
              <w:jc w:val="right"/>
              <w:ind w:right="850"/>
              <w:spacing w:after="0"/>
              <w:rPr>
                <w:sz w:val="20"/>
                <w:szCs w:val="20"/>
                <w:color w:val="auto"/>
              </w:rPr>
            </w:pPr>
            <w:r>
              <w:rPr>
                <w:rFonts w:ascii="Times New Roman" w:cs="Times New Roman" w:eastAsia="Times New Roman" w:hAnsi="Times New Roman"/>
                <w:sz w:val="18"/>
                <w:szCs w:val="18"/>
                <w:color w:val="auto"/>
              </w:rPr>
              <w:t>185,068</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February (1-7) 2025</w:t>
            </w:r>
          </w:p>
        </w:tc>
        <w:tc>
          <w:tcPr>
            <w:tcW w:w="38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15.27</w:t>
            </w:r>
          </w:p>
        </w:tc>
        <w:tc>
          <w:tcPr>
            <w:tcW w:w="188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13.25</w:t>
            </w:r>
          </w:p>
        </w:tc>
        <w:tc>
          <w:tcPr>
            <w:tcW w:w="25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100,908</w:t>
            </w: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660" w:hanging="269"/>
        <w:spacing w:after="0" w:line="258" w:lineRule="auto"/>
        <w:tabs>
          <w:tab w:leader="none" w:pos="7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CBOE Canada as of the date of this Prospectus Supplement. All figures related to securities are represented on a post-Consolidation basis.</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February 7, 2025, being the last day on which the Common Shares traded prior to the date of this Prospectus Supplement, the closing price of the Common Shares as reported on the CBOE Canada was $13.51.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NYSE American Price Range</w:t>
            </w:r>
          </w:p>
        </w:tc>
        <w:tc>
          <w:tcPr>
            <w:tcW w:w="2460" w:type="dxa"/>
            <w:vAlign w:val="bottom"/>
          </w:tcPr>
          <w:p>
            <w:pPr>
              <w:spacing w:after="0"/>
              <w:rPr>
                <w:sz w:val="20"/>
                <w:szCs w:val="20"/>
                <w:color w:val="auto"/>
              </w:rPr>
            </w:pPr>
          </w:p>
        </w:tc>
      </w:tr>
      <w:tr>
        <w:trPr>
          <w:trHeight w:val="472"/>
        </w:trPr>
        <w:tc>
          <w:tcPr>
            <w:tcW w:w="336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7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09"/>
        </w:trPr>
        <w:tc>
          <w:tcPr>
            <w:tcW w:w="29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336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March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19.8512</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11.7078</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4,766,203</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17.8562</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12.8136</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2,316,709</w:t>
            </w:r>
          </w:p>
        </w:tc>
      </w:tr>
      <w:tr>
        <w:trPr>
          <w:trHeight w:val="216"/>
        </w:trPr>
        <w:tc>
          <w:tcPr>
            <w:tcW w:w="336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May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14.44</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12.5514</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1,445,190</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13.30</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9.405</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3,135,767</w:t>
            </w:r>
          </w:p>
        </w:tc>
      </w:tr>
      <w:tr>
        <w:trPr>
          <w:trHeight w:val="216"/>
        </w:trPr>
        <w:tc>
          <w:tcPr>
            <w:tcW w:w="336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July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12.768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9.405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2,657,895</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10.716</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8.7381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3,478,597</w:t>
            </w:r>
          </w:p>
        </w:tc>
      </w:tr>
      <w:tr>
        <w:trPr>
          <w:trHeight w:val="216"/>
        </w:trPr>
        <w:tc>
          <w:tcPr>
            <w:tcW w:w="336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10.628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6.50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5,478,558</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11.6597</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8.2852</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3,140,648</w:t>
            </w:r>
          </w:p>
        </w:tc>
      </w:tr>
      <w:tr>
        <w:trPr>
          <w:trHeight w:val="216"/>
        </w:trPr>
        <w:tc>
          <w:tcPr>
            <w:tcW w:w="336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13.88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9.1612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12,981,742</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8.386</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4,976,111</w:t>
            </w:r>
          </w:p>
        </w:tc>
      </w:tr>
      <w:tr>
        <w:trPr>
          <w:trHeight w:val="216"/>
        </w:trPr>
        <w:tc>
          <w:tcPr>
            <w:tcW w:w="336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8.625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3,926,388</w:t>
            </w: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(1-7)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10.7199</w:t>
            </w:r>
          </w:p>
        </w:tc>
        <w:tc>
          <w:tcPr>
            <w:tcW w:w="38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8.90</w:t>
            </w:r>
          </w:p>
        </w:tc>
        <w:tc>
          <w:tcPr>
            <w:tcW w:w="38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2,792,404</w:t>
            </w: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660" w:hanging="269"/>
        <w:spacing w:after="0" w:line="258" w:lineRule="auto"/>
        <w:tabs>
          <w:tab w:leader="none" w:pos="7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NYSE American as of the date of this Prospectus Supplement. All figures related to securities are represented on a post-Consolidation basis.</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February 7, 2025, being the last day on which the Common Shares traded prior to the date of this Prospectus Supplement, the closing price of the Common Shares as reported on the NYSE American was US$9.00.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 Exercise</w:t>
            </w:r>
          </w:p>
        </w:tc>
      </w:tr>
      <w:tr>
        <w:trPr>
          <w:trHeight w:val="220"/>
        </w:trPr>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Security</w:t>
            </w:r>
          </w:p>
        </w:tc>
      </w:tr>
      <w:tr>
        <w:trPr>
          <w:trHeight w:val="275"/>
        </w:trPr>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Date of Issuance</w:t>
            </w:r>
          </w:p>
        </w:tc>
        <w:tc>
          <w:tcPr>
            <w:tcW w:w="258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(4)</w:t>
            </w:r>
          </w:p>
        </w:tc>
        <w:tc>
          <w:tcPr>
            <w:tcW w:w="25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360" w:type="dxa"/>
            <w:vAlign w:val="bottom"/>
          </w:tcPr>
          <w:p>
            <w:pPr>
              <w:jc w:val="center"/>
              <w:spacing w:after="0" w:line="275" w:lineRule="exact"/>
              <w:rPr>
                <w:sz w:val="20"/>
                <w:szCs w:val="20"/>
                <w:color w:val="auto"/>
              </w:rPr>
            </w:pPr>
            <w:r>
              <w:rPr>
                <w:rFonts w:ascii="Times New Roman" w:cs="Times New Roman" w:eastAsia="Times New Roman" w:hAnsi="Times New Roman"/>
                <w:sz w:val="31"/>
                <w:szCs w:val="31"/>
                <w:b w:val="1"/>
                <w:bCs w:val="1"/>
                <w:color w:val="auto"/>
                <w:w w:val="94"/>
                <w:vertAlign w:val="subscript"/>
              </w:rPr>
              <w:t>(CAD)</w:t>
            </w:r>
            <w:r>
              <w:rPr>
                <w:rFonts w:ascii="Times New Roman" w:cs="Times New Roman" w:eastAsia="Times New Roman" w:hAnsi="Times New Roman"/>
                <w:sz w:val="14"/>
                <w:szCs w:val="14"/>
                <w:b w:val="1"/>
                <w:bCs w:val="1"/>
                <w:color w:val="auto"/>
                <w:w w:val="94"/>
              </w:rPr>
              <w:t>(1)(4)</w:t>
            </w:r>
          </w:p>
        </w:tc>
      </w:tr>
      <w:tr>
        <w:trPr>
          <w:trHeight w:val="250"/>
        </w:trPr>
        <w:tc>
          <w:tcPr>
            <w:tcW w:w="2380" w:type="dxa"/>
            <w:vAlign w:val="bottom"/>
            <w:tcBorders>
              <w:top w:val="single" w:sz="8" w:color="auto"/>
            </w:tcBorders>
            <w:shd w:val="clear" w:color="auto" w:fill="E6EFFF"/>
          </w:tcPr>
          <w:p>
            <w:pPr>
              <w:jc w:val="center"/>
              <w:ind w:right="10"/>
              <w:spacing w:after="0" w:line="250" w:lineRule="exact"/>
              <w:rPr>
                <w:sz w:val="20"/>
                <w:szCs w:val="20"/>
                <w:color w:val="auto"/>
              </w:rPr>
            </w:pPr>
            <w:r>
              <w:rPr>
                <w:rFonts w:ascii="Times New Roman" w:cs="Times New Roman" w:eastAsia="Times New Roman" w:hAnsi="Times New Roman"/>
                <w:sz w:val="17"/>
                <w:szCs w:val="17"/>
                <w:color w:val="auto"/>
              </w:rPr>
              <w:t>January 3, 2024</w:t>
            </w:r>
            <w:r>
              <w:rPr>
                <w:rFonts w:ascii="Times New Roman" w:cs="Times New Roman" w:eastAsia="Times New Roman" w:hAnsi="Times New Roman"/>
                <w:sz w:val="28"/>
                <w:szCs w:val="28"/>
                <w:color w:val="auto"/>
                <w:vertAlign w:val="superscript"/>
              </w:rPr>
              <w:t>(2)</w:t>
            </w:r>
          </w:p>
        </w:tc>
        <w:tc>
          <w:tcPr>
            <w:tcW w:w="200" w:type="dxa"/>
            <w:vAlign w:val="bottom"/>
            <w:tcBorders>
              <w:top w:val="single" w:sz="8" w:color="E6EFFF"/>
            </w:tcBorders>
            <w:shd w:val="clear" w:color="auto" w:fill="E6EFFF"/>
          </w:tcPr>
          <w:p>
            <w:pPr>
              <w:spacing w:after="0"/>
              <w:rPr>
                <w:sz w:val="21"/>
                <w:szCs w:val="21"/>
                <w:color w:val="auto"/>
              </w:rPr>
            </w:pPr>
          </w:p>
        </w:tc>
        <w:tc>
          <w:tcPr>
            <w:tcW w:w="236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130,120</w:t>
            </w:r>
          </w:p>
        </w:tc>
        <w:tc>
          <w:tcPr>
            <w:tcW w:w="220" w:type="dxa"/>
            <w:vAlign w:val="bottom"/>
            <w:tcBorders>
              <w:top w:val="single" w:sz="8" w:color="E6EFFF"/>
            </w:tcBorders>
            <w:shd w:val="clear" w:color="auto" w:fill="E6EFFF"/>
          </w:tcPr>
          <w:p>
            <w:pPr>
              <w:spacing w:after="0"/>
              <w:rPr>
                <w:sz w:val="21"/>
                <w:szCs w:val="21"/>
                <w:color w:val="auto"/>
              </w:rPr>
            </w:pPr>
          </w:p>
        </w:tc>
        <w:tc>
          <w:tcPr>
            <w:tcW w:w="236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c>
          <w:tcPr>
            <w:tcW w:w="220" w:type="dxa"/>
            <w:vAlign w:val="bottom"/>
            <w:tcBorders>
              <w:top w:val="single" w:sz="8" w:color="E6EFFF"/>
            </w:tcBorders>
            <w:shd w:val="clear" w:color="auto" w:fill="E6EFFF"/>
          </w:tcPr>
          <w:p>
            <w:pPr>
              <w:spacing w:after="0"/>
              <w:rPr>
                <w:sz w:val="21"/>
                <w:szCs w:val="21"/>
                <w:color w:val="auto"/>
              </w:rPr>
            </w:pPr>
          </w:p>
        </w:tc>
        <w:tc>
          <w:tcPr>
            <w:tcW w:w="236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$19.76</w:t>
            </w:r>
          </w:p>
        </w:tc>
      </w:tr>
      <w:tr>
        <w:trPr>
          <w:trHeight w:val="257"/>
        </w:trPr>
        <w:tc>
          <w:tcPr>
            <w:tcW w:w="2580" w:type="dxa"/>
            <w:vAlign w:val="bottom"/>
            <w:gridSpan w:val="2"/>
          </w:tcPr>
          <w:p>
            <w:pPr>
              <w:jc w:val="center"/>
              <w:ind w:right="300"/>
              <w:spacing w:after="0" w:line="256" w:lineRule="exact"/>
              <w:rPr>
                <w:sz w:val="20"/>
                <w:szCs w:val="20"/>
                <w:color w:val="auto"/>
              </w:rPr>
            </w:pPr>
            <w:r>
              <w:rPr>
                <w:rFonts w:ascii="Times New Roman" w:cs="Times New Roman" w:eastAsia="Times New Roman" w:hAnsi="Times New Roman"/>
                <w:sz w:val="18"/>
                <w:szCs w:val="18"/>
                <w:color w:val="auto"/>
                <w:w w:val="96"/>
              </w:rPr>
              <w:t>March 19, 2024</w:t>
            </w:r>
            <w:r>
              <w:rPr>
                <w:rFonts w:ascii="Times New Roman" w:cs="Times New Roman" w:eastAsia="Times New Roman" w:hAnsi="Times New Roman"/>
                <w:sz w:val="29"/>
                <w:szCs w:val="29"/>
                <w:color w:val="auto"/>
                <w:w w:val="96"/>
                <w:vertAlign w:val="superscript"/>
              </w:rPr>
              <w:t>(3)</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9,179,927</w:t>
            </w:r>
          </w:p>
        </w:tc>
        <w:tc>
          <w:tcPr>
            <w:tcW w:w="22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$22.14</w:t>
            </w:r>
          </w:p>
        </w:tc>
      </w:tr>
      <w:tr>
        <w:trPr>
          <w:trHeight w:val="216"/>
        </w:trPr>
        <w:tc>
          <w:tcPr>
            <w:tcW w:w="2580" w:type="dxa"/>
            <w:vAlign w:val="bottom"/>
            <w:gridSpan w:val="2"/>
            <w:shd w:val="clear" w:color="auto" w:fill="E6EF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20, 2024</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E6EFFF"/>
          </w:tcPr>
          <w:p>
            <w:pPr>
              <w:spacing w:after="0"/>
              <w:rPr>
                <w:sz w:val="18"/>
                <w:szCs w:val="18"/>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2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April 5, 2024</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308,294</w:t>
            </w:r>
          </w:p>
        </w:tc>
        <w:tc>
          <w:tcPr>
            <w:tcW w:w="220" w:type="dxa"/>
            <w:vAlign w:val="bottom"/>
          </w:tcPr>
          <w:p>
            <w:pPr>
              <w:spacing w:after="0"/>
              <w:rPr>
                <w:sz w:val="18"/>
                <w:szCs w:val="18"/>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$21.28</w:t>
            </w:r>
          </w:p>
        </w:tc>
      </w:tr>
      <w:tr>
        <w:trPr>
          <w:trHeight w:val="216"/>
        </w:trPr>
        <w:tc>
          <w:tcPr>
            <w:tcW w:w="2580" w:type="dxa"/>
            <w:vAlign w:val="bottom"/>
            <w:gridSpan w:val="2"/>
            <w:shd w:val="clear" w:color="auto" w:fill="E6EF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August 15, 2024</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3,061,233</w:t>
            </w:r>
          </w:p>
        </w:tc>
        <w:tc>
          <w:tcPr>
            <w:tcW w:w="220" w:type="dxa"/>
            <w:vAlign w:val="bottom"/>
            <w:shd w:val="clear" w:color="auto" w:fill="E6EFFF"/>
          </w:tcPr>
          <w:p>
            <w:pPr>
              <w:spacing w:after="0"/>
              <w:rPr>
                <w:sz w:val="18"/>
                <w:szCs w:val="18"/>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November 27, 2024</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80,100</w:t>
            </w:r>
          </w:p>
        </w:tc>
        <w:tc>
          <w:tcPr>
            <w:tcW w:w="220" w:type="dxa"/>
            <w:vAlign w:val="bottom"/>
          </w:tcPr>
          <w:p>
            <w:pPr>
              <w:spacing w:after="0"/>
              <w:rPr>
                <w:sz w:val="18"/>
                <w:szCs w:val="18"/>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$14.37</w:t>
            </w:r>
          </w:p>
        </w:tc>
      </w:tr>
      <w:tr>
        <w:trPr>
          <w:trHeight w:val="257"/>
        </w:trPr>
        <w:tc>
          <w:tcPr>
            <w:tcW w:w="2580" w:type="dxa"/>
            <w:vAlign w:val="bottom"/>
            <w:gridSpan w:val="2"/>
            <w:shd w:val="clear" w:color="auto" w:fill="E6EFFF"/>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January 21, 2025</w:t>
            </w:r>
            <w:r>
              <w:rPr>
                <w:rFonts w:ascii="Times New Roman" w:cs="Times New Roman" w:eastAsia="Times New Roman" w:hAnsi="Times New Roman"/>
                <w:sz w:val="29"/>
                <w:szCs w:val="29"/>
                <w:color w:val="auto"/>
                <w:w w:val="97"/>
                <w:vertAlign w:val="superscript"/>
              </w:rPr>
              <w:t>(5)</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17,100</w:t>
            </w:r>
          </w:p>
        </w:tc>
        <w:tc>
          <w:tcPr>
            <w:tcW w:w="22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$12.37</w:t>
            </w:r>
          </w:p>
        </w:tc>
      </w:tr>
      <w:tr>
        <w:trPr>
          <w:trHeight w:val="257"/>
        </w:trPr>
        <w:tc>
          <w:tcPr>
            <w:tcW w:w="258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January 22, 2025</w:t>
            </w:r>
            <w:r>
              <w:rPr>
                <w:rFonts w:ascii="Times New Roman" w:cs="Times New Roman" w:eastAsia="Times New Roman" w:hAnsi="Times New Roman"/>
                <w:sz w:val="29"/>
                <w:szCs w:val="29"/>
                <w:color w:val="auto"/>
                <w:w w:val="97"/>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50,000</w:t>
            </w:r>
          </w:p>
        </w:tc>
        <w:tc>
          <w:tcPr>
            <w:tcW w:w="22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$12.74</w:t>
            </w:r>
          </w:p>
        </w:tc>
      </w:tr>
      <w:tr>
        <w:trPr>
          <w:trHeight w:val="257"/>
        </w:trPr>
        <w:tc>
          <w:tcPr>
            <w:tcW w:w="2580" w:type="dxa"/>
            <w:vAlign w:val="bottom"/>
            <w:gridSpan w:val="2"/>
            <w:shd w:val="clear" w:color="auto" w:fill="E6EFFF"/>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January 23, 2025</w:t>
            </w:r>
            <w:r>
              <w:rPr>
                <w:rFonts w:ascii="Times New Roman" w:cs="Times New Roman" w:eastAsia="Times New Roman" w:hAnsi="Times New Roman"/>
                <w:sz w:val="29"/>
                <w:szCs w:val="29"/>
                <w:color w:val="auto"/>
                <w:w w:val="97"/>
                <w:vertAlign w:val="superscript"/>
              </w:rPr>
              <w:t>(5)</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22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$12.98</w:t>
            </w:r>
          </w:p>
        </w:tc>
      </w:tr>
      <w:tr>
        <w:trPr>
          <w:trHeight w:val="256"/>
        </w:trPr>
        <w:tc>
          <w:tcPr>
            <w:tcW w:w="258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January 24, 2025</w:t>
            </w:r>
            <w:r>
              <w:rPr>
                <w:rFonts w:ascii="Times New Roman" w:cs="Times New Roman" w:eastAsia="Times New Roman" w:hAnsi="Times New Roman"/>
                <w:sz w:val="29"/>
                <w:szCs w:val="29"/>
                <w:color w:val="auto"/>
                <w:w w:val="97"/>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34,000</w:t>
            </w:r>
          </w:p>
        </w:tc>
        <w:tc>
          <w:tcPr>
            <w:tcW w:w="22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$13.74</w:t>
            </w:r>
          </w:p>
        </w:tc>
      </w:tr>
      <w:tr>
        <w:trPr>
          <w:trHeight w:val="257"/>
        </w:trPr>
        <w:tc>
          <w:tcPr>
            <w:tcW w:w="2580" w:type="dxa"/>
            <w:vAlign w:val="bottom"/>
            <w:gridSpan w:val="2"/>
            <w:shd w:val="clear" w:color="auto" w:fill="E6EFFF"/>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January 27, 2025</w:t>
            </w:r>
            <w:r>
              <w:rPr>
                <w:rFonts w:ascii="Times New Roman" w:cs="Times New Roman" w:eastAsia="Times New Roman" w:hAnsi="Times New Roman"/>
                <w:sz w:val="29"/>
                <w:szCs w:val="29"/>
                <w:color w:val="auto"/>
                <w:w w:val="97"/>
                <w:vertAlign w:val="superscript"/>
              </w:rPr>
              <w:t>(5)</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15,082</w:t>
            </w:r>
          </w:p>
        </w:tc>
        <w:tc>
          <w:tcPr>
            <w:tcW w:w="22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$13.79</w:t>
            </w:r>
          </w:p>
        </w:tc>
      </w:tr>
      <w:tr>
        <w:trPr>
          <w:trHeight w:val="257"/>
        </w:trPr>
        <w:tc>
          <w:tcPr>
            <w:tcW w:w="258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January 29, 2025</w:t>
            </w:r>
            <w:r>
              <w:rPr>
                <w:rFonts w:ascii="Times New Roman" w:cs="Times New Roman" w:eastAsia="Times New Roman" w:hAnsi="Times New Roman"/>
                <w:sz w:val="29"/>
                <w:szCs w:val="29"/>
                <w:color w:val="auto"/>
                <w:w w:val="97"/>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31,738</w:t>
            </w:r>
          </w:p>
        </w:tc>
        <w:tc>
          <w:tcPr>
            <w:tcW w:w="22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$13.13</w:t>
            </w:r>
          </w:p>
        </w:tc>
      </w:tr>
      <w:tr>
        <w:trPr>
          <w:trHeight w:val="257"/>
        </w:trPr>
        <w:tc>
          <w:tcPr>
            <w:tcW w:w="2580" w:type="dxa"/>
            <w:vAlign w:val="bottom"/>
            <w:gridSpan w:val="2"/>
            <w:shd w:val="clear" w:color="auto" w:fill="E6EFFF"/>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January 30, 2025</w:t>
            </w:r>
            <w:r>
              <w:rPr>
                <w:rFonts w:ascii="Times New Roman" w:cs="Times New Roman" w:eastAsia="Times New Roman" w:hAnsi="Times New Roman"/>
                <w:sz w:val="29"/>
                <w:szCs w:val="29"/>
                <w:color w:val="auto"/>
                <w:w w:val="97"/>
                <w:vertAlign w:val="superscript"/>
              </w:rPr>
              <w:t>(5)</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32,000</w:t>
            </w:r>
          </w:p>
        </w:tc>
        <w:tc>
          <w:tcPr>
            <w:tcW w:w="22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$13.33</w:t>
            </w:r>
          </w:p>
        </w:tc>
      </w:tr>
      <w:tr>
        <w:trPr>
          <w:trHeight w:val="257"/>
        </w:trPr>
        <w:tc>
          <w:tcPr>
            <w:tcW w:w="258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January 31, 2025</w:t>
            </w:r>
            <w:r>
              <w:rPr>
                <w:rFonts w:ascii="Times New Roman" w:cs="Times New Roman" w:eastAsia="Times New Roman" w:hAnsi="Times New Roman"/>
                <w:sz w:val="29"/>
                <w:szCs w:val="29"/>
                <w:color w:val="auto"/>
                <w:w w:val="97"/>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49,496</w:t>
            </w:r>
          </w:p>
        </w:tc>
        <w:tc>
          <w:tcPr>
            <w:tcW w:w="22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$13.44</w:t>
            </w:r>
          </w:p>
        </w:tc>
      </w:tr>
      <w:tr>
        <w:trPr>
          <w:trHeight w:val="256"/>
        </w:trPr>
        <w:tc>
          <w:tcPr>
            <w:tcW w:w="2580" w:type="dxa"/>
            <w:vAlign w:val="bottom"/>
            <w:gridSpan w:val="2"/>
            <w:shd w:val="clear" w:color="auto" w:fill="E6EFFF"/>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February 3, 2025</w:t>
            </w:r>
            <w:r>
              <w:rPr>
                <w:rFonts w:ascii="Times New Roman" w:cs="Times New Roman" w:eastAsia="Times New Roman" w:hAnsi="Times New Roman"/>
                <w:sz w:val="29"/>
                <w:szCs w:val="29"/>
                <w:color w:val="auto"/>
                <w:w w:val="97"/>
                <w:vertAlign w:val="superscript"/>
              </w:rPr>
              <w:t>(5)</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25,500</w:t>
            </w:r>
          </w:p>
        </w:tc>
        <w:tc>
          <w:tcPr>
            <w:tcW w:w="22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$13.38</w:t>
            </w:r>
          </w:p>
        </w:tc>
      </w:tr>
      <w:tr>
        <w:trPr>
          <w:trHeight w:val="257"/>
        </w:trPr>
        <w:tc>
          <w:tcPr>
            <w:tcW w:w="258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February 4, 2025</w:t>
            </w:r>
            <w:r>
              <w:rPr>
                <w:rFonts w:ascii="Times New Roman" w:cs="Times New Roman" w:eastAsia="Times New Roman" w:hAnsi="Times New Roman"/>
                <w:sz w:val="29"/>
                <w:szCs w:val="29"/>
                <w:color w:val="auto"/>
                <w:w w:val="97"/>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326,800</w:t>
            </w:r>
          </w:p>
        </w:tc>
        <w:tc>
          <w:tcPr>
            <w:tcW w:w="22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w:t>
            </w:r>
          </w:p>
        </w:tc>
      </w:tr>
      <w:tr>
        <w:trPr>
          <w:trHeight w:val="257"/>
        </w:trPr>
        <w:tc>
          <w:tcPr>
            <w:tcW w:w="2580" w:type="dxa"/>
            <w:vAlign w:val="bottom"/>
            <w:gridSpan w:val="2"/>
            <w:shd w:val="clear" w:color="auto" w:fill="E6EFFF"/>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February 5, 2025</w:t>
            </w:r>
            <w:r>
              <w:rPr>
                <w:rFonts w:ascii="Times New Roman" w:cs="Times New Roman" w:eastAsia="Times New Roman" w:hAnsi="Times New Roman"/>
                <w:sz w:val="29"/>
                <w:szCs w:val="29"/>
                <w:color w:val="auto"/>
                <w:w w:val="97"/>
                <w:vertAlign w:val="superscript"/>
              </w:rPr>
              <w:t>(5)</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280,800</w:t>
            </w:r>
          </w:p>
        </w:tc>
        <w:tc>
          <w:tcPr>
            <w:tcW w:w="22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$13.36</w:t>
            </w:r>
          </w:p>
        </w:tc>
      </w:tr>
      <w:tr>
        <w:trPr>
          <w:trHeight w:val="257"/>
        </w:trPr>
        <w:tc>
          <w:tcPr>
            <w:tcW w:w="258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February 6, 2025</w:t>
            </w:r>
            <w:r>
              <w:rPr>
                <w:rFonts w:ascii="Times New Roman" w:cs="Times New Roman" w:eastAsia="Times New Roman" w:hAnsi="Times New Roman"/>
                <w:sz w:val="29"/>
                <w:szCs w:val="29"/>
                <w:color w:val="auto"/>
                <w:w w:val="97"/>
                <w:vertAlign w:val="superscript"/>
              </w:rPr>
              <w:t>(5)</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85,000</w:t>
            </w:r>
          </w:p>
        </w:tc>
        <w:tc>
          <w:tcPr>
            <w:tcW w:w="220" w:type="dxa"/>
            <w:vAlign w:val="bottom"/>
          </w:tcPr>
          <w:p>
            <w:pPr>
              <w:spacing w:after="0"/>
              <w:rPr>
                <w:sz w:val="22"/>
                <w:szCs w:val="22"/>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$13.13</w:t>
            </w:r>
          </w:p>
        </w:tc>
      </w:tr>
      <w:tr>
        <w:trPr>
          <w:trHeight w:val="256"/>
        </w:trPr>
        <w:tc>
          <w:tcPr>
            <w:tcW w:w="2580" w:type="dxa"/>
            <w:vAlign w:val="bottom"/>
            <w:gridSpan w:val="2"/>
            <w:shd w:val="clear" w:color="auto" w:fill="E6EFFF"/>
          </w:tcPr>
          <w:p>
            <w:pPr>
              <w:jc w:val="center"/>
              <w:ind w:right="320"/>
              <w:spacing w:after="0" w:line="256" w:lineRule="exact"/>
              <w:rPr>
                <w:sz w:val="20"/>
                <w:szCs w:val="20"/>
                <w:color w:val="auto"/>
              </w:rPr>
            </w:pPr>
            <w:r>
              <w:rPr>
                <w:rFonts w:ascii="Times New Roman" w:cs="Times New Roman" w:eastAsia="Times New Roman" w:hAnsi="Times New Roman"/>
                <w:sz w:val="18"/>
                <w:szCs w:val="18"/>
                <w:color w:val="auto"/>
                <w:w w:val="97"/>
              </w:rPr>
              <w:t>February 7, 2025</w:t>
            </w:r>
            <w:r>
              <w:rPr>
                <w:rFonts w:ascii="Times New Roman" w:cs="Times New Roman" w:eastAsia="Times New Roman" w:hAnsi="Times New Roman"/>
                <w:sz w:val="29"/>
                <w:szCs w:val="29"/>
                <w:color w:val="auto"/>
                <w:w w:val="97"/>
                <w:vertAlign w:val="superscript"/>
              </w:rPr>
              <w:t>(5)</w:t>
            </w:r>
          </w:p>
        </w:tc>
        <w:tc>
          <w:tcPr>
            <w:tcW w:w="2360" w:type="dxa"/>
            <w:vAlign w:val="bottom"/>
            <w:shd w:val="clear" w:color="auto" w:fill="E6EFFF"/>
          </w:tcPr>
          <w:p>
            <w:pPr>
              <w:jc w:val="right"/>
              <w:ind w:right="810"/>
              <w:spacing w:after="0"/>
              <w:rPr>
                <w:sz w:val="20"/>
                <w:szCs w:val="20"/>
                <w:color w:val="auto"/>
              </w:rPr>
            </w:pPr>
            <w:r>
              <w:rPr>
                <w:rFonts w:ascii="Times New Roman" w:cs="Times New Roman" w:eastAsia="Times New Roman" w:hAnsi="Times New Roman"/>
                <w:sz w:val="18"/>
                <w:szCs w:val="18"/>
                <w:color w:val="auto"/>
              </w:rPr>
              <w:t>57,000</w:t>
            </w:r>
          </w:p>
        </w:tc>
        <w:tc>
          <w:tcPr>
            <w:tcW w:w="220" w:type="dxa"/>
            <w:vAlign w:val="bottom"/>
            <w:shd w:val="clear" w:color="auto" w:fill="E6EFFF"/>
          </w:tcPr>
          <w:p>
            <w:pPr>
              <w:spacing w:after="0"/>
              <w:rPr>
                <w:sz w:val="22"/>
                <w:szCs w:val="22"/>
                <w:color w:val="auto"/>
              </w:rPr>
            </w:pPr>
          </w:p>
        </w:tc>
        <w:tc>
          <w:tcPr>
            <w:tcW w:w="258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8"/>
                <w:szCs w:val="18"/>
                <w:color w:val="auto"/>
              </w:rPr>
              <w:t>Common Shares</w:t>
            </w:r>
          </w:p>
        </w:tc>
        <w:tc>
          <w:tcPr>
            <w:tcW w:w="2360" w:type="dxa"/>
            <w:vAlign w:val="bottom"/>
            <w:shd w:val="clear" w:color="auto" w:fill="E6EFFF"/>
          </w:tcPr>
          <w:p>
            <w:pPr>
              <w:jc w:val="right"/>
              <w:ind w:right="831"/>
              <w:spacing w:after="0"/>
              <w:rPr>
                <w:sz w:val="20"/>
                <w:szCs w:val="20"/>
                <w:color w:val="auto"/>
              </w:rPr>
            </w:pPr>
            <w:r>
              <w:rPr>
                <w:rFonts w:ascii="Times New Roman" w:cs="Times New Roman" w:eastAsia="Times New Roman" w:hAnsi="Times New Roman"/>
                <w:sz w:val="18"/>
                <w:szCs w:val="18"/>
                <w:color w:val="auto"/>
              </w:rPr>
              <w:t>$12.41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ind w:left="660" w:hanging="382"/>
        <w:spacing w:after="0" w:line="241" w:lineRule="auto"/>
        <w:tabs>
          <w:tab w:leader="none" w:pos="6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the average exchange rate posted by the Bank of Canada for the year ended March 31, 2024, being US$1.00 = C1.3550</w:t>
      </w:r>
    </w:p>
    <w:p>
      <w:pPr>
        <w:spacing w:after="0" w:line="1" w:lineRule="exact"/>
        <w:rPr>
          <w:rFonts w:ascii="Times New Roman" w:cs="Times New Roman" w:eastAsia="Times New Roman" w:hAnsi="Times New Roman"/>
          <w:sz w:val="22"/>
          <w:szCs w:val="22"/>
          <w:color w:val="auto"/>
        </w:rPr>
      </w:pPr>
    </w:p>
    <w:p>
      <w:pPr>
        <w:ind w:left="700" w:hanging="422"/>
        <w:spacing w:after="0" w:line="230" w:lineRule="auto"/>
        <w:tabs>
          <w:tab w:leader="none" w:pos="7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exchange for class B common shares in the capital of Cybin U.S.</w:t>
      </w:r>
    </w:p>
    <w:p>
      <w:pPr>
        <w:ind w:left="660" w:right="20" w:hanging="382"/>
        <w:spacing w:after="0" w:line="230" w:lineRule="auto"/>
        <w:tabs>
          <w:tab w:leader="none" w:pos="6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private placement of Common Shares completed on March 19, 2024.</w:t>
      </w:r>
    </w:p>
    <w:p>
      <w:pPr>
        <w:spacing w:after="0" w:line="1" w:lineRule="exact"/>
        <w:rPr>
          <w:rFonts w:ascii="Times New Roman" w:cs="Times New Roman" w:eastAsia="Times New Roman" w:hAnsi="Times New Roman"/>
          <w:sz w:val="22"/>
          <w:szCs w:val="22"/>
          <w:color w:val="auto"/>
        </w:rPr>
      </w:pPr>
    </w:p>
    <w:p>
      <w:pPr>
        <w:ind w:left="700" w:hanging="422"/>
        <w:spacing w:after="0" w:line="230" w:lineRule="auto"/>
        <w:tabs>
          <w:tab w:leader="none" w:pos="7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jc w:val="both"/>
        <w:ind w:left="660" w:hanging="382"/>
        <w:spacing w:after="0" w:line="234" w:lineRule="auto"/>
        <w:tabs>
          <w:tab w:leader="none" w:pos="6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prior at-the-market equity program (the "</w:t>
      </w:r>
      <w:r>
        <w:rPr>
          <w:rFonts w:ascii="Times New Roman" w:cs="Times New Roman" w:eastAsia="Times New Roman" w:hAnsi="Times New Roman"/>
          <w:sz w:val="22"/>
          <w:szCs w:val="22"/>
          <w:b w:val="1"/>
          <w:bCs w:val="1"/>
          <w:color w:val="auto"/>
        </w:rPr>
        <w:t>Prior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allowed the Corporation to issue and sell up to US$35,000,000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Prior ATM Program was qualified by the prospectus supplement dated August 23, 2023, as amended.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following is, as of the date hereof, a general summary of the principal Canadian federal income tax considerations under the Tax Act, generally applicable to an investor who acquires Common Shares as beneficial owner pursuant to this Prospectus Supplement and who, at all relevant times, for the purposes of the Tax Act, (i) deals at arm's length and is not affiliated with the Corporation, the Underwriters and any subsequent purchaser of such securities and (ii) will acquire and hold the Common Shares as capital property (each a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Generally, the Common Shares will be considered to be capital property to a Holder, provided the Holder does not hold or use the Common Shares in the course of carrying on a business of trading or dealing in securities and such Holder has not acquired them in one or more transactions considered to be an adventure or concern in the nature of trade.</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is not applicable to a Holder: (i) that is a "financial institution", as defined in the Tax Act, for the purposes of the mark-to-market rules in the Tax Act; (ii) that is a "specified financial institution", as defined in the Tax Act; (iii) an interest in which is or would constitute a "tax shelter investment" as defined in the Tax Act; (iv) that has elected to determine its "Canadian tax results" (as defined in the Tax Act) in a currency other than the Canadian dollar; (v) that has entered into or will enter into a "derivative forward agreement" or a "synthetic disposition arrangement", as those terms are defined in the Tax Act, with respect to the Common Shares or (vi) that receives dividends on the Common Shares under or as part of a "dividend rental arrangement", as defined in the Tax Act. Such Holders should consult their own tax advisors with respect to an investment in the Common Shares. In addition, this summary does not address the deductibility of interest by a Holder who has borrowed money or otherwise incurred debt in connection with the acquisition of the Common Shares.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991" w:gutter="0" w:footer="0" w:header="0"/>
        </w:sectPr>
      </w:pPr>
    </w:p>
    <w:bookmarkStart w:id="18" w:name="page19"/>
    <w:bookmarkEnd w:id="18"/>
    <w:p>
      <w:pPr>
        <w:jc w:val="both"/>
        <w:spacing w:after="0" w:line="235" w:lineRule="auto"/>
        <w:rPr>
          <w:sz w:val="20"/>
          <w:szCs w:val="20"/>
          <w:color w:val="auto"/>
        </w:rPr>
      </w:pPr>
      <w:r>
        <w:rPr>
          <w:rFonts w:ascii="Times New Roman" w:cs="Times New Roman" w:eastAsia="Times New Roman" w:hAnsi="Times New Roman"/>
          <w:sz w:val="22"/>
          <w:szCs w:val="22"/>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the Common Shares, controlled by a non-resident person, or a group persons comprised of any combination of non-resident corporations, non-resident individuals or non-resident trusts that do not deal at arm's length with each other, for purposes of the "foreign affiliate dumping" rules in section 212.3 of the Tax Act. Such Holders should consult their tax advisors with respect to the consequences of acquiring the Common Shares pursuant to the Offering.</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is based upon the current provisions of the Tax Act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2"/>
          <w:szCs w:val="22"/>
          <w:b w:val="1"/>
          <w:bCs w:val="1"/>
          <w:color w:val="auto"/>
        </w:rPr>
        <w:t>CRA</w:t>
      </w:r>
      <w:r>
        <w:rPr>
          <w:rFonts w:ascii="Times New Roman" w:cs="Times New Roman" w:eastAsia="Times New Roman" w:hAnsi="Times New Roman"/>
          <w:sz w:val="22"/>
          <w:szCs w:val="22"/>
          <w:color w:val="auto"/>
        </w:rPr>
        <w:t>"). This summary takes into account all specific proposals to amend the Tax Act and the regulations thereunder publicly announced by or on behalf of the Minister of Finance (Canada) prior to the date hereof (the "</w:t>
      </w:r>
      <w:r>
        <w:rPr>
          <w:rFonts w:ascii="Times New Roman" w:cs="Times New Roman" w:eastAsia="Times New Roman" w:hAnsi="Times New Roman"/>
          <w:sz w:val="22"/>
          <w:szCs w:val="22"/>
          <w:b w:val="1"/>
          <w:bCs w:val="1"/>
          <w:color w:val="auto"/>
        </w:rPr>
        <w:t>Tax Proposals</w:t>
      </w:r>
      <w:r>
        <w:rPr>
          <w:rFonts w:ascii="Times New Roman" w:cs="Times New Roman" w:eastAsia="Times New Roman" w:hAnsi="Times New Roman"/>
          <w:sz w:val="22"/>
          <w:szCs w:val="22"/>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an investment in the Common Shares. This summary is of a general nature only and is not intended to be, nor should it be construed to be, legal or tax advice or representations to any particular Holder. Holders should consult their own legal and tax advisors for advice with respect to the tax consequences of an investment in the Common Shares based on their particular circumstances.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For purposes of the Tax Act, all amounts relating to the acquisition, holding or disposition of Common Shares (including dividends, adjusted cost base and proceeds of disposition) must generally be expressed in Canadian Dollars. Amounts denominated in any other currency must be converted into Canadian Dollars generally based on the exchange rate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Revenue </w:t>
      </w:r>
      <w:r>
        <w:rPr>
          <w:rFonts w:ascii="Times New Roman" w:cs="Times New Roman" w:eastAsia="Times New Roman" w:hAnsi="Times New Roman"/>
          <w:sz w:val="22"/>
          <w:szCs w:val="22"/>
          <w:color w:val="auto"/>
        </w:rPr>
        <w:t>(Canada).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of Resident Holders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following portion of this summary is generally applicable to a Holder who, for the purposes of the Tax Act, is resident or deemed to be resident in Canada at all relevant times (a "</w:t>
      </w:r>
      <w:r>
        <w:rPr>
          <w:rFonts w:ascii="Times New Roman" w:cs="Times New Roman" w:eastAsia="Times New Roman" w:hAnsi="Times New Roman"/>
          <w:sz w:val="22"/>
          <w:szCs w:val="22"/>
          <w:b w:val="1"/>
          <w:bCs w:val="1"/>
          <w:color w:val="auto"/>
        </w:rPr>
        <w:t>Resident Holder</w:t>
      </w:r>
      <w:r>
        <w:rPr>
          <w:rFonts w:ascii="Times New Roman" w:cs="Times New Roman" w:eastAsia="Times New Roman" w:hAnsi="Times New Roman"/>
          <w:sz w:val="22"/>
          <w:szCs w:val="22"/>
          <w:color w:val="auto"/>
        </w:rPr>
        <w:t>"). Certain Resident Holders whose Common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Resident Holders contemplating making such an election should consult their own tax advisors as to whether an election under subsection 39(4) is available and, if available, whether it is advisable in their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Taxation of Dividends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applicable to an dividends designated by the Corporation as an "eligible dividend" in accordance with the provisions of the Tax Act. There may be restrictions on the ability of the Corporation to designate any particular dividend as an "eligible dividend".</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to the extent and under the circumstances specified in the Tax Act. A corporation that is a "private corporation" or a "subject corporation" (each as defined in the Tax Act), may be liable under Part IV of the Tax Act to pay an additional tax (refundable under certain circumstances) on dividends received or deemed to be received on the Common Shares in a year to the extent such dividends are deductible in computing taxable income for the year. Resident Holders that are corporations should consult their own tax advisors having regard to their own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112" w:gutter="0" w:footer="0" w:header="0"/>
        </w:sectPr>
      </w:pPr>
    </w:p>
    <w:bookmarkStart w:id="19" w:name="page20"/>
    <w:bookmarkEnd w:id="19"/>
    <w:p>
      <w:pPr>
        <w:jc w:val="both"/>
        <w:spacing w:after="0" w:line="244" w:lineRule="auto"/>
        <w:rPr>
          <w:sz w:val="20"/>
          <w:szCs w:val="20"/>
          <w:color w:val="auto"/>
        </w:rPr>
      </w:pPr>
      <w:r>
        <w:rPr>
          <w:rFonts w:ascii="Times New Roman" w:cs="Times New Roman" w:eastAsia="Times New Roman" w:hAnsi="Times New Roman"/>
          <w:sz w:val="22"/>
          <w:szCs w:val="22"/>
          <w:color w:val="auto"/>
        </w:rPr>
        <w:t>Taxable dividends received by a Resident Holder who is an individual (other than certain trusts) may result in such holder being liable for alternative minimum tax under the Tax Act. Resident Holders who are individuals should consult their own tax advisors in this regard.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 Resident Holder who disposes, or is deemed to dispose, of a Common Share (other than to the Corporation, unless purchased by the Corporation in the open market in the manner in which Common Shares are normally purchased by any member of the public in the open market) generally will realize a capital gain (or capital loss) equal to the amount, if any, by which the proceeds of disposition, net of any reasonable costs of disposition, exceed (or are less than) the adjusted cost base to the Resident Holder of such Common Shares immediately before the disposition or deemed disposition. The adjusted cost base to a Resident Holder of a Common Share acquired pursuant to this Offering generally will be determined by averaging the cost such Common Share with the adjusted cost base of all Common Shares of the Corporation (if any) owned by the Resident Holder as capital property immediately prior the time of acquisition. The taxation of capital gains and losses is generally described below under the heading "Capital Gains and Capital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Capital Gains and Capital Losses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Subject to the Capital Gains Proposals (as defined below), generally, one-half of any capital gain (a "</w:t>
      </w:r>
      <w:r>
        <w:rPr>
          <w:rFonts w:ascii="Times New Roman" w:cs="Times New Roman" w:eastAsia="Times New Roman" w:hAnsi="Times New Roman"/>
          <w:sz w:val="21"/>
          <w:szCs w:val="21"/>
          <w:b w:val="1"/>
          <w:bCs w:val="1"/>
          <w:color w:val="auto"/>
        </w:rPr>
        <w:t>taxable capital gain</w:t>
      </w:r>
      <w:r>
        <w:rPr>
          <w:rFonts w:ascii="Times New Roman" w:cs="Times New Roman" w:eastAsia="Times New Roman" w:hAnsi="Times New Roman"/>
          <w:sz w:val="21"/>
          <w:szCs w:val="21"/>
          <w:color w:val="auto"/>
        </w:rPr>
        <w:t>") realized by a Resident Holder in a taxation year must be included in computing income the Resident Holder's income for that taxation year. Currently, one-half of any capital loss (an "</w:t>
      </w:r>
      <w:r>
        <w:rPr>
          <w:rFonts w:ascii="Times New Roman" w:cs="Times New Roman" w:eastAsia="Times New Roman" w:hAnsi="Times New Roman"/>
          <w:sz w:val="21"/>
          <w:szCs w:val="21"/>
          <w:b w:val="1"/>
          <w:bCs w:val="1"/>
          <w:color w:val="auto"/>
        </w:rPr>
        <w:t>allowable capital loss</w:t>
      </w:r>
      <w:r>
        <w:rPr>
          <w:rFonts w:ascii="Times New Roman" w:cs="Times New Roman" w:eastAsia="Times New Roman" w:hAnsi="Times New Roman"/>
          <w:sz w:val="21"/>
          <w:szCs w:val="21"/>
          <w:color w:val="auto"/>
        </w:rPr>
        <w:t>") realized in a particular taxation year must be deducted against taxable capital gains realized by the Resident Holder in the year of disposition, in accordance with the detailed rules in the Tax Act.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Under certain Tax Proposals contained in a Notice of Ways and Means Motion tabled September 23, 2024 (the "</w:t>
      </w:r>
      <w:r>
        <w:rPr>
          <w:rFonts w:ascii="Times New Roman" w:cs="Times New Roman" w:eastAsia="Times New Roman" w:hAnsi="Times New Roman"/>
          <w:sz w:val="21"/>
          <w:szCs w:val="21"/>
          <w:b w:val="1"/>
          <w:bCs w:val="1"/>
          <w:color w:val="auto"/>
        </w:rPr>
        <w:t>Capital Gains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Proposals</w:t>
      </w:r>
      <w:r>
        <w:rPr>
          <w:rFonts w:ascii="Times New Roman" w:cs="Times New Roman" w:eastAsia="Times New Roman" w:hAnsi="Times New Roman"/>
          <w:sz w:val="21"/>
          <w:szCs w:val="21"/>
          <w:color w:val="auto"/>
        </w:rPr>
        <w:t>"), for capital gains and capital losses realized on or after June 25, 2024, the capital gains inclusion rate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generally be increased from one-half to two-thirds for corporations and certain trusts, and generally from one-half to two-thirds for individuals (including certain trusts) on capital gains realized in excess of $250,000, subject to certain transitional rules, including capital gains realized indirectly through a trust or partnership, in a taxation year (net of any capital losses realized in the year and any net capital losses that are carried forward or back to the year). An individual Resident Holder's income for a particular taxation year in which the increased rate applies will be subject to certain adjustments which are intended to effectively reduce the individual Resident Holder's net inclusion rate to the original one-half rate for up to $250,000 of net capital gains realized (or deemed to be realized) by the individual Resident Holder in the year (or the portion of the year ending on or after June 25, 2024 in the case of the 2024 taxation year) that are not offset by net capital losses carried back or forward from another taxation year. On January 31, 2025, the Department of Finance Canada announced a deferral of the implementation date of the Capital Gains Amendments, from June 25, 2024 to January 1, 2026. The Capital Gains Proposals must still be introduced in Parliament and enacted into law. As of the date hereof, it is uncertain if they will be enacted as currently proposed, or at all.</w:t>
      </w:r>
    </w:p>
    <w:p>
      <w:pPr>
        <w:spacing w:after="0" w:line="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Resident Holders who may be subject to the increased inclusion rate for capital gains as a result of the Capital Gains Proposals should consult their own tax advisors.</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shares, to the extent and under the circumstances described in the Tax Act. Similar rules may apply where a Resident Holder that is a corporation is a member of a partnership or a beneficiary of a trust that owns Common Shares, directly or indirectly, through a partnership or trust. Resident Holders to whom these rules may be relevant should consult their own tax advisors.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Resident Holder that is, throughout the relevant taxation year, a "Canadian-controlled private corporation" or, at any time in the taxation year, is or is deemed to be a "substantive CCPC" (each as defined in the Tax Act) ) may be liable to pay an additional tax (refundable in certain circumstances) on certain investment income, including amounts in respect of net taxable capital gains. Such Resident Holders should consult their own tax advisors.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i w:val="1"/>
          <w:iCs w:val="1"/>
          <w:color w:val="auto"/>
        </w:rPr>
        <w:t>Alternative Minimum Tax</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Taxation of Non-Resident Holders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portion of this summary is generally applicable to a Holder who, for the purposes of the Tax Act and at all relevant times: (i) is neither resident nor deemed to be resident in Canada for the purposes of the Tax Act and (ii) do not use or hold, and are not deemed to use or hold, Common Shares in the course of business carried on or deemed to be carried on in Canada. Holders who meet all of the foregoing requirements are referred to herein as "</w:t>
      </w:r>
      <w:r>
        <w:rPr>
          <w:rFonts w:ascii="Times New Roman" w:cs="Times New Roman" w:eastAsia="Times New Roman" w:hAnsi="Times New Roman"/>
          <w:sz w:val="22"/>
          <w:szCs w:val="22"/>
          <w:b w:val="1"/>
          <w:bCs w:val="1"/>
          <w:color w:val="auto"/>
        </w:rPr>
        <w:t>Non-Resident Holders</w:t>
      </w:r>
      <w:r>
        <w:rPr>
          <w:rFonts w:ascii="Times New Roman" w:cs="Times New Roman" w:eastAsia="Times New Roman" w:hAnsi="Times New Roman"/>
          <w:sz w:val="22"/>
          <w:szCs w:val="22"/>
          <w:color w:val="auto"/>
        </w:rPr>
        <w:t>", and this portion of the summary only addresses such Non-Resident Holders.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xml:space="preserve">", for the purposes of this summary, means a Non-Resident Holder who, for purposes of the </w:t>
      </w:r>
      <w:r>
        <w:rPr>
          <w:rFonts w:ascii="Times New Roman" w:cs="Times New Roman" w:eastAsia="Times New Roman" w:hAnsi="Times New Roman"/>
          <w:sz w:val="22"/>
          <w:szCs w:val="22"/>
          <w:i w:val="1"/>
          <w:iCs w:val="1"/>
          <w:color w:val="auto"/>
        </w:rPr>
        <w:t xml:space="preserve">Canada-United States Tax Convention </w:t>
      </w:r>
      <w:r>
        <w:rPr>
          <w:rFonts w:ascii="Times New Roman" w:cs="Times New Roman" w:eastAsia="Times New Roman" w:hAnsi="Times New Roman"/>
          <w:sz w:val="22"/>
          <w:szCs w:val="22"/>
          <w:color w:val="auto"/>
        </w:rPr>
        <w:t>(1980), as amended (the "</w:t>
      </w:r>
      <w:r>
        <w:rPr>
          <w:rFonts w:ascii="Times New Roman" w:cs="Times New Roman" w:eastAsia="Times New Roman" w:hAnsi="Times New Roman"/>
          <w:sz w:val="22"/>
          <w:szCs w:val="22"/>
          <w:b w:val="1"/>
          <w:bCs w:val="1"/>
          <w:color w:val="auto"/>
        </w:rPr>
        <w:t>Treaty</w:t>
      </w:r>
      <w:r>
        <w:rPr>
          <w:rFonts w:ascii="Times New Roman" w:cs="Times New Roman" w:eastAsia="Times New Roman" w:hAnsi="Times New Roman"/>
          <w:sz w:val="22"/>
          <w:szCs w:val="22"/>
          <w:color w:val="auto"/>
        </w:rPr>
        <w:t>"), is at all relevant times a resident of the United States and is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"qualifying person" within the meaning of the Treaty eligible for the full benefits of the Treaty. Holders should consult their own tax advisors to determine their entitlement to benefits under the Treaty and related compliance requirements based on their particular circumstances.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Special rules, which are not discussed in this summary, may apply to a Non-Resident Holder that is an insurer carrying on, or deemed to carry on, business in Canada and elsewhere or that is an "authorized foreign bank" (as defined in the Tax Act). Such Non-Resident Holders should consult their own tax advisors.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Dividends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Dividends paid or credited or deemed to be paid or credited to a Non-Resident Holder by the Corporation are subject to Canadian withholding tax at the rate of 25% of the gross amount of the dividend unless reduced by the terms of an applicable tax treaty or convention between Canada and the country in which the Non-Resident Holder is resident. For example, under the </w:t>
      </w:r>
      <w:r>
        <w:rPr>
          <w:rFonts w:ascii="Times New Roman" w:cs="Times New Roman" w:eastAsia="Times New Roman" w:hAnsi="Times New Roman"/>
          <w:sz w:val="22"/>
          <w:szCs w:val="22"/>
          <w:b w:val="1"/>
          <w:bCs w:val="1"/>
          <w:color w:val="auto"/>
        </w:rPr>
        <w:t>Treaty</w:t>
      </w:r>
      <w:r>
        <w:rPr>
          <w:rFonts w:ascii="Times New Roman" w:cs="Times New Roman" w:eastAsia="Times New Roman" w:hAnsi="Times New Roman"/>
          <w:sz w:val="22"/>
          <w:szCs w:val="22"/>
          <w:color w:val="auto"/>
        </w:rPr>
        <w:t xml:space="preserve">, the rate of withholding tax on dividends paid or credited to U.S. Holder who is the beneficial owner of the dividends is generally reduced to 15% of the gross amount of the dividend (or 5% in the case of a U.S. Holder that is a company beneficially owning at least 10% of the Corporation's voting shares). </w:t>
      </w:r>
      <w:r>
        <w:rPr>
          <w:rFonts w:ascii="Times New Roman" w:cs="Times New Roman" w:eastAsia="Times New Roman" w:hAnsi="Times New Roman"/>
          <w:sz w:val="22"/>
          <w:szCs w:val="22"/>
          <w:b w:val="1"/>
          <w:bCs w:val="1"/>
          <w:color w:val="auto"/>
        </w:rPr>
        <w:t>Non-Resident Holders (including U.S. Holders) should consult their own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advisors to determine their entitlement to benefits under any applicable tax treaty or convention based on their particular circumstances.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Disposition of Common Shares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Common Share unless such Common Share constitutes "taxable Canadian property" (as defined in the Tax Act) of the Non-Resident Holder at the time of disposition and the gain is not exempt from tax pursuant to the terms of an applicable tax treaty or convention. In addition, capital losses arising on the disposition or deemed disposition of a Common Share will not be recognized under the Tax Act, unless the Common Share constitutes "taxable Canadian property" to the Non-Resident Holder thereof for purposes of the Tax Act, and the Non-Resident Holder is not entitled to relief under the terms of an applicable tax treaty or convention.</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Provided the Common Shares are listed on a "designated stock exchange", as defined in the Tax Act (which currently includes the CBOE Canada and the NYSE American) at the time of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w:t>
      </w:r>
    </w:p>
    <w:p>
      <w:pPr>
        <w:spacing w:after="0" w:line="1" w:lineRule="exact"/>
        <w:rPr>
          <w:sz w:val="20"/>
          <w:szCs w:val="20"/>
          <w:color w:val="auto"/>
        </w:rPr>
      </w:pPr>
    </w:p>
    <w:p>
      <w:pPr>
        <w:jc w:val="both"/>
        <w:ind w:firstLine="8"/>
        <w:spacing w:after="0" w:line="232"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Common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may be deemed to be taxable Canadian property of a Non-Resident Holder. </w:t>
      </w:r>
      <w:r>
        <w:rPr>
          <w:rFonts w:ascii="Times New Roman" w:cs="Times New Roman" w:eastAsia="Times New Roman" w:hAnsi="Times New Roman"/>
          <w:sz w:val="22"/>
          <w:szCs w:val="22"/>
          <w:b w:val="1"/>
          <w:bCs w:val="1"/>
          <w:color w:val="auto"/>
        </w:rPr>
        <w:t>Non-Resident Holders should consult their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own tax advisors as to whether their Common Shares constitute "taxable Canadian property".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1" w:name="page22"/>
    <w:bookmarkEnd w:id="21"/>
    <w:p>
      <w:pPr>
        <w:jc w:val="both"/>
        <w:spacing w:after="0" w:line="244" w:lineRule="auto"/>
        <w:rPr>
          <w:sz w:val="20"/>
          <w:szCs w:val="20"/>
          <w:color w:val="auto"/>
        </w:rPr>
      </w:pPr>
      <w:r>
        <w:rPr>
          <w:rFonts w:ascii="Times New Roman" w:cs="Times New Roman" w:eastAsia="Times New Roman" w:hAnsi="Times New Roman"/>
          <w:sz w:val="22"/>
          <w:szCs w:val="22"/>
          <w:color w:val="auto"/>
        </w:rPr>
        <w:t>The Commons Shares will generally constitute "treaty-protected property" for the purposes of the Tax Act if the income or gain from the disposition of such property is exempt from tax under Part I of the Tax Act pursuant to the terms of an applicable income tax treaty or convention.</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See "</w:t>
      </w:r>
      <w:r>
        <w:rPr>
          <w:rFonts w:ascii="Times New Roman" w:cs="Times New Roman" w:eastAsia="Times New Roman" w:hAnsi="Times New Roman"/>
          <w:sz w:val="22"/>
          <w:szCs w:val="22"/>
          <w:i w:val="1"/>
          <w:iCs w:val="1"/>
          <w:color w:val="auto"/>
        </w:rPr>
        <w:t>Taxation of Residents Holders - Taxation of Capital Gains and Losses</w:t>
      </w:r>
      <w:r>
        <w:rPr>
          <w:rFonts w:ascii="Times New Roman" w:cs="Times New Roman" w:eastAsia="Times New Roman" w:hAnsi="Times New Roman"/>
          <w:sz w:val="22"/>
          <w:szCs w:val="22"/>
          <w:color w:val="auto"/>
        </w:rPr>
        <w:t>" for the consequences that will generally apply to a Non-Resident Holder if the Common Shares are taxable Canadian property of the Non-Resident Holder and are not treaty-protected property of the Non-Resident Holder at the time of their disposition.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 general summary of certain material U.S. federal income tax considerations applicable to a U.S. Holder (as defined below) arising from and relating to the acquisition, ownership and disposition of Common Shares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Common Shares.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particular U.S. Holder. This summary does not address the U.S. federal alternative minimum tax, U.S. federal net investment income tax, U.S. federal estate and gift tax, U.S. state and local tax, or non-U.S. tax consequences to U.S. Holders of the acquisition, ownership and disposition of Common Shares. In addition, except as specifically set forth below, this summary does not discuss applicable income tax reporting requirements. Each prospective U.S. Holder should consult its own tax advisors regarding the U.S. federal, state, local, and non-U.S. tax consequences relating to the acquisition, ownership and disposition of Common Shares.</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 ruling from the Internal Revenue Service (the "</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has been requested, or will be obtained, regarding the U.S. federal income tax consequences of the acquisition, ownership and disposition of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Scope of this Summary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Authorities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summary is based on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Treasury Regulations (whether final, temporary, or proposed) promulgated thereunder, published rulings of the IRS, published administrative positions of the IRS, the current provisions of the Canada-US Tax Treaty,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summary, the term "U.S. Holder" means a beneficial owner of Common Shares acquired pursuant to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Offering that is for U.S. federal income tax purposes: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-424180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Non-U.S. Holders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purposes of this summary, a "non-U.S. Holder" is a beneficial owner of Common Shares that is not a U.S. Holder or an entity or arrangement classified as a partnership for U.S. federal income tax purposes. This summary does not address the U.S. federal, state or local tax consequences to non-U.S. Holders arising from or relating to the acquisition, ownership and disposition of Common Shares. Accordingly, a non-U.S. Holder should consult its own tax advisors regarding the U.S. federal, state or local and non-U.S. tax consequences (including the potential application of and operation of any income tax treaties) relating to the acquisition, ownership and disposition of Common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 Holders Subject to Special U.S. Federal Income Tax Rules Not Addressed</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Common Shares as part of a straddle, hedging transaction, conversion transaction, constructive sale, or other integrated transaction; (f) acquire Common Shares in connection with the exercise of employee stock options or otherwise as compensation for services; (g) hold Common Shares other than as a capital asset within the meaning of Section 1221 of the Code (generally, property held for investment purposes); (h) are subject to special tax accounting rules with respect to Common Shares;</w:t>
      </w:r>
    </w:p>
    <w:p>
      <w:pPr>
        <w:spacing w:after="0" w:line="1" w:lineRule="exact"/>
        <w:rPr>
          <w:sz w:val="20"/>
          <w:szCs w:val="20"/>
          <w:color w:val="auto"/>
        </w:rPr>
      </w:pPr>
    </w:p>
    <w:p>
      <w:pPr>
        <w:jc w:val="both"/>
        <w:ind w:firstLine="8"/>
        <w:spacing w:after="0" w:line="232" w:lineRule="auto"/>
        <w:tabs>
          <w:tab w:leader="none" w:pos="3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partnerships or other "pass-through" entities (and partners or other owners thereof); (j) are S corporations (and shareholders thereof); (k) are U.S. expatriates or former long-term residents of the United States subject to Section 877 or 877A of the Code; (l) hold Common Shares in connection with a trade or business, permanent establishment, or fixed base outside the United States; or (m)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state, local, and non-U.S. tax consequences relating to the acquisition, ownership and disposition of Common Shares.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If an entity or arrangement that is classified as a partnership (or other "pass-through" entity) for U.S. federal income tax purposes holds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Common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the Corporation was to constitute a "passive foreign investment company" under the meaning of Section 1297 of the Code (a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as defined below) for any year during a U.S. Holder's holding period, then certain potentially adverse rules would affect the U.S. federal income tax consequences to a U.S. Holder as a result of the acquisition, ownership and disposition of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the Corporation's status as a PFIC and the status of any of the Corporation's subsidiaries as a PFIC for the current tax year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(a)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(b)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1"/>
          <w:szCs w:val="21"/>
          <w:b w:val="1"/>
          <w:bCs w:val="1"/>
          <w:color w:val="auto"/>
        </w:rPr>
        <w:t>Subsidiary PFIC</w:t>
      </w:r>
      <w:r>
        <w:rPr>
          <w:rFonts w:ascii="Times New Roman" w:cs="Times New Roman" w:eastAsia="Times New Roman" w:hAnsi="Times New Roman"/>
          <w:sz w:val="21"/>
          <w:szCs w:val="21"/>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Common Shares. Accordingly, U.S. Holders should be aware that they could be subject to tax under the PFIC rules even if no distributions are received and no redemptions or other dispositions of Common Shares are made.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Common Shares, the U.S. federal income tax consequences to such U.S. Holder of the acquisition, ownership, and disposition of Common Shares will depend on whether and when such U.S. Holder makes an election to treat the Corporation and each Subsidiary PFIC, if any, as a "qualified electing fund" or "QEF" under Section 1295 of the Code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or makes a mark-to-market election under Section 1296 of the Code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"Non-Electing U.S. Holder".</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Non-Electing U.S. Holder will be subject to the rules of Section 1291 of the Code (described below) with respect to: (a) any gain recognized on the sale or other taxable disposition of Common Shares; and (b) any "excess distribution" received on the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Under Section 1291 of the Code, if the Corporation is a PFIC, any gain recognized on the sale or other taxable disposition of Common Shares (including an indirect disposition of the stock of any Subsidiary PFIC), and any "excess distribution" received on Common Shares or with respect to the stock of a Subsidiary PFIC, must be ratably allocated to each day in a Non-Electing U.S. Holder's holding period for the respective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Non-Electing U.S. Holder holds Common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Common Shares by electing to recognize gain (which will be taxed under the rules of Section 1291 of the Code discussed above), but not loss, as if such Common Shares were sold on the last day of the last tax year for which the Corporation was a PFIC.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 U.S. Holder that makes a timely and effective QEF Election for the first tax year in which the holding period of its Common Shares begins generally will not be subject to the rules of Section 1291 of the Code discussed above with respect to its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Common Shares.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Common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Common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Common Shares. If a U.S. Holder owns PFIC stock indirectly through another PFIC, separate QEF Elections must be made for the PFIC in which the U.S. Holder is a direct shareholder and the Subsidiary PFIC for the QEF rules to apply to both PFICs.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545" w:gutter="0" w:footer="0" w:header="0"/>
        </w:sectPr>
      </w:pPr>
    </w:p>
    <w:bookmarkStart w:id="25" w:name="page26"/>
    <w:bookmarkEnd w:id="25"/>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 U.S. Holder may make a Mark-to-Market Election only if the Common Shares are marketable stock. The Common Shares generally will be "marketable stock" if the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for which the Corporation is a PFIC and such U.S. Holder has not made a timely QEF Election, the rules of Section 1291 of the Code discussed above will apply to certain dispositions of, and distributions on, the Common Shares.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will include in ordinary income, for each tax year in which the Corporation is a PFIC, an amount equal to the excess, if any, of (a) the fair market value of the Common Shares, as of the close of such tax year over (b) such U.S. Holder's adjusted tax basis in such Common Shares. A U.S. Holder that makes a Mark-to-Market Election will be allowed a deduction in an amount equal to the excess, if any, of (a) such U.S. Holder's adjusted tax basis in the Common Shares, over (b) the fair market value of such Common Shares (but only to the extent of the net amount of previously included income as a result of the Mark-to-Market Election for prior tax years).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Common Shares cease to be "marketable stock" or the IRS consents to revocation of such election. Each U.S. Holder should consult its own tax advisors regarding the availability of, and procedure for making, a Mark-to-Market Election.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Common Shares that would otherwise be tax-deferred (e.g., gifts and exchanges pursuant to corporate reorganizations). However, the specific U.S. federal income tax consequences to a U.S. Holder may vary based on the manner in which such common shares are transferred.If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Common Shares as security for a loan will, except as may be provided in Treasury Regulations, be treated as having made a taxable disposition of such Common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a U.S. Holder who acquires Common Shares from a decedent will not receive a "step up" in tax basis of such Common Shares to fair market value unless such decedent had a timely and effective QEF Election in place.</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PFIC rules are complex, and each U.S. Holder should consult its own tax advisors regarding the PFIC rules and how the PFIC rules may affect the U.S. federal income tax consequences of the acquisition, ownership, and disposition of Common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Ownership and Disposition of Common Shares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"Passive Foreign Investment Company Rules".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Common Shares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 U.S. Holder that receives a distribution, including a constructive distribution, with respect to a Common Share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Common Shares and thereafter as gain from the sale or exchange of such Common Shares. (See "Sale or Other Taxable Disposition of Common Shares" below). However, the Corporation does not intend to maintain the calculations of its earnings and profits in accordance with U.S. federal income tax principles, and each U.S. Holder therefore should assume that any distribution by the Corporation with respect to the Common Shares will constitute ordinary dividend income. Dividends received on Common Shares by corporate U.S. Holders generally will not be eligible for the "dividends received deduction". Subject to applicable limitations and provided the Corporation is eligible for the benefits of the Canada-US Tax Treaty or the Common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Common Shares</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the sale or other taxable disposition of Common Shares, a U.S. Holder generally will recognize capital gain or loss in an amount equal to the difference between the U.S. dollar value of cash received plus the fair market value of any property received and such U.S. Holder's tax basis in such Common Shares sold or otherwise disposed of. A U.S. Holder's tax basis in Common Shares generally will be such U.S. Holder's U.S. dollar cost for such Common Shares. Gain or loss recognized on such sale or other taxable disposition generally will be long-term capital gain or loss if, at the time of the sale or other disposition, the Common Shares have been held for more than one year.</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Tax Considerations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Foreign Currency</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amount of any distribution paid to a U.S. Holder in foreign currency, or on the sale, exchange or other taxable disposition of Common Shares, generally will be equal to the U.S. dollar value of such foreign currency based on the exchange rate applicable on the date of receipt or, if applicable, the date of settlement if the Common Shares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Tax Credit</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Common Shares will be treated as foreign-source income, and generally will be treated as "passive category income" or "general category income" for U.S. foreign tax credit purposes. Any gain or loss recognized on a sale or other disposition of Common Shares generally will be United States source gain or loss. Certain U.S. Holders that are eligible for the benefits of Canada-US Tax Treaty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 Tax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Regulations</w:t>
      </w:r>
      <w:r>
        <w:rPr>
          <w:rFonts w:ascii="Times New Roman" w:cs="Times New Roman" w:eastAsia="Times New Roman" w:hAnsi="Times New Roman"/>
          <w:sz w:val="22"/>
          <w:szCs w:val="22"/>
          <w:color w:val="auto"/>
        </w:rPr>
        <w:t>") impose additional requirements for Canadian withholding taxes to be eligible for a foreign tax credit, and there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 be no assurance that those requirements will be satisfied. The Treasury Department has released guidance temporarily pausing the application of certain of the Foreign Tax Credit Regulations.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Common Shares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Backup Withholding and Information Reporting</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8" w:name="page29"/>
    <w:bookmarkEnd w:id="28"/>
    <w:p>
      <w:pPr>
        <w:jc w:val="both"/>
        <w:spacing w:after="0" w:line="234" w:lineRule="auto"/>
        <w:rPr>
          <w:sz w:val="20"/>
          <w:szCs w:val="20"/>
          <w:color w:val="auto"/>
        </w:rPr>
      </w:pPr>
      <w:r>
        <w:rPr>
          <w:rFonts w:ascii="Times New Roman" w:cs="Times New Roman" w:eastAsia="Times New Roman" w:hAnsi="Times New Roman"/>
          <w:sz w:val="22"/>
          <w:szCs w:val="22"/>
          <w:color w:val="auto"/>
        </w:rPr>
        <w:t>Payments made within the U.S. or by a U.S. payor or U.S. middleman, of dividends on, and proceeds arising from the sale or other taxable disposition of, Common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COMMON SHARES. U.S. HOLDERS SHOULD CONSULT THEIR OWN TAX ADVISORS AS TO THE TAX CONSIDERATIONS APPLICABLE TO THEM IN LIGHT OF THEIR OWN PARTICULAR CIRCUMSTANCES.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and the Corporation's most recent annual information form, annual management discussion &amp; analysis and interim management discussion &amp; analysis)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Factors Related to the Offering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Investors who purchase Common Shares in this Offering at different times will likely pay different prices, and so may experience different outcomes in their investment results. The Corporation will have discretion, subject to market demand, to vary the timing, prices, and numbers of Common Shares sold, and there is no minimum or maximum sales price. Investors may experience a decline in the value of their Common Shares as a result of sales made at prices lower than the prices they paid.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i w:val="1"/>
          <w:iCs w:val="1"/>
          <w:color w:val="auto"/>
        </w:rPr>
        <w:t>Volatile Market Price of the Common Shares</w:t>
      </w:r>
    </w:p>
    <w:p>
      <w:pPr>
        <w:spacing w:after="0" w:line="2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 Investment in the Common Shares is Highly Speculative</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Discretion in the Use of Proceeds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Times New Roman" w:cs="Times New Roman" w:eastAsia="Times New Roman" w:hAnsi="Times New Roman"/>
          <w:sz w:val="22"/>
          <w:szCs w:val="22"/>
          <w:i w:val="1"/>
          <w:iCs w:val="1"/>
          <w:color w:val="auto"/>
        </w:rPr>
        <w:t>See "Risk Factors - Risks Related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Offering - Negative Operating Cash Flow"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 Risks Related to the Offering - Potential Dilution".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 Certainty of Net Proceeds from the Offering</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There is no certainty that US$100,000,000, or any amount, will be raised under the Offering. The Agents have agreed to use commercially reasonable efforts to sell the Common Shares when and to the extent requested by the Corporation, but the Corporation is not required to request the sale of the maximum amount offered or any amount and, if the Corporation requests a sale, the Corporation and the Agents are not obligated to purchase any Common Shares that are not sold. As a result of the Offering being made on a commercially reasonable efforts basis with no minimum, and only as requested by the Corporation, the Corporation may raise substantially less than the maximum total offering amount or nothing at all.</w:t>
      </w:r>
    </w:p>
    <w:p>
      <w:pPr>
        <w:sectPr>
          <w:pgSz w:w="11900" w:h="16838" w:orient="portrait"/>
          <w:cols w:equalWidth="0" w:num="1">
            <w:col w:w="11240"/>
          </w:cols>
          <w:pgMar w:left="320" w:top="108" w:right="339" w:bottom="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Potential Dilution</w:t>
      </w:r>
    </w:p>
    <w:p>
      <w:pPr>
        <w:sectPr>
          <w:pgSz w:w="11900" w:h="16838" w:orient="portrait"/>
          <w:cols w:equalWidth="0" w:num="1">
            <w:col w:w="11240"/>
          </w:cols>
          <w:pgMar w:left="320" w:top="108" w:right="339" w:bottom="0" w:gutter="0" w:footer="0" w:header="0"/>
          <w:type w:val="continuous"/>
        </w:sectPr>
      </w:pPr>
    </w:p>
    <w:bookmarkStart w:id="30" w:name="page31"/>
    <w:bookmarkEnd w:id="30"/>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to an Offering - Potential Need for Additional Financing".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i w:val="1"/>
          <w:iCs w:val="1"/>
          <w:color w:val="auto"/>
        </w:rPr>
        <w:t>Significant Sales of Common Shares</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Positive Return Not Guaranteed</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Application and Interpretation of Tax Laws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Enforcement of Civil Liabilities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Corporation expects to be a "passive foreign investment company", which may have adverse U.S. federal income tax consequences for U.S. Holders</w:t>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Based on current business plans and financial expectations, the Corporation expects to be a PFIC for its current tax year and may be a PFIC in future tax years. If the Corporation is a PFIC for any year during a U.S. taxpayer's holding period of Common Shares, then such U.S. taxpayer generally will be required to treat any gain realized upon a disposition of the Common Shares or any so-called excess "distribution" received on its Common Shares as ordinary income, and to pay an interest charge on a portion of such gain or distribution. In certain circumstances, the sum of the tax and the interest charge may exceed the total amount of proceeds realized on the disposition, or the amount of excess distribution received, by the U.S. taxpayer. Subject to certain limitations, these tax consequences may be mitigated if a U.S. taxpayer makes a timely and effective QEF Election or a Mark-to-Market Election. Subject to certain limitations, such elections may be made with respect to the Common Shares. A U.S. taxpayer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taxpayer who makes the Mark-to-Market Election generally must include as ordinary income each year the excess of the fair market value of the Common Shares over the taxpayer's basis therein. This paragraph is qualified in its entirety by the discussion above under the heading "</w:t>
      </w:r>
      <w:r>
        <w:rPr>
          <w:rFonts w:ascii="Times New Roman" w:cs="Times New Roman" w:eastAsia="Times New Roman" w:hAnsi="Times New Roman"/>
          <w:sz w:val="21"/>
          <w:szCs w:val="21"/>
          <w:i w:val="1"/>
          <w:iCs w:val="1"/>
          <w:color w:val="auto"/>
        </w:rPr>
        <w:t>Certain United States Federal Income Tax Considerations - Passive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Foreign Investment Company Rules</w:t>
      </w:r>
      <w:r>
        <w:rPr>
          <w:rFonts w:ascii="Times New Roman" w:cs="Times New Roman" w:eastAsia="Times New Roman" w:hAnsi="Times New Roman"/>
          <w:sz w:val="21"/>
          <w:szCs w:val="21"/>
          <w:color w:val="auto"/>
        </w:rPr>
        <w:t>." Each potential investor who is a U.S. taxpayer should consult its own tax advisor regarding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tax consequences of the PFIC rules and the acquisition, ownership, and disposition of the Common Shares.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653"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The matters referred to under </w:t>
      </w:r>
      <w:r>
        <w:rPr>
          <w:rFonts w:ascii="Times New Roman" w:cs="Times New Roman" w:eastAsia="Times New Roman" w:hAnsi="Times New Roman"/>
          <w:sz w:val="21"/>
          <w:szCs w:val="21"/>
          <w:i w:val="1"/>
          <w:iCs w:val="1"/>
          <w:color w:val="auto"/>
        </w:rPr>
        <w:t>"Certain Canadian Income Tax Considerations"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"Certain United States Federal Income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Considerations"</w:t>
      </w:r>
      <w:r>
        <w:rPr>
          <w:rFonts w:ascii="Times New Roman" w:cs="Times New Roman" w:eastAsia="Times New Roman" w:hAnsi="Times New Roman"/>
          <w:sz w:val="21"/>
          <w:szCs w:val="21"/>
          <w:color w:val="auto"/>
        </w:rPr>
        <w:t>, as well as certain other legal matters relating to the issue and sale of the Common Shares, will be passed upon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 behalf of the Corporation by Aird &amp; Berlis LLP, with respect to Canadian legal matters, and by Dorsey &amp; Whitney LLP, with respect to United States legal matters, and certain legal matters on behalf of the Agents by Bennett Jones LLP, with respect to Canadian legal matters, and Mintz, Levin, Cohn, Ferris, Glovsky, and Popeo, P.C., with respect to United States legal matters.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the date of this Prospectus Supplement, the partners and associates of Aird &amp; Berlis LLP and Bennett Jones LLP, beneficially owned, directly or indirectly, less than 1% of the outstanding securities of the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MNP LLP, Chartered Professional Accountants, are the former auditors of Small Pharma and have confirmed that they are independent of Small Pharma within the meaning of the relevant rules and related interpretations prescribed by the relevant professional bodies in Canada and any applicable legislation or regulation. Neither MNP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w:t>
      </w:r>
    </w:p>
    <w:p>
      <w:pPr>
        <w:spacing w:after="0" w:line="20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b w:val="1"/>
          <w:bCs w:val="1"/>
          <w:color w:val="auto"/>
        </w:rPr>
        <w:t>ENFORCEMENT OF CIVIL LIABILITIES FOR U.S. INVESTORS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corporation existing under the OBCA. Other than Douglas Drysdale, Eric So, and Paul Glavine,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Common Shares who reside in the United States to effect service within the United States upon those directors, officers and experts who are not residents of the United States. It may also be difficult for holders of the Common Shares who reside in the United States to realize upon judgments of courts of the United States predicated upon the Corporation's civil liability and the civil liability of its directors, officers and experts under the United States federal securities laws or the securities or "Blue Sky" laws of any state within the United States.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 or any such state securities or "Blue Sky" laws of any state within the United States.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 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Common Shares under this Prospectus Supplement and the accompanying Base Shelf Prospectus.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Amendment No. 3 dated January 6, 2025 to the Short Form Base Shelf Prospectus dated August 17, 2023, as amended by Amendment No. 1 dated December 22, 2023 and by Amendment No. 2 dated April 8, 2024</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Amendment No. 1 dated December 22, 2023 and by Amendment No. 2 dated April 8, 2024, and as further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Amendment No. 1 dated December 22, 2023 and by Amendment No. 2 dated April 8, 2024, and as further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Amendment No. 1 dated December 22, 2023 and by Amendment No. 2 dated April 8, 2024, and as further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obtained on request without charge from the Secretary of Cybin Inc. at 100 King Street West, Suite 5600, Toronto, Ontario M5X 1C9, telephone 1-866-292-4601, and are also available electronically at www.sedarplus.ca.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05890" cy="8401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$650,000,000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short form base shelf prospectus dated August 17, 2023, as amended by Amendment No. 1 dated December 22, 2023 and by Amendment No. 2 dated April 8, 2024 (collectively,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3 to increase the aggregate amount of Securities that may be offered from time to time under the Prospectus from $400,000,000 to $650,000,000. Capitalized terms used but not otherwise defined in this Amendment No. 3 have the meanings ascribed thereto in the Prospectus.</w:t>
      </w:r>
    </w:p>
    <w:p>
      <w:pPr>
        <w:spacing w:after="0" w:line="1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_______________________________________________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567" w:right="339" w:bottom="1012"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67" w:right="339" w:bottom="1012" w:gutter="0" w:footer="0" w:header="0"/>
          <w:type w:val="continuous"/>
        </w:sectPr>
      </w:pPr>
    </w:p>
    <w:bookmarkStart w:id="34" w:name="page35"/>
    <w:bookmarkEnd w:id="34"/>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3.</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_______________________________________________</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"$400,000,000" contained on the face page of the Prospectus and substituting "$650,000,000" therefor. The first paragraph of the text on the face page of the Prospectus, as so amended, is deleted and replaced with the following:</w:t>
      </w:r>
    </w:p>
    <w:p>
      <w:pPr>
        <w:spacing w:after="0" w:line="169"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$650,000,000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"Selling Securityholders"."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"$400,000,000" contained in the first sentence of the first paragraph under the heading "Plan of Distribution" on page 28, so that such sentence, as so amended, reads as follows:</w:t>
      </w:r>
    </w:p>
    <w:p>
      <w:pPr>
        <w:spacing w:after="0" w:line="15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$650,000,000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1"/>
          <w:szCs w:val="21"/>
          <w:color w:val="auto"/>
        </w:rPr>
        <w:t>The Prospectus is further amended by deleting the third paragraph on page iv of the Prospectus, and replacing with the following:</w:t>
      </w:r>
    </w:p>
    <w:p>
      <w:pPr>
        <w:spacing w:after="0" w:line="21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"Douglas Drysdale, an officer of the Corporation, 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 Risks Related to an Offering - Enforcement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Civil Liabilities".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right="20" w:hanging="320"/>
        <w:spacing w:after="0" w:line="262" w:lineRule="auto"/>
        <w:tabs>
          <w:tab w:leader="none" w:pos="13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25, 2024 for the year ended March 31, 2024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2024 and 2023, together with the auditor's report thereon;</w:t>
      </w:r>
    </w:p>
    <w:p>
      <w:pPr>
        <w:spacing w:after="0" w:line="158"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2024;</w:t>
      </w:r>
    </w:p>
    <w:p>
      <w:pPr>
        <w:spacing w:after="0" w:line="206"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2024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2024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24, 2024 relating to an annual and special meeting of shareholders of the Corporation held on August 27, 2024;</w:t>
      </w:r>
    </w:p>
    <w:p>
      <w:pPr>
        <w:spacing w:after="0" w:line="158"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19, 2024 relating to the filing of articles of amendment to consolidate the Corporation's issued and outstanding Common Shares on the basis one new Common Share for every 38 existing Common Shares; and</w:t>
      </w:r>
    </w:p>
    <w:p>
      <w:pPr>
        <w:spacing w:after="0" w:line="169" w:lineRule="exact"/>
        <w:rPr>
          <w:rFonts w:ascii="Times New Roman" w:cs="Times New Roman" w:eastAsia="Times New Roman" w:hAnsi="Times New Roman"/>
          <w:sz w:val="22"/>
          <w:szCs w:val="22"/>
          <w:color w:val="auto"/>
        </w:rPr>
      </w:pPr>
    </w:p>
    <w:p>
      <w:pPr>
        <w:jc w:val="both"/>
        <w:ind w:left="1300" w:hanging="320"/>
        <w:spacing w:after="0" w:line="241" w:lineRule="auto"/>
        <w:tabs>
          <w:tab w:leader="none" w:pos="13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all of the issued and outstanding common shares of Small Pharma pursuant to a court-approved plan of arrangement."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August 7, 2024, the date of the Interim Financial Statements and Interim MD&amp;A.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August 13, 2024, the Corporation announced that it held a Type B Initial Breakthrough Therapy Meeting with the U.S.</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Food and Drug Administration in Washington, D.C.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both"/>
        <w:spacing w:after="0" w:line="238" w:lineRule="auto"/>
        <w:rPr>
          <w:sz w:val="20"/>
          <w:szCs w:val="20"/>
          <w:color w:val="auto"/>
        </w:rPr>
      </w:pPr>
      <w:r>
        <w:rPr>
          <w:rFonts w:ascii="Times New Roman" w:cs="Times New Roman" w:eastAsia="Times New Roman" w:hAnsi="Times New Roman"/>
          <w:sz w:val="22"/>
          <w:szCs w:val="22"/>
          <w:color w:val="auto"/>
        </w:rPr>
        <w:t>On September 19, 2024, the Corporation announced that it expects to report 12-month Phase 2 efficacy data of its proprietary deuterated psilocin program, CYB003, in early Q4 2024. The Corporation further announced its plans to report topline safety and efficacy results at year-end 2024 or early Q1 2025 for its proprietary deuterated DMT program, CYB004. The Corporation also announced the appointment of Dr. Atul R. Mahableshwarkar, and Dr. Tom Macek to lead the Corporation's CYB003 and CYB004 programs, respectively.</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October 1, 2024, the Corporation announced the appointment of senior clinical team leaders, Dr. Mirza Rahman as Senior Vice President, Patient Safety &amp; Pharmacovigilance and Dr. Marcelo Gutierrez, Vice President, Clinical Pharmacology, as well as the expansion of its clinical operations team.</w:t>
      </w:r>
    </w:p>
    <w:p>
      <w:pPr>
        <w:spacing w:after="0" w:line="18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 xml:space="preserve">On November 13, 2024, the Corporation announced the initiation of PARADIGM </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its Phase 3 pivotal program evaluating the efficacy and safety of CYB003 for the adjunctive treatment of MDD. This Phase 3 program comprises three pivotal efficacy studies, which are described below.</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1 ("</w:t>
      </w:r>
      <w:r>
        <w:rPr>
          <w:rFonts w:ascii="Times New Roman" w:cs="Times New Roman" w:eastAsia="Times New Roman" w:hAnsi="Times New Roman"/>
          <w:sz w:val="22"/>
          <w:szCs w:val="22"/>
          <w:b w:val="1"/>
          <w:bCs w:val="1"/>
          <w:color w:val="auto"/>
        </w:rPr>
        <w:t>APPROACH</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Participants (n=220) will be randomized 1:1 to receive either 16 mg of CYB003 (n=110) or inactive placebo (n=110). Each study arm will evaluate a two-dose regimen, with doses administered three weeks apart. The study will enroll patients suffering from moderate to severe MDD (Montgomery-Asberg Depression Rating Scale ("</w:t>
      </w:r>
      <w:r>
        <w:rPr>
          <w:rFonts w:ascii="Times New Roman" w:cs="Times New Roman" w:eastAsia="Times New Roman" w:hAnsi="Times New Roman"/>
          <w:sz w:val="22"/>
          <w:szCs w:val="22"/>
          <w:b w:val="1"/>
          <w:bCs w:val="1"/>
          <w:color w:val="auto"/>
        </w:rPr>
        <w:t>MADRS</w:t>
      </w:r>
      <w:r>
        <w:rPr>
          <w:rFonts w:ascii="Times New Roman" w:cs="Times New Roman" w:eastAsia="Times New Roman" w:hAnsi="Times New Roman"/>
          <w:sz w:val="22"/>
          <w:szCs w:val="22"/>
          <w:color w:val="auto"/>
        </w:rPr>
        <w:t>") ≥24) who are on a stable dose of antidepressant medication but are responding inadequately.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-574675</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The primary endpoint will be change in depressive symptoms as measured by change in MADRS from baseline at six weeks after the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-280035</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APPROACH will enroll participants at 36 clinical sites across the U.S. and Europe. The first pivotal study APPROACH has been initiated, with topline results expected in 2026.</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2 ("</w:t>
      </w:r>
      <w:r>
        <w:rPr>
          <w:rFonts w:ascii="Times New Roman" w:cs="Times New Roman" w:eastAsia="Times New Roman" w:hAnsi="Times New Roman"/>
          <w:sz w:val="22"/>
          <w:szCs w:val="22"/>
          <w:b w:val="1"/>
          <w:bCs w:val="1"/>
          <w:color w:val="auto"/>
        </w:rPr>
        <w:t>EMBRACE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-574675</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The primary endpoint will be change in depressive symptoms as measured by change in MADRS from baseline at six weeks after the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-280035</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2"/>
          <w:szCs w:val="22"/>
          <w:color w:val="auto"/>
        </w:rPr>
        <w:t>EMBRACE is expected to enroll at 48 clinical sites, with minimal site overlap with the APPROACH study. The second pivotal study EMBRACE is expected to begin in the first half of 2025.</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Pivotal study 3 ("</w:t>
      </w:r>
      <w:r>
        <w:rPr>
          <w:rFonts w:ascii="Times New Roman" w:cs="Times New Roman" w:eastAsia="Times New Roman" w:hAnsi="Times New Roman"/>
          <w:sz w:val="22"/>
          <w:szCs w:val="22"/>
          <w:b w:val="1"/>
          <w:bCs w:val="1"/>
          <w:color w:val="auto"/>
        </w:rPr>
        <w:t>EXTEND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21"/>
          <w:szCs w:val="21"/>
          <w:color w:val="auto"/>
        </w:rPr>
        <w:t>Participants from APPROACH and EMBRACE will roll over into EXTEND (up to n=550)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-736600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On November 18, 2024, the Corporation announced 12-month efficacy data from its Phase 2 study of CYB003, which is described below:</w:t>
      </w:r>
    </w:p>
    <w:p>
      <w:pPr>
        <w:spacing w:after="0" w:line="158"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21"/>
          <w:szCs w:val="21"/>
          <w:u w:val="single" w:color="auto"/>
          <w:color w:val="auto"/>
        </w:rPr>
        <w:t>Summary of 12-Month Efficacy Data for CYB003 16 mg</w:t>
      </w:r>
    </w:p>
    <w:p>
      <w:pPr>
        <w:spacing w:after="0" w:line="218"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146050</wp:posOffset>
            </wp:positionV>
            <wp:extent cx="71532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0"/>
          </w:cols>
          <w:pgMar w:left="980" w:top="111" w:right="339" w:bottom="1440" w:gutter="0" w:footer="0" w:header="0"/>
        </w:sectPr>
      </w:pPr>
    </w:p>
    <w:bookmarkStart w:id="37" w:name="page38"/>
    <w:bookmarkEnd w:id="37"/>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Eight participants completed the 12-month follow-up of which seven received two doses (active-active) of 16 mg and one received a single dose of 16 mg (placebo - active). The mean change from baseline in MADRS was approximately 23 points after two doses of 16 mg (n=7). The mean change from baseline MADRS was 32 points across the 12 mg and 16 mg dosing arms. 100% of participants receiving two doses of 16 mg were responders and 71% of participants receiving two doses of 16 mg were in remission. The two participants in the 16 mg dosing arm that were responders (≥50% reduction in MADRS score) but not remitters had MADRS scores of 11; remission is defined as MADRS total score ≤10.</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Summary of 12-Month Efficacy Data for CYB003 12 mg</w:t>
      </w:r>
    </w:p>
    <w:p>
      <w:pPr>
        <w:spacing w:after="0" w:line="20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Thirteen participants completed the 12-month follow-up of which ten received two doses (active-active) of 12 mg and three received a single dose of 12 mg (placebo - active). The mean change from baseline in MADRS was approximately 18 points after two doses of 12 mg (n=10). 60% of participants receiving two doses of 12 mg were responders and 50% of participants receiving two doses of 12 mg were in remission.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Up to two thirds of MDD patients do not achieve remission with first-line antidepressants, which have defined the current</w:t>
      </w:r>
    </w:p>
    <w:p>
      <w:pPr>
        <w:spacing w:after="0" w:line="31" w:lineRule="exact"/>
        <w:rPr>
          <w:sz w:val="20"/>
          <w:szCs w:val="20"/>
          <w:color w:val="auto"/>
        </w:rPr>
      </w:pPr>
    </w:p>
    <w:p>
      <w:pPr>
        <w:jc w:val="both"/>
        <w:ind w:left="660"/>
        <w:spacing w:after="0" w:line="197" w:lineRule="auto"/>
        <w:rPr>
          <w:sz w:val="20"/>
          <w:szCs w:val="20"/>
          <w:color w:val="auto"/>
        </w:rPr>
      </w:pPr>
      <w:r>
        <w:rPr>
          <w:rFonts w:ascii="Times New Roman" w:cs="Times New Roman" w:eastAsia="Times New Roman" w:hAnsi="Times New Roman"/>
          <w:sz w:val="22"/>
          <w:szCs w:val="22"/>
          <w:color w:val="auto"/>
        </w:rPr>
        <w:t>treatment standard.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CYB003 may provide the opportunity to pivot away from the chronic, daily treatments that often only offer symptomatic relief, and move towards more patient-friendly infrequent, long-lasting therapeutics for MDD</w:t>
      </w:r>
    </w:p>
    <w:p>
      <w:pPr>
        <w:spacing w:after="0" w:line="2"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1"/>
          <w:szCs w:val="21"/>
          <w:color w:val="auto"/>
        </w:rPr>
        <w:t>patients who do not achieve remission with existing treatments.</w:t>
      </w:r>
      <w:r>
        <w:rPr>
          <w:rFonts w:ascii="Times New Roman" w:cs="Times New Roman" w:eastAsia="Times New Roman" w:hAnsi="Times New Roman"/>
          <w:sz w:val="34"/>
          <w:szCs w:val="34"/>
          <w:color w:val="auto"/>
          <w:vertAlign w:val="superscript"/>
        </w:rPr>
        <w:t>2</w:t>
      </w:r>
      <w:r>
        <w:rPr>
          <w:rFonts w:ascii="Times New Roman" w:cs="Times New Roman" w:eastAsia="Times New Roman" w:hAnsi="Times New Roman"/>
          <w:sz w:val="21"/>
          <w:szCs w:val="21"/>
          <w:color w:val="auto"/>
        </w:rPr>
        <w:t xml:space="preserve"> Current intermittent treatments like esketamine, ECT and TMS require on average up to 36 outpatient visits per treatment cycle, burdening both patients and treatment centers. In comparison, CYB003's two doses per treatment cycle have the potential to free up capacity for new patients and</w:t>
      </w:r>
    </w:p>
    <w:p>
      <w:pPr>
        <w:ind w:left="660"/>
        <w:spacing w:after="0"/>
        <w:rPr>
          <w:sz w:val="20"/>
          <w:szCs w:val="20"/>
          <w:color w:val="auto"/>
        </w:rPr>
      </w:pPr>
      <w:r>
        <w:rPr>
          <w:rFonts w:ascii="Times New Roman" w:cs="Times New Roman" w:eastAsia="Times New Roman" w:hAnsi="Times New Roman"/>
          <w:sz w:val="22"/>
          <w:szCs w:val="22"/>
          <w:color w:val="auto"/>
        </w:rPr>
        <w:t>improve accessibility to treatment.</w:t>
      </w:r>
      <w:r>
        <w:rPr>
          <w:rFonts w:ascii="Times New Roman" w:cs="Times New Roman" w:eastAsia="Times New Roman" w:hAnsi="Times New Roman"/>
          <w:sz w:val="35"/>
          <w:szCs w:val="35"/>
          <w:color w:val="auto"/>
          <w:vertAlign w:val="superscript"/>
        </w:rPr>
        <w:t>3</w:t>
      </w:r>
    </w:p>
    <w:p>
      <w:pPr>
        <w:spacing w:after="0" w:line="81"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CYB003 has demonstrated an excellent safety profile, with no new adverse events reported in the 12-month follow up, including no reports of suicidality."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206"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0"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1"/>
          <w:szCs w:val="21"/>
          <w:i w:val="1"/>
          <w:iCs w:val="1"/>
          <w:color w:val="auto"/>
        </w:rPr>
        <w:t>"Risk Factors - Risks Related to an Offering - Discretion over the Use of Proceeds"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w:t>
      </w:r>
    </w:p>
    <w:p>
      <w:pPr>
        <w:spacing w:after="0" w:line="44" w:lineRule="exact"/>
        <w:rPr>
          <w:sz w:val="20"/>
          <w:szCs w:val="20"/>
          <w:color w:val="auto"/>
        </w:rPr>
      </w:pPr>
    </w:p>
    <w:p>
      <w:pPr>
        <w:jc w:val="both"/>
        <w:ind w:firstLine="8"/>
        <w:spacing w:after="0" w:line="220" w:lineRule="auto"/>
        <w:tabs>
          <w:tab w:leader="none" w:pos="16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line="200"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11" w:right="339" w:bottom="1440" w:gutter="0" w:footer="0" w:header="0"/>
        </w:sectPr>
      </w:pP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8" w:name="page39"/>
    <w:bookmarkEnd w:id="38"/>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As at January 6, 2025, the Corporation has approximately $136,247,000 in cash. As at January 6, 2025, the Corporation anticipates that it will require approximately $113,500,000 to continue operations over the next 12 months, including funding for the achievement of the next significant milestone under the Corporation's Deuterated Psilocin Program (CYB003) and the Deuterated Dimethyltryptamine Program (CYB004).</w:t>
      </w:r>
    </w:p>
    <w:p>
      <w:pPr>
        <w:spacing w:after="0" w:line="180"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560" w:type="dxa"/>
            <w:vAlign w:val="bottom"/>
            <w:gridSpan w:val="2"/>
          </w:tcPr>
          <w:p>
            <w:pPr>
              <w:jc w:val="center"/>
              <w:ind w:right="2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gridSpan w:val="2"/>
            <w:vMerge w:val="continue"/>
          </w:tcPr>
          <w:p>
            <w:pPr>
              <w:spacing w:after="0"/>
              <w:rPr>
                <w:sz w:val="23"/>
                <w:szCs w:val="2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960" w:type="dxa"/>
            <w:vAlign w:val="bottom"/>
          </w:tcPr>
          <w:p>
            <w:pPr>
              <w:jc w:val="center"/>
              <w:ind w:right="1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50"/>
        </w:trPr>
        <w:tc>
          <w:tcPr>
            <w:tcW w:w="7460" w:type="dxa"/>
            <w:vAlign w:val="bottom"/>
            <w:tcBorders>
              <w:top w:val="single" w:sz="8" w:color="auto"/>
            </w:tcBorders>
            <w:shd w:val="clear" w:color="auto" w:fill="E6EFFF"/>
          </w:tcPr>
          <w:p>
            <w:pPr>
              <w:spacing w:after="0" w:line="250"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8"/>
                <w:szCs w:val="28"/>
                <w:color w:val="auto"/>
                <w:vertAlign w:val="superscript"/>
              </w:rPr>
              <w:t>(5)</w:t>
            </w:r>
          </w:p>
        </w:tc>
        <w:tc>
          <w:tcPr>
            <w:tcW w:w="260" w:type="dxa"/>
            <w:vAlign w:val="bottom"/>
            <w:tcBorders>
              <w:top w:val="single" w:sz="8" w:color="E6EFFF"/>
            </w:tcBorders>
            <w:shd w:val="clear" w:color="auto" w:fill="E6EFFF"/>
          </w:tcPr>
          <w:p>
            <w:pPr>
              <w:spacing w:after="0"/>
              <w:rPr>
                <w:sz w:val="21"/>
                <w:szCs w:val="21"/>
                <w:color w:val="auto"/>
              </w:rPr>
            </w:pPr>
          </w:p>
        </w:tc>
        <w:tc>
          <w:tcPr>
            <w:tcW w:w="1340" w:type="dxa"/>
            <w:vAlign w:val="bottom"/>
            <w:tcBorders>
              <w:top w:val="single" w:sz="8" w:color="auto"/>
            </w:tcBorders>
            <w:shd w:val="clear" w:color="auto" w:fill="E6EFFF"/>
          </w:tcPr>
          <w:p>
            <w:pPr>
              <w:spacing w:after="0"/>
              <w:rPr>
                <w:sz w:val="21"/>
                <w:szCs w:val="21"/>
                <w:color w:val="auto"/>
              </w:rPr>
            </w:pPr>
          </w:p>
        </w:tc>
        <w:tc>
          <w:tcPr>
            <w:tcW w:w="220" w:type="dxa"/>
            <w:vAlign w:val="bottom"/>
            <w:tcBorders>
              <w:top w:val="single" w:sz="8" w:color="E6EFFF"/>
            </w:tcBorders>
            <w:shd w:val="clear" w:color="auto" w:fill="E6EFFF"/>
          </w:tcPr>
          <w:p>
            <w:pPr>
              <w:spacing w:after="0"/>
              <w:rPr>
                <w:sz w:val="21"/>
                <w:szCs w:val="21"/>
                <w:color w:val="auto"/>
              </w:rPr>
            </w:pPr>
          </w:p>
        </w:tc>
        <w:tc>
          <w:tcPr>
            <w:tcW w:w="1960" w:type="dxa"/>
            <w:vAlign w:val="bottom"/>
            <w:tcBorders>
              <w:top w:val="single" w:sz="8" w:color="auto"/>
            </w:tcBorders>
            <w:shd w:val="clear" w:color="auto" w:fill="E6E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Progression of Phase 3 APPROACH studies in MDD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19,720,000</w:t>
            </w:r>
          </w:p>
        </w:tc>
        <w:tc>
          <w:tcPr>
            <w:tcW w:w="22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Q4 2025</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96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Provide topline safety and efficacy data from Phase 2 GAD study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4,333,000</w:t>
            </w:r>
          </w:p>
        </w:tc>
        <w:tc>
          <w:tcPr>
            <w:tcW w:w="220" w:type="dxa"/>
            <w:vAlign w:val="bottom"/>
          </w:tcPr>
          <w:p>
            <w:pPr>
              <w:spacing w:after="0"/>
              <w:rPr>
                <w:sz w:val="18"/>
                <w:szCs w:val="18"/>
                <w:color w:val="auto"/>
              </w:rPr>
            </w:pPr>
          </w:p>
        </w:tc>
        <w:tc>
          <w:tcPr>
            <w:tcW w:w="1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Q2 2025</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96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Complete preclinical development of phenethylamine drug candidate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35,000</w:t>
            </w:r>
          </w:p>
        </w:tc>
        <w:tc>
          <w:tcPr>
            <w:tcW w:w="220" w:type="dxa"/>
            <w:vAlign w:val="bottom"/>
          </w:tcPr>
          <w:p>
            <w:pPr>
              <w:spacing w:after="0"/>
              <w:rPr>
                <w:sz w:val="22"/>
                <w:szCs w:val="22"/>
                <w:color w:val="auto"/>
              </w:rPr>
            </w:pPr>
          </w:p>
        </w:tc>
        <w:tc>
          <w:tcPr>
            <w:tcW w:w="1960" w:type="dxa"/>
            <w:vAlign w:val="bottom"/>
          </w:tcPr>
          <w:p>
            <w:pPr>
              <w:jc w:val="center"/>
              <w:ind w:right="30"/>
              <w:spacing w:after="0" w:line="256" w:lineRule="exact"/>
              <w:rPr>
                <w:sz w:val="20"/>
                <w:szCs w:val="20"/>
                <w:color w:val="auto"/>
              </w:rPr>
            </w:pPr>
            <w:r>
              <w:rPr>
                <w:rFonts w:ascii="Times New Roman" w:cs="Times New Roman" w:eastAsia="Times New Roman" w:hAnsi="Times New Roman"/>
                <w:sz w:val="18"/>
                <w:szCs w:val="18"/>
                <w:color w:val="auto"/>
                <w:w w:val="94"/>
              </w:rPr>
              <w:t>Q1 2026</w:t>
            </w:r>
            <w:r>
              <w:rPr>
                <w:rFonts w:ascii="Times New Roman" w:cs="Times New Roman" w:eastAsia="Times New Roman" w:hAnsi="Times New Roman"/>
                <w:sz w:val="29"/>
                <w:szCs w:val="29"/>
                <w:color w:val="auto"/>
                <w:w w:val="94"/>
                <w:vertAlign w:val="superscript"/>
              </w:rPr>
              <w:t>(7)</w:t>
            </w:r>
          </w:p>
        </w:tc>
        <w:tc>
          <w:tcPr>
            <w:tcW w:w="0" w:type="dxa"/>
            <w:vAlign w:val="bottom"/>
          </w:tcPr>
          <w:p>
            <w:pPr>
              <w:spacing w:after="0"/>
              <w:rPr>
                <w:sz w:val="1"/>
                <w:szCs w:val="1"/>
                <w:color w:val="auto"/>
              </w:rPr>
            </w:pPr>
          </w:p>
        </w:tc>
      </w:tr>
      <w:tr>
        <w:trPr>
          <w:trHeight w:val="256"/>
        </w:trPr>
        <w:tc>
          <w:tcPr>
            <w:tcW w:w="7720" w:type="dxa"/>
            <w:vAlign w:val="bottom"/>
            <w:gridSpan w:val="2"/>
            <w:shd w:val="clear" w:color="auto" w:fill="E6EFFF"/>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7"/>
              </w:rPr>
              <w:t>112,159,000</w:t>
            </w:r>
          </w:p>
        </w:tc>
        <w:tc>
          <w:tcPr>
            <w:tcW w:w="220" w:type="dxa"/>
            <w:vAlign w:val="bottom"/>
            <w:shd w:val="clear" w:color="auto" w:fill="E6EFFF"/>
          </w:tcPr>
          <w:p>
            <w:pPr>
              <w:spacing w:after="0"/>
              <w:rPr>
                <w:sz w:val="22"/>
                <w:szCs w:val="22"/>
                <w:color w:val="auto"/>
              </w:rPr>
            </w:pPr>
          </w:p>
        </w:tc>
        <w:tc>
          <w:tcPr>
            <w:tcW w:w="196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8"/>
        </w:trPr>
        <w:tc>
          <w:tcPr>
            <w:tcW w:w="7720" w:type="dxa"/>
            <w:vAlign w:val="bottom"/>
            <w:gridSpan w:val="2"/>
          </w:tcPr>
          <w:p>
            <w:pPr>
              <w:ind w:left="3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136,247,000</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jc w:val="both"/>
        <w:ind w:left="440" w:hanging="432"/>
        <w:spacing w:after="0" w:line="238" w:lineRule="auto"/>
        <w:tabs>
          <w:tab w:leader="none" w:pos="47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480" w:hanging="472"/>
        <w:spacing w:after="0" w:line="230" w:lineRule="auto"/>
        <w:tabs>
          <w:tab w:leader="none" w:pos="4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1.37:1.</w:t>
      </w:r>
    </w:p>
    <w:p>
      <w:pPr>
        <w:ind w:left="480" w:hanging="472"/>
        <w:spacing w:after="0" w:line="230" w:lineRule="auto"/>
        <w:tabs>
          <w:tab w:leader="none" w:pos="4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440" w:hanging="432"/>
        <w:spacing w:after="0" w:line="230" w:lineRule="auto"/>
        <w:tabs>
          <w:tab w:leader="none" w:pos="47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42" w:lineRule="auto"/>
        <w:tabs>
          <w:tab w:leader="none" w:pos="47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37 clinical sites, with minimal site overlap with the planned EMBRACE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Company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08"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9" w:name="page40"/>
    <w:bookmarkEnd w:id="39"/>
    <w:p>
      <w:pPr>
        <w:jc w:val="both"/>
        <w:ind w:left="440" w:hanging="432"/>
        <w:spacing w:after="0" w:line="236" w:lineRule="auto"/>
        <w:tabs>
          <w:tab w:leader="none" w:pos="47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1" w:lineRule="exact"/>
        <w:rPr>
          <w:rFonts w:ascii="Times New Roman" w:cs="Times New Roman" w:eastAsia="Times New Roman" w:hAnsi="Times New Roman"/>
          <w:sz w:val="22"/>
          <w:szCs w:val="22"/>
          <w:color w:val="auto"/>
        </w:rPr>
      </w:pPr>
    </w:p>
    <w:p>
      <w:pPr>
        <w:jc w:val="both"/>
        <w:ind w:left="440" w:hanging="432"/>
        <w:spacing w:after="0" w:line="234" w:lineRule="auto"/>
        <w:tabs>
          <w:tab w:leader="none" w:pos="47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Q4 2024. Due to the Corporation prioritizing the progression of its Deuterated Psilocybin Analog Program and Deuterated Dimethyltryptamine Program, it now expects to complete preclinical development of a phenethylamine drug candidate in Q1 2026.</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January 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$136,247,000.</w:t>
      </w:r>
    </w:p>
    <w:p>
      <w:pPr>
        <w:spacing w:after="0" w:line="16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C$411,000,000 in gross proceeds through private placement and prospectus offerings. The Corporation has experienced operating losses and cash outflows from operations since incorporation and will require ongoing financing to continue its research and development activates.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Negative Operating Cash Flow and Going Concern".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jc w:val="both"/>
        <w:spacing w:after="0" w:line="259" w:lineRule="auto"/>
        <w:rPr>
          <w:sz w:val="20"/>
          <w:szCs w:val="20"/>
          <w:color w:val="auto"/>
        </w:rPr>
      </w:pPr>
      <w:r>
        <w:rPr>
          <w:rFonts w:ascii="Times New Roman" w:cs="Times New Roman" w:eastAsia="Times New Roman" w:hAnsi="Times New Roman"/>
          <w:sz w:val="22"/>
          <w:szCs w:val="22"/>
          <w:color w:val="auto"/>
        </w:rPr>
        <w:t>The Prospectus is further amended by deleting all references to "Deuterated Psilocybin Analog Program" and replacing it with "Deuterated Psilocin Program".</w:t>
      </w:r>
    </w:p>
    <w:p>
      <w:pPr>
        <w:spacing w:after="0" w:line="1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January 6, 2025,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a registration statement of which this Prospectus forms a part,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Amendment No. 2 dated April 8, 2024 to the Short Form Base Shelf Prospectus dated August 17, 2023, as amended by Amendment No. 1 dated December 22, 2023</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Amendment No. 1 dated December 22, 2023, and as further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Amendment No. 1 dated December 22, 2023, and as further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Amendment No. 1 dated December 22, 2023, and as further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05890" cy="840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short form base shelf prospectus dated August 17, 2023, as amended by Amendment No. 1 dated December 22, 2023 (collectively, the "</w:t>
      </w:r>
      <w:r>
        <w:rPr>
          <w:rFonts w:ascii="Times New Roman" w:cs="Times New Roman" w:eastAsia="Times New Roman" w:hAnsi="Times New Roman"/>
          <w:sz w:val="21"/>
          <w:szCs w:val="21"/>
          <w:b w:val="1"/>
          <w:bCs w:val="1"/>
          <w:color w:val="auto"/>
        </w:rPr>
        <w:t>Prospectus</w:t>
      </w:r>
      <w:r>
        <w:rPr>
          <w:rFonts w:ascii="Times New Roman" w:cs="Times New Roman" w:eastAsia="Times New Roman" w:hAnsi="Times New Roman"/>
          <w:sz w:val="21"/>
          <w:szCs w:val="21"/>
          <w:color w:val="auto"/>
        </w:rPr>
        <w:t>") of Cybin Inc.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is hereby amended by this Amendment No. 2 to provide that the securities that may be offered and issued thereunder will include distributions by various selling securityholders. Capitalized terms used but not otherwise defined in this Amendment No. 2 have the meanings ascribed thereto in the Prospectus.</w:t>
      </w:r>
    </w:p>
    <w:p>
      <w:pPr>
        <w:spacing w:after="0" w:line="16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2" w:name="page43"/>
    <w:bookmarkEnd w:id="42"/>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2.</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paragraph of the text on the face page of the Prospectus, as so amended, is deleted and replaced with the following:</w:t>
      </w:r>
    </w:p>
    <w:p>
      <w:pPr>
        <w:spacing w:after="0" w:line="202"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and sell Securities under this Prospectus. See "Selling Securityholders"."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second, third and fourth paragraphs on page ii of the Prospectus, and replacing with the following:</w:t>
      </w:r>
    </w:p>
    <w:p>
      <w:pPr>
        <w:spacing w:after="0" w:line="158"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ectPr>
          <w:pgSz w:w="11900" w:h="16838" w:orient="portrait"/>
          <w:cols w:equalWidth="0" w:num="1">
            <w:col w:w="11240"/>
          </w:cols>
          <w:pgMar w:left="320" w:top="108" w:right="339" w:bottom="63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634" w:gutter="0" w:footer="0" w:header="0"/>
          <w:type w:val="continuous"/>
        </w:sectPr>
      </w:pPr>
    </w:p>
    <w:bookmarkStart w:id="43" w:name="page44"/>
    <w:bookmarkEnd w:id="43"/>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84"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Distributions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right="20" w:hanging="428"/>
        <w:spacing w:after="0" w:line="262"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428"/>
        <w:spacing w:after="0" w:line="258" w:lineRule="auto"/>
        <w:tabs>
          <w:tab w:leader="none" w:pos="132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ind w:left="468" w:hanging="468"/>
        <w:spacing w:after="0"/>
        <w:tabs>
          <w:tab w:leader="none" w:pos="46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nine months ended December 31,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28" w:right="20" w:hanging="428"/>
        <w:spacing w:after="0" w:line="258" w:lineRule="auto"/>
        <w:tabs>
          <w:tab w:leader="none" w:pos="4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nine months ended December 31,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428" w:hanging="428"/>
        <w:spacing w:after="0" w:line="258" w:lineRule="auto"/>
        <w:tabs>
          <w:tab w:leader="none" w:pos="4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58" w:lineRule="exact"/>
        <w:rPr>
          <w:rFonts w:ascii="Times New Roman" w:cs="Times New Roman" w:eastAsia="Times New Roman" w:hAnsi="Times New Roman"/>
          <w:sz w:val="22"/>
          <w:szCs w:val="22"/>
          <w:color w:val="auto"/>
        </w:rPr>
      </w:pPr>
    </w:p>
    <w:p>
      <w:pPr>
        <w:jc w:val="both"/>
        <w:ind w:left="428" w:hanging="428"/>
        <w:spacing w:after="0" w:line="238" w:lineRule="auto"/>
        <w:tabs>
          <w:tab w:leader="none" w:pos="4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73" w:lineRule="exact"/>
        <w:rPr>
          <w:rFonts w:ascii="Times New Roman" w:cs="Times New Roman" w:eastAsia="Times New Roman" w:hAnsi="Times New Roman"/>
          <w:sz w:val="22"/>
          <w:szCs w:val="22"/>
          <w:color w:val="auto"/>
        </w:rPr>
      </w:pPr>
    </w:p>
    <w:p>
      <w:pPr>
        <w:jc w:val="both"/>
        <w:ind w:left="428" w:hanging="428"/>
        <w:spacing w:after="0" w:line="239" w:lineRule="auto"/>
        <w:tabs>
          <w:tab w:leader="none" w:pos="4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80"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428" w:hanging="428"/>
        <w:spacing w:after="0" w:line="241" w:lineRule="auto"/>
        <w:tabs>
          <w:tab w:leader="none" w:pos="47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October 25, 2023 with respect to the closing of the Arrangement with Small Pharma;</w:t>
      </w:r>
    </w:p>
    <w:p>
      <w:pPr>
        <w:spacing w:after="0" w:line="217" w:lineRule="exact"/>
        <w:rPr>
          <w:rFonts w:ascii="Times New Roman" w:cs="Times New Roman" w:eastAsia="Times New Roman" w:hAnsi="Times New Roman"/>
          <w:sz w:val="21"/>
          <w:szCs w:val="21"/>
          <w:color w:val="auto"/>
        </w:rPr>
      </w:pPr>
    </w:p>
    <w:p>
      <w:pPr>
        <w:jc w:val="both"/>
        <w:ind w:left="428" w:right="20" w:hanging="428"/>
        <w:spacing w:after="0" w:line="244" w:lineRule="auto"/>
        <w:tabs>
          <w:tab w:leader="none" w:pos="47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w:t>
      </w:r>
    </w:p>
    <w:p>
      <w:pPr>
        <w:spacing w:after="0" w:line="173" w:lineRule="exact"/>
        <w:rPr>
          <w:rFonts w:ascii="Times New Roman" w:cs="Times New Roman" w:eastAsia="Times New Roman" w:hAnsi="Times New Roman"/>
          <w:sz w:val="22"/>
          <w:szCs w:val="22"/>
          <w:color w:val="auto"/>
        </w:rPr>
      </w:pPr>
    </w:p>
    <w:p>
      <w:pPr>
        <w:jc w:val="both"/>
        <w:ind w:left="428" w:hanging="428"/>
        <w:spacing w:after="0" w:line="244" w:lineRule="auto"/>
        <w:tabs>
          <w:tab w:leader="none" w:pos="47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March 21, 2024 relating to the private placement offering of 348,837,210 Common Shares of the Corporation at a price of US$0.43 per Common Share for gross proceeds of US150,000,000, before deducting fees and expenses related to the offering (the "</w:t>
      </w: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468" w:hanging="468"/>
        <w:spacing w:after="0"/>
        <w:tabs>
          <w:tab w:leader="none" w:pos="46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206" w:lineRule="exact"/>
        <w:rPr>
          <w:sz w:val="20"/>
          <w:szCs w:val="20"/>
          <w:color w:val="auto"/>
        </w:rPr>
      </w:pPr>
    </w:p>
    <w:p>
      <w:pPr>
        <w:ind w:left="4708"/>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146050</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368"/>
          </w:cols>
          <w:pgMar w:left="1192" w:top="112" w:right="339" w:bottom="1440" w:gutter="0" w:footer="0" w:header="0"/>
        </w:sectPr>
      </w:pPr>
    </w:p>
    <w:bookmarkStart w:id="45" w:name="page46"/>
    <w:bookmarkEnd w:id="45"/>
    <w:p>
      <w:pPr>
        <w:spacing w:after="0" w:line="259"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February 13, 2024, the date of the Interim Financial Statements and Interim MD&amp;A.</w:t>
      </w:r>
    </w:p>
    <w:p>
      <w:pPr>
        <w:spacing w:after="0" w:line="17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13, 2024, the Corporation announced that the FDA has granted Breakthrough Therapy Designation to CYB003, the Corporation's proprietary deuterated psilocybin analog in development for the adjunctive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14, 2024, the Corporation announced a positive End-of-Phase 2 meeting with the FDA for CYB003.</w:t>
      </w:r>
    </w:p>
    <w:p>
      <w:pPr>
        <w:spacing w:after="0" w:line="20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On March 15, 2024, the Corporation announced the initiation of a Phase 2 proof-of-concept study of CYB004, its proprietary DMT molecule in development for the treatment of Generalized Anxiety Disorder. In January 2024, the FDA cleared Cybin's Investigational New Drug application for CYB004.</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March 19, 2024, the Corporation announced the closing of the Private Placement."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first paragraph under the section titled "Use of Proceeds" and replacing it with the following:</w:t>
      </w:r>
    </w:p>
    <w:p>
      <w:pPr>
        <w:spacing w:after="0" w:line="158"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 Related to an Offering - Discretion over the Use of Proceeds"</w:t>
      </w:r>
      <w:r>
        <w:rPr>
          <w:rFonts w:ascii="Times New Roman" w:cs="Times New Roman" w:eastAsia="Times New Roman" w:hAnsi="Times New Roman"/>
          <w:sz w:val="22"/>
          <w:szCs w:val="22"/>
          <w:color w:val="auto"/>
        </w:rPr>
        <w:t>. The Corporation will not receive any proceeds from any sale of Securities by a Selling Securityholder."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section title and accompanying text directly under the section titled "Use of Proceeds":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21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The Prospectus may also from time to time, relate to the Offering of Securities by way of a secondary offering (each, a "</w:t>
      </w:r>
      <w:r>
        <w:rPr>
          <w:rFonts w:ascii="Times New Roman" w:cs="Times New Roman" w:eastAsia="Times New Roman" w:hAnsi="Times New Roman"/>
          <w:sz w:val="21"/>
          <w:szCs w:val="21"/>
          <w:b w:val="1"/>
          <w:bCs w:val="1"/>
          <w:color w:val="auto"/>
        </w:rPr>
        <w:t>Secondary Offering</w:t>
      </w:r>
      <w:r>
        <w:rPr>
          <w:rFonts w:ascii="Times New Roman" w:cs="Times New Roman" w:eastAsia="Times New Roman" w:hAnsi="Times New Roman"/>
          <w:sz w:val="21"/>
          <w:szCs w:val="21"/>
          <w:color w:val="auto"/>
        </w:rPr>
        <w:t>")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w:t>
      </w:r>
    </w:p>
    <w:p>
      <w:pPr>
        <w:spacing w:after="0" w:line="3" w:lineRule="exact"/>
        <w:rPr>
          <w:sz w:val="20"/>
          <w:szCs w:val="20"/>
          <w:color w:val="auto"/>
        </w:rPr>
      </w:pPr>
    </w:p>
    <w:p>
      <w:pPr>
        <w:jc w:val="both"/>
        <w:ind w:left="660" w:hanging="4"/>
        <w:spacing w:after="0" w:line="231" w:lineRule="auto"/>
        <w:tabs>
          <w:tab w:leader="none" w:pos="105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"Plan of Distribution" and replacing it with the following: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$400,000,000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77"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Shareholders may sell Securities to or through underwriters or dealers purchasing as principals and may also sell Securities to one or more purchasers directly, through statutory exemptions, or through agents designated from time to time.</w:t>
      </w:r>
    </w:p>
    <w:p>
      <w:pPr>
        <w:spacing w:after="0" w:line="181"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8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ectPr>
          <w:pgSz w:w="11900" w:h="16838" w:orient="portrait"/>
          <w:cols w:equalWidth="0" w:num="1">
            <w:col w:w="11240"/>
          </w:cols>
          <w:pgMar w:left="320" w:top="112"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7" w:name="page48"/>
    <w:bookmarkEnd w:id="47"/>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8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8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December 22,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has filed with the SEC an appointment of agent for service of process on Form F-X relating to the registration statement of which this Prospectus forms a part.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dated December 22, 2023 to the Short Form Base Shelf Prospectus dated August 17, 2023</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i w:val="1"/>
          <w:iCs w:val="1"/>
          <w:color w:val="FF0000"/>
        </w:rPr>
        <w:t>The short form base shelf prospectus dated August 17, 2023, as amended by this amendment, is referred to as the base shelf prospectus and has been filed under legislation in each of the provinces and the territories of Canada that permits certain information about these securities to be determined after the short form prospectus dated August 17, 2023, as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 securities regulatory authority has expressed an opinion about these securities and it is an offence to claim otherwise. The short form base shelf prospectus dated August 17, 2023, as amended by this amendment, constitutes a public offering of these securities only in those jurisdictions where they may be lawfully offered for sale and therein only by persons permitted to sell such securities. 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obtained on request without charge from the Secretary of Cybin Inc. at 100 King Street West, Suite 5600, Toronto, Ontario M5X 1C9, telephone 1-866-292-4601, and are also available electronically at www.sedarplus.ca.</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147955</wp:posOffset>
            </wp:positionV>
            <wp:extent cx="1517015" cy="986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0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$400,000,000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short form base shelf prospectus dated August 17, 2023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of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is hereby amended by this Amendment No. 1 to increase the aggregate amount of Securities that may be offered from time to time under the Prospectus from $160,000,000 to $400,000,000. Capitalized terms used but not otherwise defined in this Amendment No. 1 have the meanings ascribed thereto in the Prospectus.</w:t>
      </w:r>
    </w:p>
    <w:p>
      <w:pPr>
        <w:spacing w:after="0" w:line="1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40"/>
          </w:cols>
          <w:pgMar w:left="320" w:top="108"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0" w:name="page51"/>
    <w:bookmarkEnd w:id="50"/>
    <w:p>
      <w:pPr>
        <w:jc w:val="both"/>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 in the Prospectus and in this Amendment No. 1.</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See "</w:t>
      </w:r>
      <w:r>
        <w:rPr>
          <w:rFonts w:ascii="Times New Roman" w:cs="Times New Roman" w:eastAsia="Times New Roman" w:hAnsi="Times New Roman"/>
          <w:sz w:val="22"/>
          <w:szCs w:val="22"/>
          <w:b w:val="1"/>
          <w:bCs w:val="1"/>
          <w:i w:val="1"/>
          <w:iCs w:val="1"/>
          <w:color w:val="auto"/>
        </w:rPr>
        <w:t>Cautionary Statement Regarding Forward-Looking Statements</w:t>
      </w:r>
      <w:r>
        <w:rPr>
          <w:rFonts w:ascii="Times New Roman" w:cs="Times New Roman" w:eastAsia="Times New Roman" w:hAnsi="Times New Roman"/>
          <w:sz w:val="22"/>
          <w:szCs w:val="22"/>
          <w:b w:val="1"/>
          <w:bCs w:val="1"/>
          <w:color w:val="auto"/>
        </w:rPr>
        <w:t>" and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pages 1 and 29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7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Specifically, the Prospectus is amended by deleting all references to "$160,000,000" contained on the face page of the Prospectus and substituting "$400,000,000" therefor. The first paragraph of the text on the face page of the Prospectus, as so amended, is deleted and replaced with the following:</w:t>
      </w:r>
    </w:p>
    <w:p>
      <w:pPr>
        <w:spacing w:after="0" w:line="169" w:lineRule="exact"/>
        <w:rPr>
          <w:sz w:val="20"/>
          <w:szCs w:val="20"/>
          <w:color w:val="auto"/>
        </w:rPr>
      </w:pP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commencing on August 17, 2023, that this Prospectus, including any amendments, remains valid, of up to $400,000,000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 Receipts"</w:t>
      </w:r>
      <w:r>
        <w:rPr>
          <w:rFonts w:ascii="Times New Roman" w:cs="Times New Roman" w:eastAsia="Times New Roman" w:hAnsi="Times New Roman"/>
          <w:sz w:val="22"/>
          <w:szCs w:val="22"/>
          <w:color w:val="auto"/>
        </w:rPr>
        <w:t xml:space="preserve"> and together with the Common Shares, Warrants, Units and Debt Securities, collectively referred to herein as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reference to "$160,000,000" contained in the first sentence of the first paragraph under the heading "Plan of Distribution" on page 28, so that such sentence, as so amended, reads as follows:</w:t>
      </w:r>
    </w:p>
    <w:p>
      <w:pPr>
        <w:spacing w:after="0" w:line="158" w:lineRule="exact"/>
        <w:rPr>
          <w:sz w:val="20"/>
          <w:szCs w:val="20"/>
          <w:color w:val="auto"/>
        </w:rPr>
      </w:pPr>
    </w:p>
    <w:p>
      <w:pPr>
        <w:jc w:val="both"/>
        <w:ind w:left="660" w:right="20"/>
        <w:spacing w:after="0" w:line="244" w:lineRule="auto"/>
        <w:rPr>
          <w:sz w:val="20"/>
          <w:szCs w:val="20"/>
          <w:color w:val="auto"/>
        </w:rPr>
      </w:pPr>
      <w:r>
        <w:rPr>
          <w:rFonts w:ascii="Times New Roman" w:cs="Times New Roman" w:eastAsia="Times New Roman" w:hAnsi="Times New Roman"/>
          <w:sz w:val="22"/>
          <w:szCs w:val="22"/>
          <w:color w:val="auto"/>
        </w:rPr>
        <w:t>"The Corporation may from time to time during the 25-month period commencing on August 17, 2023, that this Prospectus, including any amendments and supplements hereto, remains valid, offer for sale and sell up to an aggregate of $400,000,000 in Securities hereunder."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color w:val="auto"/>
        </w:rPr>
        <w:t>The Prospectus is further amended by deleting the third paragraph on page iv of the Prospectus, and replacing with the following:</w:t>
      </w:r>
    </w:p>
    <w:p>
      <w:pPr>
        <w:spacing w:after="0" w:line="21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“Douglas Drysdale, an officer of the Corporation, and George Tziras, a director and officer of the Corporation, each reside outside of Canada. They have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1"/>
          <w:szCs w:val="21"/>
          <w:i w:val="1"/>
          <w:iCs w:val="1"/>
          <w:color w:val="auto"/>
        </w:rPr>
        <w:t>“Risk Factors – Risks Related to an Offering – Enforcement of Civil Liabilities”.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second paragraph under the section titled “Documents Incorporated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and replacing it with the following:</w:t>
      </w:r>
    </w:p>
    <w:p>
      <w:pPr>
        <w:spacing w:after="0" w:line="182"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 or similar authorities in Canada are incorporated by reference in this Prospectus:</w:t>
      </w:r>
    </w:p>
    <w:p>
      <w:pPr>
        <w:spacing w:after="0" w:line="154" w:lineRule="exact"/>
        <w:rPr>
          <w:sz w:val="20"/>
          <w:szCs w:val="20"/>
          <w:color w:val="auto"/>
        </w:rPr>
      </w:pPr>
    </w:p>
    <w:p>
      <w:pPr>
        <w:ind w:left="1300" w:hanging="320"/>
        <w:spacing w:after="0" w:line="262" w:lineRule="auto"/>
        <w:tabs>
          <w:tab w:leader="none" w:pos="1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and 2022, together with the auditor’s report thereon;</w:t>
      </w:r>
    </w:p>
    <w:p>
      <w:pPr>
        <w:spacing w:after="0" w:line="158"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and six months ended September 30,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and six months ended September 30, 2023 (the “</w:t>
      </w:r>
      <w:r>
        <w:rPr>
          <w:rFonts w:ascii="Times New Roman" w:cs="Times New Roman" w:eastAsia="Times New Roman" w:hAnsi="Times New Roman"/>
          <w:sz w:val="22"/>
          <w:szCs w:val="22"/>
          <w:b w:val="1"/>
          <w:bCs w:val="1"/>
          <w:color w:val="auto"/>
        </w:rPr>
        <w:t>Interim MD&amp;A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300" w:hanging="320"/>
        <w:spacing w:after="0" w:line="258" w:lineRule="auto"/>
        <w:tabs>
          <w:tab w:leader="none" w:pos="1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September 13, 2023 relating to an annual and special meeting of shareholders of the Corporation held on October 12, 2023;</w:t>
      </w:r>
    </w:p>
    <w:p>
      <w:pPr>
        <w:spacing w:after="0" w:line="158"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at a price of US$0.34 per unit for gross proceeds of US$8,250,000 pursuant to a prospectus supplement dated August 1, 2023 to the 2021 Base Shelf Prospectus;</w:t>
      </w:r>
    </w:p>
    <w:p>
      <w:pPr>
        <w:spacing w:after="0" w:line="173"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relating to the renewal of the Corporation’s previously established at-the-market equity program (the “</w:t>
      </w:r>
      <w:r>
        <w:rPr>
          <w:rFonts w:ascii="Times New Roman" w:cs="Times New Roman" w:eastAsia="Times New Roman" w:hAnsi="Times New Roman"/>
          <w:sz w:val="22"/>
          <w:szCs w:val="22"/>
          <w:b w:val="1"/>
          <w:bCs w:val="1"/>
          <w:color w:val="auto"/>
        </w:rPr>
        <w:t>2023 ATM Program</w:t>
      </w:r>
      <w:r>
        <w:rPr>
          <w:rFonts w:ascii="Times New Roman" w:cs="Times New Roman" w:eastAsia="Times New Roman" w:hAnsi="Times New Roman"/>
          <w:sz w:val="22"/>
          <w:szCs w:val="22"/>
          <w:color w:val="auto"/>
        </w:rPr>
        <w:t>”) that allows the Corporation to issue and sell up to US$35,000,000 of Common Shares to the public from time to time, pursuant to a prospectus supplement dated August 23, 2023 to the Prospectus;</w:t>
      </w:r>
    </w:p>
    <w:p>
      <w:pPr>
        <w:spacing w:after="0" w:line="180"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34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23, 2023 with respect to the requalification of the Purchase Agreement pursuant to a prospectus supplement dated August 23, 2023 to the Prospectus (the “</w:t>
      </w:r>
      <w:r>
        <w:rPr>
          <w:rFonts w:ascii="Times New Roman" w:cs="Times New Roman" w:eastAsia="Times New Roman" w:hAnsi="Times New Roman"/>
          <w:sz w:val="22"/>
          <w:szCs w:val="22"/>
          <w:b w:val="1"/>
          <w:bCs w:val="1"/>
          <w:color w:val="auto"/>
        </w:rPr>
        <w:t>August 2023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jc w:val="both"/>
        <w:ind w:left="1300" w:hanging="320"/>
        <w:spacing w:after="0" w:line="241" w:lineRule="auto"/>
        <w:tabs>
          <w:tab w:leader="none" w:pos="134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7, 2023 with respect to the acquisition of Small Pharma Inc. (“</w:t>
      </w:r>
      <w:r>
        <w:rPr>
          <w:rFonts w:ascii="Times New Roman" w:cs="Times New Roman" w:eastAsia="Times New Roman" w:hAnsi="Times New Roman"/>
          <w:sz w:val="22"/>
          <w:szCs w:val="22"/>
          <w:b w:val="1"/>
          <w:bCs w:val="1"/>
          <w:color w:val="auto"/>
        </w:rPr>
        <w:t>Small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Pharma</w:t>
      </w:r>
      <w:r>
        <w:rPr>
          <w:rFonts w:ascii="Times New Roman" w:cs="Times New Roman" w:eastAsia="Times New Roman" w:hAnsi="Times New Roman"/>
          <w:sz w:val="22"/>
          <w:szCs w:val="22"/>
          <w:color w:val="auto"/>
        </w:rPr>
        <w:t>”) by the Corporation pursuant to the terms of the definitive agreement under which the Corporation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all of the issued and outstanding common shares of Small Pharma pursuant to a court-approved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change report dated October 25, 2023 with respect to the closing of the Arrangement with Small Pharma;</w:t>
      </w:r>
    </w:p>
    <w:p>
      <w:pPr>
        <w:sectPr>
          <w:pgSz w:w="11900" w:h="16838" w:orient="portrait"/>
          <w:cols w:equalWidth="0" w:num="1">
            <w:col w:w="11240"/>
          </w:cols>
          <w:pgMar w:left="320" w:top="112"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2" w:name="page53"/>
    <w:bookmarkEnd w:id="52"/>
    <w:p>
      <w:pPr>
        <w:jc w:val="both"/>
        <w:ind w:left="1300" w:right="20" w:hanging="320"/>
        <w:spacing w:after="0" w:line="244" w:lineRule="auto"/>
        <w:tabs>
          <w:tab w:leader="none" w:pos="134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November 20, 2023 relating to the firm commitment underwritten offering of units of the Corporation at a price of US$0.45 per unit for gross proceeds of US$30,000,000 pursuant to a prospectus supplement dated November 10, 2023 to the Prospectus; and</w:t>
      </w:r>
    </w:p>
    <w:p>
      <w:pPr>
        <w:spacing w:after="0" w:line="173"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acquisition report dated October 27, 2023 relating to the Arrangement.”</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deleting the section titled “Select Recent Developments” and replacing it with the following:</w:t>
      </w:r>
    </w:p>
    <w:p>
      <w:pPr>
        <w:spacing w:after="0" w:line="15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therein, there have been no material developments in the business of the Corporation since November 14, 2023, the date of the Interim Financial Statements and Interim MD&amp;A.</w:t>
      </w:r>
    </w:p>
    <w:p>
      <w:pPr>
        <w:spacing w:after="0" w:line="17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On November 30, 2023, the Corporation announced positive Phase 2 topline safety and efficacy data for CYB0003, its proprietary deuterated psilocybin analog, being developed for the treatment of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On December 6, 2023, the Corporation announced that the United States Patent and Trademark Office had granted U.S. patent 11,834,410 in support of its CYB003 program. The patent, which is expected to provide exclusivity until at least 2041, includes composition of matter claims to pharmaceutical compositions within the Corporation’s proprietary deuterated psilocybin analog program, CYB003, as well as claims directed toward the therapeutic treatment of MDD, treatment-resistant depression, and alcohol use disorder.”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Prospectus is further amended by deleting the section titled “Use of Proceeds” and replacing it with the following:</w:t>
      </w:r>
    </w:p>
    <w:p>
      <w:pPr>
        <w:spacing w:after="0" w:line="206"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1"/>
          <w:szCs w:val="21"/>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1"/>
          <w:szCs w:val="21"/>
          <w:i w:val="1"/>
          <w:iCs w:val="1"/>
          <w:color w:val="auto"/>
        </w:rPr>
        <w:t>“Risk Factors – Risks Related to an Offering – Discretion over the Use of Proceeds”</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As at December 21, 2023, the Corporation had cash resources, being cash and an HST receivable, of approximately $39,290,000. As at December 21, 2023, the Corporation anticipates that it will require approximately $39,290,000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77"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tbl>
      <w:tblPr>
        <w:tblLayout w:type="fixed"/>
        <w:tblInd w:w="32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12 Month Use</w:t>
            </w:r>
          </w:p>
        </w:tc>
        <w:tc>
          <w:tcPr>
            <w:tcW w:w="19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0" w:type="dxa"/>
            <w:vAlign w:val="bottom"/>
          </w:tcPr>
          <w:p>
            <w:pPr>
              <w:spacing w:after="0"/>
              <w:rPr>
                <w:sz w:val="1"/>
                <w:szCs w:val="1"/>
                <w:color w:val="auto"/>
              </w:rPr>
            </w:pPr>
          </w:p>
        </w:tc>
      </w:tr>
      <w:tr>
        <w:trPr>
          <w:trHeight w:val="225"/>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88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6"/>
                <w:szCs w:val="26"/>
                <w:b w:val="1"/>
                <w:bCs w:val="1"/>
                <w:color w:val="auto"/>
                <w:vertAlign w:val="superscript"/>
              </w:rPr>
              <w:t>(2)(3)</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Timeline for</w:t>
            </w:r>
          </w:p>
        </w:tc>
        <w:tc>
          <w:tcPr>
            <w:tcW w:w="0" w:type="dxa"/>
            <w:vAlign w:val="bottom"/>
          </w:tcPr>
          <w:p>
            <w:pPr>
              <w:spacing w:after="0"/>
              <w:rPr>
                <w:sz w:val="1"/>
                <w:szCs w:val="1"/>
                <w:color w:val="auto"/>
              </w:rPr>
            </w:pPr>
          </w:p>
        </w:tc>
      </w:tr>
      <w:tr>
        <w:trPr>
          <w:trHeight w:val="270"/>
        </w:trPr>
        <w:tc>
          <w:tcPr>
            <w:tcW w:w="5740" w:type="dxa"/>
            <w:vAlign w:val="bottom"/>
            <w:vMerge w:val="continue"/>
          </w:tcPr>
          <w:p>
            <w:pPr>
              <w:spacing w:after="0"/>
              <w:rPr>
                <w:sz w:val="23"/>
                <w:szCs w:val="23"/>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3"/>
                <w:szCs w:val="23"/>
                <w:color w:val="auto"/>
              </w:rPr>
            </w:pPr>
          </w:p>
        </w:tc>
        <w:tc>
          <w:tcPr>
            <w:tcW w:w="1900" w:type="dxa"/>
            <w:vAlign w:val="bottom"/>
            <w:gridSpan w:val="3"/>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09"/>
        </w:trPr>
        <w:tc>
          <w:tcPr>
            <w:tcW w:w="574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Psilocybin Analog Program</w:t>
            </w:r>
          </w:p>
        </w:tc>
        <w:tc>
          <w:tcPr>
            <w:tcW w:w="1700" w:type="dxa"/>
            <w:vAlign w:val="bottom"/>
            <w:tcBorders>
              <w:top w:val="single" w:sz="8" w:color="auto"/>
            </w:tcBorders>
            <w:shd w:val="clear" w:color="auto" w:fill="E6EFFF"/>
          </w:tcPr>
          <w:p>
            <w:pPr>
              <w:spacing w:after="0"/>
              <w:rPr>
                <w:sz w:val="18"/>
                <w:szCs w:val="18"/>
                <w:color w:val="auto"/>
              </w:rPr>
            </w:pPr>
          </w:p>
        </w:tc>
        <w:tc>
          <w:tcPr>
            <w:tcW w:w="180" w:type="dxa"/>
            <w:vAlign w:val="bottom"/>
            <w:tcBorders>
              <w:top w:val="single" w:sz="8" w:color="E6EFFF"/>
            </w:tcBorders>
            <w:shd w:val="clear" w:color="auto" w:fill="E6EFFF"/>
          </w:tcPr>
          <w:p>
            <w:pPr>
              <w:spacing w:after="0"/>
              <w:rPr>
                <w:sz w:val="18"/>
                <w:szCs w:val="18"/>
                <w:color w:val="auto"/>
              </w:rPr>
            </w:pPr>
          </w:p>
        </w:tc>
        <w:tc>
          <w:tcPr>
            <w:tcW w:w="1320" w:type="dxa"/>
            <w:vAlign w:val="bottom"/>
            <w:tcBorders>
              <w:top w:val="single" w:sz="8" w:color="auto"/>
            </w:tcBorders>
            <w:shd w:val="clear" w:color="auto" w:fill="E6EFFF"/>
          </w:tcPr>
          <w:p>
            <w:pPr>
              <w:spacing w:after="0"/>
              <w:rPr>
                <w:sz w:val="18"/>
                <w:szCs w:val="18"/>
                <w:color w:val="auto"/>
              </w:rPr>
            </w:pPr>
          </w:p>
        </w:tc>
        <w:tc>
          <w:tcPr>
            <w:tcW w:w="380" w:type="dxa"/>
            <w:vAlign w:val="bottom"/>
            <w:tcBorders>
              <w:top w:val="single" w:sz="8" w:color="auto"/>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Complete Phase 1/2a topline safety and efficacy data readout for CYB003</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MDD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Complete</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Complete FDA submission of Phase 1/2a data</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893,000</w:t>
            </w:r>
          </w:p>
        </w:tc>
        <w:tc>
          <w:tcPr>
            <w:tcW w:w="1900" w:type="dxa"/>
            <w:vAlign w:val="bottom"/>
            <w:gridSpan w:val="3"/>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Complete</w:t>
            </w:r>
          </w:p>
        </w:tc>
        <w:tc>
          <w:tcPr>
            <w:tcW w:w="0" w:type="dxa"/>
            <w:vAlign w:val="bottom"/>
          </w:tcPr>
          <w:p>
            <w:pPr>
              <w:spacing w:after="0"/>
              <w:rPr>
                <w:sz w:val="1"/>
                <w:szCs w:val="1"/>
                <w:color w:val="auto"/>
              </w:rPr>
            </w:pPr>
          </w:p>
        </w:tc>
      </w:tr>
      <w:tr>
        <w:trPr>
          <w:trHeight w:val="257"/>
        </w:trPr>
        <w:tc>
          <w:tcPr>
            <w:tcW w:w="5740" w:type="dxa"/>
            <w:vAlign w:val="bottom"/>
          </w:tcPr>
          <w:p>
            <w:pPr>
              <w:ind w:left="260"/>
              <w:spacing w:after="0" w:line="256" w:lineRule="exact"/>
              <w:rPr>
                <w:sz w:val="20"/>
                <w:szCs w:val="20"/>
                <w:color w:val="auto"/>
              </w:rPr>
            </w:pPr>
            <w:r>
              <w:rPr>
                <w:rFonts w:ascii="Times New Roman" w:cs="Times New Roman" w:eastAsia="Times New Roman" w:hAnsi="Times New Roman"/>
                <w:sz w:val="18"/>
                <w:szCs w:val="18"/>
                <w:color w:val="auto"/>
              </w:rPr>
              <w:t>Phase 2 data assessing durability of effect of CYB003 at 12 weeks</w:t>
            </w:r>
            <w:r>
              <w:rPr>
                <w:rFonts w:ascii="Times New Roman" w:cs="Times New Roman" w:eastAsia="Times New Roman" w:hAnsi="Times New Roman"/>
                <w:sz w:val="29"/>
                <w:szCs w:val="29"/>
                <w:color w:val="auto"/>
                <w:vertAlign w:val="superscript"/>
              </w:rPr>
              <w:t>(5)</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Initiate a Phase 3 study of CYB003 in MDD</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8,940,000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from Phase 1 CYB004-E trial</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215,000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w w:val="92"/>
              </w:rPr>
              <w:t>2024</w:t>
            </w:r>
            <w:r>
              <w:rPr>
                <w:rFonts w:ascii="Times New Roman" w:cs="Times New Roman" w:eastAsia="Times New Roman" w:hAnsi="Times New Roman"/>
                <w:sz w:val="29"/>
                <w:szCs w:val="29"/>
                <w:color w:val="auto"/>
                <w:w w:val="92"/>
                <w:vertAlign w:val="superscript"/>
              </w:rPr>
              <w:t>(6)</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FDA IND submission</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Initiate a Phase 2 proof-of-concept study</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1,239,000</w:t>
            </w:r>
          </w:p>
        </w:tc>
        <w:tc>
          <w:tcPr>
            <w:tcW w:w="1320" w:type="dxa"/>
            <w:vAlign w:val="bottom"/>
            <w:shd w:val="clear" w:color="auto" w:fill="E6EFFF"/>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Initiate a subcutaneous formulation study</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170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320" w:type="dxa"/>
            <w:vAlign w:val="bottom"/>
            <w:shd w:val="clear" w:color="auto" w:fill="E6EFFF"/>
          </w:tcPr>
          <w:p>
            <w:pPr>
              <w:spacing w:after="0"/>
              <w:rPr>
                <w:sz w:val="18"/>
                <w:szCs w:val="18"/>
                <w:color w:val="auto"/>
              </w:rPr>
            </w:pP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preclinical development of phenethylamine drug candidate</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Q1</w:t>
            </w:r>
          </w:p>
        </w:tc>
        <w:tc>
          <w:tcPr>
            <w:tcW w:w="580" w:type="dxa"/>
            <w:vAlign w:val="bottom"/>
            <w:gridSpan w:val="2"/>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w w:val="92"/>
              </w:rPr>
              <w:t>2024</w:t>
            </w:r>
            <w:r>
              <w:rPr>
                <w:rFonts w:ascii="Times New Roman" w:cs="Times New Roman" w:eastAsia="Times New Roman" w:hAnsi="Times New Roman"/>
                <w:sz w:val="29"/>
                <w:szCs w:val="29"/>
                <w:color w:val="auto"/>
                <w:w w:val="92"/>
                <w:vertAlign w:val="superscript"/>
              </w:rPr>
              <w:t>(7)</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Technology Programs</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spacing w:after="0"/>
              <w:rPr>
                <w:sz w:val="18"/>
                <w:szCs w:val="18"/>
                <w:color w:val="auto"/>
              </w:rPr>
            </w:pPr>
          </w:p>
        </w:tc>
        <w:tc>
          <w:tcPr>
            <w:tcW w:w="58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(8)</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27,082,000</w:t>
            </w:r>
          </w:p>
        </w:tc>
        <w:tc>
          <w:tcPr>
            <w:tcW w:w="132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7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39,290,000</w:t>
            </w:r>
          </w:p>
        </w:tc>
        <w:tc>
          <w:tcPr>
            <w:tcW w:w="1320" w:type="dxa"/>
            <w:vAlign w:val="bottom"/>
            <w:shd w:val="clear" w:color="auto" w:fill="E6EFFF"/>
          </w:tcPr>
          <w:p>
            <w:pPr>
              <w:spacing w:after="0"/>
              <w:rPr>
                <w:sz w:val="18"/>
                <w:szCs w:val="18"/>
                <w:color w:val="auto"/>
              </w:rPr>
            </w:pPr>
          </w:p>
        </w:tc>
        <w:tc>
          <w:tcPr>
            <w:tcW w:w="38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 w:lineRule="exact"/>
        <w:rPr>
          <w:sz w:val="20"/>
          <w:szCs w:val="20"/>
          <w:color w:val="auto"/>
        </w:rPr>
      </w:pPr>
    </w:p>
    <w:p>
      <w:pPr>
        <w:jc w:val="both"/>
        <w:ind w:left="540" w:hanging="332"/>
        <w:spacing w:after="0" w:line="230" w:lineRule="auto"/>
        <w:tabs>
          <w:tab w:leader="none" w:pos="5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ind w:left="560" w:hanging="352"/>
        <w:spacing w:after="0" w:line="230" w:lineRule="auto"/>
        <w:tabs>
          <w:tab w:leader="none" w:pos="5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1.37:1.</w:t>
      </w:r>
    </w:p>
    <w:p>
      <w:pPr>
        <w:ind w:left="540" w:right="20" w:hanging="332"/>
        <w:spacing w:after="0" w:line="230" w:lineRule="auto"/>
        <w:tabs>
          <w:tab w:leader="none" w:pos="5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 as well proceeds from the 2023 ATM Program and August 2023 Prospectus Supplement.</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milestone, being the receipt of Phase 2 data assessing durability of the effect of CYB003 at 12 weeks, is derived from the results of the Corporation’s Phase 1/2a study and, therefore, the Corporation has not allocated additional funds for this milestone.</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Q3/Q4 2023. The Corporation now expects to receive the topline data readout in Q1 2024, due to certain timing issues.</w:t>
      </w:r>
    </w:p>
    <w:p>
      <w:pPr>
        <w:spacing w:after="0" w:line="1" w:lineRule="exact"/>
        <w:rPr>
          <w:rFonts w:ascii="Times New Roman" w:cs="Times New Roman" w:eastAsia="Times New Roman" w:hAnsi="Times New Roman"/>
          <w:sz w:val="22"/>
          <w:szCs w:val="22"/>
          <w:color w:val="auto"/>
        </w:rPr>
      </w:pPr>
    </w:p>
    <w:p>
      <w:pPr>
        <w:jc w:val="both"/>
        <w:ind w:left="540" w:hanging="332"/>
        <w:spacing w:after="0" w:line="230" w:lineRule="auto"/>
        <w:tabs>
          <w:tab w:leader="none" w:pos="5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Q4 2023. Due to the Corporation prioritizing the progression of its Deuterated Psilocybin Analog Program and Deuterated Dimethyltryptamine Program, it now expects to complete preclinical development of a phenethylamine drug candidate in Q1 2024.</w:t>
      </w:r>
    </w:p>
    <w:p>
      <w:pPr>
        <w:spacing w:after="0" w:line="2" w:lineRule="exact"/>
        <w:rPr>
          <w:rFonts w:ascii="Times New Roman" w:cs="Times New Roman" w:eastAsia="Times New Roman" w:hAnsi="Times New Roman"/>
          <w:sz w:val="22"/>
          <w:szCs w:val="22"/>
          <w:color w:val="auto"/>
        </w:rPr>
      </w:pPr>
    </w:p>
    <w:p>
      <w:pPr>
        <w:jc w:val="both"/>
        <w:ind w:left="540" w:hanging="332"/>
        <w:spacing w:after="0" w:line="234" w:lineRule="auto"/>
        <w:tabs>
          <w:tab w:leader="none" w:pos="57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73" w:lineRule="exact"/>
        <w:rPr>
          <w:sz w:val="20"/>
          <w:szCs w:val="20"/>
          <w:color w:val="auto"/>
        </w:rPr>
      </w:pPr>
    </w:p>
    <w:p>
      <w:pPr>
        <w:jc w:val="both"/>
        <w:ind w:left="320"/>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6"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As at December 21,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December 21, 2023 in the amount of approximately $39,290,000.</w:t>
      </w:r>
    </w:p>
    <w:p>
      <w:pPr>
        <w:sectPr>
          <w:pgSz w:w="11900" w:h="16838" w:orient="portrait"/>
          <w:cols w:equalWidth="0" w:num="1">
            <w:col w:w="10900"/>
          </w:cols>
          <w:pgMar w:left="660" w:top="360" w:right="339" w:bottom="1440" w:gutter="0" w:footer="0" w:header="0"/>
        </w:sectPr>
      </w:pPr>
    </w:p>
    <w:p>
      <w:pPr>
        <w:spacing w:after="0" w:line="1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168275</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660" w:top="360" w:right="339" w:bottom="1440" w:gutter="0" w:footer="0" w:header="0"/>
          <w:type w:val="continuous"/>
        </w:sectPr>
      </w:pPr>
    </w:p>
    <w:bookmarkStart w:id="54" w:name="page55"/>
    <w:bookmarkEnd w:id="54"/>
    <w:p>
      <w:pPr>
        <w:jc w:val="both"/>
        <w:ind w:left="660"/>
        <w:spacing w:after="0" w:line="260"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5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or incorporated by reference in, this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210"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1"/>
          <w:szCs w:val="21"/>
          <w:i w:val="1"/>
          <w:iCs w:val="1"/>
          <w:color w:val="auto"/>
        </w:rPr>
        <w:t>“Risk Factors – Risks Related to an Offering - Negative Operating Cash Flow and Going Concern”.</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Prospectus is further amended by adding the following as the second paragraph under the section titled “Auditors, Transfer Agent and Registrar”:</w:t>
      </w:r>
    </w:p>
    <w:p>
      <w:pPr>
        <w:spacing w:after="0" w:line="158"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1"/>
          <w:szCs w:val="21"/>
          <w:color w:val="auto"/>
        </w:rPr>
        <w:t>MNP LLP, Chartered Professional Accountants, are the former auditors of Small Pharma and have confirmed that they are independent of Small Pharma within the meaning of the relevant rules and related interpretations prescribed by the relevant professional bodies in Canada and any applicable legislation or regulation. Neither MNP LLP nor any designated professional thereof, had any registered or beneficial interest in any securities or other property of Small Pharma at the time they prepared the relevant financial statements incorporated by reference in this Prospectus or at any time thereafter.”</w:t>
      </w:r>
    </w:p>
    <w:p>
      <w:pPr>
        <w:spacing w:after="0" w:line="1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August 17, 2023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the Prospectus and the documents incorporated or deemed to be incorporated by reference therein, including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the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a registration statement of which this Prospectus forms a part,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jc w:val="both"/>
        <w:spacing w:after="0" w:line="238" w:lineRule="auto"/>
        <w:rPr>
          <w:sz w:val="20"/>
          <w:szCs w:val="20"/>
          <w:color w:val="auto"/>
        </w:rPr>
      </w:pPr>
      <w:r>
        <w:rPr>
          <w:rFonts w:ascii="Times New Roman" w:cs="Times New Roman" w:eastAsia="Times New Roman" w:hAnsi="Times New Roman"/>
          <w:sz w:val="22"/>
          <w:szCs w:val="22"/>
          <w:i w:val="1"/>
          <w:iCs w:val="1"/>
          <w:color w:val="FF0000"/>
        </w:rPr>
        <w:t>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87" w:lineRule="exact"/>
        <w:rPr>
          <w:sz w:val="20"/>
          <w:szCs w:val="20"/>
          <w:color w:val="auto"/>
        </w:rPr>
      </w:pPr>
    </w:p>
    <w:p>
      <w:pPr>
        <w:spacing w:after="0"/>
        <w:tabs>
          <w:tab w:leader="none" w:pos="10020" w:val="left"/>
        </w:tabs>
        <w:rPr>
          <w:sz w:val="20"/>
          <w:szCs w:val="20"/>
          <w:color w:val="auto"/>
        </w:rPr>
      </w:pPr>
      <w:r>
        <w:rPr>
          <w:rFonts w:ascii="Times New Roman" w:cs="Times New Roman" w:eastAsia="Times New Roman" w:hAnsi="Times New Roman"/>
          <w:sz w:val="18"/>
          <w:szCs w:val="18"/>
          <w:u w:val="single" w:color="auto"/>
          <w:color w:val="auto"/>
        </w:rPr>
        <w:t>New Issue</w:t>
      </w:r>
      <w:r>
        <w:rPr>
          <w:sz w:val="20"/>
          <w:szCs w:val="20"/>
          <w:color w:val="auto"/>
        </w:rPr>
        <w:tab/>
      </w:r>
      <w:r>
        <w:rPr>
          <w:rFonts w:ascii="Times New Roman" w:cs="Times New Roman" w:eastAsia="Times New Roman" w:hAnsi="Times New Roman"/>
          <w:sz w:val="18"/>
          <w:szCs w:val="18"/>
          <w:color w:val="auto"/>
        </w:rPr>
        <w:t>August 17, 2023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150495</wp:posOffset>
            </wp:positionV>
            <wp:extent cx="1405890" cy="840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$160,000,000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$160,000,000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7" w:name="page58"/>
    <w:bookmarkEnd w:id="57"/>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The Securities may be sold through underwriters or dealers, directly by the Corporation pursuant to applicable statutory exemptions, or through designated agents from time to time. See </w:t>
      </w:r>
      <w:r>
        <w:rPr>
          <w:rFonts w:ascii="Times New Roman" w:cs="Times New Roman" w:eastAsia="Times New Roman" w:hAnsi="Times New Roman"/>
          <w:sz w:val="21"/>
          <w:szCs w:val="21"/>
          <w:i w:val="1"/>
          <w:iCs w:val="1"/>
          <w:color w:val="auto"/>
        </w:rPr>
        <w:t>"Plan of Distribution".</w:t>
      </w:r>
      <w:r>
        <w:rPr>
          <w:rFonts w:ascii="Times New Roman" w:cs="Times New Roman" w:eastAsia="Times New Roman" w:hAnsi="Times New Roman"/>
          <w:sz w:val="21"/>
          <w:szCs w:val="21"/>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 at prices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Times New Roman" w:cs="Times New Roman" w:eastAsia="Times New Roman" w:hAnsi="Times New Roman"/>
          <w:sz w:val="22"/>
          <w:szCs w:val="22"/>
          <w:b w:val="1"/>
          <w:bCs w:val="1"/>
          <w:color w:val="auto"/>
        </w:rPr>
        <w:t>NEO</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NEO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August 16, 2023, the last trading day prior to the filing of this Prospectus, the closing prices of the Common Shares listed on the NEO and the NYSE American were $0.44 and US$0.323, respectively.</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 Risks Related to an Offering - Enforcement of Civil Liabilities"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9317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51"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3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psilocybin is currently a Schedule III drug. Under the CSA, psilocybin is currently a Schedule I drug.</w:t>
      </w:r>
    </w:p>
    <w:p>
      <w:pPr>
        <w:spacing w:after="0" w:line="144"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39" w:lineRule="exact"/>
        <w:rPr>
          <w:sz w:val="20"/>
          <w:szCs w:val="20"/>
          <w:color w:val="auto"/>
        </w:rPr>
      </w:pPr>
    </w:p>
    <w:p>
      <w:pPr>
        <w:jc w:val="both"/>
        <w:ind w:left="120" w:right="100"/>
        <w:spacing w:after="0" w:line="257"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83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146050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gridSpan w:val="4"/>
          </w:tcPr>
          <w:p>
            <w:pPr>
              <w:ind w:left="246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GENERAL MATTERS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BEING DISTRIBUTED</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29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3"/>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EEEEEE"/>
            </w:tcBorders>
          </w:tcPr>
          <w:p>
            <w:pPr>
              <w:spacing w:after="0"/>
              <w:rPr>
                <w:sz w:val="24"/>
                <w:szCs w:val="24"/>
                <w:color w:val="auto"/>
              </w:rPr>
            </w:pPr>
          </w:p>
        </w:tc>
        <w:tc>
          <w:tcPr>
            <w:tcW w:w="116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spacing w:after="0"/>
              <w:rPr>
                <w:sz w:val="24"/>
                <w:szCs w:val="24"/>
                <w:color w:val="auto"/>
              </w:rPr>
            </w:pPr>
          </w:p>
        </w:tc>
        <w:tc>
          <w:tcPr>
            <w:tcW w:w="2440" w:type="dxa"/>
            <w:vAlign w:val="bottom"/>
            <w:tcBorders>
              <w:top w:val="single" w:sz="8" w:color="EEEEEE"/>
            </w:tcBorders>
          </w:tcPr>
          <w:p>
            <w:pPr>
              <w:spacing w:after="0"/>
              <w:rPr>
                <w:sz w:val="24"/>
                <w:szCs w:val="24"/>
                <w:color w:val="auto"/>
              </w:rPr>
            </w:pPr>
          </w:p>
        </w:tc>
        <w:tc>
          <w:tcPr>
            <w:tcW w:w="2720" w:type="dxa"/>
            <w:vAlign w:val="bottom"/>
            <w:tcBorders>
              <w:top w:val="single" w:sz="8" w:color="EEEE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40" w:type="dxa"/>
            <w:vAlign w:val="bottom"/>
            <w:shd w:val="clear" w:color="auto" w:fill="000000"/>
          </w:tcPr>
          <w:p>
            <w:pPr>
              <w:spacing w:after="0"/>
              <w:rPr>
                <w:sz w:val="6"/>
                <w:szCs w:val="6"/>
                <w:color w:val="auto"/>
              </w:rPr>
            </w:pPr>
          </w:p>
        </w:tc>
        <w:tc>
          <w:tcPr>
            <w:tcW w:w="27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21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0000FF"/>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58" w:lineRule="exact"/>
        <w:rPr>
          <w:sz w:val="20"/>
          <w:szCs w:val="20"/>
          <w:color w:val="auto"/>
        </w:rPr>
      </w:pPr>
    </w:p>
    <w:p>
      <w:pPr>
        <w:jc w:val="center"/>
        <w:ind w:right="40"/>
        <w:spacing w:after="0" w:line="435" w:lineRule="auto"/>
        <w:rPr>
          <w:sz w:val="20"/>
          <w:szCs w:val="20"/>
          <w:color w:val="auto"/>
        </w:rPr>
      </w:pPr>
      <w:r>
        <w:rPr>
          <w:rFonts w:ascii="Times New Roman" w:cs="Times New Roman" w:eastAsia="Times New Roman" w:hAnsi="Times New Roman"/>
          <w:sz w:val="22"/>
          <w:szCs w:val="22"/>
          <w:color w:val="auto"/>
        </w:rPr>
        <w:t xml:space="preserve">In this Prospectus, unless stated otherwise or the context requires otherwise, all dollar amounts are expressed in Canadian dollars. </w:t>
      </w:r>
      <w:r>
        <w:rPr>
          <w:rFonts w:ascii="Times New Roman" w:cs="Times New Roman" w:eastAsia="Times New Roman" w:hAnsi="Times New Roman"/>
          <w:sz w:val="22"/>
          <w:szCs w:val="22"/>
          <w:b w:val="1"/>
          <w:bCs w:val="1"/>
          <w:color w:val="auto"/>
        </w:rPr>
        <w:t>CAUTIONARY NOTE REGARDING FORWARD-LOOKING INFORMATION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jc w:val="both"/>
        <w:spacing w:after="0" w:line="231" w:lineRule="auto"/>
        <w:rPr>
          <w:sz w:val="20"/>
          <w:szCs w:val="20"/>
          <w:color w:val="auto"/>
        </w:rPr>
      </w:pPr>
      <w:r>
        <w:rPr>
          <w:rFonts w:ascii="Times New Roman" w:cs="Times New Roman" w:eastAsia="Times New Roman" w:hAnsi="Times New Roman"/>
          <w:sz w:val="22"/>
          <w:szCs w:val="22"/>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80" w:lineRule="exact"/>
        <w:rPr>
          <w:sz w:val="20"/>
          <w:szCs w:val="20"/>
          <w:color w:val="auto"/>
        </w:rPr>
      </w:pPr>
    </w:p>
    <w:p>
      <w:pPr>
        <w:ind w:left="660" w:hanging="328"/>
        <w:spacing w:after="0" w:line="241" w:lineRule="auto"/>
        <w:tabs>
          <w:tab w:leader="none" w:pos="67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60" w:hanging="328"/>
        <w:spacing w:after="0" w:line="230" w:lineRule="auto"/>
        <w:tabs>
          <w:tab w:leader="none" w:pos="67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7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7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hanging="328"/>
        <w:spacing w:after="0" w:line="230" w:lineRule="auto"/>
        <w:tabs>
          <w:tab w:leader="none" w:pos="67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60" w:hanging="328"/>
        <w:spacing w:after="0" w:line="230"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sectPr>
          <w:pgSz w:w="11900" w:h="16838" w:orient="portrait"/>
          <w:cols w:equalWidth="0" w:num="1">
            <w:col w:w="11240"/>
          </w:cols>
          <w:pgMar w:left="320" w:top="112"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4" w:name="page65"/>
    <w:bookmarkEnd w:id="64"/>
    <w:p>
      <w:pPr>
        <w:ind w:left="660" w:right="20" w:hanging="328"/>
        <w:spacing w:after="0" w:line="259" w:lineRule="auto"/>
        <w:tabs>
          <w:tab w:leader="none" w:pos="67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2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54" w:lineRule="exact"/>
        <w:rPr>
          <w:sz w:val="20"/>
          <w:szCs w:val="20"/>
          <w:color w:val="auto"/>
        </w:rPr>
      </w:pPr>
    </w:p>
    <w:p>
      <w:pPr>
        <w:ind w:left="660" w:hanging="396"/>
        <w:spacing w:after="0" w:line="262" w:lineRule="auto"/>
        <w:tabs>
          <w:tab w:leader="none" w:pos="6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27, 2023 for the year ended March 31, 2023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 ended March 31, 2023, together with the auditor’s report thereon;</w:t>
      </w:r>
    </w:p>
    <w:p>
      <w:pPr>
        <w:spacing w:after="0" w:line="158" w:lineRule="exact"/>
        <w:rPr>
          <w:rFonts w:ascii="Times New Roman" w:cs="Times New Roman" w:eastAsia="Times New Roman" w:hAnsi="Times New Roman"/>
          <w:sz w:val="22"/>
          <w:szCs w:val="22"/>
          <w:color w:val="auto"/>
        </w:rPr>
      </w:pPr>
    </w:p>
    <w:p>
      <w:pPr>
        <w:ind w:left="680" w:hanging="416"/>
        <w:spacing w:after="0"/>
        <w:tabs>
          <w:tab w:leader="none" w:pos="6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2023;</w:t>
      </w:r>
    </w:p>
    <w:p>
      <w:pPr>
        <w:spacing w:after="0" w:line="206"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2023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54" w:lineRule="exact"/>
        <w:rPr>
          <w:rFonts w:ascii="Times New Roman" w:cs="Times New Roman" w:eastAsia="Times New Roman" w:hAnsi="Times New Roman"/>
          <w:sz w:val="22"/>
          <w:szCs w:val="22"/>
          <w:color w:val="auto"/>
        </w:rPr>
      </w:pPr>
    </w:p>
    <w:p>
      <w:pPr>
        <w:ind w:left="660" w:right="20" w:hanging="396"/>
        <w:spacing w:after="0" w:line="262" w:lineRule="auto"/>
        <w:tabs>
          <w:tab w:leader="none" w:pos="6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2023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660" w:hanging="396"/>
        <w:spacing w:after="0" w:line="258" w:lineRule="auto"/>
        <w:tabs>
          <w:tab w:leader="none" w:pos="6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13, 2022 relating to an annual meeting of shareholders of the Corporation held on August 15, 2022;</w:t>
      </w:r>
    </w:p>
    <w:p>
      <w:pPr>
        <w:spacing w:after="0" w:line="158" w:lineRule="exact"/>
        <w:rPr>
          <w:rFonts w:ascii="Times New Roman" w:cs="Times New Roman" w:eastAsia="Times New Roman" w:hAnsi="Times New Roman"/>
          <w:sz w:val="22"/>
          <w:szCs w:val="22"/>
          <w:color w:val="auto"/>
        </w:rPr>
      </w:pPr>
    </w:p>
    <w:p>
      <w:pPr>
        <w:jc w:val="both"/>
        <w:ind w:left="660" w:hanging="396"/>
        <w:spacing w:after="0" w:line="238" w:lineRule="auto"/>
        <w:tabs>
          <w:tab w:leader="none" w:pos="6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May 31, 2023 relating to the sale of up to US$30,000,000 of Common Shares to Lincoln Park Capital Fund, LLC (the “</w:t>
      </w:r>
      <w:r>
        <w:rPr>
          <w:rFonts w:ascii="Times New Roman" w:cs="Times New Roman" w:eastAsia="Times New Roman" w:hAnsi="Times New Roman"/>
          <w:sz w:val="22"/>
          <w:szCs w:val="22"/>
          <w:b w:val="1"/>
          <w:bCs w:val="1"/>
          <w:color w:val="auto"/>
        </w:rPr>
        <w:t>Investor</w:t>
      </w:r>
      <w:r>
        <w:rPr>
          <w:rFonts w:ascii="Times New Roman" w:cs="Times New Roman" w:eastAsia="Times New Roman" w:hAnsi="Times New Roman"/>
          <w:sz w:val="22"/>
          <w:szCs w:val="22"/>
          <w:color w:val="auto"/>
        </w:rPr>
        <w:t>”), upon the terms and subject to the conditions contained in the purchase agreement dated May 30, 2023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and made pursuant to and qualified by a prospectus supplement dated May 30, 2023 (the “</w:t>
      </w:r>
      <w:r>
        <w:rPr>
          <w:rFonts w:ascii="Times New Roman" w:cs="Times New Roman" w:eastAsia="Times New Roman" w:hAnsi="Times New Roman"/>
          <w:sz w:val="22"/>
          <w:szCs w:val="22"/>
          <w:b w:val="1"/>
          <w:bCs w:val="1"/>
          <w:color w:val="auto"/>
        </w:rPr>
        <w:t>May 2023 Prospectus Supplement</w:t>
      </w:r>
      <w:r>
        <w:rPr>
          <w:rFonts w:ascii="Times New Roman" w:cs="Times New Roman" w:eastAsia="Times New Roman" w:hAnsi="Times New Roman"/>
          <w:sz w:val="22"/>
          <w:szCs w:val="22"/>
          <w:color w:val="auto"/>
        </w:rPr>
        <w:t>”), to the Corporation’s short form base shelf prospectus dated July 5, 2021 (the “</w:t>
      </w:r>
      <w:r>
        <w:rPr>
          <w:rFonts w:ascii="Times New Roman" w:cs="Times New Roman" w:eastAsia="Times New Roman" w:hAnsi="Times New Roman"/>
          <w:sz w:val="22"/>
          <w:szCs w:val="22"/>
          <w:b w:val="1"/>
          <w:bCs w:val="1"/>
          <w:color w:val="auto"/>
        </w:rPr>
        <w:t>2021 Base Shelf Prospectus</w:t>
      </w:r>
      <w:r>
        <w:rPr>
          <w:rFonts w:ascii="Times New Roman" w:cs="Times New Roman" w:eastAsia="Times New Roman" w:hAnsi="Times New Roman"/>
          <w:sz w:val="22"/>
          <w:szCs w:val="22"/>
          <w:color w:val="auto"/>
        </w:rPr>
        <w:t>”); and</w:t>
      </w:r>
    </w:p>
    <w:p>
      <w:pPr>
        <w:spacing w:after="0" w:line="176" w:lineRule="exact"/>
        <w:rPr>
          <w:rFonts w:ascii="Times New Roman" w:cs="Times New Roman" w:eastAsia="Times New Roman" w:hAnsi="Times New Roman"/>
          <w:sz w:val="22"/>
          <w:szCs w:val="22"/>
          <w:color w:val="auto"/>
        </w:rPr>
      </w:pPr>
    </w:p>
    <w:p>
      <w:pPr>
        <w:jc w:val="both"/>
        <w:ind w:left="660" w:hanging="396"/>
        <w:spacing w:after="0" w:line="244" w:lineRule="auto"/>
        <w:tabs>
          <w:tab w:leader="none" w:pos="68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August 8, 2023 relating to the public offering of 24,264,706 units of the Corporation (the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at a price of US$0.34 per Unit for gross proceeds of US$8,250,000 pursuant to a prospectus supplement dated August 1, 2023 to the 2021 Base Shelf Prospectus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7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of which this Prospectus forms a part. In addition, any other report on Form 6-K and the exhibits thereto filed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ectPr>
          <w:pgSz w:w="11900" w:h="16838" w:orient="portrait"/>
          <w:cols w:equalWidth="0" w:num="1">
            <w:col w:w="11240"/>
          </w:cols>
          <w:pgMar w:left="320" w:top="108" w:right="339" w:bottom="823"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823" w:gutter="0" w:footer="0" w:header="0"/>
          <w:type w:val="continuous"/>
        </w:sectPr>
      </w:pPr>
    </w:p>
    <w:bookmarkStart w:id="66" w:name="page67"/>
    <w:bookmarkEnd w:id="66"/>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0000FF"/>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0000FF"/>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novel formulation approaches and treatment regimens.</w:t>
      </w:r>
      <w:r>
        <w:rPr>
          <w:rFonts w:ascii="Times New Roman" w:cs="Times New Roman" w:eastAsia="Times New Roman" w:hAnsi="Times New Roman"/>
          <w:sz w:val="35"/>
          <w:szCs w:val="35"/>
          <w:color w:val="auto"/>
          <w:vertAlign w:val="superscript"/>
        </w:rPr>
        <w:t>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jc w:val="both"/>
        <w:spacing w:after="0" w:line="251"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psilocybin analog, CYB004, a deuterated version of N, N-dimethyltryptamine ("</w:t>
      </w:r>
      <w:r>
        <w:rPr>
          <w:rFonts w:ascii="Times New Roman" w:cs="Times New Roman" w:eastAsia="Times New Roman" w:hAnsi="Times New Roman"/>
          <w:sz w:val="21"/>
          <w:szCs w:val="21"/>
          <w:b w:val="1"/>
          <w:bCs w:val="1"/>
          <w:color w:val="auto"/>
        </w:rPr>
        <w:t>DMT</w:t>
      </w:r>
      <w:r>
        <w:rPr>
          <w:rFonts w:ascii="Times New Roman" w:cs="Times New Roman" w:eastAsia="Times New Roman" w:hAnsi="Times New Roman"/>
          <w:sz w:val="21"/>
          <w:szCs w:val="21"/>
          <w:color w:val="auto"/>
        </w:rPr>
        <w:t>"), CYB005, phenethylamine derivatives, and an expansive list of preclinical molecules to facilitate future drug development opportunities.</w:t>
      </w:r>
    </w:p>
    <w:p>
      <w:pPr>
        <w:spacing w:after="0" w:line="169" w:lineRule="exact"/>
        <w:rPr>
          <w:sz w:val="20"/>
          <w:szCs w:val="20"/>
          <w:color w:val="auto"/>
        </w:rPr>
      </w:pPr>
    </w:p>
    <w:p>
      <w:pPr>
        <w:jc w:val="both"/>
        <w:ind w:firstLine="54"/>
        <w:spacing w:after="0" w:line="258" w:lineRule="auto"/>
        <w:rPr>
          <w:sz w:val="20"/>
          <w:szCs w:val="20"/>
          <w:color w:val="auto"/>
        </w:rPr>
      </w:pPr>
      <w:r>
        <w:rPr>
          <w:rFonts w:ascii="Times New Roman" w:cs="Times New Roman" w:eastAsia="Times New Roman" w:hAnsi="Times New Roman"/>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 ("</w:t>
      </w:r>
      <w:r>
        <w:rPr>
          <w:rFonts w:ascii="Times New Roman" w:cs="Times New Roman" w:eastAsia="Times New Roman" w:hAnsi="Times New Roman"/>
          <w:sz w:val="22"/>
          <w:szCs w:val="22"/>
          <w:b w:val="1"/>
          <w:bCs w:val="1"/>
          <w:color w:val="auto"/>
        </w:rPr>
        <w:t>SC</w:t>
      </w:r>
      <w:r>
        <w:rPr>
          <w:rFonts w:ascii="Times New Roman" w:cs="Times New Roman" w:eastAsia="Times New Roman" w:hAnsi="Times New Roman"/>
          <w:sz w:val="22"/>
          <w:szCs w:val="22"/>
          <w:color w:val="auto"/>
        </w:rPr>
        <w:t>") administration.</w:t>
      </w:r>
      <w:r>
        <w:rPr>
          <w:rFonts w:ascii="Times New Roman" w:cs="Times New Roman" w:eastAsia="Times New Roman" w:hAnsi="Times New Roman"/>
          <w:sz w:val="35"/>
          <w:szCs w:val="35"/>
          <w:color w:val="auto"/>
          <w:vertAlign w:val="superscript"/>
        </w:rPr>
        <w:t>2</w:t>
      </w:r>
    </w:p>
    <w:p>
      <w:pPr>
        <w:spacing w:after="0" w:line="8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The Corporation is also developing compounds that may have the potential to address neuroinflammation</w:t>
      </w: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central nervous system disorders, and psychiatric disorders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 please see the Corporation’s Annual Information Form and Interim MD&amp;A incorporated by reference into this Prospectus.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17" w:lineRule="exact"/>
        <w:rPr>
          <w:sz w:val="20"/>
          <w:szCs w:val="20"/>
          <w:color w:val="auto"/>
        </w:rPr>
      </w:pPr>
    </w:p>
    <w:p>
      <w:pPr>
        <w:jc w:val="both"/>
        <w:ind w:firstLine="8"/>
        <w:spacing w:after="0" w:line="217" w:lineRule="auto"/>
        <w:tabs>
          <w:tab w:leader="none" w:pos="135"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0" w:lineRule="auto"/>
        <w:rPr>
          <w:sz w:val="20"/>
          <w:szCs w:val="20"/>
          <w:color w:val="auto"/>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18"/>
          <w:szCs w:val="18"/>
          <w:color w:val="auto"/>
        </w:rPr>
        <w:t xml:space="preserve"> See footnote 1.</w:t>
      </w:r>
    </w:p>
    <w:p>
      <w:pPr>
        <w:ind w:left="160" w:hanging="152"/>
        <w:spacing w:after="0" w:line="183" w:lineRule="auto"/>
        <w:tabs>
          <w:tab w:leader="none" w:pos="160" w:val="left"/>
        </w:tabs>
        <w:numPr>
          <w:ilvl w:val="0"/>
          <w:numId w:val="2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See footnote 1.</w:t>
      </w:r>
    </w:p>
    <w:p>
      <w:pPr>
        <w:spacing w:after="0" w:line="40" w:lineRule="exact"/>
        <w:rPr>
          <w:rFonts w:ascii="Times New Roman" w:cs="Times New Roman" w:eastAsia="Times New Roman" w:hAnsi="Times New Roman"/>
          <w:sz w:val="35"/>
          <w:szCs w:val="35"/>
          <w:color w:val="auto"/>
          <w:vertAlign w:val="superscript"/>
        </w:rPr>
      </w:pPr>
    </w:p>
    <w:p>
      <w:pPr>
        <w:spacing w:after="0" w:line="182" w:lineRule="auto"/>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r>
        <w:rPr>
          <w:rFonts w:ascii="Times New Roman" w:cs="Times New Roman" w:eastAsia="Times New Roman" w:hAnsi="Times New Roman"/>
          <w:sz w:val="21"/>
          <w:szCs w:val="21"/>
          <w:b w:val="1"/>
          <w:bCs w:val="1"/>
          <w:color w:val="auto"/>
        </w:rPr>
        <w:t>.</w:t>
      </w:r>
    </w:p>
    <w:p>
      <w:pPr>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See footnote 1</w:t>
      </w:r>
      <w:r>
        <w:rPr>
          <w:rFonts w:ascii="Times New Roman" w:cs="Times New Roman" w:eastAsia="Times New Roman" w:hAnsi="Times New Roman"/>
          <w:sz w:val="22"/>
          <w:szCs w:val="22"/>
          <w:b w:val="1"/>
          <w:bCs w:val="1"/>
          <w:color w:val="auto"/>
        </w:rPr>
        <w: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118110</wp:posOffset>
            </wp:positionV>
            <wp:extent cx="2991485" cy="31546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914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206" w:lineRule="exact"/>
        <w:rPr>
          <w:sz w:val="20"/>
          <w:szCs w:val="20"/>
          <w:color w:val="auto"/>
        </w:rPr>
      </w:pPr>
    </w:p>
    <w:p>
      <w:pPr>
        <w:jc w:val="both"/>
        <w:ind w:left="1420" w:right="1080" w:hanging="278"/>
        <w:spacing w:after="0" w:line="241" w:lineRule="auto"/>
        <w:tabs>
          <w:tab w:leader="none" w:pos="145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Adelia Therapeutics Inc.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hold certain non-voting securities of Cybin U.S. issued in connection with the acquisition of Adelia on December 14, 2020 (the "</w:t>
      </w:r>
      <w:r>
        <w:rPr>
          <w:rFonts w:ascii="Times New Roman" w:cs="Times New Roman" w:eastAsia="Times New Roman" w:hAnsi="Times New Roman"/>
          <w:sz w:val="22"/>
          <w:szCs w:val="22"/>
          <w:b w:val="1"/>
          <w:bCs w:val="1"/>
          <w:color w:val="auto"/>
        </w:rPr>
        <w:t>Adelia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For additional information in respect of the Adelia Transaction, please see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Information Form incorporated by reference in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jc w:val="both"/>
        <w:spacing w:after="0" w:line="233" w:lineRule="auto"/>
        <w:rPr>
          <w:sz w:val="20"/>
          <w:szCs w:val="20"/>
          <w:color w:val="auto"/>
        </w:rPr>
      </w:pPr>
      <w:r>
        <w:rPr>
          <w:rFonts w:ascii="Times New Roman" w:cs="Times New Roman" w:eastAsia="Times New Roman" w:hAnsi="Times New Roman"/>
          <w:sz w:val="22"/>
          <w:szCs w:val="22"/>
          <w:color w:val="auto"/>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June 29, 2023, the Corporation announced the appointment of Aaron Bartlone as Chief Operating Officer, effective July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2023. Mr. Bartlone has served as Chief Operating Officer of Cybin’s U.S. subsidiary, Cybin US Holdings, Inc., since March</w:t>
      </w:r>
    </w:p>
    <w:p>
      <w:pPr>
        <w:spacing w:after="0" w:line="230" w:lineRule="auto"/>
        <w:rPr>
          <w:sz w:val="20"/>
          <w:szCs w:val="20"/>
          <w:color w:val="auto"/>
        </w:rPr>
      </w:pPr>
      <w:r>
        <w:rPr>
          <w:rFonts w:ascii="Times New Roman" w:cs="Times New Roman" w:eastAsia="Times New Roman" w:hAnsi="Times New Roman"/>
          <w:sz w:val="22"/>
          <w:szCs w:val="22"/>
          <w:color w:val="auto"/>
        </w:rPr>
        <w:t>2021. Mr. Bartlone is a United States resident and currently holds 701,070 Common Shares and options exercisable into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1,315,000 Common Shares.</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August 5, 2023, the Corporation’s at-the-market equity program to issue and sell up to US$35,000,000 of Common Shares (the “</w:t>
      </w:r>
      <w:r>
        <w:rPr>
          <w:rFonts w:ascii="Times New Roman" w:cs="Times New Roman" w:eastAsia="Times New Roman" w:hAnsi="Times New Roman"/>
          <w:sz w:val="22"/>
          <w:szCs w:val="22"/>
          <w:b w:val="1"/>
          <w:bCs w:val="1"/>
          <w:color w:val="auto"/>
        </w:rPr>
        <w:t>ATM Program</w:t>
      </w:r>
      <w:r>
        <w:rPr>
          <w:rFonts w:ascii="Times New Roman" w:cs="Times New Roman" w:eastAsia="Times New Roman" w:hAnsi="Times New Roman"/>
          <w:sz w:val="22"/>
          <w:szCs w:val="22"/>
          <w:color w:val="auto"/>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rFonts w:ascii="Times New Roman" w:cs="Times New Roman" w:eastAsia="Times New Roman" w:hAnsi="Times New Roman"/>
          <w:sz w:val="22"/>
          <w:szCs w:val="22"/>
          <w:b w:val="1"/>
          <w:bCs w:val="1"/>
          <w:color w:val="auto"/>
        </w:rPr>
        <w:t>MDD</w:t>
      </w:r>
      <w:r>
        <w:rPr>
          <w:rFonts w:ascii="Times New Roman" w:cs="Times New Roman" w:eastAsia="Times New Roman" w:hAnsi="Times New Roman"/>
          <w:sz w:val="22"/>
          <w:szCs w:val="22"/>
          <w:color w:val="auto"/>
        </w:rPr>
        <w:t>”) and treatment-resistant depression.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On August 17, 2023, the Corporation announced that it has initiated preparations for good manufacturing practices (“</w:t>
      </w:r>
      <w:r>
        <w:rPr>
          <w:rFonts w:ascii="Times New Roman" w:cs="Times New Roman" w:eastAsia="Times New Roman" w:hAnsi="Times New Roman"/>
          <w:sz w:val="22"/>
          <w:szCs w:val="22"/>
          <w:b w:val="1"/>
          <w:bCs w:val="1"/>
          <w:color w:val="auto"/>
        </w:rPr>
        <w:t>GMP</w:t>
      </w:r>
      <w:r>
        <w:rPr>
          <w:rFonts w:ascii="Times New Roman" w:cs="Times New Roman" w:eastAsia="Times New Roman" w:hAnsi="Times New Roman"/>
          <w:sz w:val="22"/>
          <w:szCs w:val="22"/>
          <w:color w:val="auto"/>
        </w:rPr>
        <w:t>”) production of a capsule formulation of CYB003, its proprietary deuterated psilocybin analog in development for the potential treatment of MDD.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 This exemption allows the holder to possess and use the controlled substance without being subject to the restrictions set out in the CDSA.</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6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Times New Roman" w:cs="Times New Roman" w:eastAsia="Times New Roman" w:hAnsi="Times New Roman"/>
          <w:sz w:val="21"/>
          <w:szCs w:val="21"/>
          <w:b w:val="1"/>
          <w:bCs w:val="1"/>
          <w:color w:val="auto"/>
        </w:rPr>
        <w:t>IND</w:t>
      </w:r>
      <w:r>
        <w:rPr>
          <w:rFonts w:ascii="Times New Roman" w:cs="Times New Roman" w:eastAsia="Times New Roman" w:hAnsi="Times New Roman"/>
          <w:sz w:val="21"/>
          <w:szCs w:val="21"/>
          <w:color w:val="auto"/>
        </w:rPr>
        <w:t>”) related to its Deuterated Psilocybin Analog Program upon</w:t>
      </w:r>
    </w:p>
    <w:p>
      <w:pPr>
        <w:spacing w:after="0" w:line="1"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completion of its pre-clinical studies and CMC development.</w:t>
      </w: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Anticipated timelines related to regulatory filings are based on reasonable assumptions informed by current knowledge and information available to the Corporation.</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1" w:lineRule="exact"/>
        <w:rPr>
          <w:sz w:val="20"/>
          <w:szCs w:val="20"/>
          <w:color w:val="auto"/>
        </w:rPr>
      </w:pPr>
    </w:p>
    <w:p>
      <w:pPr>
        <w:jc w:val="both"/>
        <w:ind w:firstLine="8"/>
        <w:spacing w:after="0" w:line="216" w:lineRule="auto"/>
        <w:tabs>
          <w:tab w:leader="none" w:pos="148"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ectPr>
          <w:pgSz w:w="11900" w:h="16838" w:orient="portrait"/>
          <w:cols w:equalWidth="0" w:num="1">
            <w:col w:w="11240"/>
          </w:cols>
          <w:pgMar w:left="320" w:top="112"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3" w:name="page74"/>
    <w:bookmarkEnd w:id="73"/>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controlled drugs legislation in the United Kingdom is the Misuse of Drugs Act 1971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previously disclosed that it intended to file a clinical trial application with the United Kingdom Medicines and Healthcare products Regulatory Agency (the "</w:t>
      </w:r>
      <w:r>
        <w:rPr>
          <w:rFonts w:ascii="Times New Roman" w:cs="Times New Roman" w:eastAsia="Times New Roman" w:hAnsi="Times New Roman"/>
          <w:sz w:val="22"/>
          <w:szCs w:val="22"/>
          <w:b w:val="1"/>
          <w:bCs w:val="1"/>
          <w:color w:val="auto"/>
        </w:rPr>
        <w:t>MHRA</w:t>
      </w:r>
      <w:r>
        <w:rPr>
          <w:rFonts w:ascii="Times New Roman" w:cs="Times New Roman" w:eastAsia="Times New Roman" w:hAnsi="Times New Roman"/>
          <w:sz w:val="22"/>
          <w:szCs w:val="22"/>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7</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17" w:lineRule="exact"/>
        <w:rPr>
          <w:sz w:val="20"/>
          <w:szCs w:val="20"/>
          <w:color w:val="auto"/>
        </w:rPr>
      </w:pPr>
    </w:p>
    <w:p>
      <w:pPr>
        <w:jc w:val="both"/>
        <w:ind w:firstLine="8"/>
        <w:spacing w:after="0" w:line="193" w:lineRule="auto"/>
        <w:tabs>
          <w:tab w:leader="none" w:pos="166"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 </w:t>
      </w:r>
      <w:r>
        <w:rPr>
          <w:rFonts w:ascii="Times New Roman" w:cs="Times New Roman" w:eastAsia="Times New Roman" w:hAnsi="Times New Roman"/>
          <w:sz w:val="22"/>
          <w:szCs w:val="22"/>
          <w:i w:val="1"/>
          <w:iCs w:val="1"/>
          <w:color w:val="auto"/>
        </w:rPr>
        <w:t>Pharmaceutical Products</w:t>
      </w:r>
      <w:r>
        <w:rPr>
          <w:rFonts w:ascii="Times New Roman" w:cs="Times New Roman" w:eastAsia="Times New Roman" w:hAnsi="Times New Roman"/>
          <w:sz w:val="22"/>
          <w:szCs w:val="22"/>
          <w:color w:val="auto"/>
        </w:rPr>
        <w:t>", depending on how the API is developed, certain authorizations and licences from the MHRA may be required to authorize some of the activities carried on at the UK-based facilities in relation to the API.</w:t>
      </w:r>
    </w:p>
    <w:p>
      <w:pPr>
        <w:spacing w:after="0" w:line="1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All premises that are licensed in connection with the possession, supply, manufacture and/or production of controlled drugs are required to adhere to detailed security standards.</w:t>
      </w:r>
      <w:r>
        <w:rPr>
          <w:rFonts w:ascii="Times New Roman" w:cs="Times New Roman" w:eastAsia="Times New Roman" w:hAnsi="Times New Roman"/>
          <w:sz w:val="35"/>
          <w:szCs w:val="35"/>
          <w:color w:val="auto"/>
          <w:vertAlign w:val="superscript"/>
        </w:rPr>
        <w:t>8</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w:t>
      </w:r>
    </w:p>
    <w:p>
      <w:pPr>
        <w:spacing w:after="0" w:line="1" w:lineRule="exact"/>
        <w:rPr>
          <w:sz w:val="20"/>
          <w:szCs w:val="20"/>
          <w:color w:val="auto"/>
        </w:rPr>
      </w:pPr>
    </w:p>
    <w:p>
      <w:pPr>
        <w:ind w:right="4540"/>
        <w:spacing w:after="0" w:line="306" w:lineRule="auto"/>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Pharmaceutical Products</w:t>
      </w:r>
    </w:p>
    <w:p>
      <w:pPr>
        <w:spacing w:after="0" w:line="1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7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2"/>
          <w:szCs w:val="22"/>
          <w:b w:val="1"/>
          <w:bCs w:val="1"/>
          <w:color w:val="auto"/>
        </w:rPr>
        <w:t>GDP</w:t>
      </w:r>
      <w:r>
        <w:rPr>
          <w:rFonts w:ascii="Times New Roman" w:cs="Times New Roman" w:eastAsia="Times New Roman" w:hAnsi="Times New Roman"/>
          <w:sz w:val="22"/>
          <w:szCs w:val="22"/>
          <w:color w:val="auto"/>
        </w:rPr>
        <w:t>")) and to hold a related licence from the MHRA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How the API is subsequently processed will determine the licences that the UK-based facility must hold. In particular:</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if the API is just one 'ingredient' of the investigational medicinal product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Authorisations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-574675</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ind w:left="200" w:hanging="192"/>
        <w:spacing w:after="0" w:line="201" w:lineRule="auto"/>
        <w:tabs>
          <w:tab w:leader="none" w:pos="2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Security guidance for all existing or prospective Home Office Controlled Drug Licensees and/or</w:t>
      </w:r>
    </w:p>
    <w:p>
      <w:pPr>
        <w:spacing w:after="0" w:line="1" w:lineRule="exact"/>
        <w:rPr>
          <w:rFonts w:ascii="Times New Roman" w:cs="Times New Roman" w:eastAsia="Times New Roman" w:hAnsi="Times New Roman"/>
          <w:sz w:val="36"/>
          <w:szCs w:val="36"/>
          <w:color w:val="auto"/>
          <w:vertAlign w:val="superscript"/>
        </w:rPr>
      </w:pPr>
    </w:p>
    <w:p>
      <w:pPr>
        <w:spacing w:after="0" w:line="23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Precursor Chemical Licensees or Registrants; 2022; https://assets.publishing.service.gov.uk/government/uploads/system/uploads/attachment_data/file/1125889/ Security_Guidance_for_all_Businesses_and_Other_Organisations_v1.5_Nov_2022.pdf.</w:t>
      </w:r>
    </w:p>
    <w:p>
      <w:pPr>
        <w:spacing w:after="0"/>
        <w:tabs>
          <w:tab w:leader="none" w:pos="600" w:val="left"/>
          <w:tab w:leader="none" w:pos="1660" w:val="left"/>
          <w:tab w:leader="none" w:pos="2740" w:val="left"/>
          <w:tab w:leader="none" w:pos="4100" w:val="left"/>
          <w:tab w:leader="none" w:pos="5560" w:val="left"/>
          <w:tab w:leader="none" w:pos="6340" w:val="left"/>
          <w:tab w:leader="none" w:pos="7640" w:val="left"/>
          <w:tab w:leader="none" w:pos="9040" w:val="left"/>
          <w:tab w:leader="none" w:pos="10520" w:val="left"/>
        </w:tabs>
        <w:rPr>
          <w:sz w:val="20"/>
          <w:szCs w:val="20"/>
          <w:color w:val="auto"/>
        </w:rPr>
      </w:pPr>
      <w:r>
        <w:rPr>
          <w:rFonts w:ascii="Times New Roman" w:cs="Times New Roman" w:eastAsia="Times New Roman" w:hAnsi="Times New Roman"/>
          <w:sz w:val="31"/>
          <w:szCs w:val="31"/>
          <w:color w:val="auto"/>
          <w:vertAlign w:val="superscript"/>
        </w:rPr>
        <w:t>9</w:t>
      </w:r>
      <w:r>
        <w:rPr>
          <w:sz w:val="20"/>
          <w:szCs w:val="20"/>
          <w:color w:val="auto"/>
        </w:rPr>
        <w:tab/>
      </w:r>
      <w:r>
        <w:rPr>
          <w:rFonts w:ascii="Times New Roman" w:cs="Times New Roman" w:eastAsia="Times New Roman" w:hAnsi="Times New Roman"/>
          <w:sz w:val="19"/>
          <w:szCs w:val="19"/>
          <w:color w:val="auto"/>
        </w:rPr>
        <w:t>Home</w:t>
      </w:r>
      <w:r>
        <w:rPr>
          <w:sz w:val="20"/>
          <w:szCs w:val="20"/>
          <w:color w:val="auto"/>
        </w:rPr>
        <w:tab/>
      </w:r>
      <w:r>
        <w:rPr>
          <w:rFonts w:ascii="Times New Roman" w:cs="Times New Roman" w:eastAsia="Times New Roman" w:hAnsi="Times New Roman"/>
          <w:sz w:val="22"/>
          <w:szCs w:val="22"/>
          <w:color w:val="auto"/>
        </w:rPr>
        <w:t>Office</w:t>
      </w:r>
      <w:r>
        <w:rPr>
          <w:sz w:val="20"/>
          <w:szCs w:val="20"/>
          <w:color w:val="auto"/>
        </w:rPr>
        <w:tab/>
      </w:r>
      <w:r>
        <w:rPr>
          <w:rFonts w:ascii="Times New Roman" w:cs="Times New Roman" w:eastAsia="Times New Roman" w:hAnsi="Times New Roman"/>
          <w:sz w:val="22"/>
          <w:szCs w:val="22"/>
          <w:color w:val="auto"/>
        </w:rPr>
        <w:t>guidance;</w:t>
      </w:r>
      <w:r>
        <w:rPr>
          <w:sz w:val="20"/>
          <w:szCs w:val="20"/>
          <w:color w:val="auto"/>
        </w:rPr>
        <w:tab/>
      </w:r>
      <w:r>
        <w:rPr>
          <w:rFonts w:ascii="Times New Roman" w:cs="Times New Roman" w:eastAsia="Times New Roman" w:hAnsi="Times New Roman"/>
          <w:sz w:val="22"/>
          <w:szCs w:val="22"/>
          <w:color w:val="auto"/>
        </w:rPr>
        <w:t>Guidelines</w:t>
      </w:r>
      <w:r>
        <w:rPr>
          <w:sz w:val="20"/>
          <w:szCs w:val="20"/>
          <w:color w:val="auto"/>
        </w:rPr>
        <w:tab/>
      </w:r>
      <w:r>
        <w:rPr>
          <w:rFonts w:ascii="Times New Roman" w:cs="Times New Roman" w:eastAsia="Times New Roman" w:hAnsi="Times New Roman"/>
          <w:sz w:val="22"/>
          <w:szCs w:val="22"/>
          <w:color w:val="auto"/>
        </w:rPr>
        <w:t>for</w:t>
      </w:r>
      <w:r>
        <w:rPr>
          <w:sz w:val="20"/>
          <w:szCs w:val="20"/>
          <w:color w:val="auto"/>
        </w:rPr>
        <w:tab/>
      </w:r>
      <w:r>
        <w:rPr>
          <w:rFonts w:ascii="Times New Roman" w:cs="Times New Roman" w:eastAsia="Times New Roman" w:hAnsi="Times New Roman"/>
          <w:sz w:val="22"/>
          <w:szCs w:val="22"/>
          <w:color w:val="auto"/>
        </w:rPr>
        <w:t>Standard</w:t>
      </w:r>
      <w:r>
        <w:rPr>
          <w:sz w:val="20"/>
          <w:szCs w:val="20"/>
          <w:color w:val="auto"/>
        </w:rPr>
        <w:tab/>
      </w:r>
      <w:r>
        <w:rPr>
          <w:rFonts w:ascii="Times New Roman" w:cs="Times New Roman" w:eastAsia="Times New Roman" w:hAnsi="Times New Roman"/>
          <w:sz w:val="22"/>
          <w:szCs w:val="22"/>
          <w:color w:val="auto"/>
        </w:rPr>
        <w:t>Operating</w:t>
      </w:r>
      <w:r>
        <w:rPr>
          <w:sz w:val="20"/>
          <w:szCs w:val="20"/>
          <w:color w:val="auto"/>
        </w:rPr>
        <w:tab/>
      </w:r>
      <w:r>
        <w:rPr>
          <w:rFonts w:ascii="Times New Roman" w:cs="Times New Roman" w:eastAsia="Times New Roman" w:hAnsi="Times New Roman"/>
          <w:sz w:val="22"/>
          <w:szCs w:val="22"/>
          <w:color w:val="auto"/>
        </w:rPr>
        <w:t>Procedures</w:t>
      </w:r>
      <w:r>
        <w:rPr>
          <w:sz w:val="20"/>
          <w:szCs w:val="20"/>
          <w:color w:val="auto"/>
        </w:rPr>
        <w:tab/>
      </w:r>
      <w:r>
        <w:rPr>
          <w:rFonts w:ascii="Times New Roman" w:cs="Times New Roman" w:eastAsia="Times New Roman" w:hAnsi="Times New Roman"/>
          <w:sz w:val="21"/>
          <w:szCs w:val="21"/>
          <w:color w:val="auto"/>
        </w:rPr>
        <w:t>(SOPs);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https://assets.publishing.service.gov.uk/government/uploads/</w:t>
      </w:r>
    </w:p>
    <w:p>
      <w:pPr>
        <w:spacing w:after="0"/>
        <w:rPr>
          <w:sz w:val="20"/>
          <w:szCs w:val="20"/>
          <w:color w:val="auto"/>
        </w:rPr>
      </w:pPr>
      <w:r>
        <w:rPr>
          <w:rFonts w:ascii="Times New Roman" w:cs="Times New Roman" w:eastAsia="Times New Roman" w:hAnsi="Times New Roman"/>
          <w:sz w:val="22"/>
          <w:szCs w:val="22"/>
          <w:color w:val="auto"/>
        </w:rPr>
        <w:t>system/uploads/attachment_data/file/480572/StandardOpProcedure.pdf.</w:t>
      </w:r>
    </w:p>
    <w:p>
      <w:pPr>
        <w:sectPr>
          <w:pgSz w:w="11900" w:h="16838" w:orient="portrait"/>
          <w:cols w:equalWidth="0" w:num="1">
            <w:col w:w="11240"/>
          </w:cols>
          <w:pgMar w:left="320" w:top="112"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5" w:name="page76"/>
    <w:bookmarkEnd w:id="75"/>
    <w:p>
      <w:pPr>
        <w:jc w:val="both"/>
        <w:spacing w:after="0"/>
        <w:rPr>
          <w:sz w:val="20"/>
          <w:szCs w:val="20"/>
          <w:color w:val="auto"/>
        </w:rPr>
      </w:pPr>
      <w:r>
        <w:rPr>
          <w:rFonts w:ascii="Times New Roman" w:cs="Times New Roman" w:eastAsia="Times New Roman" w:hAnsi="Times New Roman"/>
          <w:sz w:val="22"/>
          <w:szCs w:val="22"/>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w:t>
      </w:r>
      <w:r>
        <w:rPr>
          <w:rFonts w:ascii="Times New Roman" w:cs="Times New Roman" w:eastAsia="Times New Roman" w:hAnsi="Times New Roman"/>
          <w:sz w:val="22"/>
          <w:szCs w:val="22"/>
          <w:i w:val="1"/>
          <w:iCs w:val="1"/>
          <w:color w:val="auto"/>
        </w:rPr>
        <w:t>P. azurescens, P. semilanceata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 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psilocybin are well known and well characterized. In conjunction with psychotherapy, psilocybin has been utilized broadly in phase II clinical trials.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Cybin has commenced research and development on the delivery of synthetic psilocybin and other psychedelics through mechanisms such as sublingual film delivery, IV, and by way of inhalation.</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jc w:val="both"/>
        <w:ind w:left="660"/>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2"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22"/>
          <w:szCs w:val="22"/>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79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-92710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pgSz w:w="11900" w:h="16838" w:orient="portrait"/>
          <w:cols w:equalWidth="0" w:num="1">
            <w:col w:w="11240"/>
          </w:cols>
          <w:pgMar w:left="320" w:top="11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8" w:name="page79"/>
    <w:bookmarkEnd w:id="78"/>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United States, pharmaceutical manufacturers are subject to complex laws and regulations pertaining to healthcare "fraud and abuse," including, but not limited to, the Anti-Kickback Statute, the federal False Claims Act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jc w:val="both"/>
        <w:spacing w:after="0"/>
        <w:rPr>
          <w:sz w:val="20"/>
          <w:szCs w:val="20"/>
          <w:color w:val="auto"/>
        </w:rPr>
      </w:pPr>
      <w:r>
        <w:rPr>
          <w:rFonts w:ascii="Times New Roman" w:cs="Times New Roman" w:eastAsia="Times New Roman" w:hAnsi="Times New Roman"/>
          <w:sz w:val="22"/>
          <w:szCs w:val="22"/>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Netherlands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jc w:val="both"/>
        <w:spacing w:after="0" w:line="236" w:lineRule="auto"/>
        <w:rPr>
          <w:sz w:val="20"/>
          <w:szCs w:val="20"/>
          <w:color w:val="auto"/>
        </w:rPr>
      </w:pPr>
      <w:r>
        <w:rPr>
          <w:rFonts w:ascii="Times New Roman" w:cs="Times New Roman" w:eastAsia="Times New Roman" w:hAnsi="Times New Roman"/>
          <w:sz w:val="22"/>
          <w:szCs w:val="22"/>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7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pgSz w:w="11900" w:h="16838" w:orient="portrait"/>
          <w:cols w:equalWidth="0" w:num="1">
            <w:col w:w="11240"/>
          </w:cols>
          <w:pgMar w:left="320" w:top="111" w:right="339" w:bottom="329"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329" w:gutter="0" w:footer="0" w:header="0"/>
          <w:type w:val="continuous"/>
        </w:sectPr>
      </w:pPr>
    </w:p>
    <w:bookmarkStart w:id="81" w:name="page82"/>
    <w:bookmarkEnd w:id="81"/>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jc w:val="both"/>
        <w:spacing w:after="0"/>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share and loan capitalization of the Corporation since the date of the Interim Financial Statements.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0" w:type="dxa"/>
            <w:vAlign w:val="bottom"/>
          </w:tcPr>
          <w:p>
            <w:pPr>
              <w:spacing w:after="0"/>
              <w:rPr>
                <w:sz w:val="1"/>
                <w:szCs w:val="1"/>
                <w:color w:val="auto"/>
              </w:rPr>
            </w:pPr>
          </w:p>
        </w:tc>
      </w:tr>
      <w:tr>
        <w:trPr>
          <w:trHeight w:val="225"/>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240" w:type="dxa"/>
            <w:vAlign w:val="bottom"/>
            <w:gridSpan w:val="2"/>
          </w:tcPr>
          <w:p>
            <w:pPr>
              <w:jc w:val="center"/>
              <w:ind w:right="240"/>
              <w:spacing w:after="0" w:line="225"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6"/>
                <w:szCs w:val="26"/>
                <w:b w:val="1"/>
                <w:bCs w:val="1"/>
                <w:color w:val="auto"/>
                <w:vertAlign w:val="superscript"/>
              </w:rPr>
              <w:t>(2)(3)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Timeline for</w:t>
            </w:r>
          </w:p>
        </w:tc>
        <w:tc>
          <w:tcPr>
            <w:tcW w:w="0" w:type="dxa"/>
            <w:vAlign w:val="bottom"/>
          </w:tcPr>
          <w:p>
            <w:pPr>
              <w:spacing w:after="0"/>
              <w:rPr>
                <w:sz w:val="1"/>
                <w:szCs w:val="1"/>
                <w:color w:val="auto"/>
              </w:rPr>
            </w:pPr>
          </w:p>
        </w:tc>
      </w:tr>
      <w:tr>
        <w:trPr>
          <w:trHeight w:val="162"/>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Program</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w w:val="91"/>
              </w:rPr>
              <w:t>(1)</w:t>
            </w:r>
          </w:p>
        </w:tc>
        <w:tc>
          <w:tcPr>
            <w:tcW w:w="5460" w:type="dxa"/>
            <w:vAlign w:val="bottom"/>
            <w:vMerge w:val="restart"/>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14"/>
                <w:szCs w:val="14"/>
                <w:color w:val="auto"/>
              </w:rPr>
            </w:pPr>
          </w:p>
        </w:tc>
        <w:tc>
          <w:tcPr>
            <w:tcW w:w="1540" w:type="dxa"/>
            <w:vAlign w:val="bottom"/>
            <w:vMerge w:val="restart"/>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rPr>
              <w:t>Completio</w:t>
            </w:r>
            <w:r>
              <w:rPr>
                <w:rFonts w:ascii="Times New Roman" w:cs="Times New Roman" w:eastAsia="Times New Roman" w:hAnsi="Times New Roman"/>
                <w:sz w:val="26"/>
                <w:szCs w:val="26"/>
                <w:b w:val="1"/>
                <w:bCs w:val="1"/>
                <w:color w:val="auto"/>
                <w:vertAlign w:val="superscript"/>
              </w:rPr>
              <w:t>(4)</w:t>
            </w:r>
          </w:p>
        </w:tc>
        <w:tc>
          <w:tcPr>
            <w:tcW w:w="0" w:type="dxa"/>
            <w:vAlign w:val="bottom"/>
          </w:tcPr>
          <w:p>
            <w:pPr>
              <w:spacing w:after="0"/>
              <w:rPr>
                <w:sz w:val="1"/>
                <w:szCs w:val="1"/>
                <w:color w:val="auto"/>
              </w:rPr>
            </w:pPr>
          </w:p>
        </w:tc>
      </w:tr>
      <w:tr>
        <w:trPr>
          <w:trHeight w:val="53"/>
        </w:trPr>
        <w:tc>
          <w:tcPr>
            <w:tcW w:w="6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54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E6EFFF"/>
            </w:tcBorders>
          </w:tcPr>
          <w:p>
            <w:pPr>
              <w:spacing w:after="0" w:line="20" w:lineRule="exact"/>
              <w:rPr>
                <w:sz w:val="1"/>
                <w:szCs w:val="1"/>
                <w:color w:val="auto"/>
              </w:rPr>
            </w:pPr>
          </w:p>
        </w:tc>
        <w:tc>
          <w:tcPr>
            <w:tcW w:w="180" w:type="dxa"/>
            <w:vAlign w:val="bottom"/>
            <w:tcBorders>
              <w:bottom w:val="single" w:sz="8" w:color="E6EFFF"/>
            </w:tcBorders>
          </w:tcPr>
          <w:p>
            <w:pPr>
              <w:spacing w:after="0" w:line="20" w:lineRule="exact"/>
              <w:rPr>
                <w:sz w:val="1"/>
                <w:szCs w:val="1"/>
                <w:color w:val="auto"/>
              </w:rPr>
            </w:pPr>
          </w:p>
        </w:tc>
        <w:tc>
          <w:tcPr>
            <w:tcW w:w="5460" w:type="dxa"/>
            <w:vAlign w:val="bottom"/>
            <w:tcBorders>
              <w:bottom w:val="single" w:sz="8" w:color="E6EF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6E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Psilocybin Analog Program</w:t>
            </w:r>
          </w:p>
        </w:tc>
        <w:tc>
          <w:tcPr>
            <w:tcW w:w="2000" w:type="dxa"/>
            <w:vAlign w:val="bottom"/>
            <w:shd w:val="clear" w:color="auto" w:fill="E6EFFF"/>
          </w:tcPr>
          <w:p>
            <w:pPr>
              <w:spacing w:after="0"/>
              <w:rPr>
                <w:sz w:val="18"/>
                <w:szCs w:val="18"/>
                <w:color w:val="auto"/>
              </w:rPr>
            </w:pP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 topline data readout from the Phase 1/2a study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3,880,627</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Q3/Q4 2023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Complete FDA submission of Phase 1/2a data</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2,500,200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Deuterated Dimethyltryptamine Program</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Provide topline data from Phase 1 CYB004-E trial</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1,269,000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Q3/Q4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Complete FDA IND submission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1,372,950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Q1 2024</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Times New Roman" w:cs="Times New Roman" w:eastAsia="Times New Roman" w:hAnsi="Times New Roman"/>
                <w:sz w:val="18"/>
                <w:szCs w:val="18"/>
                <w:color w:val="auto"/>
              </w:rPr>
              <w:t>Phenethylamine Derivatives Program</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 Programs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6320" w:type="dxa"/>
            <w:vAlign w:val="bottom"/>
            <w:gridSpan w:val="3"/>
            <w:shd w:val="clear" w:color="auto" w:fill="E6EFFF"/>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(5)</w:t>
            </w:r>
          </w:p>
        </w:tc>
        <w:tc>
          <w:tcPr>
            <w:tcW w:w="20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12,059,223</w:t>
            </w:r>
          </w:p>
        </w:tc>
        <w:tc>
          <w:tcPr>
            <w:tcW w:w="240" w:type="dxa"/>
            <w:vAlign w:val="bottom"/>
            <w:shd w:val="clear" w:color="auto" w:fill="E6EFFF"/>
          </w:tcPr>
          <w:p>
            <w:pPr>
              <w:spacing w:after="0"/>
              <w:rPr>
                <w:sz w:val="22"/>
                <w:szCs w:val="22"/>
                <w:color w:val="auto"/>
              </w:rPr>
            </w:pPr>
          </w:p>
        </w:tc>
        <w:tc>
          <w:tcPr>
            <w:tcW w:w="15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21,082,000</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jc w:val="both"/>
        <w:ind w:left="780" w:hanging="276"/>
        <w:spacing w:after="0" w:line="238" w:lineRule="auto"/>
        <w:tabs>
          <w:tab w:leader="none" w:pos="8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820" w:hanging="316"/>
        <w:spacing w:after="0" w:line="230" w:lineRule="auto"/>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at an exchange rate of 1.35:1.</w:t>
      </w:r>
    </w:p>
    <w:p>
      <w:pPr>
        <w:ind w:left="780" w:hanging="276"/>
        <w:spacing w:after="0" w:line="230" w:lineRule="auto"/>
        <w:tabs>
          <w:tab w:leader="none" w:pos="8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 as well proceeds from the ATM Program and May 2023 Prospectus.</w:t>
      </w:r>
    </w:p>
    <w:p>
      <w:pPr>
        <w:spacing w:after="0" w:line="1" w:lineRule="exact"/>
        <w:rPr>
          <w:rFonts w:ascii="Times New Roman" w:cs="Times New Roman" w:eastAsia="Times New Roman" w:hAnsi="Times New Roman"/>
          <w:sz w:val="22"/>
          <w:szCs w:val="22"/>
          <w:color w:val="auto"/>
        </w:rPr>
      </w:pPr>
    </w:p>
    <w:p>
      <w:pPr>
        <w:jc w:val="both"/>
        <w:ind w:left="780" w:hanging="276"/>
        <w:spacing w:after="0" w:line="230" w:lineRule="auto"/>
        <w:tabs>
          <w:tab w:leader="none" w:pos="8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780" w:hanging="276"/>
        <w:spacing w:after="0" w:line="234" w:lineRule="auto"/>
        <w:tabs>
          <w:tab w:leader="none" w:pos="82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approximate remaining spend as of June 30, 2023 of $76,000 by September 30, 2023.</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1" w:lineRule="exact"/>
        <w:rPr>
          <w:sz w:val="20"/>
          <w:szCs w:val="20"/>
          <w:color w:val="auto"/>
        </w:rPr>
      </w:pPr>
    </w:p>
    <w:p>
      <w:pPr>
        <w:jc w:val="both"/>
        <w:ind w:firstLine="8"/>
        <w:spacing w:after="0" w:line="219" w:lineRule="auto"/>
        <w:tabs>
          <w:tab w:leader="none" w:pos="252"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11" w:right="339" w:bottom="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146685</wp:posOffset>
            </wp:positionV>
            <wp:extent cx="7153275"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6" w:name="page87"/>
    <w:bookmarkEnd w:id="86"/>
    <w:p>
      <w:pPr>
        <w:jc w:val="both"/>
        <w:ind w:right="20"/>
        <w:spacing w:after="0" w:line="260"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 - Negative Operating Cash Flow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Going Concern".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August 16, 2023, the Corporation had 234,683,234 Common Shares and nil preferred shares issued and outstanding.</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79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79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9" w:name="page90"/>
    <w:bookmarkEnd w:id="89"/>
    <w:p>
      <w:pPr>
        <w:ind w:left="660"/>
        <w:spacing w:after="0" w:line="259"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-281305</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-282575</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8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may, from time to time, issue Debt Securities and incur additional indebtedness other than through the issue of Debt Securities pursuant to this Prospectus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pgSz w:w="11900" w:h="16838" w:orient="portrait"/>
          <w:cols w:equalWidth="0" w:num="1">
            <w:col w:w="11240"/>
          </w:cols>
          <w:pgMar w:left="320" w:top="111" w:right="339" w:bottom="86"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86" w:gutter="0" w:footer="0" w:header="0"/>
          <w:type w:val="continuous"/>
        </w:sectPr>
      </w:pPr>
    </w:p>
    <w:bookmarkStart w:id="90" w:name="page91"/>
    <w:bookmarkEnd w:id="90"/>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-94615</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may from time to time during the 25-month period that this Prospectus, including any amendments and supplements hereto, remains valid, offer for sale and sell up to an aggregate of $160,000,000 in Securities hereunder.</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including in the form of underwriters', dealers' or agents' fees, commissions or concessions.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Ongoing Impact of the Novel Coronavirus "COVID-19"</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outbreak of COVID-19 and its eventual declaration as a pandemic by the World Health Organization ("</w:t>
      </w:r>
      <w:r>
        <w:rPr>
          <w:rFonts w:ascii="Times New Roman" w:cs="Times New Roman" w:eastAsia="Times New Roman" w:hAnsi="Times New Roman"/>
          <w:sz w:val="22"/>
          <w:szCs w:val="22"/>
          <w:b w:val="1"/>
          <w:bCs w:val="1"/>
          <w:color w:val="auto"/>
        </w:rPr>
        <w:t>WHO</w:t>
      </w:r>
      <w:r>
        <w:rPr>
          <w:rFonts w:ascii="Times New Roman" w:cs="Times New Roman" w:eastAsia="Times New Roman" w:hAnsi="Times New Roman"/>
          <w:sz w:val="22"/>
          <w:szCs w:val="22"/>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pgSz w:w="11900" w:h="16838" w:orient="portrait"/>
          <w:cols w:equalWidth="0" w:num="1">
            <w:col w:w="11240"/>
          </w:cols>
          <w:pgMar w:left="320" w:top="108"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3" w:name="page94"/>
    <w:bookmarkEnd w:id="93"/>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 and Going Concern</w:t>
      </w:r>
    </w:p>
    <w:p>
      <w:pPr>
        <w:spacing w:after="0" w:line="2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Times New Roman" w:cs="Times New Roman" w:eastAsia="Times New Roman" w:hAnsi="Times New Roman"/>
          <w:sz w:val="22"/>
          <w:szCs w:val="22"/>
          <w:i w:val="1"/>
          <w:iCs w:val="1"/>
          <w:color w:val="auto"/>
        </w:rPr>
        <w:t>"Risk Factors - Risks Related to the Offering - Potential Need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 Additional Financing"</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4180" w:firstLine="8"/>
        <w:spacing w:after="0" w:line="424" w:lineRule="auto"/>
        <w:tabs>
          <w:tab w:leader="none" w:pos="126" w:val="left"/>
        </w:tabs>
        <w:numPr>
          <w:ilvl w:val="0"/>
          <w:numId w:val="3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Negative Operating Cash Flow and Going Concern"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5" w:name="page96"/>
    <w:bookmarkEnd w:id="9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Neo is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77" w:lineRule="exact"/>
        <w:rPr>
          <w:sz w:val="20"/>
          <w:szCs w:val="20"/>
          <w:color w:val="auto"/>
        </w:rPr>
      </w:pPr>
    </w:p>
    <w:p>
      <w:pPr>
        <w:jc w:val="center"/>
        <w:ind w:right="500"/>
        <w:spacing w:after="0" w:line="463" w:lineRule="auto"/>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7153275" cy="469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5"/>
    </w:lvl>
  </w:abstractNum>
  <w:abstractNum w:abstractNumId="4">
    <w:nsid w:val="257130A3"/>
    <w:multiLevelType w:val="hybridMultilevel"/>
    <w:lvl w:ilvl="0">
      <w:lvlJc w:val="left"/>
      <w:lvlText w:val="1"/>
      <w:numFmt w:val="bullet"/>
      <w:start w:val="1"/>
    </w:lvl>
  </w:abstractNum>
  <w:abstractNum w:abstractNumId="5">
    <w:nsid w:val="62BBD95A"/>
    <w:multiLevelType w:val="hybridMultilevel"/>
    <w:lvl w:ilvl="0">
      <w:lvlJc w:val="left"/>
      <w:lvlText w:val="2"/>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6"/>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lowerRoman"/>
      <w:start w:val="4"/>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3"/>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bullet"/>
      <w:start w:val="1"/>
    </w:lvl>
  </w:abstractNum>
  <w:abstractNum w:abstractNumId="26">
    <w:nsid w:val="1E7FF521"/>
    <w:multiLevelType w:val="hybridMultilevel"/>
    <w:lvl w:ilvl="0">
      <w:lvlJc w:val="left"/>
      <w:lvlText w:val="3"/>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6"/>
      <w:numFmt w:val="bullet"/>
      <w:start w:val="1"/>
    </w:lvl>
  </w:abstractNum>
  <w:abstractNum w:abstractNumId="29">
    <w:nsid w:val="6CEAF087"/>
    <w:multiLevelType w:val="hybridMultilevel"/>
    <w:lvl w:ilvl="0">
      <w:lvlJc w:val="left"/>
      <w:lvlText w:val="7"/>
      <w:numFmt w:val="bullet"/>
      <w:start w:val="1"/>
    </w:lvl>
  </w:abstractNum>
  <w:abstractNum w:abstractNumId="30">
    <w:nsid w:val="22221A70"/>
    <w:multiLevelType w:val="hybridMultilevel"/>
    <w:lvl w:ilvl="0">
      <w:lvlJc w:val="left"/>
      <w:lvlText w:val="8"/>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0"/>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2025-02-11T05:34:06Z</dcterms:created>
  <dcterms:modified xsi:type="dcterms:W3CDTF">2025-02-11T05:34:06Z</dcterms:modified>
</cp:coreProperties>
</file>