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June 2,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509270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Host Key Opinion Leader Webinar on June 9, 2022</w:t>
      </w:r>
    </w:p>
    <w:p>
      <w:pPr>
        <w:spacing w:after="0" w:line="350" w:lineRule="exact"/>
        <w:rPr>
          <w:sz w:val="20"/>
          <w:szCs w:val="20"/>
          <w:color w:val="auto"/>
        </w:rPr>
      </w:pPr>
    </w:p>
    <w:p>
      <w:pPr>
        <w:jc w:val="center"/>
        <w:spacing w:after="0" w:line="373" w:lineRule="auto"/>
        <w:rPr>
          <w:sz w:val="20"/>
          <w:szCs w:val="20"/>
          <w:color w:val="auto"/>
        </w:rPr>
      </w:pPr>
      <w:r>
        <w:rPr>
          <w:rFonts w:ascii="Arial" w:cs="Arial" w:eastAsia="Arial" w:hAnsi="Arial"/>
          <w:sz w:val="19"/>
          <w:szCs w:val="19"/>
          <w:i w:val="1"/>
          <w:iCs w:val="1"/>
          <w:color w:val="auto"/>
        </w:rPr>
        <w:t>- Featured speakers include Dr. John Krystal, Yale School of Medicine, and Dr. David Nutt, Imperial College London - - Deep dive into the psychedelics landscape and overview of current and emerging psychedelic-based treatments -</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 today announced that it will host a virtual Key Opinion Leader webinar on Thursday June 9, 2022, from 11:00 a.m. ET to 12:00 p.m. ET. The webinar will feature two leading experts for a discussion on the psychedelics landscape and current and emerging psychedelic-based therapeutics, and will be moderated by Cybin’s Chief Executive Officer, Doug Drysdale.</w:t>
      </w:r>
    </w:p>
    <w:p>
      <w:pPr>
        <w:spacing w:after="0" w:line="191" w:lineRule="exact"/>
        <w:rPr>
          <w:sz w:val="20"/>
          <w:szCs w:val="20"/>
          <w:color w:val="auto"/>
        </w:rPr>
      </w:pPr>
    </w:p>
    <w:p>
      <w:pPr>
        <w:jc w:val="both"/>
        <w:spacing w:after="0" w:line="328" w:lineRule="auto"/>
        <w:rPr>
          <w:sz w:val="20"/>
          <w:szCs w:val="20"/>
          <w:color w:val="auto"/>
        </w:rPr>
      </w:pPr>
      <w:r>
        <w:rPr>
          <w:rFonts w:ascii="Arial" w:cs="Arial" w:eastAsia="Arial" w:hAnsi="Arial"/>
          <w:sz w:val="20"/>
          <w:szCs w:val="20"/>
          <w:color w:val="auto"/>
        </w:rPr>
        <w:t xml:space="preserve">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register and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00" w:lineRule="exact"/>
        <w:rPr>
          <w:sz w:val="20"/>
          <w:szCs w:val="20"/>
          <w:color w:val="auto"/>
        </w:rPr>
      </w:pP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Dr. John Krystal </w:t>
      </w:r>
      <w:r>
        <w:rPr>
          <w:rFonts w:ascii="Arial" w:cs="Arial" w:eastAsia="Arial" w:hAnsi="Arial"/>
          <w:sz w:val="20"/>
          <w:szCs w:val="20"/>
          <w:color w:val="auto"/>
        </w:rPr>
        <w:t>is the Robert L. McNeil, Jr., Professor of Translational Research; Professor of Psychiatry, Neuroscience, and</w:t>
      </w:r>
      <w:r>
        <w:rPr>
          <w:rFonts w:ascii="Arial" w:cs="Arial" w:eastAsia="Arial" w:hAnsi="Arial"/>
          <w:sz w:val="20"/>
          <w:szCs w:val="20"/>
          <w:b w:val="1"/>
          <w:bCs w:val="1"/>
          <w:color w:val="auto"/>
        </w:rPr>
        <w:t xml:space="preserve"> </w:t>
      </w:r>
      <w:r>
        <w:rPr>
          <w:rFonts w:ascii="Arial" w:cs="Arial" w:eastAsia="Arial" w:hAnsi="Arial"/>
          <w:sz w:val="20"/>
          <w:szCs w:val="20"/>
          <w:color w:val="auto"/>
        </w:rPr>
        <w:t>Psychology; Chair of the Department of Psychiatry at Yale University; and Chief of Psychiatry and Behavioral Health at Yale-New Haven Hospital. Dr. Krystal has published extensively on the neurobiology and treatment of schizophrenia, alcoholism, PTSD, and depression. Notably, his laboratory discovered the rapid antidepressant effects of ketamine in patients with depression. He is the Director of the NIAAA Center for the Translational Neuroscience of Alcoholism. Dr. Krystal is a member of the U.S. National Academy of Medicine and a Fellow of the American Association for the Advancement of Science. Currently, he is co-director of the Neuroscience Forum of the U.S. National Academies of Sciences, Engineering, and Medicine; and editor of Biological Psychiatry.</w:t>
      </w:r>
    </w:p>
    <w:p>
      <w:pPr>
        <w:spacing w:after="0" w:line="192" w:lineRule="exact"/>
        <w:rPr>
          <w:sz w:val="20"/>
          <w:szCs w:val="20"/>
          <w:color w:val="auto"/>
        </w:rPr>
      </w:pPr>
    </w:p>
    <w:p>
      <w:pPr>
        <w:jc w:val="both"/>
        <w:spacing w:after="0" w:line="306" w:lineRule="auto"/>
        <w:rPr>
          <w:sz w:val="20"/>
          <w:szCs w:val="20"/>
          <w:color w:val="auto"/>
        </w:rPr>
      </w:pPr>
      <w:r>
        <w:rPr>
          <w:rFonts w:ascii="Arial" w:cs="Arial" w:eastAsia="Arial" w:hAnsi="Arial"/>
          <w:sz w:val="20"/>
          <w:szCs w:val="20"/>
          <w:b w:val="1"/>
          <w:bCs w:val="1"/>
          <w:color w:val="auto"/>
        </w:rPr>
        <w:t>Dr. David Nutt</w:t>
      </w:r>
      <w:r>
        <w:rPr>
          <w:rFonts w:ascii="Arial" w:cs="Arial" w:eastAsia="Arial" w:hAnsi="Arial"/>
          <w:sz w:val="20"/>
          <w:szCs w:val="20"/>
          <w:color w:val="auto"/>
        </w:rPr>
        <w:t>, DM, FRCP, FRCPsych, FMedSci, DLaws, is Edmund J. Safra Professor of Neuropsychopharmacology, Head</w:t>
      </w:r>
      <w:r>
        <w:rPr>
          <w:rFonts w:ascii="Arial" w:cs="Arial" w:eastAsia="Arial" w:hAnsi="Arial"/>
          <w:sz w:val="20"/>
          <w:szCs w:val="20"/>
          <w:b w:val="1"/>
          <w:bCs w:val="1"/>
          <w:color w:val="auto"/>
        </w:rPr>
        <w:t xml:space="preserve"> </w:t>
      </w:r>
      <w:r>
        <w:rPr>
          <w:rFonts w:ascii="Arial" w:cs="Arial" w:eastAsia="Arial" w:hAnsi="Arial"/>
          <w:sz w:val="20"/>
          <w:szCs w:val="20"/>
          <w:color w:val="auto"/>
        </w:rPr>
        <w:t>Centre for Psychedelic Research in the Division of Brain Sciences, Imperial College London. He spent two years as head of the research ward at NIAAA</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3" w:lineRule="auto"/>
        <w:rPr>
          <w:sz w:val="20"/>
          <w:szCs w:val="20"/>
          <w:color w:val="auto"/>
        </w:rPr>
      </w:pPr>
      <w:r>
        <w:rPr>
          <w:rFonts w:ascii="Arial" w:cs="Arial" w:eastAsia="Arial" w:hAnsi="Arial"/>
          <w:sz w:val="20"/>
          <w:szCs w:val="20"/>
          <w:color w:val="auto"/>
        </w:rPr>
        <w:t>in the USA before setting up the Psychopharmacology unit at Bristol University in 1988, where he later became Professor of Psychopharmacology and Dean of Clinical Medicine before moving to Imperial in 2008. Dr. Nutt’s contributions to pharmacology include GABA and noradrenaline receptor function in anxiety disorders, serotonin function in depression, endorphin and dopamine function in addiction and the neuroscience and clinical utility of psychedelics. He has also led psychedelic neuroimaging studies and conducted influential research on psilocybin for treatment-resistant depression. He has over 500 original research papers, a similar number of reviews/book chapters, eight government reports, and 36 books.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December 31, 2021 and the Company's listing statement dated November 9, 2020, which are available under the Company's profile on www.sedar.com and with the U.S. Securities and Exchange Commission on EDGAR at www.sec.gov. Although the forward-looking statements contained in this news release are based</w:t>
      </w:r>
    </w:p>
    <w:p>
      <w:pPr>
        <w:sectPr>
          <w:pgSz w:w="11900" w:h="16838" w:orient="portrait"/>
          <w:cols w:equalWidth="0" w:num="1">
            <w:col w:w="11240"/>
          </w:cols>
          <w:pgMar w:left="320" w:top="1022" w:right="339" w:bottom="1440" w:gutter="0" w:footer="0" w:header="0"/>
        </w:sectPr>
      </w:pPr>
    </w:p>
    <w:bookmarkStart w:id="5" w:name="page6"/>
    <w:bookmarkEnd w:id="5"/>
    <w:p>
      <w:pPr>
        <w:jc w:val="both"/>
        <w:spacing w:after="0" w:line="296" w:lineRule="auto"/>
        <w:rPr>
          <w:sz w:val="20"/>
          <w:szCs w:val="20"/>
          <w:color w:val="auto"/>
        </w:rPr>
      </w:pPr>
      <w:r>
        <w:rPr>
          <w:rFonts w:ascii="Arial" w:cs="Arial" w:eastAsia="Arial" w:hAnsi="Arial"/>
          <w:sz w:val="20"/>
          <w:szCs w:val="20"/>
          <w:color w:val="333333"/>
        </w:rPr>
        <w:t>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4" w:lineRule="exact"/>
        <w:rPr>
          <w:sz w:val="20"/>
          <w:szCs w:val="20"/>
          <w:color w:val="auto"/>
        </w:rPr>
      </w:pPr>
    </w:p>
    <w:p>
      <w:pPr>
        <w:jc w:val="both"/>
        <w:ind w:right="20"/>
        <w:spacing w:after="0" w:line="328" w:lineRule="auto"/>
        <w:rPr>
          <w:sz w:val="20"/>
          <w:szCs w:val="20"/>
          <w:color w:val="auto"/>
        </w:rPr>
      </w:pPr>
      <w:r>
        <w:rPr>
          <w:rFonts w:ascii="Arial" w:cs="Arial" w:eastAsia="Arial" w:hAnsi="Arial"/>
          <w:sz w:val="20"/>
          <w:szCs w:val="20"/>
          <w:i w:val="1"/>
          <w:iCs w:val="1"/>
          <w:color w:val="333333"/>
        </w:rPr>
        <w:t>Neither the NEO Exchange Inc.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7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2022-06-02T11:25:39Z</dcterms:created>
  <dcterms:modified xsi:type="dcterms:W3CDTF">2022-06-02T11:25:39Z</dcterms:modified>
</cp:coreProperties>
</file>