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March 13,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right="120" w:hanging="55"/>
        <w:spacing w:after="0" w:line="321" w:lineRule="auto"/>
        <w:rPr>
          <w:sz w:val="20"/>
          <w:szCs w:val="20"/>
          <w:color w:val="auto"/>
        </w:rPr>
      </w:pPr>
      <w:r>
        <w:rPr>
          <w:rFonts w:ascii="Arial" w:cs="Arial" w:eastAsia="Arial" w:hAnsi="Arial"/>
          <w:sz w:val="25"/>
          <w:szCs w:val="25"/>
          <w:b w:val="1"/>
          <w:bCs w:val="1"/>
          <w:color w:val="auto"/>
        </w:rPr>
        <w:t>Cybin Receives FDA Breakthrough Therapy Designation for its Novel Psychedelic Molecule CYB003 and Announces Positive Four-Month Durability Data in Major Depressive Disorder</w:t>
      </w:r>
    </w:p>
    <w:p>
      <w:pPr>
        <w:spacing w:after="0" w:line="138" w:lineRule="exact"/>
        <w:rPr>
          <w:sz w:val="20"/>
          <w:szCs w:val="20"/>
          <w:color w:val="auto"/>
        </w:rPr>
      </w:pPr>
    </w:p>
    <w:p>
      <w:pPr>
        <w:jc w:val="both"/>
        <w:ind w:left="20" w:right="20" w:firstLine="51"/>
        <w:spacing w:after="0" w:line="343" w:lineRule="auto"/>
        <w:tabs>
          <w:tab w:leader="none" w:pos="192"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Breakthrough Therapy Designation (“BTD”) provides an expedited review pathway, as well as increased access to U.S. Food and Drug Administration (“FDA”) guidance on trial design, with the potential to significantly reduce drug development timelines -</w:t>
      </w:r>
    </w:p>
    <w:p>
      <w:pPr>
        <w:spacing w:after="0" w:line="144" w:lineRule="exact"/>
        <w:rPr>
          <w:rFonts w:ascii="Arial" w:cs="Arial" w:eastAsia="Arial" w:hAnsi="Arial"/>
          <w:sz w:val="19"/>
          <w:szCs w:val="19"/>
          <w:i w:val="1"/>
          <w:iCs w:val="1"/>
          <w:color w:val="auto"/>
        </w:rPr>
      </w:pPr>
    </w:p>
    <w:p>
      <w:pPr>
        <w:ind w:left="420" w:hanging="126"/>
        <w:spacing w:after="0"/>
        <w:tabs>
          <w:tab w:leader="none" w:pos="42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First known BTD granted by the FDA for an adjunctive psychedelic based therapy for the treatment of Major Depressive</w:t>
      </w:r>
    </w:p>
    <w:p>
      <w:pPr>
        <w:spacing w:after="0" w:line="40" w:lineRule="exact"/>
        <w:rPr>
          <w:rFonts w:ascii="Arial" w:cs="Arial" w:eastAsia="Arial" w:hAnsi="Arial"/>
          <w:sz w:val="20"/>
          <w:szCs w:val="20"/>
          <w:i w:val="1"/>
          <w:iCs w:val="1"/>
          <w:color w:val="auto"/>
        </w:rPr>
      </w:pPr>
    </w:p>
    <w:p>
      <w:pPr>
        <w:ind w:left="48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Disorder (“MDD”)</w:t>
      </w:r>
    </w:p>
    <w:p>
      <w:pPr>
        <w:spacing w:after="0" w:line="269" w:lineRule="exact"/>
        <w:rPr>
          <w:rFonts w:ascii="Arial" w:cs="Arial" w:eastAsia="Arial" w:hAnsi="Arial"/>
          <w:sz w:val="20"/>
          <w:szCs w:val="20"/>
          <w:i w:val="1"/>
          <w:iCs w:val="1"/>
          <w:color w:val="auto"/>
        </w:rPr>
      </w:pPr>
    </w:p>
    <w:p>
      <w:pPr>
        <w:ind w:left="320" w:hanging="125"/>
        <w:spacing w:after="0"/>
        <w:tabs>
          <w:tab w:leader="none" w:pos="3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Robust, sustained and statistically significant improvement in depression symptoms at four months with 75% of patients in</w:t>
      </w:r>
    </w:p>
    <w:p>
      <w:pPr>
        <w:spacing w:after="0" w:line="40" w:lineRule="exact"/>
        <w:rPr>
          <w:rFonts w:ascii="Arial" w:cs="Arial" w:eastAsia="Arial" w:hAnsi="Arial"/>
          <w:sz w:val="20"/>
          <w:szCs w:val="20"/>
          <w:i w:val="1"/>
          <w:iCs w:val="1"/>
          <w:color w:val="auto"/>
        </w:rPr>
      </w:pPr>
    </w:p>
    <w:p>
      <w:pPr>
        <w:ind w:left="33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remission from depression after two doses (16mg) -</w:t>
      </w:r>
    </w:p>
    <w:p>
      <w:pPr>
        <w:spacing w:after="0" w:line="269" w:lineRule="exact"/>
        <w:rPr>
          <w:rFonts w:ascii="Arial" w:cs="Arial" w:eastAsia="Arial" w:hAnsi="Arial"/>
          <w:sz w:val="20"/>
          <w:szCs w:val="20"/>
          <w:i w:val="1"/>
          <w:iCs w:val="1"/>
          <w:color w:val="auto"/>
        </w:rPr>
      </w:pPr>
    </w:p>
    <w:p>
      <w:pPr>
        <w:ind w:left="220" w:hanging="129"/>
        <w:spacing w:after="0"/>
        <w:tabs>
          <w:tab w:leader="none" w:pos="220"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Impressive mean 22-point reduction in Montgomery-Asberg Depression Rating Scale (“MADRS”) score from baseline at four</w:t>
      </w:r>
    </w:p>
    <w:p>
      <w:pPr>
        <w:spacing w:after="0" w:line="51" w:lineRule="exact"/>
        <w:rPr>
          <w:rFonts w:ascii="Arial" w:cs="Arial" w:eastAsia="Arial" w:hAnsi="Arial"/>
          <w:sz w:val="19"/>
          <w:szCs w:val="19"/>
          <w:i w:val="1"/>
          <w:iCs w:val="1"/>
          <w:color w:val="auto"/>
        </w:rPr>
      </w:pPr>
    </w:p>
    <w:p>
      <w:pPr>
        <w:ind w:left="52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months-</w:t>
      </w:r>
    </w:p>
    <w:p>
      <w:pPr>
        <w:spacing w:after="0" w:line="269" w:lineRule="exact"/>
        <w:rPr>
          <w:rFonts w:ascii="Arial" w:cs="Arial" w:eastAsia="Arial" w:hAnsi="Arial"/>
          <w:sz w:val="19"/>
          <w:szCs w:val="19"/>
          <w:i w:val="1"/>
          <w:iCs w:val="1"/>
          <w:color w:val="auto"/>
        </w:rPr>
      </w:pPr>
    </w:p>
    <w:p>
      <w:pPr>
        <w:ind w:left="1260" w:hanging="130"/>
        <w:spacing w:after="0"/>
        <w:tabs>
          <w:tab w:leader="none" w:pos="1260" w:val="left"/>
        </w:tabs>
        <w:numPr>
          <w:ilvl w:val="4"/>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Data supports progression to a pivotal Phase 3 multinational study of CYB003 in MDD in mid-2024 –</w:t>
      </w:r>
    </w:p>
    <w:p>
      <w:pPr>
        <w:spacing w:after="0" w:line="283" w:lineRule="exact"/>
        <w:rPr>
          <w:rFonts w:ascii="Arial" w:cs="Arial" w:eastAsia="Arial" w:hAnsi="Arial"/>
          <w:sz w:val="20"/>
          <w:szCs w:val="20"/>
          <w:i w:val="1"/>
          <w:iCs w:val="1"/>
          <w:color w:val="auto"/>
        </w:rPr>
      </w:pPr>
    </w:p>
    <w:p>
      <w:pPr>
        <w:ind w:left="2020" w:hanging="115"/>
        <w:spacing w:after="0"/>
        <w:tabs>
          <w:tab w:leader="none" w:pos="2020" w:val="left"/>
        </w:tabs>
        <w:numPr>
          <w:ilvl w:val="6"/>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Achievement of milestones expedites and de-risks CYB003 development program-</w:t>
      </w:r>
    </w:p>
    <w:p>
      <w:pPr>
        <w:spacing w:after="0" w:line="269" w:lineRule="exact"/>
        <w:rPr>
          <w:rFonts w:ascii="Arial" w:cs="Arial" w:eastAsia="Arial" w:hAnsi="Arial"/>
          <w:sz w:val="20"/>
          <w:szCs w:val="20"/>
          <w:i w:val="1"/>
          <w:iCs w:val="1"/>
          <w:color w:val="auto"/>
        </w:rPr>
      </w:pPr>
    </w:p>
    <w:p>
      <w:pPr>
        <w:ind w:left="1840" w:hanging="127"/>
        <w:spacing w:after="0"/>
        <w:tabs>
          <w:tab w:leader="none" w:pos="1840" w:val="left"/>
        </w:tabs>
        <w:numPr>
          <w:ilvl w:val="5"/>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webcast to discuss CYB003 program updates today at 8:30 a.m. ET -</w:t>
      </w:r>
    </w:p>
    <w:p>
      <w:pPr>
        <w:spacing w:after="0" w:line="200" w:lineRule="exact"/>
        <w:rPr>
          <w:sz w:val="20"/>
          <w:szCs w:val="20"/>
          <w:color w:val="auto"/>
        </w:rPr>
      </w:pPr>
    </w:p>
    <w:p>
      <w:pPr>
        <w:spacing w:after="0" w:line="324" w:lineRule="exact"/>
        <w:rPr>
          <w:sz w:val="20"/>
          <w:szCs w:val="20"/>
          <w:color w:val="auto"/>
        </w:rPr>
      </w:pPr>
    </w:p>
    <w:p>
      <w:pPr>
        <w:jc w:val="both"/>
        <w:ind w:firstLine="37"/>
        <w:spacing w:after="0" w:line="341" w:lineRule="auto"/>
        <w:rPr>
          <w:sz w:val="20"/>
          <w:szCs w:val="20"/>
          <w:color w:val="auto"/>
        </w:rPr>
      </w:pPr>
      <w:r>
        <w:rPr>
          <w:rFonts w:ascii="Arial" w:cs="Arial" w:eastAsia="Arial" w:hAnsi="Arial"/>
          <w:sz w:val="19"/>
          <w:szCs w:val="19"/>
          <w:b w:val="1"/>
          <w:bCs w:val="1"/>
          <w:color w:val="auto"/>
        </w:rPr>
        <w:t>This news release constitutes a “designated news release” for the purposes of Cybin’s prospectus supplements each dated August 23, 2023, to its short form base shelf prospectus dated August 17, 2023, as amended December 22, 2023.</w:t>
      </w:r>
    </w:p>
    <w:p>
      <w:pPr>
        <w:sectPr>
          <w:pgSz w:w="11900" w:h="16838" w:orient="portrait"/>
          <w:cols w:equalWidth="0" w:num="1">
            <w:col w:w="11160"/>
          </w:cols>
          <w:pgMar w:left="36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5297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529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13,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that the FDA has granted BTD to CYB003, its proprietary deuterated psilocybin analog in development for the adjunctive treatment of MDD. If approved by the FDA, CYB003 would be the first known adjunctive psychedelic-based therapeutic for the treatment of MDD.</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Company also announced that its Phase 2 trial of CYB003 in MDD demonstrated robust and sustained improvement in depression symptoms at four months with 75% of participants receiving two 16mg doses achieving remission and no longer showing signs of depression.</w:t>
      </w:r>
    </w:p>
    <w:p>
      <w:pPr>
        <w:sectPr>
          <w:pgSz w:w="11900" w:h="16838" w:orient="portrait"/>
          <w:cols w:equalWidth="0" w:num="1">
            <w:col w:w="11240"/>
          </w:cols>
          <w:pgMar w:left="320" w:top="1440" w:right="339" w:bottom="1440" w:gutter="0" w:footer="0" w:header="0"/>
        </w:sectPr>
      </w:pPr>
    </w:p>
    <w:bookmarkStart w:id="5" w:name="page6"/>
    <w:bookmarkEnd w:id="5"/>
    <w:p>
      <w:pPr>
        <w:spacing w:after="0" w:line="23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These significant milestones reflect the Company’s commitment to advancing cutting-edge treatment options for MDD, marking a transformational moment in the pursuit of regulatory approval.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Breakthrough Therapy Designation Accelerates and De-risks the Path Forward</w:t>
      </w:r>
      <w:r>
        <w:rPr>
          <w:rFonts w:ascii="Arial" w:cs="Arial" w:eastAsia="Arial" w:hAnsi="Arial"/>
          <w:sz w:val="25"/>
          <w:szCs w:val="25"/>
          <w:b w:val="1"/>
          <w:bCs w:val="1"/>
          <w:color w:val="auto"/>
          <w:vertAlign w:val="superscript"/>
        </w:rPr>
        <w:t>6</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BTD provides an expedited review pathway, as well as increased access to FDA guidance on trial design, with the potential to reduce drug development timelines. It is reserved for drug candidates that target serious conditions and demonstrate substantial improvement on a clinically significant endpoint over available therapies. The designation includes all “fast track” program features, as well as more intensive FDA guidance and discussion of the CYB003 development program, including planned clinical trials and plans for expediting the manufacturing development strategy.</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designation of CYB003 as a breakthrough therapy acknowledges the significant unmet medical need for more effective treatments of MDD and supports CYB003’s potential for significant improvements over existing therapies. BTD serves as validation of the Company’s progress to date and is expected to accelerate Cybin’s mission to advance its proprietary next-generation treatment towards new drug approval on an expedited basis.</w:t>
      </w:r>
    </w:p>
    <w:p>
      <w:pPr>
        <w:spacing w:after="0" w:line="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color w:val="auto"/>
        </w:rPr>
        <w:t>This designation is supported by the positive topline results from the Company’s Phase 2 study of CYB003 in MDD, which demonstrated an improvement in depression symptoms superior to approved antidepressants and recently reported data with other psychedelics.</w:t>
      </w:r>
      <w:r>
        <w:rPr>
          <w:rFonts w:ascii="Arial" w:cs="Arial" w:eastAsia="Arial" w:hAnsi="Arial"/>
          <w:sz w:val="25"/>
          <w:szCs w:val="25"/>
          <w:color w:val="auto"/>
          <w:vertAlign w:val="superscript"/>
        </w:rPr>
        <w:t>1</w:t>
      </w:r>
    </w:p>
    <w:p>
      <w:pPr>
        <w:spacing w:after="0" w:line="1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“It is a testament to the hard work and dedication of the entire Cybin team that we have accomplished so much so quickly. The granting of Breakthrough Therapy Designation by the FDA underscores the potential of CYB003 to fill a gap in the treatment landscape for MDD and serves to expedite and de-risk our development program going forward,” stated Doug Drysdale, Chief Executive Officer of Cybin. “This designation provides for a streamlined review process and enhanced engagement with the FDA. With the robust durability data from our Phase 2 study in hand, we are ready to move forward expeditiously. We are grateful for the opportunity to accelerate the development and regulatory review process that this designation affords, as we prepare to advance CYB003 toward a Phase 3 pivotal trial around mid-year.”</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“Currently available standard treatments for MDD can be limited in efficacy, remission and response rates, presenting challenges for patients and mental health practitioners alike. CYB003 may have potential to address these challenges, and with the FDA’s Breakthrough Therapy Designation, the regulatory path forward is accelerated,” said Dr. Maurizio Fava, M.D., Chair of the Department of Psychiatry and Psychiatrist-in-Chief at Massachusetts General Hospital.</w:t>
      </w:r>
    </w:p>
    <w:p>
      <w:pPr>
        <w:sectPr>
          <w:pgSz w:w="11900" w:h="16838" w:orient="portrait"/>
          <w:cols w:equalWidth="0" w:num="1">
            <w:col w:w="11240"/>
          </w:cols>
          <w:pgMar w:left="320" w:top="1440" w:right="339" w:bottom="1440" w:gutter="0" w:footer="0" w:header="0"/>
        </w:sectPr>
      </w:pPr>
    </w:p>
    <w:bookmarkStart w:id="6" w:name="page7"/>
    <w:bookmarkEnd w:id="6"/>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Positive Four-Month Efficacy Data for CYB003</w:t>
      </w:r>
    </w:p>
    <w:p>
      <w:pPr>
        <w:spacing w:after="0" w:line="245"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Robust and sustained improvements in symptoms of depression with two doses of 12 mg or 16 mg of CYB003:</w:t>
      </w:r>
    </w:p>
    <w:p>
      <w:pPr>
        <w:spacing w:after="0" w:line="30" w:lineRule="exact"/>
        <w:rPr>
          <w:sz w:val="20"/>
          <w:szCs w:val="20"/>
          <w:color w:val="auto"/>
        </w:rPr>
      </w:pPr>
    </w:p>
    <w:p>
      <w:pPr>
        <w:ind w:left="1300" w:hanging="320"/>
        <w:spacing w:after="0" w:line="271" w:lineRule="auto"/>
        <w:tabs>
          <w:tab w:leader="none" w:pos="1300" w:val="left"/>
        </w:tabs>
        <w:numPr>
          <w:ilvl w:val="0"/>
          <w:numId w:val="3"/>
        </w:numPr>
        <w:rPr>
          <w:rFonts w:ascii="Courier New" w:cs="Courier New" w:eastAsia="Courier New" w:hAnsi="Courier New"/>
          <w:sz w:val="20"/>
          <w:szCs w:val="20"/>
          <w:color w:val="auto"/>
        </w:rPr>
      </w:pPr>
      <w:r>
        <w:rPr>
          <w:rFonts w:ascii="Arial" w:cs="Arial" w:eastAsia="Arial" w:hAnsi="Arial"/>
          <w:sz w:val="20"/>
          <w:szCs w:val="20"/>
          <w:color w:val="auto"/>
        </w:rPr>
        <w:t>Mean reduction from baseline in the MADRS total score was approximately 22 points from baseline in both dosing cohorts.</w:t>
      </w:r>
    </w:p>
    <w:p>
      <w:pPr>
        <w:ind w:left="1300" w:hanging="320"/>
        <w:spacing w:after="0" w:line="271" w:lineRule="auto"/>
        <w:tabs>
          <w:tab w:leader="none" w:pos="1300" w:val="left"/>
        </w:tabs>
        <w:numPr>
          <w:ilvl w:val="0"/>
          <w:numId w:val="3"/>
        </w:numPr>
        <w:rPr>
          <w:rFonts w:ascii="Courier New" w:cs="Courier New" w:eastAsia="Courier New" w:hAnsi="Courier New"/>
          <w:sz w:val="20"/>
          <w:szCs w:val="20"/>
          <w:color w:val="auto"/>
        </w:rPr>
      </w:pPr>
      <w:r>
        <w:rPr>
          <w:rFonts w:ascii="Arial" w:cs="Arial" w:eastAsia="Arial" w:hAnsi="Arial"/>
          <w:sz w:val="20"/>
          <w:szCs w:val="20"/>
          <w:color w:val="auto"/>
        </w:rPr>
        <w:t>Approximately 75% of the patients were responders (&gt;/= 50% improvement in MADRS scores) following two doses of 16mg.</w:t>
      </w:r>
    </w:p>
    <w:p>
      <w:pPr>
        <w:ind w:left="1300" w:right="500" w:hanging="320"/>
        <w:spacing w:after="0" w:line="305" w:lineRule="auto"/>
        <w:tabs>
          <w:tab w:leader="none" w:pos="1300" w:val="left"/>
        </w:tabs>
        <w:numPr>
          <w:ilvl w:val="0"/>
          <w:numId w:val="3"/>
        </w:numPr>
        <w:rPr>
          <w:rFonts w:ascii="Courier New" w:cs="Courier New" w:eastAsia="Courier New" w:hAnsi="Courier New"/>
          <w:sz w:val="20"/>
          <w:szCs w:val="20"/>
          <w:color w:val="auto"/>
        </w:rPr>
      </w:pPr>
      <w:r>
        <w:rPr>
          <w:rFonts w:ascii="Arial" w:cs="Arial" w:eastAsia="Arial" w:hAnsi="Arial"/>
          <w:sz w:val="20"/>
          <w:szCs w:val="20"/>
          <w:color w:val="auto"/>
        </w:rPr>
        <w:t>60% of patients on 12 mg and 75% on 16 mg were in remission from depression following 2 doses (MADRS score &lt;/= 10).</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and tolerability:</w:t>
      </w:r>
    </w:p>
    <w:p>
      <w:pPr>
        <w:spacing w:after="0" w:line="4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CYB003 was well tolerated with no drug-related serious adverse events.</w:t>
      </w:r>
    </w:p>
    <w:p>
      <w:pPr>
        <w:spacing w:after="0" w:line="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All adverse events were mild or moderate in intensity.</w:t>
      </w:r>
    </w:p>
    <w:p>
      <w:pPr>
        <w:spacing w:after="0" w:line="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No incidents of suicidal ideation or behavior.</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No discontinuations due to adverse events.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 sustained reduction in depression symptoms at the four-month mark after just two doses of CYB003 is a critical milestone, that demonstrates the durability of the response, following the rapid improvement in symptoms. It also paves the way for a change in the treatment paradigm for MDD. Unlike currently approved adjunctive treatments which require chronic, daily dosing, CYB003 allows for intermittent dosing without the challenges of withdrawing patients from their existing medications,” stated Amir Inamdar, MBBS, DNB (Psych), MFPM, Chief Medical Officer of Cybin. “Notably, the durability data showed that at four months, approximately 75% of patients were responders, meaning that they achieved an improvement of 50% or greater in their MADRS scores. Across the two dosages, we also observed that at four months, 60% of patients receiving 12 mg and 75% receiving 16 mg achieved a MADRS score of less than or equal to 10, indicating that they were in remission and no longer showing signs of depression. Considering these positive findings, we are eager to progress the program and bring relief and treatment alternatives to the millions of people who can benefit,” concluded Mr. Inamdar.</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“It is truly remarkable that at four months the participants experienced a sustained reduction and incremental improvement in depression symptoms,” continued Drysdale. “Impressively, the mean reduction from baseline in the MADRS total score was approximately 22 points at 4 months (compared to a mean reduction of 14 points vs placebo and 17 points from baseline at 3 weeks). This is highly encouraging, especially for patients who have not responded to existing treatment options. We look forward to initiating our Phase 3 trial, which we anticipate will be an international, multisite study to further evaluate the safety and efficacy of CYB003 capsules in a larger MDD patient population. As we advance this program, we are proud to lead the way and contribute to the growing body of scientific evidence supporting the therapeutic potential of psychedelic drugs to treat a multitude of mental health disorders,” concluded Drysdale.</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90" w:lineRule="auto"/>
        <w:rPr>
          <w:sz w:val="20"/>
          <w:szCs w:val="20"/>
          <w:color w:val="auto"/>
        </w:rPr>
      </w:pPr>
      <w:r>
        <w:rPr>
          <w:rFonts w:ascii="Arial" w:cs="Arial" w:eastAsia="Arial" w:hAnsi="Arial"/>
          <w:sz w:val="19"/>
          <w:szCs w:val="19"/>
          <w:color w:val="auto"/>
        </w:rPr>
        <w:t>The MADRS is a 10-item, clinician-administered scale designed to measure overall severity of depressive symptoms in subjects with MDD. It is widely used in clinical trials and accepted by regulatory authorities worldwide as a measure of symptoms of depression. The MADRS includes items ranging from sadness of mood, reduction in sleep and appetite, to difficulties in concentration, anhedonia, and negative and suicidal thoughts that are scored from 0 to 6, giving a total score ranging from 0 to</w:t>
      </w:r>
    </w:p>
    <w:p>
      <w:pPr>
        <w:spacing w:after="0" w:line="2" w:lineRule="exact"/>
        <w:rPr>
          <w:sz w:val="20"/>
          <w:szCs w:val="20"/>
          <w:color w:val="auto"/>
        </w:rPr>
      </w:pPr>
    </w:p>
    <w:p>
      <w:pPr>
        <w:ind w:firstLine="8"/>
        <w:spacing w:after="0" w:line="309" w:lineRule="auto"/>
        <w:tabs>
          <w:tab w:leader="none" w:pos="3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Typical score ranges for severity are: 0-6 normal; 7-19 mild; 20-34 moderate; and &gt;34 severe depression. In the CYB003 study, mean baseline total scores on the MADRS were 31.4 to 33.7 in the active group and 30.8 in the placebo group.</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Unmet Medical Need in Depression</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 xml:space="preserve">Depression is the leading cause of disability due to mental illness </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and affects over 300 million people worldwide.</w:t>
      </w:r>
      <w:r>
        <w:rPr>
          <w:rFonts w:ascii="Arial" w:cs="Arial" w:eastAsia="Arial" w:hAnsi="Arial"/>
          <w:sz w:val="24"/>
          <w:szCs w:val="24"/>
          <w:color w:val="auto"/>
          <w:vertAlign w:val="superscript"/>
        </w:rPr>
        <w:t>3</w:t>
      </w:r>
      <w:r>
        <w:rPr>
          <w:rFonts w:ascii="Arial" w:cs="Arial" w:eastAsia="Arial" w:hAnsi="Arial"/>
          <w:sz w:val="19"/>
          <w:szCs w:val="19"/>
          <w:color w:val="auto"/>
        </w:rPr>
        <w:t xml:space="preserve"> Despite the use of currently available treatments such as selective serotonin reuptake inhibitors (“SSRIs”), up to two-thirds of patients with depression do not achieve remission with initial antidepressant treatment.</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Over 43 million Americans take antidepressants and over 70% of these individuals are treated with SSRIs.</w:t>
      </w:r>
      <w:r>
        <w:rPr>
          <w:rFonts w:ascii="Arial" w:cs="Arial" w:eastAsia="Arial" w:hAnsi="Arial"/>
          <w:sz w:val="24"/>
          <w:szCs w:val="24"/>
          <w:color w:val="auto"/>
          <w:vertAlign w:val="superscript"/>
        </w:rPr>
        <w:t>5</w:t>
      </w:r>
      <w:r>
        <w:rPr>
          <w:rFonts w:ascii="Arial" w:cs="Arial" w:eastAsia="Arial" w:hAnsi="Arial"/>
          <w:sz w:val="19"/>
          <w:szCs w:val="19"/>
          <w:color w:val="auto"/>
        </w:rPr>
        <w:t xml:space="preserve"> The BTD of CYB003 as an adjunctive therapy for MDD underscores the urgent need to address this treatment gap, as a significant proportion of people do not experience relief with existing therapies.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Details: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80" w:type="dxa"/>
            <w:vAlign w:val="bottom"/>
          </w:tcPr>
          <w:p>
            <w:pPr>
              <w:spacing w:after="0"/>
              <w:rPr>
                <w:sz w:val="20"/>
                <w:szCs w:val="20"/>
                <w:color w:val="auto"/>
              </w:rPr>
            </w:pPr>
            <w:r>
              <w:rPr>
                <w:rFonts w:ascii="Arial" w:cs="Arial" w:eastAsia="Arial" w:hAnsi="Arial"/>
                <w:sz w:val="20"/>
                <w:szCs w:val="20"/>
                <w:color w:val="auto"/>
              </w:rPr>
              <w:t>Date:</w:t>
            </w:r>
          </w:p>
        </w:tc>
        <w:tc>
          <w:tcPr>
            <w:tcW w:w="5720" w:type="dxa"/>
            <w:vAlign w:val="bottom"/>
            <w:gridSpan w:val="3"/>
          </w:tcPr>
          <w:p>
            <w:pPr>
              <w:ind w:left="160"/>
              <w:spacing w:after="0"/>
              <w:rPr>
                <w:sz w:val="20"/>
                <w:szCs w:val="20"/>
                <w:color w:val="auto"/>
              </w:rPr>
            </w:pPr>
            <w:r>
              <w:rPr>
                <w:rFonts w:ascii="Arial" w:cs="Arial" w:eastAsia="Arial" w:hAnsi="Arial"/>
                <w:sz w:val="20"/>
                <w:szCs w:val="20"/>
                <w:color w:val="auto"/>
              </w:rPr>
              <w:t>Wednesday, March 13, 2024</w:t>
            </w:r>
          </w:p>
        </w:tc>
      </w:tr>
      <w:tr>
        <w:trPr>
          <w:trHeight w:val="500"/>
        </w:trPr>
        <w:tc>
          <w:tcPr>
            <w:tcW w:w="980" w:type="dxa"/>
            <w:vAlign w:val="bottom"/>
          </w:tcPr>
          <w:p>
            <w:pPr>
              <w:spacing w:after="0"/>
              <w:rPr>
                <w:sz w:val="20"/>
                <w:szCs w:val="20"/>
                <w:color w:val="auto"/>
              </w:rPr>
            </w:pPr>
            <w:r>
              <w:rPr>
                <w:rFonts w:ascii="Arial" w:cs="Arial" w:eastAsia="Arial" w:hAnsi="Arial"/>
                <w:sz w:val="20"/>
                <w:szCs w:val="20"/>
                <w:color w:val="auto"/>
              </w:rPr>
              <w:t>Time:</w:t>
            </w:r>
          </w:p>
        </w:tc>
        <w:tc>
          <w:tcPr>
            <w:tcW w:w="5720" w:type="dxa"/>
            <w:vAlign w:val="bottom"/>
            <w:gridSpan w:val="3"/>
          </w:tcPr>
          <w:p>
            <w:pPr>
              <w:ind w:left="180"/>
              <w:spacing w:after="0"/>
              <w:rPr>
                <w:sz w:val="20"/>
                <w:szCs w:val="20"/>
                <w:color w:val="auto"/>
              </w:rPr>
            </w:pPr>
            <w:r>
              <w:rPr>
                <w:rFonts w:ascii="Arial" w:cs="Arial" w:eastAsia="Arial" w:hAnsi="Arial"/>
                <w:sz w:val="20"/>
                <w:szCs w:val="20"/>
                <w:color w:val="auto"/>
              </w:rPr>
              <w:t>8:30 a.m. ET.</w:t>
            </w:r>
          </w:p>
        </w:tc>
      </w:tr>
      <w:tr>
        <w:trPr>
          <w:trHeight w:val="513"/>
        </w:trPr>
        <w:tc>
          <w:tcPr>
            <w:tcW w:w="980" w:type="dxa"/>
            <w:vAlign w:val="bottom"/>
          </w:tcPr>
          <w:p>
            <w:pPr>
              <w:spacing w:after="0"/>
              <w:rPr>
                <w:sz w:val="20"/>
                <w:szCs w:val="20"/>
                <w:color w:val="auto"/>
              </w:rPr>
            </w:pPr>
            <w:r>
              <w:rPr>
                <w:rFonts w:ascii="Arial" w:cs="Arial" w:eastAsia="Arial" w:hAnsi="Arial"/>
                <w:sz w:val="20"/>
                <w:szCs w:val="20"/>
                <w:color w:val="auto"/>
              </w:rPr>
              <w:t>Dial-in:</w:t>
            </w:r>
          </w:p>
        </w:tc>
        <w:tc>
          <w:tcPr>
            <w:tcW w:w="5720" w:type="dxa"/>
            <w:vAlign w:val="bottom"/>
            <w:gridSpan w:val="3"/>
          </w:tcPr>
          <w:p>
            <w:pPr>
              <w:ind w:left="300"/>
              <w:spacing w:after="0"/>
              <w:rPr>
                <w:sz w:val="20"/>
                <w:szCs w:val="20"/>
                <w:color w:val="auto"/>
              </w:rPr>
            </w:pPr>
            <w:r>
              <w:rPr>
                <w:rFonts w:ascii="Arial" w:cs="Arial" w:eastAsia="Arial" w:hAnsi="Arial"/>
                <w:sz w:val="20"/>
                <w:szCs w:val="20"/>
                <w:color w:val="auto"/>
                <w:w w:val="98"/>
              </w:rPr>
              <w:t>800-267-6316 (U.S. Toll-Free) or 203-518-9783 (International)</w:t>
            </w:r>
          </w:p>
        </w:tc>
      </w:tr>
      <w:tr>
        <w:trPr>
          <w:trHeight w:val="500"/>
        </w:trPr>
        <w:tc>
          <w:tcPr>
            <w:tcW w:w="6700" w:type="dxa"/>
            <w:vAlign w:val="bottom"/>
            <w:gridSpan w:val="4"/>
          </w:tcPr>
          <w:p>
            <w:pPr>
              <w:spacing w:after="0"/>
              <w:rPr>
                <w:sz w:val="20"/>
                <w:szCs w:val="20"/>
                <w:color w:val="auto"/>
              </w:rPr>
            </w:pPr>
            <w:r>
              <w:rPr>
                <w:rFonts w:ascii="Arial" w:cs="Arial" w:eastAsia="Arial" w:hAnsi="Arial"/>
                <w:sz w:val="20"/>
                <w:szCs w:val="20"/>
                <w:color w:val="auto"/>
              </w:rPr>
              <w:t>Conference ID:  CYBN0313</w:t>
            </w:r>
          </w:p>
        </w:tc>
      </w:tr>
      <w:tr>
        <w:trPr>
          <w:trHeight w:val="462"/>
        </w:trPr>
        <w:tc>
          <w:tcPr>
            <w:tcW w:w="980" w:type="dxa"/>
            <w:vAlign w:val="bottom"/>
          </w:tcPr>
          <w:p>
            <w:pPr>
              <w:spacing w:after="0"/>
              <w:rPr>
                <w:sz w:val="20"/>
                <w:szCs w:val="20"/>
                <w:color w:val="auto"/>
              </w:rPr>
            </w:pPr>
            <w:r>
              <w:rPr>
                <w:rFonts w:ascii="Arial" w:cs="Arial" w:eastAsia="Arial" w:hAnsi="Arial"/>
                <w:sz w:val="20"/>
                <w:szCs w:val="20"/>
                <w:color w:val="auto"/>
              </w:rPr>
              <w:t>Webcast:</w:t>
            </w:r>
          </w:p>
        </w:tc>
        <w:tc>
          <w:tcPr>
            <w:tcW w:w="5720" w:type="dxa"/>
            <w:vAlign w:val="bottom"/>
            <w:gridSpan w:val="3"/>
          </w:tcPr>
          <w:p>
            <w:pPr>
              <w:ind w:left="280"/>
              <w:spacing w:after="0"/>
              <w:rPr>
                <w:sz w:val="20"/>
                <w:szCs w:val="20"/>
                <w:color w:val="auto"/>
              </w:rPr>
            </w:pPr>
            <w:r>
              <w:rPr>
                <w:rFonts w:ascii="Arial" w:cs="Arial" w:eastAsia="Arial" w:hAnsi="Arial"/>
                <w:sz w:val="20"/>
                <w:szCs w:val="20"/>
                <w:color w:val="auto"/>
              </w:rPr>
              <w:t xml:space="preserve">Register for the webcast </w:t>
            </w:r>
            <w:r>
              <w:rPr>
                <w:rFonts w:ascii="Arial" w:cs="Arial" w:eastAsia="Arial" w:hAnsi="Arial"/>
                <w:sz w:val="20"/>
                <w:szCs w:val="20"/>
                <w:color w:val="0000FF"/>
              </w:rPr>
              <w:t>here</w:t>
            </w:r>
          </w:p>
        </w:tc>
      </w:tr>
      <w:tr>
        <w:trPr>
          <w:trHeight w:val="20"/>
        </w:trPr>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w:t>
      </w:r>
    </w:p>
    <w:p>
      <w:pPr>
        <w:spacing w:after="0" w:line="43" w:lineRule="exact"/>
        <w:rPr>
          <w:sz w:val="20"/>
          <w:szCs w:val="20"/>
          <w:color w:val="auto"/>
        </w:rPr>
      </w:pPr>
    </w:p>
    <w:p>
      <w:pPr>
        <w:jc w:val="both"/>
        <w:ind w:left="660" w:hanging="328"/>
        <w:spacing w:after="0" w:line="274" w:lineRule="auto"/>
        <w:tabs>
          <w:tab w:leader="none" w:pos="649"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Stone et al. (2022) Response to acute monotherapy for major depressive disorder in randomized, placebo-controlled trials submitted to the US Food and Drug Administration: individual participant data analysis. </w:t>
      </w:r>
      <w:r>
        <w:rPr>
          <w:rFonts w:ascii="Arial" w:cs="Arial" w:eastAsia="Arial" w:hAnsi="Arial"/>
          <w:sz w:val="20"/>
          <w:szCs w:val="20"/>
          <w:i w:val="1"/>
          <w:iCs w:val="1"/>
          <w:color w:val="auto"/>
        </w:rPr>
        <w:t>BMJ (Clinical research ed.)</w:t>
      </w:r>
      <w:r>
        <w:rPr>
          <w:rFonts w:ascii="Arial" w:cs="Arial" w:eastAsia="Arial" w:hAnsi="Arial"/>
          <w:sz w:val="20"/>
          <w:szCs w:val="20"/>
          <w:color w:val="auto"/>
        </w:rPr>
        <w:t>, 378, e067606.</w:t>
      </w:r>
    </w:p>
    <w:p>
      <w:pPr>
        <w:spacing w:after="0" w:line="21" w:lineRule="exact"/>
        <w:rPr>
          <w:rFonts w:ascii="Arial" w:cs="Arial" w:eastAsia="Arial" w:hAnsi="Arial"/>
          <w:sz w:val="20"/>
          <w:szCs w:val="20"/>
          <w:color w:val="auto"/>
        </w:rPr>
      </w:pPr>
    </w:p>
    <w:p>
      <w:pPr>
        <w:ind w:left="660" w:hanging="328"/>
        <w:spacing w:after="0" w:line="261" w:lineRule="auto"/>
        <w:tabs>
          <w:tab w:leader="none" w:pos="651" w:val="left"/>
        </w:tabs>
        <w:numPr>
          <w:ilvl w:val="0"/>
          <w:numId w:val="6"/>
        </w:numPr>
        <w:rPr>
          <w:rFonts w:ascii="Arial" w:cs="Arial" w:eastAsia="Arial" w:hAnsi="Arial"/>
          <w:sz w:val="22"/>
          <w:szCs w:val="22"/>
          <w:color w:val="auto"/>
        </w:rPr>
      </w:pPr>
      <w:r>
        <w:rPr>
          <w:rFonts w:ascii="Arial" w:cs="Arial" w:eastAsia="Arial" w:hAnsi="Arial"/>
          <w:sz w:val="20"/>
          <w:szCs w:val="20"/>
          <w:color w:val="auto"/>
        </w:rPr>
        <w:t xml:space="preserve">GBD 2019 Diseases and Injuries Collaborators (2020). Global burden of 369 diseases and injuries in 204 countries and territories, 1990–2019: a systematic analysis for the Global Burden of Disease Study 2019. </w:t>
      </w:r>
      <w:r>
        <w:rPr>
          <w:rFonts w:ascii="Arial" w:cs="Arial" w:eastAsia="Arial" w:hAnsi="Arial"/>
          <w:sz w:val="20"/>
          <w:szCs w:val="20"/>
          <w:i w:val="1"/>
          <w:iCs w:val="1"/>
          <w:color w:val="auto"/>
        </w:rPr>
        <w:t>Lancet</w:t>
      </w:r>
      <w:r>
        <w:rPr>
          <w:rFonts w:ascii="Arial" w:cs="Arial" w:eastAsia="Arial" w:hAnsi="Arial"/>
          <w:sz w:val="20"/>
          <w:szCs w:val="20"/>
          <w:color w:val="auto"/>
        </w:rPr>
        <w:t xml:space="preserve"> 396: 1204–22.</w:t>
      </w:r>
    </w:p>
    <w:p>
      <w:pPr>
        <w:spacing w:after="0" w:line="1" w:lineRule="exact"/>
        <w:rPr>
          <w:rFonts w:ascii="Arial" w:cs="Arial" w:eastAsia="Arial" w:hAnsi="Arial"/>
          <w:sz w:val="22"/>
          <w:szCs w:val="22"/>
          <w:color w:val="auto"/>
        </w:rPr>
      </w:pPr>
    </w:p>
    <w:p>
      <w:pPr>
        <w:ind w:left="660" w:hanging="328"/>
        <w:spacing w:after="0" w:line="274" w:lineRule="auto"/>
        <w:tabs>
          <w:tab w:leader="none" w:pos="649"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Friedrich M. J. (2017). Depression Is the Leading Cause of Disability Around the World. </w:t>
      </w:r>
      <w:r>
        <w:rPr>
          <w:rFonts w:ascii="Arial" w:cs="Arial" w:eastAsia="Arial" w:hAnsi="Arial"/>
          <w:sz w:val="20"/>
          <w:szCs w:val="20"/>
          <w:i w:val="1"/>
          <w:iCs w:val="1"/>
          <w:color w:val="auto"/>
        </w:rPr>
        <w:t>JAMA</w:t>
      </w:r>
      <w:r>
        <w:rPr>
          <w:rFonts w:ascii="Arial" w:cs="Arial" w:eastAsia="Arial" w:hAnsi="Arial"/>
          <w:sz w:val="20"/>
          <w:szCs w:val="20"/>
          <w:color w:val="auto"/>
        </w:rPr>
        <w:t>, 317(15), 1517. https://doi.org/10.1001/jama.2017.3826.</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Rush et al. </w:t>
      </w:r>
      <w:r>
        <w:rPr>
          <w:rFonts w:ascii="Arial" w:cs="Arial" w:eastAsia="Arial" w:hAnsi="Arial"/>
          <w:sz w:val="20"/>
          <w:szCs w:val="20"/>
          <w:i w:val="1"/>
          <w:iCs w:val="1"/>
          <w:color w:val="auto"/>
        </w:rPr>
        <w:t>Am J Psychiatry</w:t>
      </w:r>
      <w:r>
        <w:rPr>
          <w:rFonts w:ascii="Arial" w:cs="Arial" w:eastAsia="Arial" w:hAnsi="Arial"/>
          <w:sz w:val="20"/>
          <w:szCs w:val="20"/>
          <w:color w:val="auto"/>
        </w:rPr>
        <w:t xml:space="preserve"> 2006; 163:1905–1917.</w:t>
      </w:r>
    </w:p>
    <w:p>
      <w:pPr>
        <w:sectPr>
          <w:pgSz w:w="11900" w:h="16838" w:orient="portrait"/>
          <w:cols w:equalWidth="0" w:num="1">
            <w:col w:w="11240"/>
          </w:cols>
          <w:pgMar w:left="320" w:top="1427" w:right="339" w:bottom="1440" w:gutter="0" w:footer="0" w:header="0"/>
        </w:sectPr>
      </w:pPr>
    </w:p>
    <w:bookmarkStart w:id="8" w:name="page9"/>
    <w:bookmarkEnd w:id="8"/>
    <w:p>
      <w:pPr>
        <w:ind w:left="660" w:hanging="328"/>
        <w:spacing w:after="0" w:line="278" w:lineRule="auto"/>
        <w:tabs>
          <w:tab w:leader="none" w:pos="649" w:val="left"/>
        </w:tabs>
        <w:numPr>
          <w:ilvl w:val="0"/>
          <w:numId w:val="7"/>
        </w:numPr>
        <w:rPr>
          <w:rFonts w:ascii="Arial" w:cs="Arial" w:eastAsia="Arial" w:hAnsi="Arial"/>
          <w:sz w:val="20"/>
          <w:szCs w:val="20"/>
          <w:i w:val="1"/>
          <w:iCs w:val="1"/>
          <w:color w:val="auto"/>
        </w:rPr>
      </w:pPr>
      <w:r>
        <w:rPr>
          <w:rFonts w:ascii="Arial" w:cs="Arial" w:eastAsia="Arial" w:hAnsi="Arial"/>
          <w:sz w:val="20"/>
          <w:szCs w:val="20"/>
          <w:color w:val="auto"/>
        </w:rPr>
        <w:t xml:space="preserve">Sood et al. (2023). Selective serotonin reuptake inhibitor use, age-related neuropathology and cognition in late-life. </w:t>
      </w:r>
      <w:r>
        <w:rPr>
          <w:rFonts w:ascii="Arial" w:cs="Arial" w:eastAsia="Arial" w:hAnsi="Arial"/>
          <w:sz w:val="20"/>
          <w:szCs w:val="20"/>
          <w:i w:val="1"/>
          <w:iCs w:val="1"/>
          <w:color w:val="auto"/>
        </w:rPr>
        <w:t>Psychiatry Research 328.</w:t>
      </w:r>
    </w:p>
    <w:p>
      <w:pPr>
        <w:spacing w:after="0" w:line="20" w:lineRule="exact"/>
        <w:rPr>
          <w:rFonts w:ascii="Arial" w:cs="Arial" w:eastAsia="Arial" w:hAnsi="Arial"/>
          <w:sz w:val="20"/>
          <w:szCs w:val="20"/>
          <w:i w:val="1"/>
          <w:iCs w:val="1"/>
          <w:color w:val="auto"/>
        </w:rPr>
      </w:pPr>
    </w:p>
    <w:p>
      <w:pPr>
        <w:jc w:val="both"/>
        <w:ind w:left="660" w:hanging="328"/>
        <w:spacing w:after="0" w:line="277" w:lineRule="auto"/>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color w:val="auto"/>
        </w:rPr>
        <w:t>There is no assurance that timelines will be met.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MDD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planned clinical trials and plans for expediting manufacturing and development strategy for CYB003; the potential for CYB003 to provide significant improvement over existing</w:t>
      </w:r>
    </w:p>
    <w:p>
      <w:pPr>
        <w:sectPr>
          <w:pgSz w:w="11900" w:h="16838" w:orient="portrait"/>
          <w:cols w:equalWidth="0" w:num="1">
            <w:col w:w="11240"/>
          </w:cols>
          <w:pgMar w:left="320" w:top="1427" w:right="3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20"/>
          <w:szCs w:val="20"/>
          <w:color w:val="auto"/>
        </w:rPr>
        <w:t>therapies; the advancement of CYB003 toward a Phase 3 trial in mid-2024; the potential reduction in drug development timelines afforded by BTD; and the Company’s plans to engineer proprietary drug discovery platforms, innovative drug delivery systems, novel formulation approaches and treatment regimens for mental health conditions.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2023 year, and the Company’s annual information form for the year ended March 31, 2023, which are available under the Company's profile on </w:t>
      </w:r>
      <w:r>
        <w:rPr>
          <w:rFonts w:ascii="Arial" w:cs="Arial" w:eastAsia="Arial" w:hAnsi="Arial"/>
          <w:sz w:val="20"/>
          <w:szCs w:val="20"/>
          <w:u w:val="single" w:color="auto"/>
          <w:color w:val="0000FF"/>
        </w:rPr>
        <w:t>www.sedarplus.com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FDA,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27" w:right="339" w:bottom="1440" w:gutter="0" w:footer="0" w:header="0"/>
        </w:sectPr>
      </w:pPr>
    </w:p>
    <w:bookmarkStart w:id="10" w:name="page11"/>
    <w:bookmarkEnd w:id="10"/>
    <w:p>
      <w:pPr>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20"/>
      </w:cols>
      <w:pgMar w:left="320" w:top="14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lvl w:ilvl="6">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60"/>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2024-03-13T15:16:52Z</dcterms:created>
  <dcterms:modified xsi:type="dcterms:W3CDTF">2024-03-13T15:16:52Z</dcterms:modified>
</cp:coreProperties>
</file>