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FREE WRITING PROSPECTUS</w:t>
      </w:r>
    </w:p>
    <w:p>
      <w:pPr>
        <w:spacing w:after="0" w:line="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Filed Pursuant to Rule 433</w:t>
      </w:r>
    </w:p>
    <w:p>
      <w:pPr>
        <w:jc w:val="right"/>
        <w:spacing w:after="0" w:line="230" w:lineRule="auto"/>
        <w:rPr>
          <w:sz w:val="20"/>
          <w:szCs w:val="20"/>
          <w:color w:val="auto"/>
        </w:rPr>
      </w:pPr>
      <w:r>
        <w:rPr>
          <w:rFonts w:ascii="Times New Roman" w:cs="Times New Roman" w:eastAsia="Times New Roman" w:hAnsi="Times New Roman"/>
          <w:sz w:val="22"/>
          <w:szCs w:val="22"/>
          <w:b w:val="1"/>
          <w:bCs w:val="1"/>
          <w:color w:val="auto"/>
        </w:rPr>
        <w:t>Registration No. 333-292294</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115570</wp:posOffset>
            </wp:positionV>
            <wp:extent cx="1774190" cy="874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4190" cy="8743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Helus Pharma Provides Update on APPROACH</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Phase 3 Trial Enrollment Progress</w:t>
      </w:r>
    </w:p>
    <w:p>
      <w:pPr>
        <w:spacing w:after="0" w:line="138"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NEW YORK &amp; TORONTO </w:t>
      </w:r>
      <w:r>
        <w:rPr>
          <w:rFonts w:ascii="Times New Roman" w:cs="Times New Roman" w:eastAsia="Times New Roman" w:hAnsi="Times New Roman"/>
          <w:sz w:val="22"/>
          <w:szCs w:val="22"/>
          <w:color w:val="auto"/>
        </w:rPr>
        <w:t>- Helus Pharma™ (Nasdaq: HELP) (Cboe CA: HELP)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 xml:space="preserve"> Helus Pharma</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clinical stage pharmaceutical company committed to helping minds heal by developing novel serotonergic agonists ("NSAs"), announced that enrollment in the APPROACH Phase 3 clinical trial of HLP003 for the adjunctive treatment of major depressive disorder ("MDD") is progressing as planned and has surpassed 86% enrollment.</w:t>
      </w:r>
    </w:p>
    <w:p>
      <w:pPr>
        <w:spacing w:after="0" w:line="14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APPROACH trial is one of the Company's Phase 3 studies evaluating HLP003, Helus Pharma's lead proprietary NSA, which has received Breakthrough Therapy Designation from the U.S. Food and Drug Administration.</w:t>
      </w:r>
    </w:p>
    <w:p>
      <w:pPr>
        <w:spacing w:after="0" w:line="118" w:lineRule="exact"/>
        <w:rPr>
          <w:sz w:val="24"/>
          <w:szCs w:val="24"/>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APPROACH study is evaluating the efficacy and safety of HLP003 as an adjunctive treatment in patients with MDD. The trial is part of the Company's broader Phase 3 PARADIGM program, which also includes the EMBRACE study and the EXTEND long-term extension study, supporting the continued advancement of HLP003 toward potential commercialization.</w:t>
      </w:r>
    </w:p>
    <w:p>
      <w:pPr>
        <w:spacing w:after="0" w:line="133"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previous reported Phase 2 data, HLP003 demonstrated long-term efficacy with ~23-point reduction in Montgomery-Asberg Depression Rating Scale score compared to baseline at 12 months after just two 16 mg doses of HLP003 three weeks apart. Phase 2 HLP003 results showed response and remission rates of 75% at four months and by the 12-month mark, response and remission rates improved to 100% and 71% respectively.</w:t>
      </w:r>
    </w:p>
    <w:p>
      <w:pPr>
        <w:spacing w:after="0" w:line="149"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Helus Pharma</w:t>
      </w:r>
    </w:p>
    <w:p>
      <w:pPr>
        <w:spacing w:after="0" w:line="170"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Helus Pharma™, the commercial operating name of Cybin Inc.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153" w:lineRule="exact"/>
        <w:rPr>
          <w:sz w:val="24"/>
          <w:szCs w:val="24"/>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 portfolio of investigational NSAs.</w:t>
      </w:r>
    </w:p>
    <w:p>
      <w:pPr>
        <w:spacing w:after="0" w:line="136"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 operates in Canada, the United States, the United Kingdom, and Ireland. Helus Pharma™ is a trademark of Helus Pharma Corp.</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Notes and Forward-Looking Statements</w:t>
      </w:r>
    </w:p>
    <w:p>
      <w:pPr>
        <w:spacing w:after="0" w:line="183" w:lineRule="exact"/>
        <w:rPr>
          <w:sz w:val="24"/>
          <w:szCs w:val="24"/>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progress on and expectations with respect to the APPROACH trial and the Company's plans to engineer proprietary drug discovery platforms, innovative drug delivery systems, novel formulation approaches and treatment regimens for mental health conditions.</w:t>
      </w:r>
    </w:p>
    <w:p>
      <w:pPr>
        <w:spacing w:after="0" w:line="139" w:lineRule="exact"/>
        <w:rPr>
          <w:sz w:val="24"/>
          <w:szCs w:val="24"/>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w:t>
      </w:r>
    </w:p>
    <w:p>
      <w:pPr>
        <w:sectPr>
          <w:pgSz w:w="11900" w:h="16838" w:orient="portrait"/>
          <w:cols w:equalWidth="0" w:num="1">
            <w:col w:w="11240"/>
          </w:cols>
          <w:pgMar w:left="320" w:top="432" w:right="339" w:bottom="0" w:gutter="0" w:footer="0" w:header="0"/>
        </w:sectPr>
      </w:pPr>
    </w:p>
    <w:bookmarkStart w:id="1" w:name="page2"/>
    <w:bookmarkEnd w:id="1"/>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t>
      </w:r>
      <w:r>
        <w:rPr>
          <w:rFonts w:ascii="Times New Roman" w:cs="Times New Roman" w:eastAsia="Times New Roman" w:hAnsi="Times New Roman"/>
          <w:sz w:val="22"/>
          <w:szCs w:val="22"/>
          <w:u w:val="single" w:color="auto"/>
          <w:color w:val="467886"/>
        </w:rPr>
        <w:t>www.sedarplus.ca/</w:t>
      </w:r>
      <w:r>
        <w:rPr>
          <w:rFonts w:ascii="Times New Roman" w:cs="Times New Roman" w:eastAsia="Times New Roman" w:hAnsi="Times New Roman"/>
          <w:sz w:val="22"/>
          <w:szCs w:val="22"/>
          <w:color w:val="auto"/>
        </w:rPr>
        <w:t xml:space="preserve"> and the Company's EDGAR profile at </w:t>
      </w:r>
      <w:r>
        <w:rPr>
          <w:rFonts w:ascii="Times New Roman" w:cs="Times New Roman" w:eastAsia="Times New Roman" w:hAnsi="Times New Roman"/>
          <w:sz w:val="22"/>
          <w:szCs w:val="22"/>
          <w:u w:val="single" w:color="auto"/>
          <w:color w:val="467886"/>
        </w:rPr>
        <w:t>www.sec.gov/edgar</w:t>
      </w:r>
      <w:r>
        <w:rPr>
          <w:rFonts w:ascii="Times New Roman" w:cs="Times New Roman" w:eastAsia="Times New Roman" w:hAnsi="Times New Roman"/>
          <w:sz w:val="22"/>
          <w:szCs w:val="22"/>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1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15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i w:val="1"/>
          <w:iCs w:val="1"/>
          <w:color w:val="auto"/>
        </w:rPr>
        <w:t>Neither Cboe Canada, nor the Nasdaq Global Market stock exchange, have approved or disapproved the contents of this news release and are not responsible for the adequacy and accuracy of the contents herein.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Matthew Beck</w:t>
      </w:r>
    </w:p>
    <w:p>
      <w:pPr>
        <w:spacing w:after="0" w:line="230" w:lineRule="auto"/>
        <w:rPr>
          <w:sz w:val="20"/>
          <w:szCs w:val="20"/>
          <w:color w:val="auto"/>
        </w:rPr>
      </w:pPr>
      <w:r>
        <w:rPr>
          <w:rFonts w:ascii="Times New Roman" w:cs="Times New Roman" w:eastAsia="Times New Roman" w:hAnsi="Times New Roman"/>
          <w:sz w:val="22"/>
          <w:szCs w:val="22"/>
          <w:color w:val="auto"/>
        </w:rPr>
        <w:t>astr partners</w:t>
      </w:r>
    </w:p>
    <w:p>
      <w:pPr>
        <w:spacing w:after="0" w:line="231" w:lineRule="auto"/>
        <w:rPr>
          <w:sz w:val="20"/>
          <w:szCs w:val="20"/>
          <w:color w:val="auto"/>
        </w:rPr>
      </w:pPr>
      <w:r>
        <w:rPr>
          <w:rFonts w:ascii="Times New Roman" w:cs="Times New Roman" w:eastAsia="Times New Roman" w:hAnsi="Times New Roman"/>
          <w:sz w:val="22"/>
          <w:szCs w:val="22"/>
          <w:color w:val="auto"/>
        </w:rPr>
        <w:t>Managing Partner</w:t>
      </w:r>
    </w:p>
    <w:p>
      <w:pPr>
        <w:ind w:right="8380" w:firstLine="8"/>
        <w:spacing w:after="0" w:line="258"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415-1750 </w:t>
      </w:r>
      <w:r>
        <w:rPr>
          <w:rFonts w:ascii="Times New Roman" w:cs="Times New Roman" w:eastAsia="Times New Roman" w:hAnsi="Times New Roman"/>
          <w:sz w:val="21"/>
          <w:szCs w:val="21"/>
          <w:u w:val="single" w:color="auto"/>
          <w:color w:val="467886"/>
        </w:rPr>
        <w:t>Matthew.beck@astrpartners.com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George Tziras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Business Officer</w:t>
      </w:r>
    </w:p>
    <w:p>
      <w:pPr>
        <w:spacing w:after="0" w:line="230" w:lineRule="auto"/>
        <w:rPr>
          <w:sz w:val="20"/>
          <w:szCs w:val="20"/>
          <w:color w:val="auto"/>
        </w:rPr>
      </w:pPr>
      <w:r>
        <w:rPr>
          <w:rFonts w:ascii="Times New Roman" w:cs="Times New Roman" w:eastAsia="Times New Roman" w:hAnsi="Times New Roman"/>
          <w:sz w:val="22"/>
          <w:szCs w:val="22"/>
          <w:color w:val="auto"/>
        </w:rPr>
        <w:t>Helus Pharma</w:t>
      </w:r>
    </w:p>
    <w:p>
      <w:pPr>
        <w:spacing w:after="0" w:line="231" w:lineRule="auto"/>
        <w:rPr>
          <w:sz w:val="20"/>
          <w:szCs w:val="20"/>
          <w:color w:val="auto"/>
        </w:rPr>
      </w:pPr>
      <w:r>
        <w:rPr>
          <w:rFonts w:ascii="Times New Roman" w:cs="Times New Roman" w:eastAsia="Times New Roman" w:hAnsi="Times New Roman"/>
          <w:sz w:val="22"/>
          <w:szCs w:val="22"/>
          <w:color w:val="auto"/>
        </w:rPr>
        <w:t>1-866-292-4601</w:t>
      </w:r>
    </w:p>
    <w:p>
      <w:pPr>
        <w:spacing w:after="0"/>
        <w:rPr>
          <w:sz w:val="20"/>
          <w:szCs w:val="20"/>
          <w:color w:val="auto"/>
        </w:rPr>
      </w:pPr>
      <w:r>
        <w:rPr>
          <w:rFonts w:ascii="Times New Roman" w:cs="Times New Roman" w:eastAsia="Times New Roman" w:hAnsi="Times New Roman"/>
          <w:sz w:val="22"/>
          <w:szCs w:val="22"/>
          <w:u w:val="single" w:color="auto"/>
          <w:color w:val="467886"/>
        </w:rPr>
        <w:t>irteam@helus.com</w:t>
      </w:r>
      <w:r>
        <w:rPr>
          <w:rFonts w:ascii="Times New Roman" w:cs="Times New Roman" w:eastAsia="Times New Roman" w:hAnsi="Times New Roman"/>
          <w:sz w:val="22"/>
          <w:szCs w:val="22"/>
          <w:color w:val="467886"/>
        </w:rPr>
        <w:t xml:space="preserve"> </w:t>
      </w:r>
      <w:r>
        <w:rPr>
          <w:rFonts w:ascii="Times New Roman" w:cs="Times New Roman" w:eastAsia="Times New Roman" w:hAnsi="Times New Roman"/>
          <w:sz w:val="22"/>
          <w:szCs w:val="22"/>
          <w:color w:val="000000"/>
        </w:rPr>
        <w:t>- or -</w:t>
      </w:r>
      <w:r>
        <w:rPr>
          <w:rFonts w:ascii="Times New Roman" w:cs="Times New Roman" w:eastAsia="Times New Roman" w:hAnsi="Times New Roman"/>
          <w:sz w:val="22"/>
          <w:szCs w:val="22"/>
          <w:color w:val="467886"/>
        </w:rPr>
        <w:t xml:space="preserve"> </w:t>
      </w:r>
      <w:r>
        <w:rPr>
          <w:rFonts w:ascii="Times New Roman" w:cs="Times New Roman" w:eastAsia="Times New Roman" w:hAnsi="Times New Roman"/>
          <w:sz w:val="22"/>
          <w:szCs w:val="22"/>
          <w:u w:val="single" w:color="auto"/>
          <w:color w:val="467886"/>
        </w:rPr>
        <w:t>media@helus.com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Johnny Tokarczyk</w:t>
      </w:r>
    </w:p>
    <w:p>
      <w:pPr>
        <w:spacing w:after="0" w:line="230" w:lineRule="auto"/>
        <w:rPr>
          <w:sz w:val="20"/>
          <w:szCs w:val="20"/>
          <w:color w:val="auto"/>
        </w:rPr>
      </w:pPr>
      <w:r>
        <w:rPr>
          <w:rFonts w:ascii="Times New Roman" w:cs="Times New Roman" w:eastAsia="Times New Roman" w:hAnsi="Times New Roman"/>
          <w:sz w:val="22"/>
          <w:szCs w:val="22"/>
          <w:color w:val="auto"/>
        </w:rPr>
        <w:t>RXMD</w:t>
      </w:r>
    </w:p>
    <w:p>
      <w:pPr>
        <w:spacing w:after="0" w:line="231" w:lineRule="auto"/>
        <w:rPr>
          <w:sz w:val="20"/>
          <w:szCs w:val="20"/>
          <w:color w:val="auto"/>
        </w:rPr>
      </w:pPr>
      <w:r>
        <w:rPr>
          <w:rFonts w:ascii="Times New Roman" w:cs="Times New Roman" w:eastAsia="Times New Roman" w:hAnsi="Times New Roman"/>
          <w:sz w:val="22"/>
          <w:szCs w:val="22"/>
          <w:color w:val="auto"/>
        </w:rPr>
        <w:t>Public Relations Director</w:t>
      </w:r>
    </w:p>
    <w:p>
      <w:pPr>
        <w:spacing w:after="0" w:line="230" w:lineRule="auto"/>
        <w:rPr>
          <w:sz w:val="20"/>
          <w:szCs w:val="20"/>
          <w:color w:val="auto"/>
        </w:rPr>
      </w:pPr>
      <w:r>
        <w:rPr>
          <w:rFonts w:ascii="Times New Roman" w:cs="Times New Roman" w:eastAsia="Times New Roman" w:hAnsi="Times New Roman"/>
          <w:sz w:val="22"/>
          <w:szCs w:val="22"/>
          <w:u w:val="single" w:color="auto"/>
          <w:color w:val="467886"/>
        </w:rPr>
        <w:t>jtokarczyk@rxmedyn.com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 772-7562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1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2026-06-24T05:21:42Z</dcterms:created>
  <dcterms:modified xsi:type="dcterms:W3CDTF">2026-06-24T05:21:42Z</dcterms:modified>
</cp:coreProperties>
</file>