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23256X100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September 30,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LP</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2"/>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Management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4"/>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Arsani William</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6"/>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Cayman Islands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GP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10"/>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Cybin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 King Street West, Suite 5600, Toronto, Ontario, M5X 1C9</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24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Master Fund LP (“Global Fund”), Logos Global Management LP (“Logos Global”), Logos GP LLC (“Logos GP”), Logos Global Management GP LLC (“Logos Global GP”), and Arsani William (collectively, the “Filers”).</w:t>
      </w:r>
    </w:p>
    <w:p>
      <w:pPr>
        <w:spacing w:after="0" w:line="182" w:lineRule="exact"/>
        <w:rPr>
          <w:rFonts w:ascii="Times New Roman" w:cs="Times New Roman" w:eastAsia="Times New Roman" w:hAnsi="Times New Roman"/>
          <w:sz w:val="20"/>
          <w:szCs w:val="20"/>
          <w:color w:val="auto"/>
        </w:rPr>
      </w:pPr>
    </w:p>
    <w:p>
      <w:pPr>
        <w:ind w:left="1300" w:right="16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Logos Global is the investment adviser to investment funds, including Global Fund. Logos Global GP is the general partner of Logos Global. Dr. William is a control person of Logos Global and Logos Global GP.</w:t>
      </w:r>
    </w:p>
    <w:p>
      <w:pPr>
        <w:spacing w:after="0" w:line="165" w:lineRule="exact"/>
        <w:rPr>
          <w:rFonts w:ascii="Times New Roman" w:cs="Times New Roman" w:eastAsia="Times New Roman" w:hAnsi="Times New Roman"/>
          <w:sz w:val="20"/>
          <w:szCs w:val="20"/>
          <w:color w:val="auto"/>
        </w:rPr>
      </w:pPr>
    </w:p>
    <w:p>
      <w:pPr>
        <w:jc w:val="both"/>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Filers are filing this statement jointly but not as members of a group, and they expressly disclaim membership in a group. In addition, filing this Schedule 13G on behalf of Global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30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One Letterman Drive, Building C, Suite C3-350, San Francisco, California 94129</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23256X100</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229"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Logos Global.</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140" w:hanging="644"/>
        <w:spacing w:after="0" w:line="269" w:lineRule="auto"/>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Logos Global GP and Dr. William.</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640" w:hanging="1304"/>
        <w:spacing w:after="0" w:line="269" w:lineRule="auto"/>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Global Fund holds the Stock for the benefit of its investors and has the right to receive or the power to direct the receipt of dividends from, or the proceeds from the sale of, the Stock.</w:t>
      </w:r>
    </w:p>
    <w:p>
      <w:pPr>
        <w:spacing w:after="0" w:line="155" w:lineRule="exact"/>
        <w:rPr>
          <w:sz w:val="20"/>
          <w:szCs w:val="20"/>
          <w:color w:val="auto"/>
        </w:rPr>
      </w:pPr>
    </w:p>
    <w:p>
      <w:pPr>
        <w:ind w:left="1300" w:right="3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Logos Global, Logos Global GP and Dr. William:</w:t>
      </w:r>
    </w:p>
    <w:p>
      <w:pPr>
        <w:spacing w:after="0" w:line="233" w:lineRule="exact"/>
        <w:rPr>
          <w:sz w:val="20"/>
          <w:szCs w:val="20"/>
          <w:color w:val="auto"/>
        </w:rPr>
      </w:pPr>
    </w:p>
    <w:p>
      <w:pPr>
        <w:ind w:left="660" w:right="6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Global Fund and Logos GP:</w:t>
      </w:r>
    </w:p>
    <w:p>
      <w:pPr>
        <w:spacing w:after="0" w:line="233" w:lineRule="exact"/>
        <w:rPr>
          <w:sz w:val="20"/>
          <w:szCs w:val="20"/>
          <w:color w:val="auto"/>
        </w:rPr>
      </w:pPr>
    </w:p>
    <w:p>
      <w:pPr>
        <w:ind w:left="660" w:right="7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40"/>
          </w:cols>
          <w:pgMar w:left="320" w:top="229" w:right="339" w:bottom="123"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29" w:right="339" w:bottom="12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Arsani William</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428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280" w:type="dxa"/>
            <w:vAlign w:val="bottom"/>
            <w:gridSpan w:val="7"/>
            <w:vMerge w:val="continue"/>
          </w:tcPr>
          <w:p>
            <w:pPr>
              <w:spacing w:after="0"/>
              <w:rPr>
                <w:sz w:val="18"/>
                <w:szCs w:val="18"/>
                <w:color w:val="auto"/>
              </w:rPr>
            </w:pPr>
          </w:p>
        </w:tc>
        <w:tc>
          <w:tcPr>
            <w:tcW w:w="6320" w:type="dxa"/>
            <w:vAlign w:val="bottom"/>
            <w:gridSpan w:val="8"/>
          </w:tcPr>
          <w:p>
            <w:pPr>
              <w:ind w:left="134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320" w:type="dxa"/>
            <w:vAlign w:val="bottom"/>
            <w:gridSpan w:val="8"/>
            <w:vMerge w:val="restart"/>
          </w:tcPr>
          <w:p>
            <w:pPr>
              <w:ind w:left="134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32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632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0" w:type="dxa"/>
            <w:vAlign w:val="bottom"/>
          </w:tcPr>
          <w:p>
            <w:pPr>
              <w:spacing w:after="0"/>
              <w:rPr>
                <w:sz w:val="1"/>
                <w:szCs w:val="1"/>
                <w:color w:val="auto"/>
              </w:rPr>
            </w:pPr>
          </w:p>
        </w:tc>
      </w:tr>
      <w:tr>
        <w:trPr>
          <w:trHeight w:val="20"/>
        </w:trPr>
        <w:tc>
          <w:tcPr>
            <w:tcW w:w="200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2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320" w:type="dxa"/>
            <w:vAlign w:val="bottom"/>
            <w:gridSpan w:val="8"/>
          </w:tcPr>
          <w:p>
            <w:pPr>
              <w:ind w:left="134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6320" w:type="dxa"/>
            <w:vAlign w:val="bottom"/>
            <w:gridSpan w:val="8"/>
          </w:tcPr>
          <w:p>
            <w:pPr>
              <w:ind w:left="1340"/>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2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23256X100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Arsani William</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Arsani William</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LP</w:t>
            </w:r>
          </w:p>
        </w:tc>
        <w:tc>
          <w:tcPr>
            <w:tcW w:w="6260" w:type="dxa"/>
            <w:vAlign w:val="bottom"/>
            <w:gridSpan w:val="8"/>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Global Master Fund LP</w:t>
            </w:r>
          </w:p>
        </w:tc>
        <w:tc>
          <w:tcPr>
            <w:tcW w:w="0" w:type="dxa"/>
            <w:vAlign w:val="bottom"/>
          </w:tcPr>
          <w:p>
            <w:pPr>
              <w:spacing w:after="0"/>
              <w:rPr>
                <w:sz w:val="1"/>
                <w:szCs w:val="1"/>
                <w:color w:val="auto"/>
              </w:rPr>
            </w:pPr>
          </w:p>
        </w:tc>
      </w:tr>
      <w:tr>
        <w:trPr>
          <w:trHeight w:val="430"/>
        </w:trPr>
        <w:tc>
          <w:tcPr>
            <w:tcW w:w="434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260" w:type="dxa"/>
            <w:vAlign w:val="bottom"/>
            <w:gridSpan w:val="8"/>
          </w:tcPr>
          <w:p>
            <w:pPr>
              <w:ind w:left="1280"/>
              <w:spacing w:after="0"/>
              <w:rPr>
                <w:sz w:val="20"/>
                <w:szCs w:val="20"/>
                <w:color w:val="auto"/>
              </w:rPr>
            </w:pPr>
            <w:r>
              <w:rPr>
                <w:rFonts w:ascii="Times New Roman" w:cs="Times New Roman" w:eastAsia="Times New Roman" w:hAnsi="Times New Roman"/>
                <w:sz w:val="20"/>
                <w:szCs w:val="20"/>
                <w:color w:val="auto"/>
                <w:w w:val="98"/>
              </w:rPr>
              <w:t>By Logos Global Management LP, its investment manager and</w:t>
            </w:r>
          </w:p>
        </w:tc>
        <w:tc>
          <w:tcPr>
            <w:tcW w:w="0" w:type="dxa"/>
            <w:vAlign w:val="bottom"/>
          </w:tcPr>
          <w:p>
            <w:pPr>
              <w:spacing w:after="0"/>
              <w:rPr>
                <w:sz w:val="1"/>
                <w:szCs w:val="1"/>
                <w:color w:val="auto"/>
              </w:rPr>
            </w:pPr>
          </w:p>
        </w:tc>
      </w:tr>
      <w:tr>
        <w:trPr>
          <w:trHeight w:val="212"/>
        </w:trPr>
        <w:tc>
          <w:tcPr>
            <w:tcW w:w="4340" w:type="dxa"/>
            <w:vAlign w:val="bottom"/>
            <w:gridSpan w:val="7"/>
            <w:vMerge w:val="continue"/>
          </w:tcPr>
          <w:p>
            <w:pPr>
              <w:spacing w:after="0"/>
              <w:rPr>
                <w:sz w:val="18"/>
                <w:szCs w:val="18"/>
                <w:color w:val="auto"/>
              </w:rPr>
            </w:pPr>
          </w:p>
        </w:tc>
        <w:tc>
          <w:tcPr>
            <w:tcW w:w="6260" w:type="dxa"/>
            <w:vAlign w:val="bottom"/>
            <w:gridSpan w:val="8"/>
          </w:tcPr>
          <w:p>
            <w:pPr>
              <w:ind w:left="1280"/>
              <w:spacing w:after="0" w:line="212" w:lineRule="exact"/>
              <w:rPr>
                <w:sz w:val="20"/>
                <w:szCs w:val="20"/>
                <w:color w:val="auto"/>
              </w:rPr>
            </w:pPr>
            <w:r>
              <w:rPr>
                <w:rFonts w:ascii="Times New Roman" w:cs="Times New Roman" w:eastAsia="Times New Roman" w:hAnsi="Times New Roman"/>
                <w:sz w:val="20"/>
                <w:szCs w:val="20"/>
                <w:color w:val="auto"/>
              </w:rPr>
              <w:t>attorney-in-fact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260" w:type="dxa"/>
            <w:vAlign w:val="bottom"/>
            <w:gridSpan w:val="8"/>
            <w:vMerge w:val="restart"/>
          </w:tcPr>
          <w:p>
            <w:pPr>
              <w:ind w:left="128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62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60" w:type="dxa"/>
            <w:vAlign w:val="bottom"/>
            <w:gridSpan w:val="8"/>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60" w:type="dxa"/>
            <w:vAlign w:val="bottom"/>
            <w:gridSpan w:val="8"/>
          </w:tcPr>
          <w:p>
            <w:pPr>
              <w:ind w:left="1280"/>
              <w:spacing w:after="0" w:line="209" w:lineRule="exact"/>
              <w:rPr>
                <w:sz w:val="20"/>
                <w:szCs w:val="20"/>
                <w:color w:val="auto"/>
              </w:rPr>
            </w:pPr>
            <w:r>
              <w:rPr>
                <w:rFonts w:ascii="Times New Roman" w:cs="Times New Roman" w:eastAsia="Times New Roman" w:hAnsi="Times New Roman"/>
                <w:sz w:val="20"/>
                <w:szCs w:val="20"/>
                <w:color w:val="auto"/>
              </w:rPr>
              <w:t>Title: Managing Partner</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Logos Global Management GP LLC</w:t>
            </w:r>
          </w:p>
        </w:tc>
        <w:tc>
          <w:tcPr>
            <w:tcW w:w="6260" w:type="dxa"/>
            <w:vAlign w:val="bottom"/>
            <w:gridSpan w:val="8"/>
          </w:tcPr>
          <w:p>
            <w:pPr>
              <w:ind w:left="1280"/>
              <w:spacing w:after="0"/>
              <w:rPr>
                <w:sz w:val="20"/>
                <w:szCs w:val="20"/>
                <w:color w:val="auto"/>
              </w:rPr>
            </w:pPr>
            <w:r>
              <w:rPr>
                <w:rFonts w:ascii="Times New Roman" w:cs="Times New Roman" w:eastAsia="Times New Roman" w:hAnsi="Times New Roman"/>
                <w:sz w:val="20"/>
                <w:szCs w:val="20"/>
                <w:b w:val="1"/>
                <w:bCs w:val="1"/>
                <w:color w:val="auto"/>
              </w:rPr>
              <w:t>Logos GP LLC</w:t>
            </w:r>
          </w:p>
        </w:tc>
        <w:tc>
          <w:tcPr>
            <w:tcW w:w="0" w:type="dxa"/>
            <w:vAlign w:val="bottom"/>
          </w:tcPr>
          <w:p>
            <w:pPr>
              <w:spacing w:after="0"/>
              <w:rPr>
                <w:sz w:val="1"/>
                <w:szCs w:val="1"/>
                <w:color w:val="auto"/>
              </w:rPr>
            </w:pPr>
          </w:p>
        </w:tc>
      </w:tr>
      <w:tr>
        <w:trPr>
          <w:trHeight w:val="642"/>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6260" w:type="dxa"/>
            <w:vAlign w:val="bottom"/>
            <w:gridSpan w:val="8"/>
          </w:tcPr>
          <w:p>
            <w:pPr>
              <w:ind w:left="128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Arsani William</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6260" w:type="dxa"/>
            <w:vAlign w:val="bottom"/>
            <w:gridSpan w:val="8"/>
          </w:tcPr>
          <w:p>
            <w:pPr>
              <w:ind w:left="1280"/>
              <w:spacing w:after="0" w:line="209" w:lineRule="exact"/>
              <w:rPr>
                <w:sz w:val="20"/>
                <w:szCs w:val="20"/>
                <w:color w:val="auto"/>
              </w:rPr>
            </w:pPr>
            <w:r>
              <w:rPr>
                <w:rFonts w:ascii="Times New Roman" w:cs="Times New Roman" w:eastAsia="Times New Roman" w:hAnsi="Times New Roman"/>
                <w:sz w:val="20"/>
                <w:szCs w:val="20"/>
                <w:color w:val="auto"/>
              </w:rPr>
              <w:t>Name: Arsani William</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7"/>
          </w:tcPr>
          <w:p>
            <w:pPr>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6260" w:type="dxa"/>
            <w:vAlign w:val="bottom"/>
            <w:gridSpan w:val="8"/>
          </w:tcPr>
          <w:p>
            <w:pPr>
              <w:ind w:left="1280"/>
              <w:spacing w:after="0" w:line="209" w:lineRule="exact"/>
              <w:rPr>
                <w:sz w:val="20"/>
                <w:szCs w:val="20"/>
                <w:color w:val="auto"/>
              </w:rPr>
            </w:pPr>
            <w:r>
              <w:rPr>
                <w:rFonts w:ascii="Times New Roman" w:cs="Times New Roman" w:eastAsia="Times New Roman" w:hAnsi="Times New Roman"/>
                <w:sz w:val="20"/>
                <w:szCs w:val="20"/>
                <w:color w:val="auto"/>
              </w:rPr>
              <w:t>Title: Managing Member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9"/>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2024-11-14T17:58:51Z</dcterms:created>
  <dcterms:modified xsi:type="dcterms:W3CDTF">2024-11-14T17:58:51Z</dcterms:modified>
</cp:coreProperties>
</file>