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jc w:val="center"/>
        <w:ind w:right="-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is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October 27,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Cybin Business Acquisition Report</w:t>
      </w:r>
    </w:p>
    <w:p>
      <w:pPr>
        <w:sectPr>
          <w:pgSz w:w="11900" w:h="16838" w:orient="portrait"/>
          <w:cols w:equalWidth="0" w:num="1">
            <w:col w:w="10119"/>
          </w:cols>
          <w:pgMar w:left="340" w:top="140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FORM 51-102F4</w:t>
      </w:r>
    </w:p>
    <w:p>
      <w:pPr>
        <w:jc w:val="center"/>
        <w:spacing w:after="0"/>
        <w:rPr>
          <w:sz w:val="20"/>
          <w:szCs w:val="20"/>
          <w:color w:val="auto"/>
        </w:rPr>
      </w:pPr>
      <w:r>
        <w:rPr>
          <w:rFonts w:ascii="Arial" w:cs="Arial" w:eastAsia="Arial" w:hAnsi="Arial"/>
          <w:sz w:val="20"/>
          <w:szCs w:val="20"/>
          <w:b w:val="1"/>
          <w:bCs w:val="1"/>
          <w:i w:val="1"/>
          <w:iCs w:val="1"/>
          <w:color w:val="auto"/>
        </w:rPr>
        <w:t>BUSINESS ACQUISITION REPORT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Item 1 — Identity of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1.1 — Name and Address of Company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Cybin Inc.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1" w:lineRule="auto"/>
        <w:rPr>
          <w:sz w:val="20"/>
          <w:szCs w:val="20"/>
          <w:color w:val="auto"/>
        </w:rPr>
      </w:pPr>
      <w:r>
        <w:rPr>
          <w:rFonts w:ascii="Arial" w:cs="Arial" w:eastAsia="Arial" w:hAnsi="Arial"/>
          <w:sz w:val="20"/>
          <w:szCs w:val="20"/>
          <w:color w:val="auto"/>
        </w:rPr>
        <w:t>100 King St. West, Suite 5600</w:t>
      </w:r>
    </w:p>
    <w:p>
      <w:pPr>
        <w:spacing w:after="0"/>
        <w:rPr>
          <w:sz w:val="20"/>
          <w:szCs w:val="20"/>
          <w:color w:val="auto"/>
        </w:rPr>
      </w:pPr>
      <w:r>
        <w:rPr>
          <w:rFonts w:ascii="Arial" w:cs="Arial" w:eastAsia="Arial" w:hAnsi="Arial"/>
          <w:sz w:val="20"/>
          <w:szCs w:val="20"/>
          <w:color w:val="auto"/>
        </w:rPr>
        <w:t>Toronto, Ontario M5X 1C9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1.2 —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Greg Cavers</w:t>
      </w:r>
    </w:p>
    <w:p>
      <w:pPr>
        <w:spacing w:after="0" w:line="211" w:lineRule="auto"/>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1-866-292-4601 ext. 715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Item 2 — Details of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2.1 — Nature of Business Acquired</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October 23, 2023, Cybin acquired all of the issued and outstanding securities of Small Pharma Inc. (“</w:t>
      </w:r>
      <w:r>
        <w:rPr>
          <w:rFonts w:ascii="Arial" w:cs="Arial" w:eastAsia="Arial" w:hAnsi="Arial"/>
          <w:sz w:val="18"/>
          <w:szCs w:val="18"/>
          <w:b w:val="1"/>
          <w:bCs w:val="1"/>
          <w:color w:val="auto"/>
        </w:rPr>
        <w:t>Small Pharma</w:t>
      </w:r>
      <w:r>
        <w:rPr>
          <w:rFonts w:ascii="Arial" w:cs="Arial" w:eastAsia="Arial" w:hAnsi="Arial"/>
          <w:sz w:val="18"/>
          <w:szCs w:val="18"/>
          <w:color w:val="auto"/>
        </w:rPr>
        <w:t xml:space="preserve">”) by way of a plan of arrangement under Division 5 of Part 9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Arrangement</w:t>
      </w:r>
      <w:r>
        <w:rPr>
          <w:rFonts w:ascii="Arial" w:cs="Arial" w:eastAsia="Arial" w:hAnsi="Arial"/>
          <w:sz w:val="18"/>
          <w:szCs w:val="18"/>
          <w:color w:val="auto"/>
        </w:rPr>
        <w:t>”). The Arrangement was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completed pursuant to the terms of an arrangement agreement between Cybin and Small Pharma dated August 28, 2023 (the “</w:t>
      </w:r>
      <w:r>
        <w:rPr>
          <w:rFonts w:ascii="Arial" w:cs="Arial" w:eastAsia="Arial" w:hAnsi="Arial"/>
          <w:sz w:val="20"/>
          <w:szCs w:val="20"/>
          <w:b w:val="1"/>
          <w:bCs w:val="1"/>
          <w:color w:val="auto"/>
        </w:rPr>
        <w:t>Arrangement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 copy of which is available on SEDAR+ under Cybin’s profile at www.sedar.com.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Small Pharma is a biotechnology company progressing short-duration psychedelic-assisted therapies for the treatment of mental health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conditions. Small Pharma has initiated programs across its “first-generation” and “second-generation” psychedelics portfolio. It is focused on the development of pharmaceutical psychedelic assets with the inclusion of support therapy, anticipating this treatment paradigm to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important for optimizing beneficial patient outcomes.</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Small Pharma is focused on the research and development (“R&amp;D”) of pharmaceutical drugs, with an intention to further advance its current portfolio into and through clinical trials towards commercialization. This progression may also extend to the sales and marketing of any of its</w:t>
      </w:r>
    </w:p>
    <w:p>
      <w:pPr>
        <w:spacing w:after="0" w:line="227" w:lineRule="auto"/>
        <w:rPr>
          <w:sz w:val="20"/>
          <w:szCs w:val="20"/>
          <w:color w:val="auto"/>
        </w:rPr>
      </w:pPr>
      <w:r>
        <w:rPr>
          <w:rFonts w:ascii="Arial" w:cs="Arial" w:eastAsia="Arial" w:hAnsi="Arial"/>
          <w:sz w:val="20"/>
          <w:szCs w:val="20"/>
          <w:color w:val="auto"/>
        </w:rPr>
        <w:t>assets that receive marketing authorization. In addition, Small Pharma may expand its R&amp;D pipeline by initiating additional development programs.</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Small Pharma has initiated and progressed its R&amp;D efforts on four therapeutic candidates across its psychedelic and non-psychedelic compounds. It has two clinical stage development programs: SPL026 (injectable N, N-dimethyltryptamine (“DMT”)) and SPL028 (injectable</w:t>
      </w:r>
    </w:p>
    <w:p>
      <w:pPr>
        <w:spacing w:after="0" w:line="220" w:lineRule="auto"/>
        <w:rPr>
          <w:sz w:val="20"/>
          <w:szCs w:val="20"/>
          <w:color w:val="auto"/>
        </w:rPr>
      </w:pPr>
      <w:r>
        <w:rPr>
          <w:rFonts w:ascii="Arial" w:cs="Arial" w:eastAsia="Arial" w:hAnsi="Arial"/>
          <w:sz w:val="20"/>
          <w:szCs w:val="20"/>
          <w:color w:val="auto"/>
        </w:rPr>
        <w:t>deuterated DMT); two pre-clinical development programs: SPL029 (oral tryptamine) and SPL801B (oral ketamine metabolite); and additional preclinical research programs.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In line with its business model, the Corporation has ensured an intellectual property strategy is embedded in the development of all its</w:t>
      </w:r>
    </w:p>
    <w:p>
      <w:pPr>
        <w:ind w:right="20"/>
        <w:spacing w:after="0" w:line="220" w:lineRule="auto"/>
        <w:rPr>
          <w:sz w:val="20"/>
          <w:szCs w:val="20"/>
          <w:color w:val="auto"/>
        </w:rPr>
      </w:pPr>
      <w:r>
        <w:rPr>
          <w:rFonts w:ascii="Arial" w:cs="Arial" w:eastAsia="Arial" w:hAnsi="Arial"/>
          <w:sz w:val="20"/>
          <w:szCs w:val="20"/>
          <w:color w:val="auto"/>
        </w:rPr>
        <w:t>therapeutic candidates. As at October 23, 2023 (the “</w:t>
      </w:r>
      <w:r>
        <w:rPr>
          <w:rFonts w:ascii="Arial" w:cs="Arial" w:eastAsia="Arial" w:hAnsi="Arial"/>
          <w:sz w:val="20"/>
          <w:szCs w:val="20"/>
          <w:b w:val="1"/>
          <w:bCs w:val="1"/>
          <w:color w:val="auto"/>
        </w:rPr>
        <w:t>Effective Date</w:t>
      </w:r>
      <w:r>
        <w:rPr>
          <w:rFonts w:ascii="Arial" w:cs="Arial" w:eastAsia="Arial" w:hAnsi="Arial"/>
          <w:sz w:val="20"/>
          <w:szCs w:val="20"/>
          <w:color w:val="auto"/>
        </w:rPr>
        <w:t>”), Small Pharma’s patent portfolio consisting of 17 active patent families with 92 pending applications and 30 granted patents across its psychedelic and non-psychedelic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concerning Small Pharma, including information with respect to Small Pharma’s assets, operations and history prior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Arrangement, may be found in Small Pharma’s annual information form dated September 12, 2023, for the year ended February 28, 2023, (the “</w:t>
      </w:r>
      <w:r>
        <w:rPr>
          <w:rFonts w:ascii="Arial" w:cs="Arial" w:eastAsia="Arial" w:hAnsi="Arial"/>
          <w:sz w:val="18"/>
          <w:szCs w:val="18"/>
          <w:b w:val="1"/>
          <w:bCs w:val="1"/>
          <w:color w:val="auto"/>
        </w:rPr>
        <w:t>Small Pharma AIF</w:t>
      </w:r>
      <w:r>
        <w:rPr>
          <w:rFonts w:ascii="Arial" w:cs="Arial" w:eastAsia="Arial" w:hAnsi="Arial"/>
          <w:sz w:val="18"/>
          <w:szCs w:val="18"/>
          <w:color w:val="auto"/>
        </w:rPr>
        <w:t>”), which is filed and available on SEDAR+ under Small Pharma’s profile at www.sedarplus.com. The Small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Pharma AIF does not form part of, and is not incorporated by reference in, this report.</w:t>
      </w:r>
    </w:p>
    <w:p>
      <w:pPr>
        <w:sectPr>
          <w:pgSz w:w="11900" w:h="16838" w:orient="portrait"/>
          <w:cols w:equalWidth="0" w:num="1">
            <w:col w:w="11240"/>
          </w:cols>
          <w:pgMar w:left="320" w:top="1407" w:right="339" w:bottom="1440" w:gutter="0" w:footer="0" w:header="0"/>
        </w:sectPr>
      </w:pPr>
    </w:p>
    <w:bookmarkStart w:id="4" w:name="page5"/>
    <w:bookmarkEnd w:id="4"/>
    <w:p>
      <w:pPr>
        <w:ind w:left="180"/>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completion of the Arrangement, the common shares of Small Pharma (“</w:t>
      </w:r>
      <w:r>
        <w:rPr>
          <w:rFonts w:ascii="Arial" w:cs="Arial" w:eastAsia="Arial" w:hAnsi="Arial"/>
          <w:sz w:val="18"/>
          <w:szCs w:val="18"/>
          <w:b w:val="1"/>
          <w:bCs w:val="1"/>
          <w:color w:val="auto"/>
        </w:rPr>
        <w:t>Small Pharma Shares</w:t>
      </w:r>
      <w:r>
        <w:rPr>
          <w:rFonts w:ascii="Arial" w:cs="Arial" w:eastAsia="Arial" w:hAnsi="Arial"/>
          <w:sz w:val="18"/>
          <w:szCs w:val="18"/>
          <w:color w:val="auto"/>
        </w:rPr>
        <w:t>”) were voluntarily de-</w:t>
      </w:r>
    </w:p>
    <w:p>
      <w:pPr>
        <w:spacing w:after="0" w:line="1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listed from the TSX Venture Exchange (the “</w:t>
      </w:r>
      <w:r>
        <w:rPr>
          <w:rFonts w:ascii="Arial" w:cs="Arial" w:eastAsia="Arial" w:hAnsi="Arial"/>
          <w:sz w:val="20"/>
          <w:szCs w:val="20"/>
          <w:b w:val="1"/>
          <w:bCs w:val="1"/>
          <w:color w:val="auto"/>
        </w:rPr>
        <w:t>TSXV</w:t>
      </w:r>
      <w:r>
        <w:rPr>
          <w:rFonts w:ascii="Arial" w:cs="Arial" w:eastAsia="Arial" w:hAnsi="Arial"/>
          <w:sz w:val="20"/>
          <w:szCs w:val="20"/>
          <w:color w:val="auto"/>
        </w:rPr>
        <w:t>”) and Small Pharma ceased to be a reporting issuer in all of the provinces and territories of Canada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2.2 — Acquisition Date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October 23, 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2.3 — Consideration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consideration for the acquisition of all of the issued and outstanding Small Pharma securities, former holders of Small Pharma Shares</w:t>
      </w:r>
    </w:p>
    <w:p>
      <w:pPr>
        <w:spacing w:after="0" w:line="1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received 0.2409 common shares of Cybin (“</w:t>
      </w:r>
      <w:r>
        <w:rPr>
          <w:rFonts w:ascii="Arial" w:cs="Arial" w:eastAsia="Arial" w:hAnsi="Arial"/>
          <w:sz w:val="20"/>
          <w:szCs w:val="20"/>
          <w:b w:val="1"/>
          <w:bCs w:val="1"/>
          <w:color w:val="auto"/>
        </w:rPr>
        <w:t>Cybin Shares</w:t>
      </w:r>
      <w:r>
        <w:rPr>
          <w:rFonts w:ascii="Arial" w:cs="Arial" w:eastAsia="Arial" w:hAnsi="Arial"/>
          <w:sz w:val="20"/>
          <w:szCs w:val="20"/>
          <w:color w:val="auto"/>
        </w:rPr>
        <w:t>”) for each Small Pharma Share held. The aggregate consideration paid by Cybin for the Small Pharma Shares was approximately 80,945,254 Cybin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addition, pursuant to the Arrangement, holders of outstanding options to purchase Small Pharma Shares (“</w:t>
      </w:r>
      <w:r>
        <w:rPr>
          <w:rFonts w:ascii="Arial" w:cs="Arial" w:eastAsia="Arial" w:hAnsi="Arial"/>
          <w:sz w:val="18"/>
          <w:szCs w:val="18"/>
          <w:b w:val="1"/>
          <w:bCs w:val="1"/>
          <w:color w:val="auto"/>
        </w:rPr>
        <w:t>Small Pharma Options</w:t>
      </w:r>
      <w:r>
        <w:rPr>
          <w:rFonts w:ascii="Arial" w:cs="Arial" w:eastAsia="Arial" w:hAnsi="Arial"/>
          <w:sz w:val="18"/>
          <w:szCs w:val="18"/>
          <w:color w:val="auto"/>
        </w:rPr>
        <w:t>”) that</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were “in-the-money” based on the volume weighted average trading price of the Small Pharma Shares on the TSXV for the five trading days immediately preceding the effective time of the Arrangement (the “</w:t>
      </w:r>
      <w:r>
        <w:rPr>
          <w:rFonts w:ascii="Arial" w:cs="Arial" w:eastAsia="Arial" w:hAnsi="Arial"/>
          <w:sz w:val="18"/>
          <w:szCs w:val="18"/>
          <w:b w:val="1"/>
          <w:bCs w:val="1"/>
          <w:color w:val="auto"/>
        </w:rPr>
        <w:t>Small Pharma Share Value</w:t>
      </w:r>
      <w:r>
        <w:rPr>
          <w:rFonts w:ascii="Arial" w:cs="Arial" w:eastAsia="Arial" w:hAnsi="Arial"/>
          <w:sz w:val="18"/>
          <w:szCs w:val="18"/>
          <w:color w:val="auto"/>
        </w:rPr>
        <w:t>”) received from Small Pharma such number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Small Pharma Shares equal to the number of Small Pharma Options held, multiplied by the amount by which the Small Pharma Share Value exceeded the exercise price of such Small Pharma Options, divided by the Small Pharma Share Value. These newly issued Small</w:t>
      </w:r>
    </w:p>
    <w:p>
      <w:pPr>
        <w:spacing w:after="0" w:line="236" w:lineRule="auto"/>
        <w:rPr>
          <w:sz w:val="20"/>
          <w:szCs w:val="20"/>
          <w:color w:val="auto"/>
        </w:rPr>
      </w:pPr>
      <w:r>
        <w:rPr>
          <w:rFonts w:ascii="Arial" w:cs="Arial" w:eastAsia="Arial" w:hAnsi="Arial"/>
          <w:sz w:val="18"/>
          <w:szCs w:val="18"/>
          <w:color w:val="auto"/>
        </w:rPr>
        <w:t>Pharma Shares were acquired by Cybin on the same terms as the other Small Pharma Shares. Each Small Pharma Option that was “out-of-</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the-money” based on the Small Pharma Share Value was deemed to be surrendered to Small Pharma for a cash payment of $0.001 per Small Pharma Option and cancelled.</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Full details of the Arrangement are set out in the management information circular of Cybin dated September 13, 2023 (the “</w:t>
      </w:r>
      <w:r>
        <w:rPr>
          <w:rFonts w:ascii="Arial" w:cs="Arial" w:eastAsia="Arial" w:hAnsi="Arial"/>
          <w:sz w:val="20"/>
          <w:szCs w:val="20"/>
          <w:b w:val="1"/>
          <w:bCs w:val="1"/>
          <w:color w:val="auto"/>
        </w:rPr>
        <w:t>Cybin</w:t>
      </w:r>
      <w:r>
        <w:rPr>
          <w:rFonts w:ascii="Arial" w:cs="Arial" w:eastAsia="Arial" w:hAnsi="Arial"/>
          <w:sz w:val="20"/>
          <w:szCs w:val="20"/>
          <w:color w:val="auto"/>
        </w:rPr>
        <w:t xml:space="preserve"> </w:t>
      </w:r>
      <w:r>
        <w:rPr>
          <w:rFonts w:ascii="Arial" w:cs="Arial" w:eastAsia="Arial" w:hAnsi="Arial"/>
          <w:sz w:val="20"/>
          <w:szCs w:val="20"/>
          <w:b w:val="1"/>
          <w:bCs w:val="1"/>
          <w:color w:val="auto"/>
        </w:rPr>
        <w:t>Circular</w:t>
      </w:r>
      <w:r>
        <w:rPr>
          <w:rFonts w:ascii="Arial" w:cs="Arial" w:eastAsia="Arial" w:hAnsi="Arial"/>
          <w:sz w:val="20"/>
          <w:szCs w:val="20"/>
          <w:color w:val="auto"/>
        </w:rPr>
        <w:t>”), a copy of which can be found under the Cybin’s profile on SEDAR+ at www.sedarplus.com.</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2.4 — Effect on Financial Position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Cybin presently has no plans or proposals for material changes in Cybin’s business affairs or the affairs of the Small Pharma that may have a significant effect on the results of operations and financial position of Cybin.</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For information relating to the anticipated effect of the Arrangement on Cybin’s financial performance and financial position, please refer to the unaudited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combined financial statements and the accompanying notes thereto referred to under Item 3 below.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2.5 — Prior Valuations</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To the knowledge of Cybin, there has been no valuation opinion obtained within the last 12 months by Small Pharma or Cybin required by securities legislation or a Canadian exchange or market to support the consideration paid by Cybin or any of its subsidiaries for Small Pharma.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2.6 — Parties to Transaction</w:t>
      </w:r>
    </w:p>
    <w:p>
      <w:pPr>
        <w:spacing w:after="0" w:line="18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 xml:space="preserve">The Arrangement was not with an “informed person” (as such term is defined in Section 1.1 of National Instrument 51-102 – </w:t>
      </w:r>
      <w:r>
        <w:rPr>
          <w:rFonts w:ascii="Arial" w:cs="Arial" w:eastAsia="Arial" w:hAnsi="Arial"/>
          <w:sz w:val="20"/>
          <w:szCs w:val="20"/>
          <w:i w:val="1"/>
          <w:iCs w:val="1"/>
          <w:color w:val="auto"/>
        </w:rPr>
        <w:t>Continuous</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 Obligations</w:t>
      </w:r>
      <w:r>
        <w:rPr>
          <w:rFonts w:ascii="Arial" w:cs="Arial" w:eastAsia="Arial" w:hAnsi="Arial"/>
          <w:sz w:val="20"/>
          <w:szCs w:val="20"/>
          <w:color w:val="auto"/>
        </w:rPr>
        <w:t>), associate or affiliate of Cybin.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2.7 — Date of Report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October 27, 2023</w:t>
      </w:r>
    </w:p>
    <w:p>
      <w:pPr>
        <w:sectPr>
          <w:pgSz w:w="11900" w:h="16838" w:orient="portrait"/>
          <w:cols w:equalWidth="0" w:num="1">
            <w:col w:w="11240"/>
          </w:cols>
          <w:pgMar w:left="320" w:top="76" w:right="339" w:bottom="1440" w:gutter="0" w:footer="0" w:header="0"/>
        </w:sectPr>
      </w:pPr>
    </w:p>
    <w:bookmarkStart w:id="5" w:name="page6"/>
    <w:bookmarkEnd w:id="5"/>
    <w:p>
      <w:pPr>
        <w:ind w:left="180"/>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Item 3 — Financial Statements and Other Information</w:t>
      </w:r>
    </w:p>
    <w:p>
      <w:pPr>
        <w:spacing w:after="0" w:line="18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following financial statements of Small Pharma, which have been filed on Small Pharma SEDAR+ profile at www.sedarplus.com, are incorporated by reference in, and form a part of, this business acquisition report:</w:t>
      </w:r>
    </w:p>
    <w:p>
      <w:pPr>
        <w:spacing w:after="0" w:line="169" w:lineRule="exact"/>
        <w:rPr>
          <w:sz w:val="20"/>
          <w:szCs w:val="20"/>
          <w:color w:val="auto"/>
        </w:rPr>
      </w:pPr>
    </w:p>
    <w:p>
      <w:pPr>
        <w:ind w:left="660" w:hanging="328"/>
        <w:spacing w:after="0" w:line="236" w:lineRule="auto"/>
        <w:tabs>
          <w:tab w:leader="none" w:pos="926"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audited consolidated financial statements for the financial years ended February 28, 2023 and 2022, together with the independent auditor’s report thereon and the notes thereto; and</w:t>
      </w:r>
    </w:p>
    <w:p>
      <w:pPr>
        <w:spacing w:after="0" w:line="155" w:lineRule="exact"/>
        <w:rPr>
          <w:rFonts w:ascii="Arial" w:cs="Arial" w:eastAsia="Arial" w:hAnsi="Arial"/>
          <w:sz w:val="20"/>
          <w:szCs w:val="20"/>
          <w:color w:val="auto"/>
        </w:rPr>
      </w:pPr>
    </w:p>
    <w:p>
      <w:pPr>
        <w:ind w:left="760" w:hanging="428"/>
        <w:spacing w:after="0"/>
        <w:tabs>
          <w:tab w:leader="none" w:pos="76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unaudited interim condensed consolidated financial statements for the three months ended May 31, 2023 and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MNP LLP, the auditors of Small Pharma, consented to the incorporation by reference of their audit report on the financial statements of Small</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Pharma set out in (a) above into the Cybin Circular. As such, Cybin has not requested or obtained the consent of MNP LLP to include such audit report into this business acquisition report.</w:t>
      </w:r>
    </w:p>
    <w:p>
      <w:pPr>
        <w:spacing w:after="0" w:line="164"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 xml:space="preserve">The following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financial statements (collectively, the “</w:t>
      </w:r>
      <w:r>
        <w:rPr>
          <w:rFonts w:ascii="Arial" w:cs="Arial" w:eastAsia="Arial" w:hAnsi="Arial"/>
          <w:sz w:val="20"/>
          <w:szCs w:val="20"/>
          <w:b w:val="1"/>
          <w:bCs w:val="1"/>
          <w:color w:val="auto"/>
        </w:rPr>
        <w:t>Pro Forma Statements</w:t>
      </w:r>
      <w:r>
        <w:rPr>
          <w:rFonts w:ascii="Arial" w:cs="Arial" w:eastAsia="Arial" w:hAnsi="Arial"/>
          <w:sz w:val="20"/>
          <w:szCs w:val="20"/>
          <w:color w:val="auto"/>
        </w:rPr>
        <w:t>”) of Cybin are attached as Schedule “A” to this business acquisition report:</w:t>
      </w:r>
    </w:p>
    <w:p>
      <w:pPr>
        <w:spacing w:after="0" w:line="155" w:lineRule="exact"/>
        <w:rPr>
          <w:sz w:val="20"/>
          <w:szCs w:val="20"/>
          <w:color w:val="auto"/>
        </w:rPr>
      </w:pPr>
    </w:p>
    <w:p>
      <w:pPr>
        <w:ind w:left="740" w:hanging="408"/>
        <w:spacing w:after="0"/>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the unaudited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consolidated statement of financial position as at June 30, 2023;</w:t>
      </w:r>
    </w:p>
    <w:p>
      <w:pPr>
        <w:spacing w:after="0" w:line="188" w:lineRule="exact"/>
        <w:rPr>
          <w:rFonts w:ascii="Arial" w:cs="Arial" w:eastAsia="Arial" w:hAnsi="Arial"/>
          <w:sz w:val="20"/>
          <w:szCs w:val="20"/>
          <w:color w:val="auto"/>
        </w:rPr>
      </w:pPr>
    </w:p>
    <w:p>
      <w:pPr>
        <w:ind w:left="660" w:hanging="328"/>
        <w:spacing w:after="0" w:line="229" w:lineRule="auto"/>
        <w:tabs>
          <w:tab w:leader="none" w:pos="783"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the unaudited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consolidated statements of loss and comprehensive loss for the twelve months ended March 31, 2023, and for the three months ended June 30, 2023, including pro forma earnings (loss) per share; and</w:t>
      </w:r>
    </w:p>
    <w:p>
      <w:pPr>
        <w:spacing w:after="0" w:line="168" w:lineRule="exact"/>
        <w:rPr>
          <w:rFonts w:ascii="Arial" w:cs="Arial" w:eastAsia="Arial" w:hAnsi="Arial"/>
          <w:sz w:val="20"/>
          <w:szCs w:val="20"/>
          <w:color w:val="auto"/>
        </w:rPr>
      </w:pPr>
    </w:p>
    <w:p>
      <w:pPr>
        <w:ind w:left="740" w:hanging="408"/>
        <w:spacing w:after="0"/>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notes to the unaudited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Note Regarding Forward-Looking Information</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Certain statements contained in this report, and in certain documents incorporated by reference herein, constitute “forward-looking statements” or “forward-looking information” within the meaning of applicable securities laws (collectively, “</w:t>
      </w:r>
      <w:r>
        <w:rPr>
          <w:rFonts w:ascii="Arial" w:cs="Arial" w:eastAsia="Arial" w:hAnsi="Arial"/>
          <w:sz w:val="19"/>
          <w:szCs w:val="19"/>
          <w:b w:val="1"/>
          <w:bCs w:val="1"/>
          <w:color w:val="auto"/>
        </w:rPr>
        <w:t>forward-looking</w:t>
      </w:r>
    </w:p>
    <w:p>
      <w:pPr>
        <w:spacing w:after="0" w:line="255" w:lineRule="auto"/>
        <w:rPr>
          <w:sz w:val="20"/>
          <w:szCs w:val="20"/>
          <w:color w:val="auto"/>
        </w:rPr>
      </w:pPr>
      <w:r>
        <w:rPr>
          <w:rFonts w:ascii="Arial" w:cs="Arial" w:eastAsia="Arial" w:hAnsi="Arial"/>
          <w:sz w:val="16"/>
          <w:szCs w:val="16"/>
          <w:b w:val="1"/>
          <w:bCs w:val="1"/>
          <w:color w:val="auto"/>
        </w:rPr>
        <w:t>statements</w:t>
      </w:r>
      <w:r>
        <w:rPr>
          <w:rFonts w:ascii="Arial" w:cs="Arial" w:eastAsia="Arial" w:hAnsi="Arial"/>
          <w:sz w:val="16"/>
          <w:szCs w:val="16"/>
          <w:color w:val="auto"/>
        </w:rPr>
        <w:t>”). All statements other than statements of historical fact, including, without limitation, those regarding future financial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strategy, plans and objectives of management for future operations or changes, and any statements preceded by, followed by or that</w:t>
      </w:r>
    </w:p>
    <w:p>
      <w:pPr>
        <w:spacing w:after="0" w:line="223" w:lineRule="auto"/>
        <w:rPr>
          <w:sz w:val="20"/>
          <w:szCs w:val="20"/>
          <w:color w:val="auto"/>
        </w:rPr>
      </w:pPr>
      <w:r>
        <w:rPr>
          <w:rFonts w:ascii="Arial" w:cs="Arial" w:eastAsia="Arial" w:hAnsi="Arial"/>
          <w:sz w:val="19"/>
          <w:szCs w:val="19"/>
          <w:color w:val="auto"/>
        </w:rPr>
        <w:t>include the words “expect”, “likely”, “may”, “will”, “should”, “intend”, or “anticipate”, “potential”, “proposed”, “estimate”, “pro forma”,</w:t>
      </w:r>
    </w:p>
    <w:p>
      <w:pPr>
        <w:spacing w:after="0" w:line="220" w:lineRule="auto"/>
        <w:rPr>
          <w:sz w:val="20"/>
          <w:szCs w:val="20"/>
          <w:color w:val="auto"/>
        </w:rPr>
      </w:pPr>
      <w:r>
        <w:rPr>
          <w:rFonts w:ascii="Arial" w:cs="Arial" w:eastAsia="Arial" w:hAnsi="Arial"/>
          <w:sz w:val="20"/>
          <w:szCs w:val="20"/>
          <w:color w:val="auto"/>
        </w:rPr>
        <w:t>and “post-Arrangement” and other similar words, including negative and grammatical variations thereof, or statements that certain events or conditions “may” or “will” happen, or by discussions of strategy, are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reflect management’s current beliefs and are based on information currently available to management, as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well as certain expectations and assumptions with respect to the Arrangement. Although the forward-looking statements contained in this report, including in documents incorporated by reference into this report, are based upon assumptions that management currently believes to</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be reasonable based on information available to management as at the date of this report, there can be no assurance that actual results, performance or achievements will be consistent with these forward looking statements.</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Forward-looking statements involve significant risks and uncertainties. A number of factors could cause actual results to differ materially from those anticipated in such forward-looking statements, including the risk factors described in the Company’s most recent Annual</w:t>
      </w:r>
    </w:p>
    <w:p>
      <w:pPr>
        <w:spacing w:after="0" w:line="226" w:lineRule="auto"/>
        <w:rPr>
          <w:sz w:val="20"/>
          <w:szCs w:val="20"/>
          <w:color w:val="auto"/>
        </w:rPr>
      </w:pPr>
      <w:r>
        <w:rPr>
          <w:rFonts w:ascii="Arial" w:cs="Arial" w:eastAsia="Arial" w:hAnsi="Arial"/>
          <w:sz w:val="18"/>
          <w:szCs w:val="18"/>
          <w:color w:val="auto"/>
        </w:rPr>
        <w:t>Information Form and other documents filed with the Canadian and United States securities regulatory authorities. Such risk factors are not exhaustive and there may be other factors that could affect the Company. Accordingly, you should not place undue reliance on forward-</w:t>
      </w:r>
    </w:p>
    <w:p>
      <w:pPr>
        <w:spacing w:after="0" w:line="236" w:lineRule="auto"/>
        <w:rPr>
          <w:sz w:val="20"/>
          <w:szCs w:val="20"/>
          <w:color w:val="auto"/>
        </w:rPr>
      </w:pPr>
      <w:r>
        <w:rPr>
          <w:rFonts w:ascii="Arial" w:cs="Arial" w:eastAsia="Arial" w:hAnsi="Arial"/>
          <w:sz w:val="18"/>
          <w:szCs w:val="18"/>
          <w:color w:val="auto"/>
        </w:rPr>
        <w:t>looking statements. For more information regarding the forward-looking statements in the documents incorporated by reference in this report,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including the assumptions upon which they are based and the risk factors in respect of such forward-looking statements, please refer to the cautionary</w:t>
      </w:r>
    </w:p>
    <w:p>
      <w:pPr>
        <w:sectPr>
          <w:pgSz w:w="11900" w:h="16838" w:orient="portrait"/>
          <w:cols w:equalWidth="0" w:num="1">
            <w:col w:w="11240"/>
          </w:cols>
          <w:pgMar w:left="320" w:top="75" w:right="339" w:bottom="1440" w:gutter="0" w:footer="0" w:header="0"/>
        </w:sectPr>
      </w:pPr>
    </w:p>
    <w:bookmarkStart w:id="6" w:name="page7"/>
    <w:bookmarkEnd w:id="6"/>
    <w:p>
      <w:pPr>
        <w:ind w:left="180"/>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notes regarding forward-looking statements in the documents in which the forward-looking statements are contained. Such documents are available online under the Company’s SEDAR+ profile at www.sedarplus.com, and on EDGAR at www.sec.com.</w:t>
      </w:r>
    </w:p>
    <w:p>
      <w:pPr>
        <w:spacing w:after="0" w:line="14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forward-looking statements contained in this report are made as at the date of this report. The Company disclaims any intention or obligation to update or revise any forward-looking statements, whether because of new information, future events or otherwise, other than as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Note Regarding Pro Forma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 Forma Statements have been prepared using certain of the Company’s and Small Pharma’s respective historical consolidated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financial statements as more particularly described in the notes to such Pro Forma Statements. The Pro Forma Statements are not intended to be indicative of the results that would actually have occurred, or the results expected in future periods, had the events reflected in the Pro</w:t>
      </w:r>
    </w:p>
    <w:p>
      <w:pPr>
        <w:spacing w:after="0" w:line="236" w:lineRule="auto"/>
        <w:rPr>
          <w:sz w:val="20"/>
          <w:szCs w:val="20"/>
          <w:color w:val="auto"/>
        </w:rPr>
      </w:pPr>
      <w:r>
        <w:rPr>
          <w:rFonts w:ascii="Arial" w:cs="Arial" w:eastAsia="Arial" w:hAnsi="Arial"/>
          <w:sz w:val="18"/>
          <w:szCs w:val="18"/>
          <w:color w:val="auto"/>
        </w:rPr>
        <w:t>Forma Statements occurred on the dates indicated. Since the Pro Forma Statements were developed to retroactively show the effect of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transaction that occurred at a later date, and even though they were prepared following generally accepted practice using reasonable assumptions, the Pro Forma Statements reflect limitations inherent in the very nature of pro forma data. The data contained in the Pro Forma</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Statements represents only a simulation of the potential financial impact of the Arrangement and related adjustments which are preliminary in nature. The underlying assumptions for the pro forma adjustments provide a reasonable basis for presenting the financial effect directly</w:t>
      </w:r>
    </w:p>
    <w:p>
      <w:pPr>
        <w:spacing w:after="0" w:line="236" w:lineRule="auto"/>
        <w:rPr>
          <w:sz w:val="20"/>
          <w:szCs w:val="20"/>
          <w:color w:val="auto"/>
        </w:rPr>
      </w:pPr>
      <w:r>
        <w:rPr>
          <w:rFonts w:ascii="Arial" w:cs="Arial" w:eastAsia="Arial" w:hAnsi="Arial"/>
          <w:sz w:val="18"/>
          <w:szCs w:val="18"/>
          <w:color w:val="auto"/>
        </w:rPr>
        <w:t>attributable to the Arrangement. These pro forma adjustments are tentative and are based on currently available financial information, and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certain estimates and assumptions that the Company believes are reasonable in the circumstances, as described in the notes to the Pro Forma Financial Statements. However, adjustments and assumptions of this nature require the exercise of judgement and are difficult to make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complete accuracy, and the estimates and assumptions reflected in the Pro Forma Statements may not, with the passage of time, turn out to be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relevant or correct. The actual adjustments to the consolidated financial statements will depend on a number of factors. Therefore, it is expected that the actual adjustments will differ from the pro forma adjustments, and the differences may be material. Undue reliance should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not be placed on the Pro Forma Statements.</w:t>
      </w:r>
    </w:p>
    <w:p>
      <w:pPr>
        <w:sectPr>
          <w:pgSz w:w="11900" w:h="16838" w:orient="portrait"/>
          <w:cols w:equalWidth="0" w:num="1">
            <w:col w:w="11240"/>
          </w:cols>
          <w:pgMar w:left="320" w:top="75" w:right="339" w:bottom="1440" w:gutter="0" w:footer="0" w:header="0"/>
        </w:sectPr>
      </w:pPr>
    </w:p>
    <w:bookmarkStart w:id="7" w:name="page8"/>
    <w:bookmarkEnd w:id="7"/>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SCHEDULE “A”</w:t>
      </w:r>
    </w:p>
    <w:p>
      <w:pPr>
        <w:jc w:val="center"/>
        <w:ind w:right="-1120"/>
        <w:spacing w:after="0"/>
        <w:rPr>
          <w:sz w:val="20"/>
          <w:szCs w:val="20"/>
          <w:color w:val="auto"/>
        </w:rPr>
      </w:pPr>
      <w:r>
        <w:rPr>
          <w:rFonts w:ascii="Arial" w:cs="Arial" w:eastAsia="Arial" w:hAnsi="Arial"/>
          <w:sz w:val="19"/>
          <w:szCs w:val="19"/>
          <w:b w:val="1"/>
          <w:bCs w:val="1"/>
          <w:color w:val="auto"/>
        </w:rPr>
        <w:t>PRO FORMA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39"/>
          </w:cols>
          <w:pgMar w:left="320" w:top="1440" w:right="1440"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PRO FORMA CONSOLIDATED STATEMENT OF FINANCIAL POSITION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at June 30, 2023</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798195</wp:posOffset>
            </wp:positionV>
            <wp:extent cx="2117090" cy="1234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CYBIN INC.</w:t>
      </w:r>
    </w:p>
    <w:p>
      <w:pPr>
        <w:spacing w:after="0" w:line="4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UNAUDITED PRO FORMA CONSOLIDATED FINANCIAL STATEMENTS</w:t>
      </w:r>
    </w:p>
    <w:p>
      <w:pPr>
        <w:sectPr>
          <w:pgSz w:w="11900" w:h="16838" w:orient="portrait"/>
          <w:cols w:equalWidth="0" w:num="1">
            <w:col w:w="10139"/>
          </w:cols>
          <w:pgMar w:left="320" w:top="101" w:right="1440"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PRO FORMA CONSOLIDATED STATEMENT OF FINANCIAL POSITION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at June 30, 2023</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5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Cybin Inc.</w:t>
            </w: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5"/>
              </w:rPr>
              <w:t>Small Pharma Inc.</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Pro Forma</w:t>
            </w:r>
          </w:p>
        </w:tc>
        <w:tc>
          <w:tcPr>
            <w:tcW w:w="8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w w:val="91"/>
              </w:rPr>
              <w:t>Unaudited Pro Forma</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56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rPr>
              <w:t>June 30, 2023</w:t>
            </w:r>
          </w:p>
        </w:tc>
        <w:tc>
          <w:tcPr>
            <w:tcW w:w="178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May 31, 2023</w:t>
            </w:r>
          </w:p>
        </w:tc>
        <w:tc>
          <w:tcPr>
            <w:tcW w:w="12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Adjustments</w:t>
            </w:r>
          </w:p>
        </w:tc>
        <w:tc>
          <w:tcPr>
            <w:tcW w:w="8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Notes</w:t>
            </w:r>
          </w:p>
        </w:tc>
        <w:tc>
          <w:tcPr>
            <w:tcW w:w="1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ASSETS</w:t>
            </w:r>
          </w:p>
        </w:tc>
        <w:tc>
          <w:tcPr>
            <w:tcW w:w="1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Current</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40" w:type="dxa"/>
            <w:vAlign w:val="bottom"/>
          </w:tcPr>
          <w:p>
            <w:pPr>
              <w:ind w:left="80"/>
              <w:spacing w:after="0"/>
              <w:rPr>
                <w:sz w:val="20"/>
                <w:szCs w:val="20"/>
                <w:color w:val="auto"/>
              </w:rPr>
            </w:pPr>
            <w:r>
              <w:rPr>
                <w:rFonts w:ascii="Arial" w:cs="Arial" w:eastAsia="Arial" w:hAnsi="Arial"/>
                <w:sz w:val="18"/>
                <w:szCs w:val="18"/>
                <w:color w:val="auto"/>
              </w:rPr>
              <w:t>Cash</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9,349</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13,152</w:t>
            </w:r>
          </w:p>
        </w:tc>
        <w:tc>
          <w:tcPr>
            <w:tcW w:w="1280" w:type="dxa"/>
            <w:vAlign w:val="bottom"/>
          </w:tcPr>
          <w:p>
            <w:pPr>
              <w:jc w:val="right"/>
              <w:spacing w:after="0"/>
              <w:rPr>
                <w:sz w:val="20"/>
                <w:szCs w:val="20"/>
                <w:color w:val="auto"/>
              </w:rPr>
            </w:pPr>
            <w:r>
              <w:rPr>
                <w:rFonts w:ascii="Arial" w:cs="Arial" w:eastAsia="Arial" w:hAnsi="Arial"/>
                <w:sz w:val="18"/>
                <w:szCs w:val="18"/>
                <w:color w:val="auto"/>
              </w:rPr>
              <w:t>(5,250)</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6(a)</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4</w:t>
            </w:r>
          </w:p>
        </w:tc>
        <w:tc>
          <w:tcPr>
            <w:tcW w:w="1760" w:type="dxa"/>
            <w:vAlign w:val="bottom"/>
          </w:tcPr>
          <w:p>
            <w:pPr>
              <w:jc w:val="right"/>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3,211</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626</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8"/>
                <w:szCs w:val="18"/>
                <w:color w:val="auto"/>
              </w:rPr>
              <w:t>Prepaid expenses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1,300</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874</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1,787</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62"/>
        </w:trPr>
        <w:tc>
          <w:tcPr>
            <w:tcW w:w="40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Current Assets</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15,647</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14,652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(4,839)</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25,460</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Non-current</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40" w:type="dxa"/>
            <w:vAlign w:val="bottom"/>
          </w:tcPr>
          <w:p>
            <w:pPr>
              <w:ind w:left="80"/>
              <w:spacing w:after="0"/>
              <w:rPr>
                <w:sz w:val="20"/>
                <w:szCs w:val="20"/>
                <w:color w:val="auto"/>
              </w:rPr>
            </w:pPr>
            <w:r>
              <w:rPr>
                <w:rFonts w:ascii="Arial" w:cs="Arial" w:eastAsia="Arial" w:hAnsi="Arial"/>
                <w:sz w:val="18"/>
                <w:szCs w:val="18"/>
                <w:color w:val="auto"/>
              </w:rPr>
              <w:t>Equipment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Right of use asset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541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Intangible assets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5,401</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Goodwill</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24,255</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21,201</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5</w:t>
            </w:r>
          </w:p>
        </w:tc>
        <w:tc>
          <w:tcPr>
            <w:tcW w:w="1760" w:type="dxa"/>
            <w:vAlign w:val="bottom"/>
          </w:tcPr>
          <w:p>
            <w:pPr>
              <w:jc w:val="right"/>
              <w:spacing w:after="0"/>
              <w:rPr>
                <w:sz w:val="20"/>
                <w:szCs w:val="20"/>
                <w:color w:val="auto"/>
              </w:rPr>
            </w:pPr>
            <w:r>
              <w:rPr>
                <w:rFonts w:ascii="Arial" w:cs="Arial" w:eastAsia="Arial" w:hAnsi="Arial"/>
                <w:sz w:val="18"/>
                <w:szCs w:val="18"/>
                <w:color w:val="auto"/>
              </w:rPr>
              <w:t>45,456</w:t>
            </w:r>
          </w:p>
        </w:tc>
        <w:tc>
          <w:tcPr>
            <w:tcW w:w="0" w:type="dxa"/>
            <w:vAlign w:val="bottom"/>
          </w:tcPr>
          <w:p>
            <w:pPr>
              <w:spacing w:after="0"/>
              <w:rPr>
                <w:sz w:val="1"/>
                <w:szCs w:val="1"/>
                <w:color w:val="auto"/>
              </w:rPr>
            </w:pPr>
          </w:p>
        </w:tc>
      </w:tr>
      <w:tr>
        <w:trPr>
          <w:trHeight w:val="62"/>
        </w:trPr>
        <w:tc>
          <w:tcPr>
            <w:tcW w:w="40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Non-Current Assets</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30,044</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590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21,201</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51,835</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45,691</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15,242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16,362</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77,295</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LIABILITIES</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Current</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40" w:type="dxa"/>
            <w:vAlign w:val="bottom"/>
          </w:tcPr>
          <w:p>
            <w:pPr>
              <w:ind w:left="80"/>
              <w:spacing w:after="0"/>
              <w:rPr>
                <w:sz w:val="20"/>
                <w:szCs w:val="20"/>
                <w:color w:val="auto"/>
              </w:rPr>
            </w:pPr>
            <w:r>
              <w:rPr>
                <w:rFonts w:ascii="Arial" w:cs="Arial" w:eastAsia="Arial" w:hAnsi="Arial"/>
                <w:sz w:val="18"/>
                <w:szCs w:val="18"/>
                <w:color w:val="auto"/>
              </w:rPr>
              <w:t>Accounts payable and accrued liabilites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5,999</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2,687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Lease Liabilites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315</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62"/>
        </w:trPr>
        <w:tc>
          <w:tcPr>
            <w:tcW w:w="40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Current Liabilites</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5,999</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3,002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9,001</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Non-current</w:t>
            </w:r>
          </w:p>
        </w:tc>
        <w:tc>
          <w:tcPr>
            <w:tcW w:w="1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40" w:type="dxa"/>
            <w:vAlign w:val="bottom"/>
          </w:tcPr>
          <w:p>
            <w:pPr>
              <w:ind w:left="80"/>
              <w:spacing w:after="0"/>
              <w:rPr>
                <w:sz w:val="20"/>
                <w:szCs w:val="20"/>
                <w:color w:val="auto"/>
              </w:rPr>
            </w:pPr>
            <w:r>
              <w:rPr>
                <w:rFonts w:ascii="Arial" w:cs="Arial" w:eastAsia="Arial" w:hAnsi="Arial"/>
                <w:sz w:val="18"/>
                <w:szCs w:val="18"/>
                <w:color w:val="auto"/>
              </w:rPr>
              <w:t>Lease Liabilites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233</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62"/>
        </w:trPr>
        <w:tc>
          <w:tcPr>
            <w:tcW w:w="40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Non-Current Liabilites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233</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LIABILITIES</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5,999</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3,235</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9,234</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SHAREHOLDERS' EQUITY</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40" w:type="dxa"/>
            <w:vAlign w:val="bottom"/>
          </w:tcPr>
          <w:p>
            <w:pPr>
              <w:ind w:left="80"/>
              <w:spacing w:after="0"/>
              <w:rPr>
                <w:sz w:val="20"/>
                <w:szCs w:val="20"/>
                <w:color w:val="auto"/>
              </w:rPr>
            </w:pPr>
            <w:r>
              <w:rPr>
                <w:rFonts w:ascii="Arial" w:cs="Arial" w:eastAsia="Arial" w:hAnsi="Arial"/>
                <w:sz w:val="18"/>
                <w:szCs w:val="18"/>
                <w:color w:val="auto"/>
              </w:rPr>
              <w:t>Share capital</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161,682</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69,723</w:t>
            </w:r>
          </w:p>
        </w:tc>
        <w:tc>
          <w:tcPr>
            <w:tcW w:w="1280" w:type="dxa"/>
            <w:vAlign w:val="bottom"/>
          </w:tcPr>
          <w:p>
            <w:pPr>
              <w:jc w:val="right"/>
              <w:spacing w:after="0"/>
              <w:rPr>
                <w:sz w:val="20"/>
                <w:szCs w:val="20"/>
                <w:color w:val="auto"/>
              </w:rPr>
            </w:pPr>
            <w:r>
              <w:rPr>
                <w:rFonts w:ascii="Arial" w:cs="Arial" w:eastAsia="Arial" w:hAnsi="Arial"/>
                <w:sz w:val="18"/>
                <w:szCs w:val="18"/>
                <w:color w:val="auto"/>
              </w:rPr>
              <w:t>(69,723)</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6(b)</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33,619</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4</w:t>
            </w:r>
          </w:p>
        </w:tc>
        <w:tc>
          <w:tcPr>
            <w:tcW w:w="1760" w:type="dxa"/>
            <w:vAlign w:val="bottom"/>
          </w:tcPr>
          <w:p>
            <w:pPr>
              <w:jc w:val="right"/>
              <w:spacing w:after="0"/>
              <w:rPr>
                <w:sz w:val="20"/>
                <w:szCs w:val="20"/>
                <w:color w:val="auto"/>
              </w:rPr>
            </w:pPr>
            <w:r>
              <w:rPr>
                <w:rFonts w:ascii="Arial" w:cs="Arial" w:eastAsia="Arial" w:hAnsi="Arial"/>
                <w:sz w:val="18"/>
                <w:szCs w:val="18"/>
                <w:color w:val="auto"/>
              </w:rPr>
              <w:t>195,301</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Contributed surplus</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2,277</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8"/>
                <w:szCs w:val="18"/>
                <w:color w:val="auto"/>
              </w:rPr>
              <w:t>Share-based payment reserve</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4,233</w:t>
            </w:r>
          </w:p>
        </w:tc>
        <w:tc>
          <w:tcPr>
            <w:tcW w:w="1280" w:type="dxa"/>
            <w:vAlign w:val="bottom"/>
          </w:tcPr>
          <w:p>
            <w:pPr>
              <w:jc w:val="right"/>
              <w:spacing w:after="0"/>
              <w:rPr>
                <w:sz w:val="20"/>
                <w:szCs w:val="20"/>
                <w:color w:val="auto"/>
              </w:rPr>
            </w:pPr>
            <w:r>
              <w:rPr>
                <w:rFonts w:ascii="Arial" w:cs="Arial" w:eastAsia="Arial" w:hAnsi="Arial"/>
                <w:sz w:val="18"/>
                <w:szCs w:val="18"/>
                <w:color w:val="auto"/>
              </w:rPr>
              <w:t>(4,233)</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7</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Optons reserve</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28,383</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28,383</w:t>
            </w:r>
          </w:p>
        </w:tc>
        <w:tc>
          <w:tcPr>
            <w:tcW w:w="0" w:type="dxa"/>
            <w:vAlign w:val="bottom"/>
          </w:tcPr>
          <w:p>
            <w:pPr>
              <w:spacing w:after="0"/>
              <w:rPr>
                <w:sz w:val="1"/>
                <w:szCs w:val="1"/>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8"/>
                <w:szCs w:val="18"/>
                <w:color w:val="auto"/>
              </w:rPr>
              <w:t>Warrants reserve</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10,873</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8"/>
                <w:szCs w:val="18"/>
                <w:color w:val="auto"/>
              </w:rPr>
              <w:t>Accumulated other comprehensive defcit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(858)</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(1,665)</w:t>
            </w:r>
          </w:p>
        </w:tc>
        <w:tc>
          <w:tcPr>
            <w:tcW w:w="1280" w:type="dxa"/>
            <w:vAlign w:val="bottom"/>
          </w:tcPr>
          <w:p>
            <w:pPr>
              <w:jc w:val="right"/>
              <w:spacing w:after="0"/>
              <w:rPr>
                <w:sz w:val="20"/>
                <w:szCs w:val="20"/>
                <w:color w:val="auto"/>
              </w:rPr>
            </w:pPr>
            <w:r>
              <w:rPr>
                <w:rFonts w:ascii="Arial" w:cs="Arial" w:eastAsia="Arial" w:hAnsi="Arial"/>
                <w:sz w:val="18"/>
                <w:szCs w:val="18"/>
                <w:color w:val="auto"/>
              </w:rPr>
              <w:t>1,665</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6(b)</w:t>
            </w:r>
          </w:p>
        </w:tc>
        <w:tc>
          <w:tcPr>
            <w:tcW w:w="176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83"/>
        </w:trPr>
        <w:tc>
          <w:tcPr>
            <w:tcW w:w="4040" w:type="dxa"/>
            <w:vAlign w:val="bottom"/>
          </w:tcPr>
          <w:p>
            <w:pPr>
              <w:ind w:left="80"/>
              <w:spacing w:after="0"/>
              <w:rPr>
                <w:sz w:val="20"/>
                <w:szCs w:val="20"/>
                <w:color w:val="auto"/>
              </w:rPr>
            </w:pPr>
            <w:r>
              <w:rPr>
                <w:rFonts w:ascii="Arial" w:cs="Arial" w:eastAsia="Arial" w:hAnsi="Arial"/>
                <w:sz w:val="18"/>
                <w:szCs w:val="18"/>
                <w:color w:val="auto"/>
              </w:rPr>
              <w:t>Defcit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(162,665)</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(60,284)</w:t>
            </w:r>
          </w:p>
        </w:tc>
        <w:tc>
          <w:tcPr>
            <w:tcW w:w="1280" w:type="dxa"/>
            <w:vAlign w:val="bottom"/>
          </w:tcPr>
          <w:p>
            <w:pPr>
              <w:jc w:val="right"/>
              <w:spacing w:after="0"/>
              <w:rPr>
                <w:sz w:val="20"/>
                <w:szCs w:val="20"/>
                <w:color w:val="auto"/>
              </w:rPr>
            </w:pPr>
            <w:r>
              <w:rPr>
                <w:rFonts w:ascii="Arial" w:cs="Arial" w:eastAsia="Arial" w:hAnsi="Arial"/>
                <w:sz w:val="18"/>
                <w:szCs w:val="18"/>
                <w:color w:val="auto"/>
              </w:rPr>
              <w:t>60,284</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6(b)</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(5,250)</w:t>
            </w:r>
          </w:p>
        </w:tc>
        <w:tc>
          <w:tcPr>
            <w:tcW w:w="820" w:type="dxa"/>
            <w:vAlign w:val="bottom"/>
          </w:tcPr>
          <w:p>
            <w:pPr>
              <w:ind w:left="60"/>
              <w:spacing w:after="0"/>
              <w:rPr>
                <w:sz w:val="20"/>
                <w:szCs w:val="20"/>
                <w:color w:val="auto"/>
              </w:rPr>
            </w:pPr>
            <w:r>
              <w:rPr>
                <w:rFonts w:ascii="Arial" w:cs="Arial" w:eastAsia="Arial" w:hAnsi="Arial"/>
                <w:sz w:val="18"/>
                <w:szCs w:val="18"/>
                <w:i w:val="1"/>
                <w:iCs w:val="1"/>
                <w:color w:val="auto"/>
              </w:rPr>
              <w:t>6(a)</w:t>
            </w:r>
          </w:p>
        </w:tc>
        <w:tc>
          <w:tcPr>
            <w:tcW w:w="1760" w:type="dxa"/>
            <w:vAlign w:val="bottom"/>
          </w:tcPr>
          <w:p>
            <w:pPr>
              <w:jc w:val="right"/>
              <w:spacing w:after="0"/>
              <w:rPr>
                <w:sz w:val="20"/>
                <w:szCs w:val="20"/>
                <w:color w:val="auto"/>
              </w:rPr>
            </w:pPr>
            <w:r>
              <w:rPr>
                <w:rFonts w:ascii="Arial" w:cs="Arial" w:eastAsia="Arial" w:hAnsi="Arial"/>
                <w:sz w:val="18"/>
                <w:szCs w:val="18"/>
                <w:color w:val="auto"/>
              </w:rPr>
              <w:t>(167,915)</w:t>
            </w:r>
          </w:p>
        </w:tc>
        <w:tc>
          <w:tcPr>
            <w:tcW w:w="0" w:type="dxa"/>
            <w:vAlign w:val="bottom"/>
          </w:tcPr>
          <w:p>
            <w:pPr>
              <w:spacing w:after="0"/>
              <w:rPr>
                <w:sz w:val="1"/>
                <w:szCs w:val="1"/>
                <w:color w:val="auto"/>
              </w:rPr>
            </w:pPr>
          </w:p>
        </w:tc>
      </w:tr>
      <w:tr>
        <w:trPr>
          <w:trHeight w:val="62"/>
        </w:trPr>
        <w:tc>
          <w:tcPr>
            <w:tcW w:w="40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TOTAL SHAREHOLDERS' EQUITY</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39,692</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12,007</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16,362</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68,061</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w w:val="88"/>
              </w:rPr>
              <w:t>TOTAL LIABILITIES AND SHAREHOLDERS' EQUITY</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45,691</w:t>
            </w: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15,242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16,362</w:t>
            </w:r>
          </w:p>
        </w:tc>
        <w:tc>
          <w:tcPr>
            <w:tcW w:w="8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77,295</w:t>
            </w:r>
          </w:p>
        </w:tc>
        <w:tc>
          <w:tcPr>
            <w:tcW w:w="0" w:type="dxa"/>
            <w:vAlign w:val="bottom"/>
          </w:tcPr>
          <w:p>
            <w:pPr>
              <w:spacing w:after="0"/>
              <w:rPr>
                <w:sz w:val="1"/>
                <w:szCs w:val="1"/>
                <w:color w:val="auto"/>
              </w:rPr>
            </w:pPr>
          </w:p>
        </w:tc>
      </w:tr>
      <w:tr>
        <w:trPr>
          <w:trHeight w:val="53"/>
        </w:trPr>
        <w:tc>
          <w:tcPr>
            <w:tcW w:w="4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PRO FORMA CONSOLIDATED STATEMENT OF LOSS AND COMPREHENSIVE LOSS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months ended June 30, 2023</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Unaudited Pro</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Pro Forma</w:t>
            </w: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Forma</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Cybin Inc.</w:t>
            </w: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Small Pharma Inc.</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Notes</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6"/>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600" w:type="dxa"/>
            <w:vAlign w:val="bottom"/>
          </w:tcPr>
          <w:p>
            <w:pPr>
              <w:jc w:val="right"/>
              <w:ind w:right="50"/>
              <w:spacing w:after="0" w:line="156" w:lineRule="exact"/>
              <w:rPr>
                <w:sz w:val="20"/>
                <w:szCs w:val="20"/>
                <w:color w:val="auto"/>
              </w:rPr>
            </w:pPr>
            <w:r>
              <w:rPr>
                <w:rFonts w:ascii="Arial" w:cs="Arial" w:eastAsia="Arial" w:hAnsi="Arial"/>
                <w:sz w:val="18"/>
                <w:szCs w:val="18"/>
                <w:color w:val="auto"/>
              </w:rPr>
              <w:t>Three months</w:t>
            </w:r>
          </w:p>
        </w:tc>
        <w:tc>
          <w:tcPr>
            <w:tcW w:w="1740" w:type="dxa"/>
            <w:vAlign w:val="bottom"/>
          </w:tcPr>
          <w:p>
            <w:pPr>
              <w:jc w:val="right"/>
              <w:ind w:right="190"/>
              <w:spacing w:after="0" w:line="156" w:lineRule="exact"/>
              <w:rPr>
                <w:sz w:val="20"/>
                <w:szCs w:val="20"/>
                <w:color w:val="auto"/>
              </w:rPr>
            </w:pPr>
            <w:r>
              <w:rPr>
                <w:rFonts w:ascii="Arial" w:cs="Arial" w:eastAsia="Arial" w:hAnsi="Arial"/>
                <w:sz w:val="18"/>
                <w:szCs w:val="18"/>
                <w:color w:val="auto"/>
              </w:rPr>
              <w:t>Three months</w:t>
            </w: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600" w:type="dxa"/>
            <w:vAlign w:val="bottom"/>
          </w:tcPr>
          <w:p>
            <w:pPr>
              <w:jc w:val="right"/>
              <w:ind w:right="50"/>
              <w:spacing w:after="0" w:line="183" w:lineRule="exact"/>
              <w:rPr>
                <w:sz w:val="20"/>
                <w:szCs w:val="20"/>
                <w:color w:val="auto"/>
              </w:rPr>
            </w:pPr>
            <w:r>
              <w:rPr>
                <w:rFonts w:ascii="Arial" w:cs="Arial" w:eastAsia="Arial" w:hAnsi="Arial"/>
                <w:sz w:val="18"/>
                <w:szCs w:val="18"/>
                <w:color w:val="auto"/>
              </w:rPr>
              <w:t>ended June 30,</w:t>
            </w:r>
          </w:p>
        </w:tc>
        <w:tc>
          <w:tcPr>
            <w:tcW w:w="174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ended May 31,</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16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2023</w:t>
            </w:r>
          </w:p>
        </w:tc>
        <w:tc>
          <w:tcPr>
            <w:tcW w:w="174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2023</w:t>
            </w: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120" w:type="dxa"/>
            <w:vAlign w:val="bottom"/>
          </w:tcPr>
          <w:p>
            <w:pPr>
              <w:ind w:left="80"/>
              <w:spacing w:after="0"/>
              <w:rPr>
                <w:sz w:val="20"/>
                <w:szCs w:val="20"/>
                <w:color w:val="auto"/>
              </w:rPr>
            </w:pPr>
            <w:r>
              <w:rPr>
                <w:rFonts w:ascii="Arial" w:cs="Arial" w:eastAsia="Arial" w:hAnsi="Arial"/>
                <w:sz w:val="18"/>
                <w:szCs w:val="18"/>
                <w:color w:val="auto"/>
              </w:rPr>
              <w:t>Research</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6,384</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2,494</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3(i)</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455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3(l)</w:t>
            </w:r>
          </w:p>
        </w:tc>
        <w:tc>
          <w:tcPr>
            <w:tcW w:w="1360" w:type="dxa"/>
            <w:vAlign w:val="bottom"/>
          </w:tcPr>
          <w:p>
            <w:pPr>
              <w:jc w:val="right"/>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General and administratve costs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5,048</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1,550</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3(a)-(h)</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1,131</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3(l)</w:t>
            </w:r>
          </w:p>
        </w:tc>
        <w:tc>
          <w:tcPr>
            <w:tcW w:w="1360" w:type="dxa"/>
            <w:vAlign w:val="bottom"/>
          </w:tcPr>
          <w:p>
            <w:pPr>
              <w:jc w:val="right"/>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Share-based compensaton</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1,275</w:t>
            </w:r>
          </w:p>
        </w:tc>
        <w:tc>
          <w:tcPr>
            <w:tcW w:w="174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3(k)</w:t>
            </w:r>
          </w:p>
        </w:tc>
        <w:tc>
          <w:tcPr>
            <w:tcW w:w="136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Investor and public relatons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170</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3(a)</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Consultng fees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3(b)</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tcPr>
          <w:p>
            <w:pPr>
              <w:ind w:left="80"/>
              <w:spacing w:after="0"/>
              <w:rPr>
                <w:sz w:val="20"/>
                <w:szCs w:val="20"/>
                <w:color w:val="auto"/>
              </w:rPr>
            </w:pPr>
            <w:r>
              <w:rPr>
                <w:rFonts w:ascii="Arial" w:cs="Arial" w:eastAsia="Arial" w:hAnsi="Arial"/>
                <w:sz w:val="18"/>
                <w:szCs w:val="18"/>
                <w:color w:val="auto"/>
              </w:rPr>
              <w:t>Depreciaton</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3(c)</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Directors’ fees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82</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Foreign exchange loss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3(j)</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Ofce and miscellaneous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247</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933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(933)</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3(f)</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Occupancy costs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3(g)</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2,494</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(2,494)</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3(i)</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tcPr>
          <w:p>
            <w:pPr>
              <w:ind w:left="80"/>
              <w:spacing w:after="0"/>
              <w:rPr>
                <w:sz w:val="20"/>
                <w:szCs w:val="20"/>
                <w:color w:val="auto"/>
              </w:rPr>
            </w:pPr>
            <w:r>
              <w:rPr>
                <w:rFonts w:ascii="Arial" w:cs="Arial" w:eastAsia="Arial" w:hAnsi="Arial"/>
                <w:sz w:val="18"/>
                <w:szCs w:val="18"/>
                <w:color w:val="auto"/>
              </w:rPr>
              <w:t>Salaries and benefts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1,586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(1,586)</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3(l)</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Share-based payment expense</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115</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3(k)</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120" w:type="dxa"/>
            <w:vAlign w:val="bottom"/>
          </w:tcPr>
          <w:p>
            <w:pPr>
              <w:ind w:left="80"/>
              <w:spacing w:after="0"/>
              <w:rPr>
                <w:sz w:val="20"/>
                <w:szCs w:val="20"/>
                <w:color w:val="auto"/>
              </w:rPr>
            </w:pPr>
            <w:r>
              <w:rPr>
                <w:rFonts w:ascii="Arial" w:cs="Arial" w:eastAsia="Arial" w:hAnsi="Arial"/>
                <w:sz w:val="18"/>
                <w:szCs w:val="18"/>
                <w:color w:val="auto"/>
              </w:rPr>
              <w:t>Transfer agent and fling fees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3(h)</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TOTAL EXPENSES</w:t>
            </w: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12,707</w:t>
            </w: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5,749</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(4)</w:t>
            </w:r>
          </w:p>
        </w:tc>
        <w:tc>
          <w:tcPr>
            <w:tcW w:w="9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18,452</w:t>
            </w:r>
          </w:p>
        </w:tc>
        <w:tc>
          <w:tcPr>
            <w:tcW w:w="0" w:type="dxa"/>
            <w:vAlign w:val="bottom"/>
          </w:tcPr>
          <w:p>
            <w:pPr>
              <w:spacing w:after="0"/>
              <w:rPr>
                <w:sz w:val="1"/>
                <w:szCs w:val="1"/>
                <w:color w:val="auto"/>
              </w:rPr>
            </w:pPr>
          </w:p>
        </w:tc>
      </w:tr>
      <w:tr>
        <w:trPr>
          <w:trHeight w:val="53"/>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OTHER INCOME (EXPENSES)</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120" w:type="dxa"/>
            <w:vAlign w:val="bottom"/>
          </w:tcPr>
          <w:p>
            <w:pPr>
              <w:ind w:left="80"/>
              <w:spacing w:after="0"/>
              <w:rPr>
                <w:sz w:val="20"/>
                <w:szCs w:val="20"/>
                <w:color w:val="auto"/>
              </w:rPr>
            </w:pPr>
            <w:r>
              <w:rPr>
                <w:rFonts w:ascii="Arial" w:cs="Arial" w:eastAsia="Arial" w:hAnsi="Arial"/>
                <w:sz w:val="18"/>
                <w:szCs w:val="18"/>
                <w:color w:val="auto"/>
              </w:rPr>
              <w:t>Foreign currency translaton gain (loss)</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(1,891)</w:t>
            </w:r>
          </w:p>
        </w:tc>
        <w:tc>
          <w:tcPr>
            <w:tcW w:w="174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3(j)</w:t>
            </w:r>
          </w:p>
        </w:tc>
        <w:tc>
          <w:tcPr>
            <w:tcW w:w="1360" w:type="dxa"/>
            <w:vAlign w:val="bottom"/>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113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84"/>
        </w:trPr>
        <w:tc>
          <w:tcPr>
            <w:tcW w:w="412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2"/>
        </w:trPr>
        <w:tc>
          <w:tcPr>
            <w:tcW w:w="4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TOTAL OTHER INCOME (EXPENSES)</w:t>
            </w: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(1,807)</w:t>
            </w: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105</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(4)</w:t>
            </w:r>
          </w:p>
        </w:tc>
        <w:tc>
          <w:tcPr>
            <w:tcW w:w="9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(1,706)</w:t>
            </w:r>
          </w:p>
        </w:tc>
        <w:tc>
          <w:tcPr>
            <w:tcW w:w="0" w:type="dxa"/>
            <w:vAlign w:val="bottom"/>
          </w:tcPr>
          <w:p>
            <w:pPr>
              <w:spacing w:after="0"/>
              <w:rPr>
                <w:sz w:val="1"/>
                <w:szCs w:val="1"/>
                <w:color w:val="auto"/>
              </w:rPr>
            </w:pPr>
          </w:p>
        </w:tc>
      </w:tr>
      <w:tr>
        <w:trPr>
          <w:trHeight w:val="53"/>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1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NET LOSS FOR THE PERIOD</w:t>
            </w: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(14,514)</w:t>
            </w: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(5,644)</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(20,158)</w:t>
            </w:r>
          </w:p>
        </w:tc>
        <w:tc>
          <w:tcPr>
            <w:tcW w:w="0" w:type="dxa"/>
            <w:vAlign w:val="bottom"/>
          </w:tcPr>
          <w:p>
            <w:pPr>
              <w:spacing w:after="0"/>
              <w:rPr>
                <w:sz w:val="1"/>
                <w:szCs w:val="1"/>
                <w:color w:val="auto"/>
              </w:rPr>
            </w:pP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OTHER COMPREHENSIVE LOSS</w:t>
            </w:r>
          </w:p>
        </w:tc>
        <w:tc>
          <w:tcPr>
            <w:tcW w:w="1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120" w:type="dxa"/>
            <w:vAlign w:val="bottom"/>
          </w:tcPr>
          <w:p>
            <w:pPr>
              <w:ind w:left="80"/>
              <w:spacing w:after="0"/>
              <w:rPr>
                <w:sz w:val="20"/>
                <w:szCs w:val="20"/>
                <w:color w:val="auto"/>
              </w:rPr>
            </w:pPr>
            <w:r>
              <w:rPr>
                <w:rFonts w:ascii="Arial" w:cs="Arial" w:eastAsia="Arial" w:hAnsi="Arial"/>
                <w:sz w:val="18"/>
                <w:szCs w:val="18"/>
                <w:color w:val="auto"/>
              </w:rPr>
              <w:t>Foreign currency translaton diferences for foreign</w:t>
            </w: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1,177</w:t>
            </w:r>
          </w:p>
        </w:tc>
        <w:tc>
          <w:tcPr>
            <w:tcW w:w="1740" w:type="dxa"/>
            <w:vAlign w:val="bottom"/>
            <w:vMerge w:val="restart"/>
          </w:tcPr>
          <w:p>
            <w:pPr>
              <w:jc w:val="right"/>
              <w:ind w:right="190"/>
              <w:spacing w:after="0"/>
              <w:rPr>
                <w:sz w:val="20"/>
                <w:szCs w:val="20"/>
                <w:color w:val="auto"/>
              </w:rPr>
            </w:pPr>
            <w:r>
              <w:rPr>
                <w:rFonts w:ascii="Arial" w:cs="Arial" w:eastAsia="Arial" w:hAnsi="Arial"/>
                <w:sz w:val="18"/>
                <w:szCs w:val="18"/>
                <w:color w:val="auto"/>
              </w:rPr>
              <w:t>378</w:t>
            </w: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108"/>
        </w:trPr>
        <w:tc>
          <w:tcPr>
            <w:tcW w:w="4120" w:type="dxa"/>
            <w:vAlign w:val="bottom"/>
            <w:vMerge w:val="restart"/>
          </w:tcPr>
          <w:p>
            <w:pPr>
              <w:ind w:left="80"/>
              <w:spacing w:after="0"/>
              <w:rPr>
                <w:sz w:val="20"/>
                <w:szCs w:val="20"/>
                <w:color w:val="auto"/>
              </w:rPr>
            </w:pPr>
            <w:r>
              <w:rPr>
                <w:rFonts w:ascii="Arial" w:cs="Arial" w:eastAsia="Arial" w:hAnsi="Arial"/>
                <w:sz w:val="18"/>
                <w:szCs w:val="18"/>
                <w:color w:val="auto"/>
              </w:rPr>
              <w:t>operatons</w:t>
            </w:r>
          </w:p>
        </w:tc>
        <w:tc>
          <w:tcPr>
            <w:tcW w:w="160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COMPREHENSIVE LOSS FOR THE PERIOD</w:t>
            </w: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(13,337)</w:t>
            </w: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(5,266)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(18,603)</w:t>
            </w:r>
          </w:p>
        </w:tc>
        <w:tc>
          <w:tcPr>
            <w:tcW w:w="0" w:type="dxa"/>
            <w:vAlign w:val="bottom"/>
          </w:tcPr>
          <w:p>
            <w:pPr>
              <w:spacing w:after="0"/>
              <w:rPr>
                <w:sz w:val="1"/>
                <w:szCs w:val="1"/>
                <w:color w:val="auto"/>
              </w:rPr>
            </w:pPr>
          </w:p>
        </w:tc>
      </w:tr>
      <w:tr>
        <w:trPr>
          <w:trHeight w:val="53"/>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2"/>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w w:val="96"/>
              </w:rPr>
              <w:t>Basic loss per share for the period atributable to</w:t>
            </w: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(0.07)</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109"/>
        </w:trPr>
        <w:tc>
          <w:tcPr>
            <w:tcW w:w="41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common shareholders</w:t>
            </w:r>
          </w:p>
        </w:tc>
        <w:tc>
          <w:tcPr>
            <w:tcW w:w="160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1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Weighted average number of common shares</w:t>
            </w: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206,157,780</w:t>
            </w:r>
          </w:p>
        </w:tc>
        <w:tc>
          <w:tcPr>
            <w:tcW w:w="1740" w:type="dxa"/>
            <w:vAlign w:val="bottom"/>
          </w:tcPr>
          <w:p>
            <w:pPr>
              <w:spacing w:after="0"/>
              <w:rPr>
                <w:sz w:val="18"/>
                <w:szCs w:val="18"/>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80,367,585</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i w:val="1"/>
                <w:iCs w:val="1"/>
                <w:color w:val="auto"/>
              </w:rPr>
              <w:t>4</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286,525,365</w:t>
            </w:r>
          </w:p>
        </w:tc>
        <w:tc>
          <w:tcPr>
            <w:tcW w:w="0" w:type="dxa"/>
            <w:vAlign w:val="bottom"/>
          </w:tcPr>
          <w:p>
            <w:pPr>
              <w:spacing w:after="0"/>
              <w:rPr>
                <w:sz w:val="1"/>
                <w:szCs w:val="1"/>
                <w:color w:val="auto"/>
              </w:rPr>
            </w:pPr>
          </w:p>
        </w:tc>
      </w:tr>
      <w:tr>
        <w:trPr>
          <w:trHeight w:val="109"/>
        </w:trPr>
        <w:tc>
          <w:tcPr>
            <w:tcW w:w="41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outstanding - basic</w:t>
            </w:r>
          </w:p>
        </w:tc>
        <w:tc>
          <w:tcPr>
            <w:tcW w:w="160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1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PRO FORMA CONSOLIDATED STATEMENT OF LOSS AND COMPRENSIVE LOSS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twelve months ended March 31, 2023</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Unaudited Pro</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Small Pharma</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Pro Forma</w:t>
            </w:r>
          </w:p>
        </w:tc>
        <w:tc>
          <w:tcPr>
            <w:tcW w:w="9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Forma</w:t>
            </w:r>
          </w:p>
        </w:tc>
        <w:tc>
          <w:tcPr>
            <w:tcW w:w="0" w:type="dxa"/>
            <w:vAlign w:val="bottom"/>
          </w:tcPr>
          <w:p>
            <w:pPr>
              <w:spacing w:after="0"/>
              <w:rPr>
                <w:sz w:val="1"/>
                <w:szCs w:val="1"/>
                <w:color w:val="auto"/>
              </w:rPr>
            </w:pPr>
          </w:p>
        </w:tc>
      </w:tr>
      <w:tr>
        <w:trPr>
          <w:trHeight w:val="244"/>
        </w:trPr>
        <w:tc>
          <w:tcPr>
            <w:tcW w:w="47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Cybin Inc.</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Adjustments</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Notes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6"/>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Year ended</w:t>
            </w:r>
          </w:p>
        </w:tc>
        <w:tc>
          <w:tcPr>
            <w:tcW w:w="1400" w:type="dxa"/>
            <w:vAlign w:val="bottom"/>
          </w:tcPr>
          <w:p>
            <w:pPr>
              <w:jc w:val="right"/>
              <w:ind w:right="170"/>
              <w:spacing w:after="0" w:line="156" w:lineRule="exact"/>
              <w:rPr>
                <w:sz w:val="20"/>
                <w:szCs w:val="20"/>
                <w:color w:val="auto"/>
              </w:rPr>
            </w:pPr>
            <w:r>
              <w:rPr>
                <w:rFonts w:ascii="Arial" w:cs="Arial" w:eastAsia="Arial" w:hAnsi="Arial"/>
                <w:sz w:val="18"/>
                <w:szCs w:val="18"/>
                <w:color w:val="auto"/>
              </w:rPr>
              <w:t>Year ended</w:t>
            </w: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February 28,</w:t>
            </w:r>
          </w:p>
        </w:tc>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w w:val="99"/>
              </w:rPr>
              <w:t>March 31, 2023</w:t>
            </w:r>
          </w:p>
        </w:tc>
        <w:tc>
          <w:tcPr>
            <w:tcW w:w="140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2023</w:t>
            </w:r>
          </w:p>
        </w:tc>
        <w:tc>
          <w:tcPr>
            <w:tcW w:w="1420" w:type="dxa"/>
            <w:vAlign w:val="bottom"/>
          </w:tcPr>
          <w:p>
            <w:pPr>
              <w:spacing w:after="0"/>
              <w:rPr>
                <w:sz w:val="16"/>
                <w:szCs w:val="16"/>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720" w:type="dxa"/>
            <w:vAlign w:val="bottom"/>
          </w:tcPr>
          <w:p>
            <w:pPr>
              <w:ind w:left="80"/>
              <w:spacing w:after="0"/>
              <w:rPr>
                <w:sz w:val="20"/>
                <w:szCs w:val="20"/>
                <w:color w:val="auto"/>
              </w:rPr>
            </w:pPr>
            <w:r>
              <w:rPr>
                <w:rFonts w:ascii="Arial" w:cs="Arial" w:eastAsia="Arial" w:hAnsi="Arial"/>
                <w:sz w:val="18"/>
                <w:szCs w:val="18"/>
                <w:color w:val="auto"/>
              </w:rPr>
              <w:t>Research</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25,491</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11,382</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3(u)</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3(x)</w:t>
            </w:r>
          </w:p>
        </w:tc>
        <w:tc>
          <w:tcPr>
            <w:tcW w:w="1340" w:type="dxa"/>
            <w:vAlign w:val="bottom"/>
          </w:tcPr>
          <w:p>
            <w:pPr>
              <w:jc w:val="right"/>
              <w:spacing w:after="0"/>
              <w:rPr>
                <w:sz w:val="20"/>
                <w:szCs w:val="20"/>
                <w:color w:val="auto"/>
              </w:rPr>
            </w:pPr>
            <w:r>
              <w:rPr>
                <w:rFonts w:ascii="Arial" w:cs="Arial" w:eastAsia="Arial" w:hAnsi="Arial"/>
                <w:sz w:val="18"/>
                <w:szCs w:val="18"/>
                <w:color w:val="auto"/>
              </w:rPr>
              <w:t>38,881</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General and administratve costs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21,341</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6,255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3(m)-(t)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3,867</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3(x)</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5,250</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6(a)</w:t>
            </w:r>
          </w:p>
        </w:tc>
        <w:tc>
          <w:tcPr>
            <w:tcW w:w="1340" w:type="dxa"/>
            <w:vAlign w:val="bottom"/>
          </w:tcPr>
          <w:p>
            <w:pPr>
              <w:jc w:val="right"/>
              <w:spacing w:after="0"/>
              <w:rPr>
                <w:sz w:val="20"/>
                <w:szCs w:val="20"/>
                <w:color w:val="auto"/>
              </w:rPr>
            </w:pPr>
            <w:r>
              <w:rPr>
                <w:rFonts w:ascii="Arial" w:cs="Arial" w:eastAsia="Arial" w:hAnsi="Arial"/>
                <w:sz w:val="18"/>
                <w:szCs w:val="18"/>
                <w:color w:val="auto"/>
              </w:rPr>
              <w:t>36,713</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Share-based compensaton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4,686</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1,189</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3(w)</w:t>
            </w:r>
          </w:p>
        </w:tc>
        <w:tc>
          <w:tcPr>
            <w:tcW w:w="1340" w:type="dxa"/>
            <w:vAlign w:val="bottom"/>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Investor and public relatons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1,241</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(1,241)</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tcPr>
          <w:p>
            <w:pPr>
              <w:ind w:left="80"/>
              <w:spacing w:after="0"/>
              <w:rPr>
                <w:sz w:val="20"/>
                <w:szCs w:val="20"/>
                <w:color w:val="auto"/>
              </w:rPr>
            </w:pPr>
            <w:r>
              <w:rPr>
                <w:rFonts w:ascii="Arial" w:cs="Arial" w:eastAsia="Arial" w:hAnsi="Arial"/>
                <w:sz w:val="18"/>
                <w:szCs w:val="18"/>
                <w:color w:val="auto"/>
              </w:rPr>
              <w:t>Consultng fees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482</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(482)</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Depreciaton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3(o)</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Directors’ fees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345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(345)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3(p)</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Foreign exchange loss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3(v)</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tcPr>
          <w:p>
            <w:pPr>
              <w:ind w:left="80"/>
              <w:spacing w:after="0"/>
              <w:rPr>
                <w:sz w:val="20"/>
                <w:szCs w:val="20"/>
                <w:color w:val="auto"/>
              </w:rPr>
            </w:pPr>
            <w:r>
              <w:rPr>
                <w:rFonts w:ascii="Arial" w:cs="Arial" w:eastAsia="Arial" w:hAnsi="Arial"/>
                <w:sz w:val="18"/>
                <w:szCs w:val="18"/>
                <w:color w:val="auto"/>
              </w:rPr>
              <w:t>Ofce and miscellaneous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864</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(864)</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3(q)</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2,898</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(2,898)</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Occupancy costs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199</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(199)</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11,382</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(11,382)</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3(u)</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Salaries and benefts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5,875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(5,875)</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3(x)</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Share-based payment expense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1,189</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(1,189)</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3(w)</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20" w:type="dxa"/>
            <w:vAlign w:val="bottom"/>
          </w:tcPr>
          <w:p>
            <w:pPr>
              <w:ind w:left="80"/>
              <w:spacing w:after="0"/>
              <w:rPr>
                <w:sz w:val="20"/>
                <w:szCs w:val="20"/>
                <w:color w:val="auto"/>
              </w:rPr>
            </w:pPr>
            <w:r>
              <w:rPr>
                <w:rFonts w:ascii="Arial" w:cs="Arial" w:eastAsia="Arial" w:hAnsi="Arial"/>
                <w:sz w:val="18"/>
                <w:szCs w:val="18"/>
                <w:color w:val="auto"/>
              </w:rPr>
              <w:t>Transfer agent and fling fees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178</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(178)</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TOTAL EXPENSES</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51,518</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24,742</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5,209</w:t>
            </w: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81,469</w:t>
            </w:r>
          </w:p>
        </w:tc>
        <w:tc>
          <w:tcPr>
            <w:tcW w:w="0" w:type="dxa"/>
            <w:vAlign w:val="bottom"/>
          </w:tcPr>
          <w:p>
            <w:pPr>
              <w:spacing w:after="0"/>
              <w:rPr>
                <w:sz w:val="1"/>
                <w:szCs w:val="1"/>
                <w:color w:val="auto"/>
              </w:rPr>
            </w:pPr>
          </w:p>
        </w:tc>
      </w:tr>
      <w:tr>
        <w:trPr>
          <w:trHeight w:val="53"/>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OTHER INCOME (EXPENSES)</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720" w:type="dxa"/>
            <w:vAlign w:val="bottom"/>
          </w:tcPr>
          <w:p>
            <w:pPr>
              <w:ind w:left="80"/>
              <w:spacing w:after="0"/>
              <w:rPr>
                <w:sz w:val="20"/>
                <w:szCs w:val="20"/>
                <w:color w:val="auto"/>
              </w:rPr>
            </w:pPr>
            <w:r>
              <w:rPr>
                <w:rFonts w:ascii="Arial" w:cs="Arial" w:eastAsia="Arial" w:hAnsi="Arial"/>
                <w:sz w:val="18"/>
                <w:szCs w:val="18"/>
                <w:color w:val="auto"/>
              </w:rPr>
              <w:t>Foreign currency translaton gain (loss)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4,027</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3(v)</w:t>
            </w:r>
          </w:p>
        </w:tc>
        <w:tc>
          <w:tcPr>
            <w:tcW w:w="1340" w:type="dxa"/>
            <w:vAlign w:val="bottom"/>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84"/>
        </w:trPr>
        <w:tc>
          <w:tcPr>
            <w:tcW w:w="472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w w:val="99"/>
              </w:rPr>
              <w:t>Change in fair value of investments measured at fair value</w:t>
            </w: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(260)</w:t>
            </w: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08"/>
        </w:trPr>
        <w:tc>
          <w:tcPr>
            <w:tcW w:w="4720" w:type="dxa"/>
            <w:vAlign w:val="bottom"/>
            <w:vMerge w:val="restart"/>
          </w:tcPr>
          <w:p>
            <w:pPr>
              <w:ind w:left="80"/>
              <w:spacing w:after="0"/>
              <w:rPr>
                <w:sz w:val="20"/>
                <w:szCs w:val="20"/>
                <w:color w:val="auto"/>
              </w:rPr>
            </w:pPr>
            <w:r>
              <w:rPr>
                <w:rFonts w:ascii="Arial" w:cs="Arial" w:eastAsia="Arial" w:hAnsi="Arial"/>
                <w:sz w:val="18"/>
                <w:szCs w:val="18"/>
                <w:color w:val="auto"/>
              </w:rPr>
              <w:t>through proft or loss</w:t>
            </w:r>
          </w:p>
        </w:tc>
        <w:tc>
          <w:tcPr>
            <w:tcW w:w="13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720" w:type="dxa"/>
            <w:vAlign w:val="bottom"/>
          </w:tcPr>
          <w:p>
            <w:pPr>
              <w:ind w:left="80"/>
              <w:spacing w:after="0"/>
              <w:rPr>
                <w:sz w:val="20"/>
                <w:szCs w:val="20"/>
                <w:color w:val="auto"/>
              </w:rPr>
            </w:pPr>
            <w:r>
              <w:rPr>
                <w:rFonts w:ascii="Arial" w:cs="Arial" w:eastAsia="Arial" w:hAnsi="Arial"/>
                <w:sz w:val="18"/>
                <w:szCs w:val="18"/>
                <w:color w:val="auto"/>
              </w:rPr>
              <w:t>Contngent consideraton accreton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3"/>
        </w:trPr>
        <w:tc>
          <w:tcPr>
            <w:tcW w:w="4720" w:type="dxa"/>
            <w:vAlign w:val="bottom"/>
          </w:tcPr>
          <w:p>
            <w:pPr>
              <w:ind w:left="80"/>
              <w:spacing w:after="0"/>
              <w:rPr>
                <w:sz w:val="20"/>
                <w:szCs w:val="20"/>
                <w:color w:val="auto"/>
              </w:rPr>
            </w:pPr>
            <w:r>
              <w:rPr>
                <w:rFonts w:ascii="Arial" w:cs="Arial" w:eastAsia="Arial" w:hAnsi="Arial"/>
                <w:sz w:val="18"/>
                <w:szCs w:val="18"/>
                <w:color w:val="auto"/>
              </w:rPr>
              <w:t>Change in fair value of contngent consideraton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84"/>
        </w:trPr>
        <w:tc>
          <w:tcPr>
            <w:tcW w:w="472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TOTAL OTHER INCOME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4,028</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53"/>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NET LOSS FOR THE PERIOD BEFORE INCOME TAX</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(47,490)</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(24,721)</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(5,250)</w:t>
            </w: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(77,461)</w:t>
            </w:r>
          </w:p>
        </w:tc>
        <w:tc>
          <w:tcPr>
            <w:tcW w:w="0" w:type="dxa"/>
            <w:vAlign w:val="bottom"/>
          </w:tcPr>
          <w:p>
            <w:pPr>
              <w:spacing w:after="0"/>
              <w:rPr>
                <w:sz w:val="1"/>
                <w:szCs w:val="1"/>
                <w:color w:val="auto"/>
              </w:rPr>
            </w:pPr>
          </w:p>
        </w:tc>
      </w:tr>
      <w:tr>
        <w:trPr>
          <w:trHeight w:val="53"/>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4720" w:type="dxa"/>
            <w:vAlign w:val="bottom"/>
          </w:tcPr>
          <w:p>
            <w:pPr>
              <w:ind w:left="80"/>
              <w:spacing w:after="0"/>
              <w:rPr>
                <w:sz w:val="20"/>
                <w:szCs w:val="20"/>
                <w:color w:val="auto"/>
              </w:rPr>
            </w:pPr>
            <w:r>
              <w:rPr>
                <w:rFonts w:ascii="Arial" w:cs="Arial" w:eastAsia="Arial" w:hAnsi="Arial"/>
                <w:sz w:val="18"/>
                <w:szCs w:val="18"/>
                <w:color w:val="auto"/>
              </w:rPr>
              <w:t>Income tax recovery</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1,885</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62"/>
        </w:trPr>
        <w:tc>
          <w:tcPr>
            <w:tcW w:w="4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NET LOSS FOR THE PERIOD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(47,490)</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(22,836)</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(5,250)</w:t>
            </w: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(75,576)</w:t>
            </w:r>
          </w:p>
        </w:tc>
        <w:tc>
          <w:tcPr>
            <w:tcW w:w="0" w:type="dxa"/>
            <w:vAlign w:val="bottom"/>
          </w:tcPr>
          <w:p>
            <w:pPr>
              <w:spacing w:after="0"/>
              <w:rPr>
                <w:sz w:val="1"/>
                <w:szCs w:val="1"/>
                <w:color w:val="auto"/>
              </w:rPr>
            </w:pPr>
          </w:p>
        </w:tc>
      </w:tr>
      <w:tr>
        <w:trPr>
          <w:trHeight w:val="53"/>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OTHER COMPREHENSIVE LOSS</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720" w:type="dxa"/>
            <w:vAlign w:val="bottom"/>
          </w:tcPr>
          <w:p>
            <w:pPr>
              <w:ind w:left="80"/>
              <w:spacing w:after="0"/>
              <w:rPr>
                <w:sz w:val="20"/>
                <w:szCs w:val="20"/>
                <w:color w:val="auto"/>
              </w:rPr>
            </w:pPr>
            <w:r>
              <w:rPr>
                <w:rFonts w:ascii="Arial" w:cs="Arial" w:eastAsia="Arial" w:hAnsi="Arial"/>
                <w:sz w:val="18"/>
                <w:szCs w:val="18"/>
                <w:color w:val="auto"/>
                <w:w w:val="96"/>
              </w:rPr>
              <w:t>Foreign currency translaton diferences for foreign operatons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(1,849)</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62"/>
        </w:trPr>
        <w:tc>
          <w:tcPr>
            <w:tcW w:w="4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rPr>
              <w:t>COMPREHENSIVE LOSS FOR THE PERIOD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(49,159)</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(24,685)</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(5,250)</w:t>
            </w:r>
          </w:p>
        </w:tc>
        <w:tc>
          <w:tcPr>
            <w:tcW w:w="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(79,094)</w:t>
            </w:r>
          </w:p>
        </w:tc>
        <w:tc>
          <w:tcPr>
            <w:tcW w:w="0" w:type="dxa"/>
            <w:vAlign w:val="bottom"/>
          </w:tcPr>
          <w:p>
            <w:pPr>
              <w:spacing w:after="0"/>
              <w:rPr>
                <w:sz w:val="1"/>
                <w:szCs w:val="1"/>
                <w:color w:val="auto"/>
              </w:rPr>
            </w:pPr>
          </w:p>
        </w:tc>
      </w:tr>
      <w:tr>
        <w:trPr>
          <w:trHeight w:val="53"/>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7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w w:val="93"/>
              </w:rPr>
              <w:t>Basic loss per share for the period atributable to common</w:t>
            </w: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(0.26)</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(0.28)</w:t>
            </w:r>
          </w:p>
        </w:tc>
        <w:tc>
          <w:tcPr>
            <w:tcW w:w="0" w:type="dxa"/>
            <w:vAlign w:val="bottom"/>
          </w:tcPr>
          <w:p>
            <w:pPr>
              <w:spacing w:after="0"/>
              <w:rPr>
                <w:sz w:val="1"/>
                <w:szCs w:val="1"/>
                <w:color w:val="auto"/>
              </w:rPr>
            </w:pPr>
          </w:p>
        </w:tc>
      </w:tr>
      <w:tr>
        <w:trPr>
          <w:trHeight w:val="109"/>
        </w:trPr>
        <w:tc>
          <w:tcPr>
            <w:tcW w:w="47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shareholders</w:t>
            </w:r>
          </w:p>
        </w:tc>
        <w:tc>
          <w:tcPr>
            <w:tcW w:w="13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80"/>
              <w:spacing w:after="0"/>
              <w:rPr>
                <w:sz w:val="20"/>
                <w:szCs w:val="20"/>
                <w:color w:val="auto"/>
              </w:rPr>
            </w:pPr>
            <w:r>
              <w:rPr>
                <w:rFonts w:ascii="Arial" w:cs="Arial" w:eastAsia="Arial" w:hAnsi="Arial"/>
                <w:sz w:val="18"/>
                <w:szCs w:val="18"/>
                <w:b w:val="1"/>
                <w:bCs w:val="1"/>
                <w:color w:val="auto"/>
                <w:w w:val="90"/>
              </w:rPr>
              <w:t>Weighted average number of common shares outstanding -</w:t>
            </w: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185,428,767</w:t>
            </w:r>
          </w:p>
        </w:tc>
        <w:tc>
          <w:tcPr>
            <w:tcW w:w="1400" w:type="dxa"/>
            <w:vAlign w:val="bottom"/>
          </w:tcPr>
          <w:p>
            <w:pPr>
              <w:spacing w:after="0"/>
              <w:rPr>
                <w:sz w:val="18"/>
                <w:szCs w:val="18"/>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80,367,585</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i w:val="1"/>
                <w:iCs w:val="1"/>
                <w:color w:val="auto"/>
              </w:rPr>
              <w:t>4</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265,796,352</w:t>
            </w:r>
          </w:p>
        </w:tc>
        <w:tc>
          <w:tcPr>
            <w:tcW w:w="0" w:type="dxa"/>
            <w:vAlign w:val="bottom"/>
          </w:tcPr>
          <w:p>
            <w:pPr>
              <w:spacing w:after="0"/>
              <w:rPr>
                <w:sz w:val="1"/>
                <w:szCs w:val="1"/>
                <w:color w:val="auto"/>
              </w:rPr>
            </w:pPr>
          </w:p>
        </w:tc>
      </w:tr>
      <w:tr>
        <w:trPr>
          <w:trHeight w:val="109"/>
        </w:trPr>
        <w:tc>
          <w:tcPr>
            <w:tcW w:w="47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basic</w:t>
            </w:r>
          </w:p>
        </w:tc>
        <w:tc>
          <w:tcPr>
            <w:tcW w:w="13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UNAUDITED PRO FORMA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ACQUISITION OF SMALL PHARMA</w:t>
      </w:r>
    </w:p>
    <w:p>
      <w:pPr>
        <w:spacing w:after="0" w:line="252" w:lineRule="exact"/>
        <w:rPr>
          <w:sz w:val="20"/>
          <w:szCs w:val="20"/>
          <w:color w:val="auto"/>
        </w:rPr>
      </w:pPr>
    </w:p>
    <w:p>
      <w:pPr>
        <w:jc w:val="both"/>
        <w:ind w:left="340"/>
        <w:spacing w:after="0" w:line="280" w:lineRule="auto"/>
        <w:rPr>
          <w:sz w:val="20"/>
          <w:szCs w:val="20"/>
          <w:color w:val="auto"/>
        </w:rPr>
      </w:pPr>
      <w:r>
        <w:rPr>
          <w:rFonts w:ascii="Arial" w:cs="Arial" w:eastAsia="Arial" w:hAnsi="Arial"/>
          <w:sz w:val="18"/>
          <w:szCs w:val="18"/>
          <w:color w:val="auto"/>
        </w:rPr>
        <w:t>Cybin Inc. (“</w:t>
      </w:r>
      <w:r>
        <w:rPr>
          <w:rFonts w:ascii="Arial" w:cs="Arial" w:eastAsia="Arial" w:hAnsi="Arial"/>
          <w:sz w:val="18"/>
          <w:szCs w:val="18"/>
          <w:b w:val="1"/>
          <w:bCs w:val="1"/>
          <w:color w:val="auto"/>
        </w:rPr>
        <w:t>Cybin</w:t>
      </w:r>
      <w:r>
        <w:rPr>
          <w:rFonts w:ascii="Arial" w:cs="Arial" w:eastAsia="Arial" w:hAnsi="Arial"/>
          <w:sz w:val="18"/>
          <w:szCs w:val="18"/>
          <w:color w:val="auto"/>
        </w:rPr>
        <w:t>”) is a clinical-stage biopharmaceutcal company commited to revolutonizing mental healthcare by developing new and innovatve psychedelic-based treatment optons. On August 29, 2023, Cybin entered into a defnitve agreement with Small Pharma Inc. (“</w:t>
      </w:r>
      <w:r>
        <w:rPr>
          <w:rFonts w:ascii="Arial" w:cs="Arial" w:eastAsia="Arial" w:hAnsi="Arial"/>
          <w:sz w:val="18"/>
          <w:szCs w:val="18"/>
          <w:b w:val="1"/>
          <w:bCs w:val="1"/>
          <w:color w:val="auto"/>
        </w:rPr>
        <w:t>Small Pharma</w:t>
      </w:r>
      <w:r>
        <w:rPr>
          <w:rFonts w:ascii="Arial" w:cs="Arial" w:eastAsia="Arial" w:hAnsi="Arial"/>
          <w:sz w:val="18"/>
          <w:szCs w:val="18"/>
          <w:color w:val="auto"/>
        </w:rPr>
        <w:t>”), in which Cybin is to acquire Small Pharma in an all-shares transacton (the “</w:t>
      </w:r>
      <w:r>
        <w:rPr>
          <w:rFonts w:ascii="Arial" w:cs="Arial" w:eastAsia="Arial" w:hAnsi="Arial"/>
          <w:sz w:val="18"/>
          <w:szCs w:val="18"/>
          <w:b w:val="1"/>
          <w:bCs w:val="1"/>
          <w:color w:val="auto"/>
        </w:rPr>
        <w:t>Transacton</w:t>
      </w:r>
      <w:r>
        <w:rPr>
          <w:rFonts w:ascii="Arial" w:cs="Arial" w:eastAsia="Arial" w:hAnsi="Arial"/>
          <w:sz w:val="18"/>
          <w:szCs w:val="18"/>
          <w:color w:val="auto"/>
        </w:rPr>
        <w:t>”).</w:t>
      </w:r>
    </w:p>
    <w:p>
      <w:pPr>
        <w:spacing w:after="0" w:line="19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Under the terms of the Transacton, Cybin is to acquire all of the issued and outstanding common shares of Small Pharma at a fxed exchange rato of 0.2409 Cybin common shares for each Small Pharma common share. The exchange rato implies a 43.6% premium to Small Pharma’s 30-day volume weighted average closing share price for the 30-day period ended August 25, 2023.</w:t>
      </w:r>
    </w:p>
    <w:p>
      <w:pPr>
        <w:spacing w:after="0" w:line="1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3"/>
          <w:szCs w:val="13"/>
          <w:b w:val="1"/>
          <w:bCs w:val="1"/>
          <w:color w:val="auto"/>
        </w:rPr>
        <w:t>BASIS OF PRESENTATION</w:t>
      </w:r>
    </w:p>
    <w:p>
      <w:pPr>
        <w:spacing w:after="0" w:line="266" w:lineRule="exact"/>
        <w:rPr>
          <w:sz w:val="20"/>
          <w:szCs w:val="20"/>
          <w:color w:val="auto"/>
        </w:rPr>
      </w:pPr>
    </w:p>
    <w:p>
      <w:pPr>
        <w:jc w:val="both"/>
        <w:ind w:left="340"/>
        <w:spacing w:after="0" w:line="291" w:lineRule="auto"/>
        <w:rPr>
          <w:sz w:val="20"/>
          <w:szCs w:val="20"/>
          <w:color w:val="auto"/>
        </w:rPr>
      </w:pPr>
      <w:r>
        <w:rPr>
          <w:rFonts w:ascii="Arial" w:cs="Arial" w:eastAsia="Arial" w:hAnsi="Arial"/>
          <w:sz w:val="18"/>
          <w:szCs w:val="18"/>
          <w:color w:val="auto"/>
        </w:rPr>
        <w:t>The accompanying unaudited pro forma consolidated fnancial statements (the “</w:t>
      </w:r>
      <w:r>
        <w:rPr>
          <w:rFonts w:ascii="Arial" w:cs="Arial" w:eastAsia="Arial" w:hAnsi="Arial"/>
          <w:sz w:val="18"/>
          <w:szCs w:val="18"/>
          <w:b w:val="1"/>
          <w:bCs w:val="1"/>
          <w:color w:val="auto"/>
        </w:rPr>
        <w:t>Pro Forma Consolidated Financial Statements</w:t>
      </w:r>
      <w:r>
        <w:rPr>
          <w:rFonts w:ascii="Arial" w:cs="Arial" w:eastAsia="Arial" w:hAnsi="Arial"/>
          <w:sz w:val="18"/>
          <w:szCs w:val="18"/>
          <w:color w:val="auto"/>
        </w:rPr>
        <w:t>”) of Cybin have been prepared from informaton derived from, and should be read in conjuncton with the following:</w:t>
      </w:r>
    </w:p>
    <w:p>
      <w:pPr>
        <w:spacing w:after="0" w:line="202" w:lineRule="exact"/>
        <w:rPr>
          <w:sz w:val="20"/>
          <w:szCs w:val="20"/>
          <w:color w:val="auto"/>
        </w:rPr>
      </w:pPr>
    </w:p>
    <w:p>
      <w:pPr>
        <w:ind w:left="980" w:hanging="130"/>
        <w:spacing w:after="0" w:line="266" w:lineRule="auto"/>
        <w:rPr>
          <w:sz w:val="20"/>
          <w:szCs w:val="20"/>
          <w:color w:val="auto"/>
        </w:rPr>
      </w:pPr>
      <w:r>
        <w:rPr>
          <w:rFonts w:ascii="Arial" w:cs="Arial" w:eastAsia="Arial" w:hAnsi="Arial"/>
          <w:sz w:val="18"/>
          <w:szCs w:val="18"/>
          <w:color w:val="auto"/>
        </w:rPr>
        <w:t>the audited annual consolidated fnancial statements of Cybin, together with the notes thereto, as at and for the year ended March 31, 2023 as fled on SEDAR;</w:t>
      </w:r>
    </w:p>
    <w:p>
      <w:pPr>
        <w:ind w:left="980" w:hanging="76"/>
        <w:spacing w:after="0" w:line="273" w:lineRule="auto"/>
        <w:rPr>
          <w:sz w:val="20"/>
          <w:szCs w:val="20"/>
          <w:color w:val="auto"/>
        </w:rPr>
      </w:pPr>
      <w:r>
        <w:rPr>
          <w:rFonts w:ascii="Arial" w:cs="Arial" w:eastAsia="Arial" w:hAnsi="Arial"/>
          <w:sz w:val="18"/>
          <w:szCs w:val="18"/>
          <w:color w:val="auto"/>
        </w:rPr>
        <w:t>the unaudited interim consolidated fnancial statements of Cybin, together with the notes thereto, as at and for the three-month periods ended June 30, 2023 and 2022 as fled on SEDAR;</w:t>
      </w:r>
    </w:p>
    <w:p>
      <w:pPr>
        <w:spacing w:after="0" w:line="2" w:lineRule="exact"/>
        <w:rPr>
          <w:sz w:val="20"/>
          <w:szCs w:val="20"/>
          <w:color w:val="auto"/>
        </w:rPr>
      </w:pPr>
    </w:p>
    <w:p>
      <w:pPr>
        <w:ind w:left="980" w:hanging="143"/>
        <w:spacing w:after="0" w:line="266" w:lineRule="auto"/>
        <w:rPr>
          <w:sz w:val="20"/>
          <w:szCs w:val="20"/>
          <w:color w:val="auto"/>
        </w:rPr>
      </w:pPr>
      <w:r>
        <w:rPr>
          <w:rFonts w:ascii="Arial" w:cs="Arial" w:eastAsia="Arial" w:hAnsi="Arial"/>
          <w:sz w:val="18"/>
          <w:szCs w:val="18"/>
          <w:color w:val="auto"/>
        </w:rPr>
        <w:t>the audited annual consolidated fnancial statements of Small Pharma, together with the notes thereto, as at and for the year ended February 28, 2023 as fled on SEDAR, and</w:t>
      </w:r>
    </w:p>
    <w:p>
      <w:pPr>
        <w:ind w:left="980" w:hanging="76"/>
        <w:spacing w:after="0" w:line="289" w:lineRule="auto"/>
        <w:rPr>
          <w:sz w:val="20"/>
          <w:szCs w:val="20"/>
          <w:color w:val="auto"/>
        </w:rPr>
      </w:pPr>
      <w:r>
        <w:rPr>
          <w:rFonts w:ascii="Arial" w:cs="Arial" w:eastAsia="Arial" w:hAnsi="Arial"/>
          <w:sz w:val="18"/>
          <w:szCs w:val="18"/>
          <w:color w:val="auto"/>
        </w:rPr>
        <w:t>the unaudited interim consolidated fnancial statements of Small Pharma, together with the notes thereto, as at and for the three-month periods ended May 31, 2023 and 2022 as fled on SEDAR;</w:t>
      </w:r>
    </w:p>
    <w:p>
      <w:pPr>
        <w:spacing w:after="0" w:line="190" w:lineRule="exact"/>
        <w:rPr>
          <w:sz w:val="20"/>
          <w:szCs w:val="20"/>
          <w:color w:val="auto"/>
        </w:rPr>
      </w:pPr>
    </w:p>
    <w:p>
      <w:pPr>
        <w:jc w:val="both"/>
        <w:ind w:left="340"/>
        <w:spacing w:after="0" w:line="289" w:lineRule="auto"/>
        <w:rPr>
          <w:sz w:val="20"/>
          <w:szCs w:val="20"/>
          <w:color w:val="auto"/>
        </w:rPr>
      </w:pPr>
      <w:r>
        <w:rPr>
          <w:rFonts w:ascii="Arial" w:cs="Arial" w:eastAsia="Arial" w:hAnsi="Arial"/>
          <w:sz w:val="18"/>
          <w:szCs w:val="18"/>
          <w:color w:val="auto"/>
        </w:rPr>
        <w:t>The Pro Forma Consolidated Financial Statements are based on Cybin’s historical consolidated fnancial statements as well as Small Pharma’s historical consolidated fnancial statements, as adjusted to give efect to the Transacton.</w:t>
      </w:r>
    </w:p>
    <w:p>
      <w:pPr>
        <w:spacing w:after="0" w:line="20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accompanying unaudited pro forma consolidated statement of fnancial positon as at June 30, 2023 has been prepared as if the acquisiton of Small Pharma has occurred on June 30, 2023. The unaudited pro forma consolidated statements of income and loss for the year ended March 31, 2023, and three-month period ended June 30, 2023, have been prepared to give efect to the acquisiton of Small Pharma as if it had occurred on April 1, 2022.</w:t>
      </w:r>
    </w:p>
    <w:p>
      <w:pPr>
        <w:spacing w:after="0" w:line="209" w:lineRule="exact"/>
        <w:rPr>
          <w:sz w:val="20"/>
          <w:szCs w:val="20"/>
          <w:color w:val="auto"/>
        </w:rPr>
      </w:pPr>
    </w:p>
    <w:p>
      <w:pPr>
        <w:jc w:val="both"/>
        <w:ind w:left="340"/>
        <w:spacing w:after="0" w:line="282" w:lineRule="auto"/>
        <w:rPr>
          <w:sz w:val="20"/>
          <w:szCs w:val="20"/>
          <w:color w:val="auto"/>
        </w:rPr>
      </w:pPr>
      <w:r>
        <w:rPr>
          <w:rFonts w:ascii="Arial" w:cs="Arial" w:eastAsia="Arial" w:hAnsi="Arial"/>
          <w:sz w:val="17"/>
          <w:szCs w:val="17"/>
          <w:color w:val="auto"/>
        </w:rPr>
        <w:t>The historical consolidated fnancial informaton of Cybin and Small Pharma are presented in accordance with the Internatonal Financial Reportng Standards (“</w:t>
      </w:r>
      <w:r>
        <w:rPr>
          <w:rFonts w:ascii="Arial" w:cs="Arial" w:eastAsia="Arial" w:hAnsi="Arial"/>
          <w:sz w:val="17"/>
          <w:szCs w:val="17"/>
          <w:b w:val="1"/>
          <w:bCs w:val="1"/>
          <w:color w:val="auto"/>
        </w:rPr>
        <w:t>IFRS</w:t>
      </w:r>
      <w:r>
        <w:rPr>
          <w:rFonts w:ascii="Arial" w:cs="Arial" w:eastAsia="Arial" w:hAnsi="Arial"/>
          <w:sz w:val="17"/>
          <w:szCs w:val="17"/>
          <w:color w:val="auto"/>
        </w:rPr>
        <w:t>”) and therefore, there were no signifcant adjustments to Small Pharma’s consolidated fnancial statements to conform to Cybin’s accountng framework. The assumptons and estmates underlying the adjustments to the Pro Forma Consolidated Financial Statements are described in the accompanying notes, which should be read together with the Pro Forma Consolidated Financial Statements. These Pro Forma Consolidated Financial Statements have been prepared by Management of Cybin in accordance with IFRS on a consistent basis with those disclosed in Note 2 of Cybin’s consolidated fnancial statements as at and for the year ended March 31, 2023 and Note 2 to Cybin’s condensed interim consolidated fnancial statements as at and for the three-month period ended June 30, 2023.</w:t>
      </w:r>
    </w:p>
    <w:p>
      <w:pPr>
        <w:spacing w:after="0" w:line="21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preparing the Pro Forma Consolidated Financial Statements, Management reviewed Small Pharma’s accountng policies and fnancial statement presentaton to identfy any diferences between Cybin’s and Small Pharma’s IFRS accountng policies and fnancial statement presentaton. Certain historical balances have been reclassifed to conform to Cybin’s fnancial statement presentaton and for the purposes of the pro forma presentaton. Additonal accountng</w:t>
      </w:r>
    </w:p>
    <w:p>
      <w:pPr>
        <w:sectPr>
          <w:pgSz w:w="11900" w:h="16838" w:orient="portrait"/>
          <w:cols w:equalWidth="0" w:num="1">
            <w:col w:w="11240"/>
          </w:cols>
          <w:pgMar w:left="320" w:top="101"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UNAUDITED PRO FORMA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340"/>
        <w:spacing w:after="0" w:line="273" w:lineRule="auto"/>
        <w:rPr>
          <w:sz w:val="20"/>
          <w:szCs w:val="20"/>
          <w:color w:val="auto"/>
        </w:rPr>
      </w:pPr>
      <w:r>
        <w:rPr>
          <w:rFonts w:ascii="Arial" w:cs="Arial" w:eastAsia="Arial" w:hAnsi="Arial"/>
          <w:sz w:val="18"/>
          <w:szCs w:val="18"/>
          <w:color w:val="auto"/>
        </w:rPr>
        <w:t>policy and fnancial statement presentaton diferences may be identfed afer the fling of this circular as more informaton is obtained by Cybin, and therefore these adjustments are subject to change.</w:t>
      </w: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It is management’s opinion that the Pro Forma Consolidated Financial Statements have been prepared within acceptable limits of materiality, using accountng policies consistent with IFRS appropriate in the circumstances. The Pro Forma Consolidated Financial Statements are not intended to refect the consolidated fnancial positon and consolidated fnancial performance of the companies which would have actually resulted had the Transacton been afected on the dates indicated. Actual amounts recorded upon consummaton of the Transacton will difer from those recorded in the Pro Forma Consolidated Financial Statements and the diferences may be material. Management has not made any fair value adjustment allocaton to the value of the acquired assets and liabilites on the balance sheet of Small Pharma due to the uncertainty with respect to the measurement of amounts at this tme.</w:t>
      </w: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3"/>
          <w:szCs w:val="13"/>
          <w:b w:val="1"/>
          <w:bCs w:val="1"/>
          <w:color w:val="auto"/>
        </w:rPr>
        <w:t>ADJUSTMENTS TO SMALL PHARMA’S FINANCIAL STATEMENTS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Reclassifcatons to Small Pharma’s consolidated income statement for three-month period ending June 30, 2023 include:</w:t>
      </w:r>
    </w:p>
    <w:p>
      <w:pPr>
        <w:spacing w:after="0" w:line="266" w:lineRule="exact"/>
        <w:rPr>
          <w:sz w:val="20"/>
          <w:szCs w:val="20"/>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investor and public relatons as general and administratve costs</w:t>
      </w:r>
    </w:p>
    <w:p>
      <w:pPr>
        <w:spacing w:after="0" w:line="19"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consultng fees as general and administratve costs</w:t>
      </w:r>
    </w:p>
    <w:p>
      <w:pPr>
        <w:spacing w:after="0" w:line="1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depreciaton as general and administratve costs</w:t>
      </w:r>
    </w:p>
    <w:p>
      <w:pPr>
        <w:spacing w:after="0" w:line="22"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directors’ fees as general and administratve costs</w:t>
      </w:r>
    </w:p>
    <w:p>
      <w:pPr>
        <w:spacing w:after="0" w:line="19"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ofce and miscellaneous as general and administratve costs</w:t>
      </w:r>
    </w:p>
    <w:p>
      <w:pPr>
        <w:spacing w:after="0" w:line="1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professional fees as general and administratve costs</w:t>
      </w:r>
    </w:p>
    <w:p>
      <w:pPr>
        <w:spacing w:after="0" w:line="22"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occupancy costs as general and administratve costs</w:t>
      </w:r>
    </w:p>
    <w:p>
      <w:pPr>
        <w:spacing w:after="0" w:line="19"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transfer agent and fling fees as general and administratve costs</w:t>
      </w:r>
    </w:p>
    <w:p>
      <w:pPr>
        <w:spacing w:after="0" w:line="11"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research and development as research</w:t>
      </w:r>
    </w:p>
    <w:p>
      <w:pPr>
        <w:spacing w:after="0" w:line="22"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foreign exchange loss as foreign currency translaton gain (loss)</w:t>
      </w:r>
    </w:p>
    <w:p>
      <w:pPr>
        <w:spacing w:after="0" w:line="19"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share-based payment expense to share-based compensaton</w:t>
      </w:r>
    </w:p>
    <w:p>
      <w:pPr>
        <w:spacing w:after="0" w:line="11"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Presentaton of salaries and benefts as follows:</w:t>
      </w:r>
    </w:p>
    <w:p>
      <w:pPr>
        <w:spacing w:after="0" w:line="22"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and administratve costs: $1,131</w:t>
      </w:r>
    </w:p>
    <w:p>
      <w:pPr>
        <w:spacing w:after="0" w:line="19" w:lineRule="exact"/>
        <w:rPr>
          <w:rFonts w:ascii="Arial" w:cs="Arial" w:eastAsia="Arial" w:hAnsi="Arial"/>
          <w:sz w:val="18"/>
          <w:szCs w:val="18"/>
          <w:color w:val="auto"/>
        </w:rPr>
      </w:pPr>
    </w:p>
    <w:p>
      <w:pPr>
        <w:ind w:left="1600" w:hanging="296"/>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Research: $455</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Reclassifcatons to the Small Pharma’s consolidated income statement for the twelve-month period ended March 31, 2023 include:</w:t>
      </w:r>
    </w:p>
    <w:p>
      <w:pPr>
        <w:spacing w:after="0" w:line="266" w:lineRule="exact"/>
        <w:rPr>
          <w:sz w:val="20"/>
          <w:szCs w:val="20"/>
          <w:color w:val="auto"/>
        </w:rPr>
      </w:pPr>
    </w:p>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investor and public relatons as general and administratve costs</w:t>
      </w:r>
    </w:p>
    <w:p>
      <w:pPr>
        <w:spacing w:after="0" w:line="19"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consultng fees as general and administratve costs</w:t>
      </w:r>
    </w:p>
    <w:p>
      <w:pPr>
        <w:spacing w:after="0" w:line="11"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depreciaton as general and administratve costs</w:t>
      </w:r>
    </w:p>
    <w:p>
      <w:pPr>
        <w:spacing w:after="0" w:line="22"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directors’ fees as general and administratve costs</w:t>
      </w:r>
    </w:p>
    <w:p>
      <w:pPr>
        <w:spacing w:after="0" w:line="19"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ofce and miscellaneous as general and administratve costs</w:t>
      </w:r>
    </w:p>
    <w:p>
      <w:pPr>
        <w:spacing w:after="0" w:line="1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professional fees as general and administratve costs</w:t>
      </w:r>
    </w:p>
    <w:p>
      <w:pPr>
        <w:spacing w:after="0" w:line="22"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occupancy costs as general and administratve costs</w:t>
      </w:r>
    </w:p>
    <w:p>
      <w:pPr>
        <w:spacing w:after="0" w:line="19"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transfer agent and fling fees as general and administratve costs</w:t>
      </w:r>
    </w:p>
    <w:p>
      <w:pPr>
        <w:spacing w:after="0" w:line="11"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research and development as research</w:t>
      </w:r>
    </w:p>
    <w:p>
      <w:pPr>
        <w:spacing w:after="0" w:line="22"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foreign exchange loss as foreign currency translaton gain (loss)</w:t>
      </w:r>
    </w:p>
    <w:p>
      <w:pPr>
        <w:spacing w:after="0" w:line="19"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share-based payment expense to share-based compensaton</w:t>
      </w:r>
    </w:p>
    <w:p>
      <w:pPr>
        <w:spacing w:after="0" w:line="11"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Presentaton of salaries and benefts as follows:</w:t>
      </w:r>
    </w:p>
    <w:p>
      <w:pPr>
        <w:spacing w:after="0" w:line="22" w:lineRule="exact"/>
        <w:rPr>
          <w:rFonts w:ascii="Arial" w:cs="Arial" w:eastAsia="Arial" w:hAnsi="Arial"/>
          <w:sz w:val="18"/>
          <w:szCs w:val="18"/>
          <w:color w:val="auto"/>
        </w:rPr>
      </w:pPr>
    </w:p>
    <w:p>
      <w:pPr>
        <w:ind w:left="1560" w:hanging="256"/>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General and administratve costs: $3,867</w:t>
      </w:r>
    </w:p>
    <w:p>
      <w:pPr>
        <w:spacing w:after="0" w:line="19" w:lineRule="exact"/>
        <w:rPr>
          <w:rFonts w:ascii="Arial" w:cs="Arial" w:eastAsia="Arial" w:hAnsi="Arial"/>
          <w:sz w:val="18"/>
          <w:szCs w:val="18"/>
          <w:color w:val="auto"/>
        </w:rPr>
      </w:pPr>
    </w:p>
    <w:p>
      <w:pPr>
        <w:ind w:left="1600" w:hanging="296"/>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Research: $2,008</w:t>
      </w:r>
    </w:p>
    <w:p>
      <w:pPr>
        <w:sectPr>
          <w:pgSz w:w="11900" w:h="16838" w:orient="portrait"/>
          <w:cols w:equalWidth="0" w:num="1">
            <w:col w:w="11240"/>
          </w:cols>
          <w:pgMar w:left="320" w:top="10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UNAUDITED PRO FORMA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3"/>
          <w:szCs w:val="13"/>
          <w:b w:val="1"/>
          <w:bCs w:val="1"/>
          <w:color w:val="auto"/>
        </w:rPr>
        <w:t>FAIR VALUE OF CONSIDERATION TRANSFERRED</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an estmate of the number of Cybin common shares that are to be issued in exchange for Small Pharma common shares:</w:t>
      </w: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7040" w:type="dxa"/>
            <w:vAlign w:val="bottom"/>
          </w:tcPr>
          <w:p>
            <w:pPr>
              <w:ind w:left="20"/>
              <w:spacing w:after="0"/>
              <w:rPr>
                <w:sz w:val="20"/>
                <w:szCs w:val="20"/>
                <w:color w:val="auto"/>
              </w:rPr>
            </w:pPr>
            <w:r>
              <w:rPr>
                <w:rFonts w:ascii="Arial" w:cs="Arial" w:eastAsia="Arial" w:hAnsi="Arial"/>
                <w:sz w:val="18"/>
                <w:szCs w:val="18"/>
                <w:color w:val="auto"/>
              </w:rPr>
              <w:t>Small Pharma common shares outstanding as at May 31, 2023</w:t>
            </w:r>
          </w:p>
        </w:tc>
        <w:tc>
          <w:tcPr>
            <w:tcW w:w="3460" w:type="dxa"/>
            <w:vAlign w:val="bottom"/>
          </w:tcPr>
          <w:p>
            <w:pPr>
              <w:jc w:val="right"/>
              <w:spacing w:after="0"/>
              <w:rPr>
                <w:sz w:val="20"/>
                <w:szCs w:val="20"/>
                <w:color w:val="auto"/>
              </w:rPr>
            </w:pPr>
            <w:r>
              <w:rPr>
                <w:rFonts w:ascii="Arial" w:cs="Arial" w:eastAsia="Arial" w:hAnsi="Arial"/>
                <w:sz w:val="18"/>
                <w:szCs w:val="18"/>
                <w:color w:val="auto"/>
              </w:rPr>
              <w:t>321,562,487</w:t>
            </w:r>
          </w:p>
        </w:tc>
      </w:tr>
      <w:tr>
        <w:trPr>
          <w:trHeight w:val="346"/>
        </w:trPr>
        <w:tc>
          <w:tcPr>
            <w:tcW w:w="70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Small Pharma optons exercised prior to the Transacton</w:t>
            </w:r>
            <w:r>
              <w:rPr>
                <w:rFonts w:ascii="Arial" w:cs="Arial" w:eastAsia="Arial" w:hAnsi="Arial"/>
                <w:sz w:val="23"/>
                <w:szCs w:val="23"/>
                <w:color w:val="auto"/>
                <w:vertAlign w:val="superscript"/>
              </w:rPr>
              <w:t>1,2</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14,720,150</w:t>
            </w:r>
          </w:p>
        </w:tc>
      </w:tr>
      <w:tr>
        <w:trPr>
          <w:trHeight w:val="220"/>
        </w:trPr>
        <w:tc>
          <w:tcPr>
            <w:tcW w:w="7040" w:type="dxa"/>
            <w:vAlign w:val="bottom"/>
          </w:tcPr>
          <w:p>
            <w:pPr>
              <w:ind w:left="20"/>
              <w:spacing w:after="0"/>
              <w:rPr>
                <w:sz w:val="20"/>
                <w:szCs w:val="20"/>
                <w:color w:val="auto"/>
              </w:rPr>
            </w:pPr>
            <w:r>
              <w:rPr>
                <w:rFonts w:ascii="Arial" w:cs="Arial" w:eastAsia="Arial" w:hAnsi="Arial"/>
                <w:sz w:val="18"/>
                <w:szCs w:val="18"/>
                <w:color w:val="auto"/>
              </w:rPr>
              <w:t>Total Small Pharma common shares to be converted</w:t>
            </w:r>
          </w:p>
        </w:tc>
        <w:tc>
          <w:tcPr>
            <w:tcW w:w="3460" w:type="dxa"/>
            <w:vAlign w:val="bottom"/>
          </w:tcPr>
          <w:p>
            <w:pPr>
              <w:jc w:val="right"/>
              <w:spacing w:after="0"/>
              <w:rPr>
                <w:sz w:val="20"/>
                <w:szCs w:val="20"/>
                <w:color w:val="auto"/>
              </w:rPr>
            </w:pPr>
            <w:r>
              <w:rPr>
                <w:rFonts w:ascii="Arial" w:cs="Arial" w:eastAsia="Arial" w:hAnsi="Arial"/>
                <w:sz w:val="18"/>
                <w:szCs w:val="18"/>
                <w:color w:val="auto"/>
              </w:rPr>
              <w:t>336,282,637</w:t>
            </w:r>
          </w:p>
        </w:tc>
      </w:tr>
      <w:tr>
        <w:trPr>
          <w:trHeight w:val="278"/>
        </w:trPr>
        <w:tc>
          <w:tcPr>
            <w:tcW w:w="7040" w:type="dxa"/>
            <w:vAlign w:val="bottom"/>
          </w:tcPr>
          <w:p>
            <w:pPr>
              <w:ind w:left="20"/>
              <w:spacing w:after="0"/>
              <w:rPr>
                <w:sz w:val="20"/>
                <w:szCs w:val="20"/>
                <w:color w:val="auto"/>
              </w:rPr>
            </w:pPr>
            <w:r>
              <w:rPr>
                <w:rFonts w:ascii="Arial" w:cs="Arial" w:eastAsia="Arial" w:hAnsi="Arial"/>
                <w:sz w:val="18"/>
                <w:szCs w:val="18"/>
                <w:color w:val="auto"/>
              </w:rPr>
              <w:t>Conversion Rato</w:t>
            </w:r>
          </w:p>
        </w:tc>
        <w:tc>
          <w:tcPr>
            <w:tcW w:w="3460" w:type="dxa"/>
            <w:vAlign w:val="bottom"/>
          </w:tcPr>
          <w:p>
            <w:pPr>
              <w:jc w:val="right"/>
              <w:spacing w:after="0"/>
              <w:rPr>
                <w:sz w:val="20"/>
                <w:szCs w:val="20"/>
                <w:color w:val="auto"/>
              </w:rPr>
            </w:pPr>
            <w:r>
              <w:rPr>
                <w:rFonts w:ascii="Arial" w:cs="Arial" w:eastAsia="Arial" w:hAnsi="Arial"/>
                <w:sz w:val="18"/>
                <w:szCs w:val="18"/>
                <w:color w:val="auto"/>
              </w:rPr>
              <w:t>0.2409</w:t>
            </w:r>
          </w:p>
        </w:tc>
      </w:tr>
      <w:tr>
        <w:trPr>
          <w:trHeight w:val="62"/>
        </w:trPr>
        <w:tc>
          <w:tcPr>
            <w:tcW w:w="704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20"/>
        </w:trPr>
        <w:tc>
          <w:tcPr>
            <w:tcW w:w="7040" w:type="dxa"/>
            <w:vAlign w:val="bottom"/>
          </w:tcPr>
          <w:p>
            <w:pPr>
              <w:ind w:left="20"/>
              <w:spacing w:after="0"/>
              <w:rPr>
                <w:sz w:val="20"/>
                <w:szCs w:val="20"/>
                <w:color w:val="auto"/>
              </w:rPr>
            </w:pPr>
            <w:r>
              <w:rPr>
                <w:rFonts w:ascii="Arial" w:cs="Arial" w:eastAsia="Arial" w:hAnsi="Arial"/>
                <w:sz w:val="18"/>
                <w:szCs w:val="18"/>
                <w:color w:val="auto"/>
              </w:rPr>
              <w:t>Cybin common shares to be issued</w:t>
            </w:r>
          </w:p>
        </w:tc>
        <w:tc>
          <w:tcPr>
            <w:tcW w:w="3460" w:type="dxa"/>
            <w:vAlign w:val="bottom"/>
          </w:tcPr>
          <w:p>
            <w:pPr>
              <w:jc w:val="right"/>
              <w:spacing w:after="0"/>
              <w:rPr>
                <w:sz w:val="20"/>
                <w:szCs w:val="20"/>
                <w:color w:val="auto"/>
              </w:rPr>
            </w:pPr>
            <w:r>
              <w:rPr>
                <w:rFonts w:ascii="Arial" w:cs="Arial" w:eastAsia="Arial" w:hAnsi="Arial"/>
                <w:sz w:val="18"/>
                <w:szCs w:val="18"/>
                <w:color w:val="auto"/>
              </w:rPr>
              <w:t>81,010,487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36195</wp:posOffset>
            </wp:positionV>
            <wp:extent cx="6677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Refer to note 7 for additonal details surrounding Small Pharma’s optons.</w:t>
      </w:r>
    </w:p>
    <w:p>
      <w:pPr>
        <w:jc w:val="both"/>
        <w:ind w:left="340"/>
        <w:spacing w:after="0" w:line="218"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As of the date of the circular, 2,891,300 of the 14,720,150 Small Pharma optons have already been exercised, leaving an estmated 11,828,850 Small Pharma optons remaining to be exercised prior to the Transacton.</w:t>
      </w:r>
    </w:p>
    <w:p>
      <w:pPr>
        <w:spacing w:after="0" w:line="24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For the purpose of determining the number of Small Pharma optons exercised prior to the Transacton, the implied consideraton of $0.10 per Small Pharma common share based on the quoted fair market value of the Cybin common shares on August 25, 2023 was used. Based on the exercise price of the assumed Small Pharma optons exercised prior to the Transacton, Small Pharma will receive $411 in cash proceeds. The fnal number of Cybin common shares to be issued is to be determined as of the closing date of the Transacton.</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7340" w:type="dxa"/>
            <w:vAlign w:val="bottom"/>
          </w:tcPr>
          <w:p>
            <w:pPr>
              <w:spacing w:after="0"/>
              <w:rPr>
                <w:sz w:val="20"/>
                <w:szCs w:val="20"/>
                <w:color w:val="auto"/>
              </w:rPr>
            </w:pPr>
            <w:r>
              <w:rPr>
                <w:rFonts w:ascii="Arial" w:cs="Arial" w:eastAsia="Arial" w:hAnsi="Arial"/>
                <w:sz w:val="18"/>
                <w:szCs w:val="18"/>
                <w:color w:val="auto"/>
              </w:rPr>
              <w:t>The following is a summary of the purchase price for the Transacton:</w:t>
            </w:r>
          </w:p>
        </w:tc>
        <w:tc>
          <w:tcPr>
            <w:tcW w:w="3180" w:type="dxa"/>
            <w:vAlign w:val="bottom"/>
          </w:tcPr>
          <w:p>
            <w:pPr>
              <w:spacing w:after="0"/>
              <w:rPr>
                <w:sz w:val="19"/>
                <w:szCs w:val="19"/>
                <w:color w:val="auto"/>
              </w:rPr>
            </w:pPr>
          </w:p>
        </w:tc>
      </w:tr>
      <w:tr>
        <w:trPr>
          <w:trHeight w:val="526"/>
        </w:trPr>
        <w:tc>
          <w:tcPr>
            <w:tcW w:w="7340" w:type="dxa"/>
            <w:vAlign w:val="bottom"/>
          </w:tcPr>
          <w:p>
            <w:pPr>
              <w:ind w:left="20"/>
              <w:spacing w:after="0"/>
              <w:rPr>
                <w:sz w:val="20"/>
                <w:szCs w:val="20"/>
                <w:color w:val="auto"/>
              </w:rPr>
            </w:pPr>
            <w:r>
              <w:rPr>
                <w:rFonts w:ascii="Arial" w:cs="Arial" w:eastAsia="Arial" w:hAnsi="Arial"/>
                <w:sz w:val="18"/>
                <w:szCs w:val="18"/>
                <w:color w:val="auto"/>
              </w:rPr>
              <w:t>Cybin common shares to be issued</w:t>
            </w:r>
          </w:p>
        </w:tc>
        <w:tc>
          <w:tcPr>
            <w:tcW w:w="3180" w:type="dxa"/>
            <w:vAlign w:val="bottom"/>
          </w:tcPr>
          <w:p>
            <w:pPr>
              <w:jc w:val="right"/>
              <w:spacing w:after="0"/>
              <w:rPr>
                <w:sz w:val="20"/>
                <w:szCs w:val="20"/>
                <w:color w:val="auto"/>
              </w:rPr>
            </w:pPr>
            <w:r>
              <w:rPr>
                <w:rFonts w:ascii="Arial" w:cs="Arial" w:eastAsia="Arial" w:hAnsi="Arial"/>
                <w:sz w:val="18"/>
                <w:szCs w:val="18"/>
                <w:color w:val="auto"/>
              </w:rPr>
              <w:t>81,010,487</w:t>
            </w:r>
          </w:p>
        </w:tc>
      </w:tr>
      <w:tr>
        <w:trPr>
          <w:trHeight w:val="283"/>
        </w:trPr>
        <w:tc>
          <w:tcPr>
            <w:tcW w:w="7340" w:type="dxa"/>
            <w:vAlign w:val="bottom"/>
          </w:tcPr>
          <w:p>
            <w:pPr>
              <w:ind w:left="20"/>
              <w:spacing w:after="0"/>
              <w:rPr>
                <w:sz w:val="20"/>
                <w:szCs w:val="20"/>
                <w:color w:val="auto"/>
              </w:rPr>
            </w:pPr>
            <w:r>
              <w:rPr>
                <w:rFonts w:ascii="Arial" w:cs="Arial" w:eastAsia="Arial" w:hAnsi="Arial"/>
                <w:sz w:val="18"/>
                <w:szCs w:val="18"/>
                <w:color w:val="auto"/>
              </w:rPr>
              <w:t>Fair value of Cybin common shares</w:t>
            </w:r>
          </w:p>
        </w:tc>
        <w:tc>
          <w:tcPr>
            <w:tcW w:w="3180" w:type="dxa"/>
            <w:vAlign w:val="bottom"/>
          </w:tcPr>
          <w:p>
            <w:pPr>
              <w:jc w:val="right"/>
              <w:spacing w:after="0"/>
              <w:rPr>
                <w:sz w:val="20"/>
                <w:szCs w:val="20"/>
                <w:color w:val="auto"/>
              </w:rPr>
            </w:pPr>
            <w:r>
              <w:rPr>
                <w:rFonts w:ascii="Arial" w:cs="Arial" w:eastAsia="Arial" w:hAnsi="Arial"/>
                <w:sz w:val="18"/>
                <w:szCs w:val="18"/>
                <w:color w:val="auto"/>
              </w:rPr>
              <w:t>$0.415</w:t>
            </w:r>
          </w:p>
        </w:tc>
      </w:tr>
      <w:tr>
        <w:trPr>
          <w:trHeight w:val="62"/>
        </w:trPr>
        <w:tc>
          <w:tcPr>
            <w:tcW w:w="734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r>
      <w:tr>
        <w:trPr>
          <w:trHeight w:val="224"/>
        </w:trPr>
        <w:tc>
          <w:tcPr>
            <w:tcW w:w="7340" w:type="dxa"/>
            <w:vAlign w:val="bottom"/>
          </w:tcPr>
          <w:p>
            <w:pPr>
              <w:ind w:left="20"/>
              <w:spacing w:after="0"/>
              <w:rPr>
                <w:sz w:val="20"/>
                <w:szCs w:val="20"/>
                <w:color w:val="auto"/>
              </w:rPr>
            </w:pPr>
            <w:r>
              <w:rPr>
                <w:rFonts w:ascii="Arial" w:cs="Arial" w:eastAsia="Arial" w:hAnsi="Arial"/>
                <w:sz w:val="18"/>
                <w:szCs w:val="18"/>
                <w:color w:val="auto"/>
              </w:rPr>
              <w:t>Total estmated purchase price</w:t>
            </w: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$33,619</w:t>
            </w:r>
          </w:p>
        </w:tc>
      </w:tr>
      <w:tr>
        <w:trPr>
          <w:trHeight w:val="53"/>
        </w:trPr>
        <w:tc>
          <w:tcPr>
            <w:tcW w:w="734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r>
    </w:tbl>
    <w:p>
      <w:pPr>
        <w:spacing w:after="0" w:line="305" w:lineRule="exact"/>
        <w:rPr>
          <w:sz w:val="20"/>
          <w:szCs w:val="20"/>
          <w:color w:val="auto"/>
        </w:rPr>
      </w:pPr>
    </w:p>
    <w:p>
      <w:pPr>
        <w:ind w:left="340"/>
        <w:spacing w:after="0" w:line="273" w:lineRule="auto"/>
        <w:rPr>
          <w:sz w:val="20"/>
          <w:szCs w:val="20"/>
          <w:color w:val="auto"/>
        </w:rPr>
      </w:pPr>
      <w:r>
        <w:rPr>
          <w:rFonts w:ascii="Arial" w:cs="Arial" w:eastAsia="Arial" w:hAnsi="Arial"/>
          <w:sz w:val="18"/>
          <w:szCs w:val="18"/>
          <w:color w:val="auto"/>
        </w:rPr>
        <w:t>The fair value of Cybin’s common shares for the purpose of this exercise is based on their quoted fair market value as at August 25, 2023. The fnal purchase price is to be determined as of the closing date of the Transacton.</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3"/>
          <w:szCs w:val="13"/>
          <w:b w:val="1"/>
          <w:bCs w:val="1"/>
          <w:color w:val="auto"/>
        </w:rPr>
        <w:t>PRELIMINARY PURCHASE PRICE ALLOCATION</w:t>
      </w:r>
    </w:p>
    <w:p>
      <w:pPr>
        <w:spacing w:after="0" w:line="268" w:lineRule="exact"/>
        <w:rPr>
          <w:sz w:val="20"/>
          <w:szCs w:val="20"/>
          <w:color w:val="auto"/>
        </w:rPr>
      </w:pPr>
    </w:p>
    <w:p>
      <w:pPr>
        <w:ind w:left="340" w:right="2060"/>
        <w:spacing w:after="0" w:line="273" w:lineRule="auto"/>
        <w:rPr>
          <w:sz w:val="20"/>
          <w:szCs w:val="20"/>
          <w:color w:val="auto"/>
        </w:rPr>
      </w:pPr>
      <w:r>
        <w:rPr>
          <w:rFonts w:ascii="Arial" w:cs="Arial" w:eastAsia="Arial" w:hAnsi="Arial"/>
          <w:sz w:val="18"/>
          <w:szCs w:val="18"/>
          <w:color w:val="auto"/>
        </w:rPr>
        <w:t>The following table represents the preliminary allocaton of the purchase price consideraton to refect value of the assets acquired and liabilites assumed at June 30, 2023:</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acquired and liabilites assumed.</w:t>
      </w:r>
    </w:p>
    <w:p>
      <w:pPr>
        <w:sectPr>
          <w:pgSz w:w="11900" w:h="16838" w:orient="portrait"/>
          <w:cols w:equalWidth="0" w:num="1">
            <w:col w:w="11240"/>
          </w:cols>
          <w:pgMar w:left="320" w:top="101"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UNAUDITED PRO FORMA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712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60"/>
        </w:trPr>
        <w:tc>
          <w:tcPr>
            <w:tcW w:w="71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ASSETS</w:t>
            </w:r>
          </w:p>
        </w:tc>
        <w:tc>
          <w:tcPr>
            <w:tcW w:w="3400" w:type="dxa"/>
            <w:vAlign w:val="bottom"/>
          </w:tcPr>
          <w:p>
            <w:pPr>
              <w:spacing w:after="0"/>
              <w:rPr>
                <w:sz w:val="19"/>
                <w:szCs w:val="19"/>
                <w:color w:val="auto"/>
              </w:rPr>
            </w:pPr>
          </w:p>
        </w:tc>
      </w:tr>
      <w:tr>
        <w:trPr>
          <w:trHeight w:val="276"/>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3400" w:type="dxa"/>
            <w:vAlign w:val="bottom"/>
          </w:tcPr>
          <w:p>
            <w:pPr>
              <w:spacing w:after="0"/>
              <w:rPr>
                <w:sz w:val="24"/>
                <w:szCs w:val="24"/>
                <w:color w:val="auto"/>
              </w:rPr>
            </w:pPr>
          </w:p>
        </w:tc>
      </w:tr>
      <w:tr>
        <w:trPr>
          <w:trHeight w:val="338"/>
        </w:trPr>
        <w:tc>
          <w:tcPr>
            <w:tcW w:w="7120" w:type="dxa"/>
            <w:vAlign w:val="bottom"/>
          </w:tcPr>
          <w:p>
            <w:pPr>
              <w:ind w:left="60"/>
              <w:spacing w:after="0"/>
              <w:rPr>
                <w:sz w:val="20"/>
                <w:szCs w:val="20"/>
                <w:color w:val="auto"/>
              </w:rPr>
            </w:pPr>
            <w:r>
              <w:rPr>
                <w:rFonts w:ascii="Arial" w:cs="Arial" w:eastAsia="Arial" w:hAnsi="Arial"/>
                <w:sz w:val="18"/>
                <w:szCs w:val="18"/>
                <w:color w:val="auto"/>
              </w:rPr>
              <w:t>Cash</w:t>
            </w:r>
            <w:r>
              <w:rPr>
                <w:rFonts w:ascii="Arial" w:cs="Arial" w:eastAsia="Arial" w:hAnsi="Arial"/>
                <w:sz w:val="23"/>
                <w:szCs w:val="23"/>
                <w:b w:val="1"/>
                <w:bCs w:val="1"/>
                <w:color w:val="auto"/>
                <w:vertAlign w:val="superscript"/>
              </w:rPr>
              <w:t>1</w:t>
            </w:r>
          </w:p>
        </w:tc>
        <w:tc>
          <w:tcPr>
            <w:tcW w:w="3400" w:type="dxa"/>
            <w:vAlign w:val="bottom"/>
          </w:tcPr>
          <w:p>
            <w:pPr>
              <w:jc w:val="right"/>
              <w:spacing w:after="0"/>
              <w:rPr>
                <w:sz w:val="20"/>
                <w:szCs w:val="20"/>
                <w:color w:val="auto"/>
              </w:rPr>
            </w:pPr>
            <w:r>
              <w:rPr>
                <w:rFonts w:ascii="Arial" w:cs="Arial" w:eastAsia="Arial" w:hAnsi="Arial"/>
                <w:sz w:val="18"/>
                <w:szCs w:val="18"/>
                <w:color w:val="auto"/>
              </w:rPr>
              <w:t>13,563</w:t>
            </w:r>
          </w:p>
        </w:tc>
      </w:tr>
      <w:tr>
        <w:trPr>
          <w:trHeight w:val="227"/>
        </w:trPr>
        <w:tc>
          <w:tcPr>
            <w:tcW w:w="7120" w:type="dxa"/>
            <w:vAlign w:val="bottom"/>
          </w:tcPr>
          <w:p>
            <w:pPr>
              <w:ind w:left="60"/>
              <w:spacing w:after="0"/>
              <w:rPr>
                <w:sz w:val="20"/>
                <w:szCs w:val="20"/>
                <w:color w:val="auto"/>
              </w:rPr>
            </w:pPr>
            <w:r>
              <w:rPr>
                <w:rFonts w:ascii="Arial" w:cs="Arial" w:eastAsia="Arial" w:hAnsi="Arial"/>
                <w:sz w:val="18"/>
                <w:szCs w:val="18"/>
                <w:color w:val="auto"/>
              </w:rPr>
              <w:t>Accounts receivable</w:t>
            </w:r>
          </w:p>
        </w:tc>
        <w:tc>
          <w:tcPr>
            <w:tcW w:w="34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83"/>
        </w:trPr>
        <w:tc>
          <w:tcPr>
            <w:tcW w:w="7120" w:type="dxa"/>
            <w:vAlign w:val="bottom"/>
          </w:tcPr>
          <w:p>
            <w:pPr>
              <w:ind w:left="60"/>
              <w:spacing w:after="0"/>
              <w:rPr>
                <w:sz w:val="20"/>
                <w:szCs w:val="20"/>
                <w:color w:val="auto"/>
              </w:rPr>
            </w:pPr>
            <w:r>
              <w:rPr>
                <w:rFonts w:ascii="Arial" w:cs="Arial" w:eastAsia="Arial" w:hAnsi="Arial"/>
                <w:sz w:val="18"/>
                <w:szCs w:val="18"/>
                <w:color w:val="auto"/>
              </w:rPr>
              <w:t>Prepaid expenses</w:t>
            </w:r>
          </w:p>
        </w:tc>
        <w:tc>
          <w:tcPr>
            <w:tcW w:w="340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62"/>
        </w:trPr>
        <w:tc>
          <w:tcPr>
            <w:tcW w:w="71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Total Current Assets</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15,063</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98"/>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Non-current</w:t>
            </w:r>
          </w:p>
        </w:tc>
        <w:tc>
          <w:tcPr>
            <w:tcW w:w="3400" w:type="dxa"/>
            <w:vAlign w:val="bottom"/>
          </w:tcPr>
          <w:p>
            <w:pPr>
              <w:spacing w:after="0"/>
              <w:rPr>
                <w:sz w:val="24"/>
                <w:szCs w:val="24"/>
                <w:color w:val="auto"/>
              </w:rPr>
            </w:pPr>
          </w:p>
        </w:tc>
      </w:tr>
      <w:tr>
        <w:trPr>
          <w:trHeight w:val="282"/>
        </w:trPr>
        <w:tc>
          <w:tcPr>
            <w:tcW w:w="7120" w:type="dxa"/>
            <w:vAlign w:val="bottom"/>
          </w:tcPr>
          <w:p>
            <w:pPr>
              <w:ind w:left="60"/>
              <w:spacing w:after="0"/>
              <w:rPr>
                <w:sz w:val="20"/>
                <w:szCs w:val="20"/>
                <w:color w:val="auto"/>
              </w:rPr>
            </w:pPr>
            <w:r>
              <w:rPr>
                <w:rFonts w:ascii="Arial" w:cs="Arial" w:eastAsia="Arial" w:hAnsi="Arial"/>
                <w:sz w:val="18"/>
                <w:szCs w:val="18"/>
                <w:color w:val="auto"/>
              </w:rPr>
              <w:t>Equipment</w:t>
            </w:r>
          </w:p>
        </w:tc>
        <w:tc>
          <w:tcPr>
            <w:tcW w:w="3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3"/>
        </w:trPr>
        <w:tc>
          <w:tcPr>
            <w:tcW w:w="7120" w:type="dxa"/>
            <w:vAlign w:val="bottom"/>
          </w:tcPr>
          <w:p>
            <w:pPr>
              <w:ind w:left="60"/>
              <w:spacing w:after="0"/>
              <w:rPr>
                <w:sz w:val="20"/>
                <w:szCs w:val="20"/>
                <w:color w:val="auto"/>
              </w:rPr>
            </w:pPr>
            <w:r>
              <w:rPr>
                <w:rFonts w:ascii="Arial" w:cs="Arial" w:eastAsia="Arial" w:hAnsi="Arial"/>
                <w:sz w:val="18"/>
                <w:szCs w:val="18"/>
                <w:color w:val="auto"/>
              </w:rPr>
              <w:t>Right of use asset</w:t>
            </w:r>
          </w:p>
        </w:tc>
        <w:tc>
          <w:tcPr>
            <w:tcW w:w="34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62"/>
        </w:trPr>
        <w:tc>
          <w:tcPr>
            <w:tcW w:w="71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Total Non-Current Assets</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590</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15,653</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LIABILITIES</w:t>
            </w:r>
          </w:p>
        </w:tc>
        <w:tc>
          <w:tcPr>
            <w:tcW w:w="3400" w:type="dxa"/>
            <w:vAlign w:val="bottom"/>
          </w:tcPr>
          <w:p>
            <w:pPr>
              <w:spacing w:after="0"/>
              <w:rPr>
                <w:sz w:val="19"/>
                <w:szCs w:val="19"/>
                <w:color w:val="auto"/>
              </w:rPr>
            </w:pPr>
          </w:p>
        </w:tc>
      </w:tr>
      <w:tr>
        <w:trPr>
          <w:trHeight w:val="276"/>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3400" w:type="dxa"/>
            <w:vAlign w:val="bottom"/>
          </w:tcPr>
          <w:p>
            <w:pPr>
              <w:spacing w:after="0"/>
              <w:rPr>
                <w:sz w:val="24"/>
                <w:szCs w:val="24"/>
                <w:color w:val="auto"/>
              </w:rPr>
            </w:pPr>
          </w:p>
        </w:tc>
      </w:tr>
      <w:tr>
        <w:trPr>
          <w:trHeight w:val="281"/>
        </w:trPr>
        <w:tc>
          <w:tcPr>
            <w:tcW w:w="7120" w:type="dxa"/>
            <w:vAlign w:val="bottom"/>
          </w:tcPr>
          <w:p>
            <w:pPr>
              <w:ind w:left="60"/>
              <w:spacing w:after="0"/>
              <w:rPr>
                <w:sz w:val="20"/>
                <w:szCs w:val="20"/>
                <w:color w:val="auto"/>
              </w:rPr>
            </w:pPr>
            <w:r>
              <w:rPr>
                <w:rFonts w:ascii="Arial" w:cs="Arial" w:eastAsia="Arial" w:hAnsi="Arial"/>
                <w:sz w:val="18"/>
                <w:szCs w:val="18"/>
                <w:color w:val="auto"/>
              </w:rPr>
              <w:t>Accounts payable and accrued liabilites</w:t>
            </w:r>
          </w:p>
        </w:tc>
        <w:tc>
          <w:tcPr>
            <w:tcW w:w="3400" w:type="dxa"/>
            <w:vAlign w:val="bottom"/>
          </w:tcPr>
          <w:p>
            <w:pPr>
              <w:jc w:val="right"/>
              <w:spacing w:after="0"/>
              <w:rPr>
                <w:sz w:val="20"/>
                <w:szCs w:val="20"/>
                <w:color w:val="auto"/>
              </w:rPr>
            </w:pPr>
            <w:r>
              <w:rPr>
                <w:rFonts w:ascii="Arial" w:cs="Arial" w:eastAsia="Arial" w:hAnsi="Arial"/>
                <w:sz w:val="18"/>
                <w:szCs w:val="18"/>
                <w:color w:val="auto"/>
              </w:rPr>
              <w:t>2,687</w:t>
            </w:r>
          </w:p>
        </w:tc>
      </w:tr>
      <w:tr>
        <w:trPr>
          <w:trHeight w:val="283"/>
        </w:trPr>
        <w:tc>
          <w:tcPr>
            <w:tcW w:w="7120" w:type="dxa"/>
            <w:vAlign w:val="bottom"/>
          </w:tcPr>
          <w:p>
            <w:pPr>
              <w:ind w:left="60"/>
              <w:spacing w:after="0"/>
              <w:rPr>
                <w:sz w:val="20"/>
                <w:szCs w:val="20"/>
                <w:color w:val="auto"/>
              </w:rPr>
            </w:pPr>
            <w:r>
              <w:rPr>
                <w:rFonts w:ascii="Arial" w:cs="Arial" w:eastAsia="Arial" w:hAnsi="Arial"/>
                <w:sz w:val="18"/>
                <w:szCs w:val="18"/>
                <w:color w:val="auto"/>
              </w:rPr>
              <w:t>Lease Liabilites</w:t>
            </w:r>
          </w:p>
        </w:tc>
        <w:tc>
          <w:tcPr>
            <w:tcW w:w="34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62"/>
        </w:trPr>
        <w:tc>
          <w:tcPr>
            <w:tcW w:w="71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Total Current Liabilites</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3,002</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71"/>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Non-current</w:t>
            </w:r>
          </w:p>
        </w:tc>
        <w:tc>
          <w:tcPr>
            <w:tcW w:w="3400" w:type="dxa"/>
            <w:vAlign w:val="bottom"/>
          </w:tcPr>
          <w:p>
            <w:pPr>
              <w:spacing w:after="0"/>
              <w:rPr>
                <w:sz w:val="23"/>
                <w:szCs w:val="23"/>
                <w:color w:val="auto"/>
              </w:rPr>
            </w:pPr>
          </w:p>
        </w:tc>
      </w:tr>
      <w:tr>
        <w:trPr>
          <w:trHeight w:val="281"/>
        </w:trPr>
        <w:tc>
          <w:tcPr>
            <w:tcW w:w="7120" w:type="dxa"/>
            <w:vAlign w:val="bottom"/>
          </w:tcPr>
          <w:p>
            <w:pPr>
              <w:ind w:left="60"/>
              <w:spacing w:after="0"/>
              <w:rPr>
                <w:sz w:val="20"/>
                <w:szCs w:val="20"/>
                <w:color w:val="auto"/>
              </w:rPr>
            </w:pPr>
            <w:r>
              <w:rPr>
                <w:rFonts w:ascii="Arial" w:cs="Arial" w:eastAsia="Arial" w:hAnsi="Arial"/>
                <w:sz w:val="18"/>
                <w:szCs w:val="18"/>
                <w:color w:val="auto"/>
              </w:rPr>
              <w:t>Lease Liabilites</w:t>
            </w:r>
          </w:p>
        </w:tc>
        <w:tc>
          <w:tcPr>
            <w:tcW w:w="34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62"/>
        </w:trPr>
        <w:tc>
          <w:tcPr>
            <w:tcW w:w="71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Total Non-Current Liabilites</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233</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3,235</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Net Assets assumed excluding intangible assets/goodwill</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12,418</w:t>
            </w:r>
          </w:p>
        </w:tc>
      </w:tr>
      <w:tr>
        <w:trPr>
          <w:trHeight w:val="53"/>
        </w:trPr>
        <w:tc>
          <w:tcPr>
            <w:tcW w:w="7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77"/>
        </w:trPr>
        <w:tc>
          <w:tcPr>
            <w:tcW w:w="7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Intangibles/Goodwill on acquisiton</w:t>
            </w:r>
            <w:r>
              <w:rPr>
                <w:rFonts w:ascii="Arial" w:cs="Arial" w:eastAsia="Arial" w:hAnsi="Arial"/>
                <w:sz w:val="23"/>
                <w:szCs w:val="23"/>
                <w:b w:val="1"/>
                <w:bCs w:val="1"/>
                <w:color w:val="auto"/>
                <w:vertAlign w:val="superscript"/>
              </w:rPr>
              <w:t>2</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21,201</w:t>
            </w:r>
          </w:p>
        </w:tc>
      </w:tr>
      <w:tr>
        <w:trPr>
          <w:trHeight w:val="224"/>
        </w:trPr>
        <w:tc>
          <w:tcPr>
            <w:tcW w:w="7120" w:type="dxa"/>
            <w:vAlign w:val="bottom"/>
          </w:tcPr>
          <w:p>
            <w:pPr>
              <w:ind w:left="60"/>
              <w:spacing w:after="0"/>
              <w:rPr>
                <w:sz w:val="20"/>
                <w:szCs w:val="20"/>
                <w:color w:val="auto"/>
              </w:rPr>
            </w:pPr>
            <w:r>
              <w:rPr>
                <w:rFonts w:ascii="Arial" w:cs="Arial" w:eastAsia="Arial" w:hAnsi="Arial"/>
                <w:sz w:val="18"/>
                <w:szCs w:val="18"/>
                <w:color w:val="auto"/>
              </w:rPr>
              <w:t>Estmated purchase price</w:t>
            </w: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33,619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33655</wp:posOffset>
            </wp:positionV>
            <wp:extent cx="6686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to include $411 related to the exercise of Small Pharma optons prior to the close of the Transacton.</w:t>
      </w:r>
    </w:p>
    <w:p>
      <w:pPr>
        <w:spacing w:after="0" w:line="4" w:lineRule="exact"/>
        <w:rPr>
          <w:sz w:val="20"/>
          <w:szCs w:val="20"/>
          <w:color w:val="auto"/>
        </w:rPr>
      </w:pPr>
    </w:p>
    <w:p>
      <w:pPr>
        <w:jc w:val="both"/>
        <w:ind w:left="340"/>
        <w:spacing w:after="0" w:line="218"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For the purpose of the pro forma statements, this amount has been allocated to “Goodwill” on the statement of fnancial positon. The split between “Goodwill” and “Intangible Assets” will be determined upon completon of the fair value assessment and the purchase price allocaton.</w:t>
      </w:r>
    </w:p>
    <w:p>
      <w:pPr>
        <w:spacing w:after="0" w:line="230" w:lineRule="exact"/>
        <w:rPr>
          <w:sz w:val="20"/>
          <w:szCs w:val="20"/>
          <w:color w:val="auto"/>
        </w:rPr>
      </w:pPr>
    </w:p>
    <w:p>
      <w:pPr>
        <w:jc w:val="both"/>
        <w:ind w:left="340"/>
        <w:spacing w:after="0" w:line="280" w:lineRule="auto"/>
        <w:rPr>
          <w:sz w:val="20"/>
          <w:szCs w:val="20"/>
          <w:color w:val="auto"/>
        </w:rPr>
      </w:pPr>
      <w:r>
        <w:rPr>
          <w:rFonts w:ascii="Arial" w:cs="Arial" w:eastAsia="Arial" w:hAnsi="Arial"/>
          <w:sz w:val="17"/>
          <w:szCs w:val="17"/>
          <w:color w:val="auto"/>
        </w:rPr>
        <w:t>The Transacton is to be accounted for as a business combinaton using the acquisiton method of accountng in accordance with IFRS 3. Under this method, the assets acquired, and liabilites assumed are to be recorded based on their fair values as of the closing date of the Transacton. In accordance with IFRS 3, the fnal purchase price allocaton will be completed within one year. For the purposes of these Pro Forma Consolidated Financial Statements, Cybin has not made any fair value adjustment allocaton to the value of the acquired assets and liabilites on the balance sheet of Small Pharma given the uncertainty with respect to the measurement of fair value amounts at this tme. Therefore, the diference between the purchase price and the net assets has been allocated to intangible assets and goodwill on acquisiton. Cybin expects that a signifcant porton of the unallocated purchase price will be allocated among intangible assets and goodwill. Intangible assets acquired primarily include in-process research and development and patents, and goodwill is calculated as the excess of the preliminary estmate of the acquisiton-date fair value of the consideraton transferred, over the preliminary estmate of the fair values assigned to the identfable assets acquired and liabilites assumed. The actual purchase accountng adjustments are to be fnalized once Cybin has completed detailed valuatons and necessary calculatons and may difer materially from the adjustment refected in the Pro Forma Consolidated Financial Statements.</w:t>
      </w:r>
    </w:p>
    <w:p>
      <w:pPr>
        <w:sectPr>
          <w:pgSz w:w="11900" w:h="16838" w:orient="portrait"/>
          <w:cols w:equalWidth="0" w:num="1">
            <w:col w:w="11240"/>
          </w:cols>
          <w:pgMar w:left="320" w:top="101"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CYBIN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UNAUDITED PRO FORMA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(Expressed in thousands of Canadian dollars except for share and opton amounts and share and opton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254" w:lineRule="exact"/>
        <w:rPr>
          <w:rFonts w:ascii="Arial" w:cs="Arial" w:eastAsia="Arial" w:hAnsi="Arial"/>
          <w:sz w:val="18"/>
          <w:szCs w:val="18"/>
          <w:b w:val="1"/>
          <w:bCs w:val="1"/>
          <w:color w:val="auto"/>
        </w:rPr>
      </w:pPr>
    </w:p>
    <w:p>
      <w:pPr>
        <w:ind w:left="700" w:hanging="368"/>
        <w:spacing w:after="0"/>
        <w:tabs>
          <w:tab w:leader="none" w:pos="7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Additonal Transacton costs of $5,250 have been charged to defcit and presented as a reducton of cash. These are comprised as follows:</w:t>
      </w:r>
    </w:p>
    <w:p>
      <w:pPr>
        <w:spacing w:after="0" w:line="34" w:lineRule="exact"/>
        <w:rPr>
          <w:rFonts w:ascii="Arial" w:cs="Arial" w:eastAsia="Arial" w:hAnsi="Arial"/>
          <w:sz w:val="17"/>
          <w:szCs w:val="17"/>
          <w:color w:val="auto"/>
        </w:rPr>
      </w:pPr>
    </w:p>
    <w:p>
      <w:pPr>
        <w:ind w:left="1280" w:hanging="300"/>
        <w:spacing w:after="0"/>
        <w:tabs>
          <w:tab w:leader="none" w:pos="1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Cybin Inc. professional fees of $400.</w:t>
      </w:r>
    </w:p>
    <w:p>
      <w:pPr>
        <w:spacing w:after="0" w:line="22" w:lineRule="exact"/>
        <w:rPr>
          <w:rFonts w:ascii="Arial" w:cs="Arial" w:eastAsia="Arial" w:hAnsi="Arial"/>
          <w:sz w:val="18"/>
          <w:szCs w:val="18"/>
          <w:color w:val="auto"/>
        </w:rPr>
      </w:pPr>
    </w:p>
    <w:p>
      <w:pPr>
        <w:ind w:left="1280" w:hanging="300"/>
        <w:spacing w:after="0"/>
        <w:tabs>
          <w:tab w:leader="none" w:pos="1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Small Pharma professional fees of $2,350.</w:t>
      </w:r>
    </w:p>
    <w:p>
      <w:pPr>
        <w:spacing w:after="0" w:line="19" w:lineRule="exact"/>
        <w:rPr>
          <w:rFonts w:ascii="Arial" w:cs="Arial" w:eastAsia="Arial" w:hAnsi="Arial"/>
          <w:sz w:val="18"/>
          <w:szCs w:val="18"/>
          <w:color w:val="auto"/>
        </w:rPr>
      </w:pPr>
    </w:p>
    <w:p>
      <w:pPr>
        <w:ind w:left="1260" w:hanging="280"/>
        <w:spacing w:after="0"/>
        <w:tabs>
          <w:tab w:leader="none" w:pos="12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Additonal closing costs of $2,500</w:t>
      </w:r>
    </w:p>
    <w:p>
      <w:pPr>
        <w:spacing w:after="0" w:line="254" w:lineRule="exact"/>
        <w:rPr>
          <w:rFonts w:ascii="Arial" w:cs="Arial" w:eastAsia="Arial" w:hAnsi="Arial"/>
          <w:sz w:val="18"/>
          <w:szCs w:val="18"/>
          <w:color w:val="auto"/>
        </w:rPr>
      </w:pPr>
    </w:p>
    <w:p>
      <w:pPr>
        <w:ind w:left="700" w:hanging="368"/>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Refects the eliminaton of historical equity balances of Small Pharma as at June 30, 2023.</w:t>
      </w:r>
    </w:p>
    <w:p>
      <w:pPr>
        <w:spacing w:after="0" w:line="2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OPTIONS RESERVE</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6400" w:type="dxa"/>
            <w:vAlign w:val="bottom"/>
          </w:tcPr>
          <w:p>
            <w:pPr>
              <w:spacing w:after="0"/>
              <w:rPr>
                <w:sz w:val="20"/>
                <w:szCs w:val="20"/>
                <w:color w:val="auto"/>
              </w:rPr>
            </w:pP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 Optons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81"/>
        </w:trPr>
        <w:tc>
          <w:tcPr>
            <w:tcW w:w="6400" w:type="dxa"/>
            <w:vAlign w:val="bottom"/>
          </w:tcPr>
          <w:p>
            <w:pPr>
              <w:ind w:left="20"/>
              <w:spacing w:after="0"/>
              <w:rPr>
                <w:sz w:val="20"/>
                <w:szCs w:val="20"/>
                <w:color w:val="auto"/>
              </w:rPr>
            </w:pPr>
            <w:r>
              <w:rPr>
                <w:rFonts w:ascii="Arial" w:cs="Arial" w:eastAsia="Arial" w:hAnsi="Arial"/>
                <w:sz w:val="18"/>
                <w:szCs w:val="18"/>
                <w:color w:val="auto"/>
              </w:rPr>
              <w:t>Cybin opton reserve as at June 30, 2023</w:t>
            </w:r>
          </w:p>
        </w:tc>
        <w:tc>
          <w:tcPr>
            <w:tcW w:w="3000" w:type="dxa"/>
            <w:vAlign w:val="bottom"/>
          </w:tcPr>
          <w:p>
            <w:pPr>
              <w:jc w:val="right"/>
              <w:ind w:right="330"/>
              <w:spacing w:after="0"/>
              <w:rPr>
                <w:sz w:val="20"/>
                <w:szCs w:val="20"/>
                <w:color w:val="auto"/>
              </w:rPr>
            </w:pPr>
            <w:r>
              <w:rPr>
                <w:rFonts w:ascii="Arial" w:cs="Arial" w:eastAsia="Arial" w:hAnsi="Arial"/>
                <w:sz w:val="18"/>
                <w:szCs w:val="18"/>
                <w:color w:val="auto"/>
              </w:rPr>
              <w:t>40,980,425</w:t>
            </w:r>
          </w:p>
        </w:tc>
        <w:tc>
          <w:tcPr>
            <w:tcW w:w="1100" w:type="dxa"/>
            <w:vAlign w:val="bottom"/>
          </w:tcPr>
          <w:p>
            <w:pPr>
              <w:jc w:val="right"/>
              <w:spacing w:after="0"/>
              <w:rPr>
                <w:sz w:val="20"/>
                <w:szCs w:val="20"/>
                <w:color w:val="auto"/>
              </w:rPr>
            </w:pPr>
            <w:r>
              <w:rPr>
                <w:rFonts w:ascii="Arial" w:cs="Arial" w:eastAsia="Arial" w:hAnsi="Arial"/>
                <w:sz w:val="18"/>
                <w:szCs w:val="18"/>
                <w:color w:val="auto"/>
              </w:rPr>
              <w:t>28,383</w:t>
            </w:r>
          </w:p>
        </w:tc>
      </w:tr>
      <w:tr>
        <w:trPr>
          <w:trHeight w:val="283"/>
        </w:trPr>
        <w:tc>
          <w:tcPr>
            <w:tcW w:w="6400" w:type="dxa"/>
            <w:vAlign w:val="bottom"/>
          </w:tcPr>
          <w:p>
            <w:pPr>
              <w:ind w:left="20"/>
              <w:spacing w:after="0"/>
              <w:rPr>
                <w:sz w:val="20"/>
                <w:szCs w:val="20"/>
                <w:color w:val="auto"/>
              </w:rPr>
            </w:pPr>
            <w:r>
              <w:rPr>
                <w:rFonts w:ascii="Arial" w:cs="Arial" w:eastAsia="Arial" w:hAnsi="Arial"/>
                <w:sz w:val="18"/>
                <w:szCs w:val="18"/>
                <w:color w:val="auto"/>
              </w:rPr>
              <w:t>Small Pharma opton reserve as at May 31, 2023</w:t>
            </w:r>
          </w:p>
        </w:tc>
        <w:tc>
          <w:tcPr>
            <w:tcW w:w="3000" w:type="dxa"/>
            <w:vAlign w:val="bottom"/>
          </w:tcPr>
          <w:p>
            <w:pPr>
              <w:jc w:val="right"/>
              <w:ind w:right="330"/>
              <w:spacing w:after="0"/>
              <w:rPr>
                <w:sz w:val="20"/>
                <w:szCs w:val="20"/>
                <w:color w:val="auto"/>
              </w:rPr>
            </w:pPr>
            <w:r>
              <w:rPr>
                <w:rFonts w:ascii="Arial" w:cs="Arial" w:eastAsia="Arial" w:hAnsi="Arial"/>
                <w:sz w:val="18"/>
                <w:szCs w:val="18"/>
                <w:color w:val="auto"/>
              </w:rPr>
              <w:t>26,596,400</w:t>
            </w:r>
          </w:p>
        </w:tc>
        <w:tc>
          <w:tcPr>
            <w:tcW w:w="110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283"/>
        </w:trPr>
        <w:tc>
          <w:tcPr>
            <w:tcW w:w="6400" w:type="dxa"/>
            <w:vAlign w:val="bottom"/>
          </w:tcPr>
          <w:p>
            <w:pPr>
              <w:ind w:left="20"/>
              <w:spacing w:after="0"/>
              <w:rPr>
                <w:sz w:val="20"/>
                <w:szCs w:val="20"/>
                <w:color w:val="auto"/>
              </w:rPr>
            </w:pPr>
            <w:r>
              <w:rPr>
                <w:rFonts w:ascii="Arial" w:cs="Arial" w:eastAsia="Arial" w:hAnsi="Arial"/>
                <w:sz w:val="18"/>
                <w:szCs w:val="18"/>
                <w:color w:val="auto"/>
              </w:rPr>
              <w:t>Pro forma adjustment for Small Pharma optons exercised and cancelled</w:t>
            </w:r>
          </w:p>
        </w:tc>
        <w:tc>
          <w:tcPr>
            <w:tcW w:w="3000" w:type="dxa"/>
            <w:vAlign w:val="bottom"/>
          </w:tcPr>
          <w:p>
            <w:pPr>
              <w:jc w:val="right"/>
              <w:ind w:right="330"/>
              <w:spacing w:after="0"/>
              <w:rPr>
                <w:sz w:val="20"/>
                <w:szCs w:val="20"/>
                <w:color w:val="auto"/>
              </w:rPr>
            </w:pPr>
            <w:r>
              <w:rPr>
                <w:rFonts w:ascii="Arial" w:cs="Arial" w:eastAsia="Arial" w:hAnsi="Arial"/>
                <w:sz w:val="18"/>
                <w:szCs w:val="18"/>
                <w:color w:val="auto"/>
              </w:rPr>
              <w:t>(26,596,400)</w:t>
            </w:r>
          </w:p>
        </w:tc>
        <w:tc>
          <w:tcPr>
            <w:tcW w:w="110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62"/>
        </w:trPr>
        <w:tc>
          <w:tcPr>
            <w:tcW w:w="640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Pro forma consolidated opton reserve as at June 30, 2023</w:t>
            </w: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40,980,425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28,383</w:t>
            </w:r>
          </w:p>
        </w:tc>
      </w:tr>
      <w:tr>
        <w:trPr>
          <w:trHeight w:val="53"/>
        </w:trPr>
        <w:tc>
          <w:tcPr>
            <w:tcW w:w="640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30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Immediately prior to the closing of the Transacton, each in-the-money Small Pharma opton outstanding (whether vested or unvested) are to be deemed to be exercised and surrendered to Small Pharma for cancellaton and the holders thereof are to receive common shares of Cybin for each opton at the conversion rato of 0.2409. Each out-of-the-money Small Pharma opton outstanding immediately prior to the closing of the Transacton, is to be, and is to be deemed to be, surrendered to Small Pharma for cancellaton and the holders thereof are to receive, in respect of each such surrendered out-of-the-money Small Pharma opton, a cash payment from the Small Pharma equal to $0.001 per out-of-the-money Small Pharma opton.</w:t>
      </w:r>
    </w:p>
    <w:sectPr>
      <w:pgSz w:w="11900" w:h="16838" w:orient="portrait"/>
      <w:cols w:equalWidth="0" w:num="1">
        <w:col w:w="11240"/>
      </w:cols>
      <w:pgMar w:left="320" w:top="1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lowerRoman"/>
      <w:start w:val="1"/>
    </w:lvl>
  </w:abstractNum>
  <w:abstractNum w:abstractNumId="3">
    <w:nsid w:val="238E1F29"/>
    <w:multiLevelType w:val="hybridMultilevel"/>
    <w:lvl w:ilvl="0">
      <w:lvlJc w:val="left"/>
      <w:lvlText w:val="%1)"/>
      <w:numFmt w:val="lowerLetter"/>
      <w:start w:val="13"/>
    </w:lvl>
    <w:lvl w:ilvl="1">
      <w:lvlJc w:val="left"/>
      <w:lvlText w:val="%2."/>
      <w:numFmt w:val="lowerRoman"/>
      <w:start w:val="1"/>
    </w:lvl>
  </w:abstractNum>
  <w:abstractNum w:abstractNumId="4">
    <w:nsid w:val="46E87CC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2023-10-27T10:54:11Z</dcterms:created>
  <dcterms:modified xsi:type="dcterms:W3CDTF">2023-10-27T10:54:11Z</dcterms:modified>
</cp:coreProperties>
</file>