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rPr>
        <w:t>UNITED STATES</w:t>
        <w:br/>
        <w:t>SECURITIES AND EXCHANGE COMMISSION</w:t>
      </w:r>
      <w:r>
        <w:rPr>
          <w:rFonts w:ascii="Times New Roman;serif" w:hAnsi="Times New Roman;serif"/>
          <w:b w:val="false"/>
          <w:color w:val="000000"/>
          <w:sz w:val="20"/>
        </w:rPr>
        <w:br/>
      </w:r>
      <w:r>
        <w:rPr>
          <w:rFonts w:ascii="Times New Roman;serif" w:hAnsi="Times New Roman;serif"/>
          <w:b/>
          <w:color w:val="000000"/>
          <w:sz w:val="20"/>
        </w:rPr>
        <w:t>Washington, D.C. 20549</w:t>
      </w:r>
      <w:r>
        <w:rPr>
          <w:rFonts w:ascii="Times New Roman;serif" w:hAnsi="Times New Roman;serif"/>
          <w:b w:val="false"/>
          <w:color w:val="000000"/>
          <w:sz w:val="20"/>
        </w:rPr>
        <w:br/>
        <w:br/>
      </w:r>
      <w:r>
        <w:rPr>
          <w:rFonts w:ascii="Times New Roman;serif" w:hAnsi="Times New Roman;serif"/>
          <w:b/>
          <w:color w:val="000000"/>
          <w:sz w:val="20"/>
        </w:rPr>
        <w:t>Form 6-K</w:t>
      </w:r>
      <w:r>
        <w:rPr>
          <w:rFonts w:ascii="Times New Roman;serif" w:hAnsi="Times New Roman;serif"/>
          <w:b w:val="false"/>
          <w:color w:val="000000"/>
          <w:sz w:val="20"/>
        </w:rPr>
        <w:br/>
        <w:br/>
      </w:r>
      <w:r>
        <w:rPr>
          <w:rFonts w:ascii="Times New Roman;serif" w:hAnsi="Times New Roman;serif"/>
          <w:b/>
          <w:color w:val="000000"/>
          <w:sz w:val="20"/>
        </w:rPr>
        <w:t>REPORT OF FOREIGN PRIVATE ISSUER PURSUANT TO RULE 13a-16 OR 15d-16</w:t>
        <w:br/>
        <w:t>UNDER THE SECURITIES EXCHANGE ACT OF 1934</w:t>
      </w:r>
    </w:p>
    <w:p>
      <w:pPr>
        <w:pStyle w:val="TextBody"/>
        <w:bidi w:val="0"/>
        <w:spacing w:lineRule="auto" w:line="276" w:before="100" w:after="100"/>
        <w:jc w:val="left"/>
        <w:rPr>
          <w:rFonts w:ascii="Times New Roman;serif" w:hAnsi="Times New Roman;serif"/>
          <w:b w:val="false"/>
          <w:color w:val="000000"/>
          <w:sz w:val="20"/>
        </w:rPr>
      </w:pPr>
      <w:r>
        <w:rPr>
          <w:rFonts w:ascii="Times New Roman;serif" w:hAnsi="Times New Roman;serif"/>
          <w:b w:val="false"/>
          <w:color w:val="000000"/>
          <w:sz w:val="20"/>
        </w:rPr>
        <w:t>For the month of April, 2026.</w:t>
      </w:r>
    </w:p>
    <w:p>
      <w:pPr>
        <w:pStyle w:val="TextBody"/>
        <w:bidi w:val="0"/>
        <w:spacing w:lineRule="auto" w:line="276" w:before="0" w:after="0"/>
        <w:jc w:val="left"/>
        <w:rPr/>
      </w:pPr>
      <w:r>
        <w:rPr>
          <w:rFonts w:ascii="Times New Roman;serif" w:hAnsi="Times New Roman;serif"/>
          <w:b w:val="false"/>
          <w:color w:val="000000"/>
          <w:sz w:val="20"/>
        </w:rPr>
        <w:t xml:space="preserve">Commission File Number: </w:t>
      </w:r>
      <w:r>
        <w:rPr>
          <w:rFonts w:ascii="Times New Roman;serif" w:hAnsi="Times New Roman;serif"/>
          <w:b/>
          <w:color w:val="000000"/>
          <w:sz w:val="20"/>
        </w:rPr>
        <w:t>001-40673</w:t>
      </w:r>
    </w:p>
    <w:p>
      <w:pPr>
        <w:pStyle w:val="TextBody"/>
        <w:bidi w:val="0"/>
        <w:spacing w:lineRule="auto" w:line="276" w:before="0" w:after="0"/>
        <w:jc w:val="center"/>
        <w:rPr/>
      </w:pPr>
      <w:r>
        <w:rPr>
          <w:rFonts w:ascii="Times New Roman;serif" w:hAnsi="Times New Roman;serif"/>
          <w:b/>
          <w:color w:val="000000"/>
          <w:sz w:val="20"/>
        </w:rPr>
        <w:br/>
      </w:r>
      <w:r>
        <w:rPr>
          <w:rFonts w:ascii="Times New Roman;serif" w:hAnsi="Times New Roman;serif"/>
          <w:b w:val="false"/>
          <w:color w:val="000000"/>
          <w:sz w:val="20"/>
        </w:rPr>
        <w:br/>
      </w:r>
      <w:r>
        <w:rPr>
          <w:rFonts w:ascii="Times New Roman;serif" w:hAnsi="Times New Roman;serif"/>
          <w:b/>
          <w:color w:val="000000"/>
          <w:sz w:val="24"/>
          <w:u w:val="single"/>
        </w:rPr>
        <w:t>Cybin Inc.</w:t>
      </w:r>
      <w:r>
        <w:rPr>
          <w:rFonts w:ascii="Times New Roman;serif" w:hAnsi="Times New Roman;serif"/>
          <w:b w:val="false"/>
          <w:color w:val="000000"/>
          <w:sz w:val="24"/>
        </w:rPr>
        <w:br/>
      </w:r>
      <w:r>
        <w:rPr>
          <w:rFonts w:ascii="Times New Roman;serif" w:hAnsi="Times New Roman;serif"/>
          <w:b w:val="false"/>
          <w:color w:val="000000"/>
          <w:sz w:val="20"/>
        </w:rPr>
        <w:t>(Exact Name of Registrant as Specified in Charter)</w:t>
        <w:br/>
        <w:br/>
      </w:r>
      <w:r>
        <w:rPr>
          <w:rFonts w:ascii="Times New Roman;serif" w:hAnsi="Times New Roman;serif"/>
          <w:b/>
          <w:color w:val="000000"/>
          <w:sz w:val="20"/>
        </w:rPr>
        <w:t xml:space="preserve">100 King Street West, Suite 5600, Toronto, Ontario, M5X 1C9 </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w:t>
      </w:r>
    </w:p>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p>
      <w:pPr>
        <w:pStyle w:val="TextBody"/>
        <w:bidi w:val="0"/>
        <w:spacing w:lineRule="auto" w:line="276" w:before="0" w:after="0"/>
        <w:jc w:val="left"/>
        <w:rPr/>
      </w:pPr>
      <w:r>
        <w:rPr>
          <w:rFonts w:ascii="Times New Roman;serif" w:hAnsi="Times New Roman;serif"/>
          <w:b w:val="false"/>
          <w:color w:val="000000"/>
          <w:sz w:val="20"/>
        </w:rPr>
        <w:t xml:space="preserve">Form 20-F </w:t>
      </w:r>
      <w:r>
        <w:rPr>
          <w:color w:val="000000"/>
        </w:rPr>
        <w:t xml:space="preserve">□ </w:t>
      </w:r>
      <w:r>
        <w:rPr>
          <w:rFonts w:ascii="Times New Roman;serif" w:hAnsi="Times New Roman;serif"/>
          <w:b w:val="false"/>
          <w:color w:val="000000"/>
          <w:sz w:val="20"/>
        </w:rPr>
        <w:t>Form 40-F ⊠</w:t>
      </w:r>
    </w:p>
    <w:p>
      <w:pPr>
        <w:pStyle w:val="TextBody"/>
        <w:bidi w:val="0"/>
        <w:spacing w:before="0" w:after="0"/>
        <w:jc w:val="left"/>
        <w:rPr/>
      </w:pPr>
      <w:r>
        <w:rPr/>
      </w:r>
    </w:p>
    <w:p>
      <w:pPr>
        <w:pStyle w:val="TextBody"/>
        <w:bidi w:val="0"/>
        <w:spacing w:before="100" w:after="10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76"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811"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210"/>
        <w:gridCol w:w="210"/>
        <w:gridCol w:w="210"/>
        <w:gridCol w:w="863"/>
        <w:gridCol w:w="546"/>
        <w:gridCol w:w="556"/>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CYBIN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5" w:type="dxa"/>
            <w:gridSpan w:val="3"/>
            <w:tcBorders/>
            <w:tcMar>
              <w:top w:w="0" w:type="dxa"/>
              <w:left w:w="0" w:type="dxa"/>
              <w:bottom w:w="0" w:type="dxa"/>
              <w:right w:w="0" w:type="dxa"/>
            </w:tcMar>
            <w:vAlign w:val="center"/>
          </w:tcPr>
          <w:p>
            <w:pPr>
              <w:pStyle w:val="TableContents"/>
              <w:bidi w:val="0"/>
              <w:spacing w:lineRule="auto" w:line="276" w:before="1" w:after="1"/>
              <w:jc w:val="left"/>
              <w:rPr/>
            </w:pPr>
            <w:r>
              <w:rPr>
                <w:rFonts w:ascii="Times New Roman;serif" w:hAnsi="Times New Roman;serif"/>
                <w:b w:val="false"/>
                <w:i/>
                <w:color w:val="000000"/>
                <w:sz w:val="20"/>
              </w:rPr>
              <w:t>/s/ Greg Cavers    </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Greg Cavers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00" w:after="10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00"/>
        <w:jc w:val="center"/>
        <w:rPr>
          <w:rFonts w:ascii="Times New Roman;serif" w:hAnsi="Times New Roman;serif"/>
          <w:b/>
          <w:color w:val="000000"/>
          <w:sz w:val="20"/>
          <w:u w:val="single"/>
        </w:rPr>
      </w:pPr>
      <w:r>
        <w:rPr>
          <w:rFonts w:ascii="Times New Roman;serif" w:hAnsi="Times New Roman;serif"/>
          <w:b/>
          <w:color w:val="000000"/>
          <w:sz w:val="20"/>
          <w:u w:val="single"/>
        </w:rPr>
        <w:t>EXHIBIT INDEX</w:t>
      </w:r>
    </w:p>
    <w:p>
      <w:pPr>
        <w:pStyle w:val="TextBody"/>
        <w:bidi w:val="0"/>
        <w:spacing w:before="0" w:after="0"/>
        <w:jc w:val="left"/>
        <w:rPr/>
      </w:pPr>
      <w:r>
        <w:rPr/>
      </w:r>
    </w:p>
    <w:tbl>
      <w:tblPr>
        <w:tblW w:w="3465" w:type="dxa"/>
        <w:jc w:val="left"/>
        <w:tblInd w:w="0" w:type="dxa"/>
        <w:tblLayout w:type="fixed"/>
        <w:tblCellMar>
          <w:top w:w="28" w:type="dxa"/>
          <w:left w:w="28" w:type="dxa"/>
          <w:bottom w:w="28" w:type="dxa"/>
          <w:right w:w="28" w:type="dxa"/>
        </w:tblCellMar>
      </w:tblPr>
      <w:tblGrid>
        <w:gridCol w:w="174"/>
        <w:gridCol w:w="153"/>
        <w:gridCol w:w="154"/>
        <w:gridCol w:w="871"/>
        <w:gridCol w:w="871"/>
        <w:gridCol w:w="1242"/>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298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finalpressrelease2026-04x3.htm">
              <w:r>
                <w:rPr>
                  <w:rStyle w:val="InternetLink"/>
                  <w:rFonts w:ascii="Times New Roman;serif" w:hAnsi="Times New Roman;serif"/>
                  <w:b w:val="false"/>
                  <w:color w:val="0000FF"/>
                  <w:sz w:val="20"/>
                  <w:u w:val="single"/>
                </w:rPr>
                <w:t>News Release dated April 30, 2026</w:t>
              </w:r>
            </w:hyperlink>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962150" cy="9620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62150" cy="9620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319" w:before="0" w:after="0"/>
        <w:jc w:val="center"/>
        <w:rPr>
          <w:rFonts w:ascii="Arial;sans-serif" w:hAnsi="Arial;sans-serif"/>
          <w:b/>
          <w:color w:val="000000"/>
          <w:sz w:val="28"/>
        </w:rPr>
      </w:pPr>
      <w:r>
        <w:rPr>
          <w:rFonts w:ascii="Arial;sans-serif" w:hAnsi="Arial;sans-serif"/>
          <w:b/>
          <w:color w:val="000000"/>
          <w:sz w:val="28"/>
        </w:rPr>
        <w:t>Helus Pharma to Participate at the 29th Annual Milken Institute Global Conference</w:t>
      </w:r>
    </w:p>
    <w:p>
      <w:pPr>
        <w:pStyle w:val="TextBody"/>
        <w:bidi w:val="0"/>
        <w:spacing w:before="0" w:after="0"/>
        <w:jc w:val="left"/>
        <w:rPr/>
      </w:pPr>
      <w:r>
        <w:rPr/>
      </w:r>
    </w:p>
    <w:p>
      <w:pPr>
        <w:pStyle w:val="TextBody"/>
        <w:bidi w:val="0"/>
        <w:spacing w:lineRule="auto" w:line="319" w:before="0" w:after="0"/>
        <w:ind w:left="0" w:right="0" w:hanging="360"/>
        <w:jc w:val="center"/>
        <w:rPr/>
      </w:pPr>
      <w:r>
        <w:rPr>
          <w:color w:val="000000"/>
        </w:rPr>
        <w:t>•</w:t>
      </w:r>
      <w:r>
        <w:rPr>
          <w:rFonts w:ascii="Arial;sans-serif" w:hAnsi="Arial;sans-serif"/>
          <w:b w:val="false"/>
          <w:i/>
          <w:color w:val="000000"/>
          <w:sz w:val="22"/>
        </w:rPr>
        <w:t>Eric So, Interim CEO, to appear on panel entitled “The Next Wave of Health Innovation,” on May 4, 2026</w:t>
      </w:r>
    </w:p>
    <w:p>
      <w:pPr>
        <w:pStyle w:val="TextBody"/>
        <w:bidi w:val="0"/>
        <w:spacing w:before="0" w:after="0"/>
        <w:jc w:val="left"/>
        <w:rPr/>
      </w:pPr>
      <w:r>
        <w:rPr/>
      </w:r>
    </w:p>
    <w:p>
      <w:pPr>
        <w:pStyle w:val="TextBody"/>
        <w:bidi w:val="0"/>
        <w:spacing w:lineRule="auto" w:line="319" w:before="0" w:after="0"/>
        <w:jc w:val="both"/>
        <w:rPr/>
      </w:pPr>
      <w:r>
        <w:rPr>
          <w:rFonts w:ascii="Arial;sans-serif" w:hAnsi="Arial;sans-serif"/>
          <w:b/>
          <w:color w:val="000000"/>
          <w:sz w:val="22"/>
        </w:rPr>
        <w:t xml:space="preserve">NEW YORK &amp; TORONTO </w:t>
      </w:r>
      <w:r>
        <w:rPr>
          <w:color w:val="000000"/>
        </w:rPr>
        <w:t xml:space="preserve">– </w:t>
      </w:r>
      <w:r>
        <w:rPr>
          <w:rFonts w:ascii="Arial;sans-serif" w:hAnsi="Arial;sans-serif"/>
          <w:b w:val="false"/>
          <w:color w:val="000000"/>
          <w:sz w:val="22"/>
        </w:rPr>
        <w:t>April 30, 2026 – Helus Pharma</w:t>
      </w:r>
      <w:r>
        <w:rPr>
          <w:rFonts w:ascii="Arial;sans-serif" w:hAnsi="Arial;sans-serif"/>
          <w:b w:val="false"/>
          <w:color w:val="000000"/>
          <w:sz w:val="14"/>
        </w:rPr>
        <w:t xml:space="preserve">TM </w:t>
      </w:r>
      <w:r>
        <w:rPr>
          <w:rFonts w:ascii="Arial;sans-serif" w:hAnsi="Arial;sans-serif"/>
          <w:b w:val="false"/>
          <w:color w:val="000000"/>
          <w:sz w:val="22"/>
        </w:rPr>
        <w:t>(Nasdaq: HELP) (Cboe CA: HELP), a clinical stage pharmaceutical company committed to helping minds heal by developing novel serotonergic agonists (“NSAs”), today announced that Eric So, Helus Pharma’s Interim Chief Executive Officer, will be speaking at the 29th Annual Milken Institute Global Conference on a panel entitled “The Next Wave of Health Innovation.” The Conference will take place May 3-6, 2026, at The Beverly Hilton &amp; Waldorf Astoria in Los Angeles, and the panel will be held on Monday, May 4, 2026, at 2:30 p.m. PDT.</w:t>
      </w:r>
    </w:p>
    <w:p>
      <w:pPr>
        <w:pStyle w:val="TextBody"/>
        <w:bidi w:val="0"/>
        <w:spacing w:before="0" w:after="0"/>
        <w:jc w:val="both"/>
        <w:rPr/>
      </w:pPr>
      <w:r>
        <w:rPr/>
      </w:r>
    </w:p>
    <w:p>
      <w:pPr>
        <w:pStyle w:val="TextBody"/>
        <w:bidi w:val="0"/>
        <w:spacing w:lineRule="auto" w:line="319" w:before="0" w:after="0"/>
        <w:jc w:val="both"/>
        <w:rPr/>
      </w:pPr>
      <w:r>
        <w:rPr>
          <w:rFonts w:ascii="Arial;sans-serif" w:hAnsi="Arial;sans-serif"/>
          <w:b w:val="false"/>
          <w:color w:val="000000"/>
          <w:sz w:val="22"/>
        </w:rPr>
        <w:t xml:space="preserve">The live panel discussion and archived webcast will be available on the Company’s investor relations website on the </w:t>
      </w:r>
      <w:r>
        <w:rPr>
          <w:rFonts w:ascii="Arial;sans-serif" w:hAnsi="Arial;sans-serif"/>
          <w:b w:val="false"/>
          <w:color w:val="467886"/>
          <w:sz w:val="22"/>
        </w:rPr>
        <w:t>Events &amp; Presentations</w:t>
      </w:r>
      <w:r>
        <w:rPr>
          <w:color w:val="000000"/>
        </w:rPr>
        <w:t xml:space="preserve"> </w:t>
      </w:r>
      <w:r>
        <w:rPr>
          <w:rFonts w:ascii="Arial;sans-serif" w:hAnsi="Arial;sans-serif"/>
          <w:b w:val="false"/>
          <w:color w:val="000000"/>
          <w:sz w:val="22"/>
        </w:rPr>
        <w:t xml:space="preserve">page. For more information on the Milken Institute and the upcoming conference visit </w:t>
      </w:r>
      <w:r>
        <w:rPr>
          <w:rFonts w:ascii="Arial;sans-serif" w:hAnsi="Arial;sans-serif"/>
          <w:b w:val="false"/>
          <w:color w:val="467886"/>
          <w:sz w:val="22"/>
        </w:rPr>
        <w:t>www.milkeninstitute.org</w:t>
      </w:r>
      <w:r>
        <w:rPr>
          <w:rFonts w:ascii="Arial;sans-serif" w:hAnsi="Arial;sans-serif"/>
          <w:b w:val="false"/>
          <w:color w:val="000000"/>
          <w:sz w:val="22"/>
        </w:rPr>
        <w:t>.</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shd w:fill="FFFFFF" w:val="clear"/>
        </w:rPr>
      </w:pPr>
      <w:r>
        <w:rPr>
          <w:rFonts w:ascii="Arial;sans-serif" w:hAnsi="Arial;sans-serif"/>
          <w:b/>
          <w:color w:val="000000"/>
          <w:sz w:val="22"/>
          <w:shd w:fill="FFFFFF" w:val="clear"/>
        </w:rPr>
        <w:t>About Helus Pharma</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Helus Pharma™, the commercial operating name of Cybin Inc. (the “Company” or “Helus Pharma”) is a clinical stage pharmaceutical company committed to helping minds heal by developing proprietary NSAs - novel serotonergic agonists: synthetic molecules designed to activate serotonin pathways that are believed to promote neuroplasticity. The Company’s proprietary NSAs are intended to address the large unmet need for people who suffer from depression, anxiety, and other mental health conditions.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 xml:space="preserve">With class leading data, Helus Pharma aims to improve the treatment landscape through the introduction of NSAs that aim to provide durable improvements in mental health. Helus Pharma is currently developing HLP003, a proprietary NSA, in Phase 3 clinical development for the adjunctive treatment of major depressive disorder that has received Breakthrough Therapy Designation from the U.S. Food and Drug Administration and HLP004, also a proprietary NSA in Phase 2 for generalized anxiety disorder. Additionally, Helus Pharma has an extensive research portfolio of investigational NSAs. </w:t>
      </w:r>
    </w:p>
    <w:p>
      <w:pPr>
        <w:pStyle w:val="TextBody"/>
        <w:bidi w:val="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19" w:before="0" w:after="0"/>
        <w:jc w:val="both"/>
        <w:rPr/>
      </w:pPr>
      <w:r>
        <w:rPr>
          <w:rFonts w:ascii="Arial;sans-serif" w:hAnsi="Arial;sans-serif"/>
          <w:b w:val="false"/>
          <w:color w:val="000000"/>
          <w:sz w:val="22"/>
        </w:rPr>
        <w:t>The Company operates in Canada, the United States, the United Kingdom, and Ireland.</w:t>
      </w:r>
      <w:r>
        <w:rPr>
          <w:color w:val="000000"/>
        </w:rPr>
        <w:t xml:space="preserve"> </w:t>
      </w:r>
      <w:r>
        <w:rPr>
          <w:rFonts w:ascii="Arial;sans-serif" w:hAnsi="Arial;sans-serif"/>
          <w:b w:val="false"/>
          <w:color w:val="000000"/>
          <w:sz w:val="22"/>
        </w:rPr>
        <w:t xml:space="preserve">For Company updates and to learn more about Helus Pharma, visit </w:t>
      </w:r>
      <w:r>
        <w:rPr>
          <w:rFonts w:ascii="Arial;sans-serif" w:hAnsi="Arial;sans-serif"/>
          <w:b w:val="false"/>
          <w:color w:val="467886"/>
          <w:sz w:val="22"/>
        </w:rPr>
        <w:t>www.helus.com</w:t>
      </w:r>
      <w:r>
        <w:rPr>
          <w:color w:val="000000"/>
        </w:rPr>
        <w:t xml:space="preserve"> </w:t>
      </w:r>
      <w:r>
        <w:rPr>
          <w:rFonts w:ascii="Arial;sans-serif" w:hAnsi="Arial;sans-serif"/>
          <w:b w:val="false"/>
          <w:color w:val="000000"/>
          <w:sz w:val="22"/>
        </w:rPr>
        <w:t>or follow the team on X, LinkedIn, YouTube and Instagram. Helus Pharma</w:t>
      </w:r>
      <w:r>
        <w:rPr>
          <w:rFonts w:ascii="Arial;sans-serif" w:hAnsi="Arial;sans-serif"/>
          <w:b w:val="false"/>
          <w:color w:val="000000"/>
          <w:sz w:val="14"/>
        </w:rPr>
        <w:t>TM</w:t>
      </w:r>
      <w:r>
        <w:rPr>
          <w:color w:val="000000"/>
        </w:rPr>
        <w:t xml:space="preserve"> </w:t>
      </w:r>
      <w:r>
        <w:rPr>
          <w:rFonts w:ascii="Arial;sans-serif" w:hAnsi="Arial;sans-serif"/>
          <w:b w:val="false"/>
          <w:color w:val="000000"/>
          <w:sz w:val="22"/>
        </w:rPr>
        <w:t>is a trademark of Cybin Corp.</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Cautionary Notes and Forward-Looking Statements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 xml:space="preserve">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Company’s plans to engineer proprietary drug discovery platforms, innovative drug delivery systems, novel formulation approaches and treatment regimens for mental health conditions. </w:t>
      </w:r>
    </w:p>
    <w:p>
      <w:pPr>
        <w:pStyle w:val="TextBody"/>
        <w:bidi w:val="0"/>
        <w:spacing w:before="0" w:after="0"/>
        <w:jc w:val="both"/>
        <w:rPr/>
      </w:pPr>
      <w:r>
        <w:rPr/>
      </w:r>
    </w:p>
    <w:p>
      <w:pPr>
        <w:pStyle w:val="TextBody"/>
        <w:bidi w:val="0"/>
        <w:spacing w:lineRule="auto" w:line="319" w:before="0" w:after="0"/>
        <w:jc w:val="both"/>
        <w:rPr/>
      </w:pPr>
      <w:r>
        <w:rPr>
          <w:rFonts w:ascii="Arial;sans-serif" w:hAnsi="Arial;sans-serif"/>
          <w:b w:val="false"/>
          <w:color w:val="000000"/>
          <w:sz w:val="22"/>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NSA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and nine month periods ended December 31, 2025, and the Company’s annual information form for the year ended March 31, 2025, which are available under the Company's profile on SEDAR+ at </w:t>
      </w:r>
      <w:r>
        <w:rPr>
          <w:rFonts w:ascii="Arial;sans-serif" w:hAnsi="Arial;sans-serif"/>
          <w:b w:val="false"/>
          <w:color w:val="467886"/>
          <w:sz w:val="22"/>
        </w:rPr>
        <w:t>www.sedarplus.ca</w:t>
      </w:r>
      <w:r>
        <w:rPr>
          <w:color w:val="000000"/>
        </w:rPr>
        <w:t xml:space="preserve"> </w:t>
      </w:r>
      <w:r>
        <w:rPr>
          <w:rFonts w:ascii="Arial;sans-serif" w:hAnsi="Arial;sans-serif"/>
          <w:b w:val="false"/>
          <w:color w:val="000000"/>
          <w:sz w:val="22"/>
        </w:rPr>
        <w:t xml:space="preserve">and with the U.S. Securities and Exchange Commission on EDGAR at </w:t>
      </w:r>
      <w:r>
        <w:rPr>
          <w:rFonts w:ascii="Arial;sans-serif" w:hAnsi="Arial;sans-serif"/>
          <w:b w:val="false"/>
          <w:color w:val="467886"/>
          <w:sz w:val="22"/>
        </w:rPr>
        <w:t>www.sec.gov/edgar</w:t>
      </w:r>
      <w:r>
        <w:rPr>
          <w:rFonts w:ascii="Arial;sans-serif" w:hAnsi="Arial;sans-serif"/>
          <w:b w:val="false"/>
          <w:color w:val="000000"/>
          <w:sz w:val="22"/>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pStyle w:val="TextBody"/>
        <w:bidi w:val="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The Company makes no medical, treatment or health benefit claims about the Company’s proposed products. The U.S. Food and Drug Administration, Health Canada or other similar regulatory authorities have not evaluated claims regarding NSAs or HLP003, HLP004 and other programs of the Company. The efficacy of such products has not been confirmed by approved research. There is no assurance that the use of NSAs, HLP003, HLP004 or other programs of the Company can diagnose, treat, cure or prevent any disease or condition. Rigorous scientific research and clinical trials are needed. If Helus Pharma cannot obtain the approvals or research necessary to commercialize its business, it may have a material adverse effect on the Company’s performance and operations.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i/>
          <w:color w:val="000000"/>
          <w:sz w:val="22"/>
        </w:rPr>
      </w:pPr>
      <w:r>
        <w:rPr>
          <w:rFonts w:ascii="Arial;sans-serif" w:hAnsi="Arial;sans-serif"/>
          <w:b w:val="false"/>
          <w:i/>
          <w:color w:val="000000"/>
          <w:sz w:val="22"/>
        </w:rPr>
        <w:t xml:space="preserve">Neither Cboe Canada, nor the Nasdaq Global Market stock exchange, have approved or disapproved the contents of this news release and are not responsible for the adequacy and accuracy of the contents herein. </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Investor Contact:</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Matthew Beck</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astr partners</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Managing Partner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(917) 415-1750</w:t>
      </w:r>
    </w:p>
    <w:p>
      <w:pPr>
        <w:pStyle w:val="TextBody"/>
        <w:bidi w:val="0"/>
        <w:spacing w:lineRule="auto" w:line="319" w:before="0" w:after="0"/>
        <w:jc w:val="both"/>
        <w:rPr>
          <w:rFonts w:ascii="Arial;sans-serif" w:hAnsi="Arial;sans-serif"/>
          <w:b w:val="false"/>
          <w:color w:val="467886"/>
          <w:sz w:val="22"/>
        </w:rPr>
      </w:pPr>
      <w:r>
        <w:rPr>
          <w:rFonts w:ascii="Arial;sans-serif" w:hAnsi="Arial;sans-serif"/>
          <w:b w:val="false"/>
          <w:color w:val="467886"/>
          <w:sz w:val="22"/>
        </w:rPr>
        <w:t>Matthew.beck@astrpartners.com</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George Tziras</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Chief Business Officer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Helus Pharma</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1-866-292-4601</w:t>
      </w:r>
    </w:p>
    <w:p>
      <w:pPr>
        <w:pStyle w:val="TextBody"/>
        <w:bidi w:val="0"/>
        <w:spacing w:lineRule="auto" w:line="319" w:before="0" w:after="0"/>
        <w:jc w:val="both"/>
        <w:rPr/>
      </w:pPr>
      <w:r>
        <w:rPr>
          <w:rFonts w:ascii="Arial;sans-serif" w:hAnsi="Arial;sans-serif"/>
          <w:b w:val="false"/>
          <w:color w:val="467886"/>
          <w:sz w:val="22"/>
        </w:rPr>
        <w:t>irteam@helus.com</w:t>
      </w:r>
      <w:r>
        <w:rPr>
          <w:color w:val="000000"/>
        </w:rPr>
        <w:t xml:space="preserve"> – </w:t>
      </w:r>
      <w:r>
        <w:rPr>
          <w:rFonts w:ascii="Arial;sans-serif" w:hAnsi="Arial;sans-serif"/>
          <w:b w:val="false"/>
          <w:color w:val="000000"/>
          <w:sz w:val="22"/>
        </w:rPr>
        <w:t xml:space="preserve">or – </w:t>
      </w:r>
      <w:r>
        <w:rPr>
          <w:rFonts w:ascii="Arial;sans-serif" w:hAnsi="Arial;sans-serif"/>
          <w:b w:val="false"/>
          <w:color w:val="467886"/>
          <w:sz w:val="22"/>
        </w:rPr>
        <w:t>media@helus.com</w:t>
      </w:r>
      <w:r>
        <w:rPr>
          <w:color w:val="000000"/>
        </w:rPr>
        <w:t xml:space="preserve"> </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Media Contact:</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Johnny Tokarczyk</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RXMD</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Public Relations Director</w:t>
      </w:r>
    </w:p>
    <w:p>
      <w:pPr>
        <w:pStyle w:val="TextBody"/>
        <w:bidi w:val="0"/>
        <w:spacing w:lineRule="auto" w:line="319" w:before="0" w:after="0"/>
        <w:jc w:val="both"/>
        <w:rPr/>
      </w:pPr>
      <w:r>
        <w:rPr>
          <w:rFonts w:ascii="Arial;sans-serif" w:hAnsi="Arial;sans-serif"/>
          <w:b w:val="false"/>
          <w:color w:val="467886"/>
          <w:sz w:val="22"/>
        </w:rPr>
        <w:t>jtokarczyk@rxmedyn.com</w:t>
      </w:r>
      <w:r>
        <w:rPr>
          <w:color w:val="000000"/>
        </w:rPr>
        <w:t xml:space="preserve"> </w:t>
      </w:r>
    </w:p>
    <w:p>
      <w:pPr>
        <w:pStyle w:val="TextBody"/>
        <w:bidi w:val="0"/>
        <w:spacing w:lineRule="auto" w:line="319"/>
        <w:jc w:val="both"/>
        <w:rPr>
          <w:rFonts w:ascii="Arial;sans-serif" w:hAnsi="Arial;sans-serif"/>
          <w:b w:val="false"/>
          <w:color w:val="000000"/>
          <w:sz w:val="22"/>
        </w:rPr>
      </w:pPr>
      <w:r>
        <w:rPr>
          <w:rFonts w:ascii="Arial;sans-serif" w:hAnsi="Arial;sans-serif"/>
          <w:b w:val="false"/>
          <w:color w:val="000000"/>
          <w:sz w:val="22"/>
        </w:rPr>
        <w:t>(914) 772-7562</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1139</Words>
  <Characters>6684</Characters>
  <CharactersWithSpaces>7793</CharactersWithSpaces>
  <Paragraphs>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