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19,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January 18,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911860</wp:posOffset>
            </wp:positionV>
            <wp:extent cx="181737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1737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53" w:lineRule="auto"/>
        <w:rPr>
          <w:sz w:val="20"/>
          <w:szCs w:val="20"/>
          <w:color w:val="auto"/>
        </w:rPr>
      </w:pPr>
      <w:r>
        <w:rPr>
          <w:rFonts w:ascii="Arial" w:cs="Arial" w:eastAsia="Arial" w:hAnsi="Arial"/>
          <w:sz w:val="25"/>
          <w:szCs w:val="25"/>
          <w:b w:val="1"/>
          <w:bCs w:val="1"/>
          <w:color w:val="auto"/>
        </w:rPr>
        <w:t>Cybin Announces Promising Results from Sponsored Kernel Flow</w:t>
      </w:r>
      <w:r>
        <w:rPr>
          <w:rFonts w:ascii="Arial" w:cs="Arial" w:eastAsia="Arial" w:hAnsi="Arial"/>
          <w:sz w:val="32"/>
          <w:szCs w:val="32"/>
          <w:b w:val="1"/>
          <w:bCs w:val="1"/>
          <w:color w:val="auto"/>
          <w:vertAlign w:val="superscript"/>
        </w:rPr>
        <w:t>®</w:t>
      </w:r>
      <w:r>
        <w:rPr>
          <w:rFonts w:ascii="Arial" w:cs="Arial" w:eastAsia="Arial" w:hAnsi="Arial"/>
          <w:sz w:val="25"/>
          <w:szCs w:val="25"/>
          <w:b w:val="1"/>
          <w:bCs w:val="1"/>
          <w:color w:val="auto"/>
        </w:rPr>
        <w:t xml:space="preserve"> Feasibility Study Measuring Psychedelic Effects on the Brain</w:t>
      </w:r>
    </w:p>
    <w:p>
      <w:pPr>
        <w:spacing w:after="0" w:line="78" w:lineRule="exact"/>
        <w:rPr>
          <w:sz w:val="20"/>
          <w:szCs w:val="20"/>
          <w:color w:val="auto"/>
        </w:rPr>
      </w:pPr>
    </w:p>
    <w:p>
      <w:pPr>
        <w:ind w:left="440" w:hanging="319"/>
        <w:spacing w:after="0"/>
        <w:tabs>
          <w:tab w:leader="none" w:pos="440" w:val="left"/>
        </w:tabs>
        <w:numPr>
          <w:ilvl w:val="0"/>
          <w:numId w:val="1"/>
        </w:numPr>
        <w:rPr>
          <w:rFonts w:ascii="Calibri" w:cs="Calibri" w:eastAsia="Calibri" w:hAnsi="Calibri"/>
          <w:sz w:val="25"/>
          <w:szCs w:val="25"/>
          <w:color w:val="auto"/>
        </w:rPr>
      </w:pPr>
      <w:r>
        <w:rPr>
          <w:rFonts w:ascii="Arial" w:cs="Arial" w:eastAsia="Arial" w:hAnsi="Arial"/>
          <w:sz w:val="20"/>
          <w:szCs w:val="20"/>
          <w:i w:val="1"/>
          <w:iCs w:val="1"/>
          <w:color w:val="auto"/>
        </w:rPr>
        <w:t>Study supports earlier findings and demonstrates that Kernel Flow provides a functional measure of blood oxygenation</w:t>
      </w:r>
    </w:p>
    <w:p>
      <w:pPr>
        <w:spacing w:after="0" w:line="22" w:lineRule="exact"/>
        <w:rPr>
          <w:rFonts w:ascii="Calibri" w:cs="Calibri" w:eastAsia="Calibri" w:hAnsi="Calibri"/>
          <w:sz w:val="25"/>
          <w:szCs w:val="25"/>
          <w:color w:val="auto"/>
        </w:rPr>
      </w:pPr>
    </w:p>
    <w:p>
      <w:pPr>
        <w:ind w:left="3340"/>
        <w:spacing w:after="0"/>
        <w:rPr>
          <w:rFonts w:ascii="Calibri" w:cs="Calibri" w:eastAsia="Calibri" w:hAnsi="Calibri"/>
          <w:sz w:val="25"/>
          <w:szCs w:val="25"/>
          <w:color w:val="auto"/>
        </w:rPr>
      </w:pPr>
      <w:r>
        <w:rPr>
          <w:rFonts w:ascii="Arial" w:cs="Arial" w:eastAsia="Arial" w:hAnsi="Arial"/>
          <w:sz w:val="20"/>
          <w:szCs w:val="20"/>
          <w:i w:val="1"/>
          <w:iCs w:val="1"/>
          <w:color w:val="auto"/>
        </w:rPr>
        <w:t>changes in the brain associated with neural activity -</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18,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 CYBN)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today announced key highlights from the completed feasibility study conducted by its partner HI, LLC dba Kernel (“</w:t>
      </w:r>
      <w:r>
        <w:rPr>
          <w:rFonts w:ascii="Arial" w:cs="Arial" w:eastAsia="Arial" w:hAnsi="Arial"/>
          <w:sz w:val="20"/>
          <w:szCs w:val="20"/>
          <w:b w:val="1"/>
          <w:bCs w:val="1"/>
          <w:color w:val="auto"/>
        </w:rPr>
        <w:t>Kernel</w:t>
      </w:r>
      <w:r>
        <w:rPr>
          <w:rFonts w:ascii="Arial" w:cs="Arial" w:eastAsia="Arial" w:hAnsi="Arial"/>
          <w:sz w:val="20"/>
          <w:szCs w:val="20"/>
          <w:color w:val="auto"/>
        </w:rPr>
        <w:t>”), evaluating Kernel’s Flow</w:t>
      </w:r>
      <w:r>
        <w:rPr>
          <w:rFonts w:ascii="Arial" w:cs="Arial" w:eastAsia="Arial" w:hAnsi="Arial"/>
          <w:sz w:val="11"/>
          <w:szCs w:val="11"/>
          <w:color w:val="auto"/>
        </w:rPr>
        <w:t>®</w:t>
      </w:r>
      <w:r>
        <w:rPr>
          <w:rFonts w:ascii="Arial" w:cs="Arial" w:eastAsia="Arial" w:hAnsi="Arial"/>
          <w:sz w:val="20"/>
          <w:szCs w:val="20"/>
          <w:color w:val="auto"/>
        </w:rPr>
        <w:t xml:space="preserve"> wearable technology to measure ketamine's psychedelic effect on cerebral cortex hemodynamics. Results from this Cybin-sponsored study are intended to inform the future pathway for this program.</w:t>
      </w:r>
    </w:p>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results from the feasibility study are very promising and provide further insights into the potential of this cutting-edge wearable technology to quantify neural activity and changes in brain biomarkers during the administration of psychedelics. The possibility of using this technology to develop a predictive tool to aid in identifying appropriate candidates for psychedelic-based therapy is also quite exciting, as is the convenience of a portable device, which could lend itself to more widespread use in clinical settings,” said Doug Drysdale, Chief Executive Officer of Cybin.</w:t>
      </w:r>
    </w:p>
    <w:p>
      <w:pPr>
        <w:spacing w:after="0" w:line="107"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“Looking ahead, we remain focused on expanding our scientific understanding of the effects and mechanisms of action of psychedelics on the brain – all with the ultimate goal of developing safe and effective treatments for a range of mental health conditions,” concluded Drysdale.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Findings from the Feasibility Study:</w:t>
      </w:r>
    </w:p>
    <w:p>
      <w:pPr>
        <w:spacing w:after="0" w:line="177" w:lineRule="exact"/>
        <w:rPr>
          <w:sz w:val="20"/>
          <w:szCs w:val="20"/>
          <w:color w:val="auto"/>
        </w:rPr>
      </w:pPr>
    </w:p>
    <w:p>
      <w:pPr>
        <w:jc w:val="both"/>
        <w:ind w:left="660" w:hanging="328"/>
        <w:spacing w:after="0" w:line="278" w:lineRule="auto"/>
        <w:tabs>
          <w:tab w:leader="none" w:pos="715" w:val="left"/>
        </w:tabs>
        <w:numPr>
          <w:ilvl w:val="0"/>
          <w:numId w:val="2"/>
        </w:numPr>
        <w:rPr>
          <w:rFonts w:ascii="Arial" w:cs="Arial" w:eastAsia="Arial" w:hAnsi="Arial"/>
          <w:sz w:val="18"/>
          <w:szCs w:val="18"/>
          <w:color w:val="auto"/>
        </w:rPr>
      </w:pPr>
      <w:r>
        <w:rPr>
          <w:rFonts w:ascii="Arial" w:cs="Arial" w:eastAsia="Arial" w:hAnsi="Arial"/>
          <w:sz w:val="20"/>
          <w:szCs w:val="20"/>
          <w:color w:val="auto"/>
        </w:rPr>
        <w:t>Provided important proof-of-principle for Kernel Flow as a portable functional system that provides real-time measurements of blood oxygenation changes in the brain associated with neural activity using Time Domain Near Infrared Spectroscopy (“TD-fNIRS”).</w:t>
      </w:r>
    </w:p>
    <w:p>
      <w:pPr>
        <w:spacing w:after="0" w:line="1" w:lineRule="exact"/>
        <w:rPr>
          <w:rFonts w:ascii="Arial" w:cs="Arial" w:eastAsia="Arial" w:hAnsi="Arial"/>
          <w:sz w:val="18"/>
          <w:szCs w:val="18"/>
          <w:color w:val="auto"/>
        </w:rPr>
      </w:pPr>
    </w:p>
    <w:p>
      <w:pPr>
        <w:ind w:left="660" w:right="20" w:hanging="328"/>
        <w:spacing w:after="0" w:line="274" w:lineRule="auto"/>
        <w:tabs>
          <w:tab w:leader="none" w:pos="661" w:val="left"/>
        </w:tabs>
        <w:numPr>
          <w:ilvl w:val="0"/>
          <w:numId w:val="2"/>
        </w:numPr>
        <w:rPr>
          <w:rFonts w:ascii="Arial" w:cs="Arial" w:eastAsia="Arial" w:hAnsi="Arial"/>
          <w:sz w:val="18"/>
          <w:szCs w:val="18"/>
          <w:color w:val="auto"/>
        </w:rPr>
      </w:pPr>
      <w:r>
        <w:rPr>
          <w:rFonts w:ascii="Arial" w:cs="Arial" w:eastAsia="Arial" w:hAnsi="Arial"/>
          <w:sz w:val="20"/>
          <w:szCs w:val="20"/>
          <w:color w:val="auto"/>
        </w:rPr>
        <w:t>Demonstrated ketamine-induced changes to functional brain biomarkers associated with potential therapeutic effects, including alterations in cortical function associated with psychedelic experiences.</w:t>
      </w:r>
    </w:p>
    <w:p>
      <w:pPr>
        <w:spacing w:after="0" w:line="1" w:lineRule="exact"/>
        <w:rPr>
          <w:rFonts w:ascii="Arial" w:cs="Arial" w:eastAsia="Arial" w:hAnsi="Arial"/>
          <w:sz w:val="18"/>
          <w:szCs w:val="18"/>
          <w:color w:val="auto"/>
        </w:rPr>
      </w:pPr>
    </w:p>
    <w:p>
      <w:pPr>
        <w:jc w:val="both"/>
        <w:ind w:left="660" w:hanging="328"/>
        <w:spacing w:after="0" w:line="295" w:lineRule="auto"/>
        <w:tabs>
          <w:tab w:leader="none" w:pos="634" w:val="left"/>
        </w:tabs>
        <w:numPr>
          <w:ilvl w:val="0"/>
          <w:numId w:val="2"/>
        </w:numPr>
        <w:rPr>
          <w:rFonts w:ascii="Arial" w:cs="Arial" w:eastAsia="Arial" w:hAnsi="Arial"/>
          <w:sz w:val="18"/>
          <w:szCs w:val="18"/>
          <w:color w:val="auto"/>
        </w:rPr>
      </w:pPr>
      <w:r>
        <w:rPr>
          <w:rFonts w:ascii="Arial" w:cs="Arial" w:eastAsia="Arial" w:hAnsi="Arial"/>
          <w:sz w:val="20"/>
          <w:szCs w:val="20"/>
          <w:color w:val="auto"/>
        </w:rPr>
        <w:t>Ketamine led to a brain-wide reduction in the fractional amplitude of low frequency fluctuations (“</w:t>
      </w:r>
      <w:r>
        <w:rPr>
          <w:rFonts w:ascii="Arial" w:cs="Arial" w:eastAsia="Arial" w:hAnsi="Arial"/>
          <w:sz w:val="20"/>
          <w:szCs w:val="20"/>
          <w:b w:val="1"/>
          <w:bCs w:val="1"/>
          <w:color w:val="auto"/>
        </w:rPr>
        <w:t>fALFF</w:t>
      </w:r>
      <w:r>
        <w:rPr>
          <w:rFonts w:ascii="Arial" w:cs="Arial" w:eastAsia="Arial" w:hAnsi="Arial"/>
          <w:sz w:val="20"/>
          <w:szCs w:val="20"/>
          <w:color w:val="auto"/>
        </w:rPr>
        <w:t>”) and a decrease in the global brain connectivity of the prefrontal region compared to saline. It has been suggested that fALFF is of particular functional</w:t>
      </w:r>
    </w:p>
    <w:p>
      <w:pPr>
        <w:sectPr>
          <w:pgSz w:w="11900" w:h="16838" w:orient="portrait"/>
          <w:cols w:equalWidth="0" w:num="1">
            <w:col w:w="11240"/>
          </w:cols>
          <w:pgMar w:left="320" w:top="1440" w:right="339" w:bottom="1440" w:gutter="0" w:footer="0" w:header="0"/>
        </w:sectPr>
      </w:pPr>
    </w:p>
    <w:bookmarkStart w:id="4" w:name="page5"/>
    <w:bookmarkEnd w:id="4"/>
    <w:p>
      <w:pPr>
        <w:ind w:left="660" w:right="20"/>
        <w:spacing w:after="0" w:line="277" w:lineRule="auto"/>
        <w:rPr>
          <w:sz w:val="20"/>
          <w:szCs w:val="20"/>
          <w:color w:val="auto"/>
        </w:rPr>
      </w:pPr>
      <w:r>
        <w:rPr>
          <w:rFonts w:ascii="Arial" w:cs="Arial" w:eastAsia="Arial" w:hAnsi="Arial"/>
          <w:sz w:val="20"/>
          <w:szCs w:val="20"/>
          <w:color w:val="auto"/>
        </w:rPr>
        <w:t>importance within the default mode network, which has been shown to be modulated by psychedelics and is associated with a range of neuropsychiatric conditions.</w:t>
      </w:r>
    </w:p>
    <w:p>
      <w:pPr>
        <w:jc w:val="both"/>
        <w:ind w:left="660" w:hanging="328"/>
        <w:spacing w:after="0" w:line="274" w:lineRule="auto"/>
        <w:tabs>
          <w:tab w:leader="none" w:pos="674" w:val="left"/>
        </w:tabs>
        <w:numPr>
          <w:ilvl w:val="0"/>
          <w:numId w:val="3"/>
        </w:numPr>
        <w:rPr>
          <w:rFonts w:ascii="Arial" w:cs="Arial" w:eastAsia="Arial" w:hAnsi="Arial"/>
          <w:sz w:val="18"/>
          <w:szCs w:val="18"/>
          <w:color w:val="auto"/>
        </w:rPr>
      </w:pPr>
      <w:r>
        <w:rPr>
          <w:rFonts w:ascii="Arial" w:cs="Arial" w:eastAsia="Arial" w:hAnsi="Arial"/>
          <w:sz w:val="20"/>
          <w:szCs w:val="20"/>
          <w:color w:val="auto"/>
        </w:rPr>
        <w:t>A model combining neural and physiological metrics successfully predicted mystical experience scores on Revised Mystical Experience Questionnaire, which has been shown in previous research to mediate reductions in depressive symptomatology.</w:t>
      </w:r>
    </w:p>
    <w:p>
      <w:pPr>
        <w:spacing w:after="0" w:line="2" w:lineRule="exact"/>
        <w:rPr>
          <w:rFonts w:ascii="Arial" w:cs="Arial" w:eastAsia="Arial" w:hAnsi="Arial"/>
          <w:sz w:val="18"/>
          <w:szCs w:val="18"/>
          <w:color w:val="auto"/>
        </w:rPr>
      </w:pPr>
    </w:p>
    <w:p>
      <w:pPr>
        <w:jc w:val="both"/>
        <w:ind w:left="660" w:hanging="328"/>
        <w:spacing w:after="0" w:line="277" w:lineRule="auto"/>
        <w:tabs>
          <w:tab w:leader="none" w:pos="634" w:val="left"/>
        </w:tabs>
        <w:numPr>
          <w:ilvl w:val="0"/>
          <w:numId w:val="3"/>
        </w:numPr>
        <w:rPr>
          <w:rFonts w:ascii="Arial" w:cs="Arial" w:eastAsia="Arial" w:hAnsi="Arial"/>
          <w:sz w:val="18"/>
          <w:szCs w:val="18"/>
          <w:color w:val="auto"/>
        </w:rPr>
      </w:pPr>
      <w:r>
        <w:rPr>
          <w:rFonts w:ascii="Arial" w:cs="Arial" w:eastAsia="Arial" w:hAnsi="Arial"/>
          <w:sz w:val="20"/>
          <w:szCs w:val="20"/>
          <w:color w:val="auto"/>
        </w:rPr>
        <w:t>Demonstrated reliable physiological measurements of pulse rate (“</w:t>
      </w:r>
      <w:r>
        <w:rPr>
          <w:rFonts w:ascii="Arial" w:cs="Arial" w:eastAsia="Arial" w:hAnsi="Arial"/>
          <w:sz w:val="20"/>
          <w:szCs w:val="20"/>
          <w:b w:val="1"/>
          <w:bCs w:val="1"/>
          <w:color w:val="auto"/>
        </w:rPr>
        <w:t>PR</w:t>
      </w:r>
      <w:r>
        <w:rPr>
          <w:rFonts w:ascii="Arial" w:cs="Arial" w:eastAsia="Arial" w:hAnsi="Arial"/>
          <w:sz w:val="20"/>
          <w:szCs w:val="20"/>
          <w:color w:val="auto"/>
        </w:rPr>
        <w:t>”) and pulse rate variability (“</w:t>
      </w:r>
      <w:r>
        <w:rPr>
          <w:rFonts w:ascii="Arial" w:cs="Arial" w:eastAsia="Arial" w:hAnsi="Arial"/>
          <w:sz w:val="20"/>
          <w:szCs w:val="20"/>
          <w:b w:val="1"/>
          <w:bCs w:val="1"/>
          <w:color w:val="auto"/>
        </w:rPr>
        <w:t>PRV</w:t>
      </w:r>
      <w:r>
        <w:rPr>
          <w:rFonts w:ascii="Arial" w:cs="Arial" w:eastAsia="Arial" w:hAnsi="Arial"/>
          <w:sz w:val="20"/>
          <w:szCs w:val="20"/>
          <w:color w:val="auto"/>
        </w:rPr>
        <w:t>”) extracted from TD-fNIRS recordings that match those obtained from commercial external photoplethysmography sensors, thus rendering the use of external sensors to measure cardiac activity unnecessary in future experiments.</w:t>
      </w:r>
    </w:p>
    <w:p>
      <w:pPr>
        <w:spacing w:after="0" w:line="2" w:lineRule="exact"/>
        <w:rPr>
          <w:rFonts w:ascii="Arial" w:cs="Arial" w:eastAsia="Arial" w:hAnsi="Arial"/>
          <w:sz w:val="18"/>
          <w:szCs w:val="18"/>
          <w:color w:val="auto"/>
        </w:rPr>
      </w:pPr>
    </w:p>
    <w:p>
      <w:pPr>
        <w:jc w:val="both"/>
        <w:ind w:left="660" w:hanging="328"/>
        <w:spacing w:after="0" w:line="290" w:lineRule="auto"/>
        <w:tabs>
          <w:tab w:leader="none" w:pos="647" w:val="left"/>
        </w:tabs>
        <w:numPr>
          <w:ilvl w:val="0"/>
          <w:numId w:val="3"/>
        </w:numPr>
        <w:rPr>
          <w:rFonts w:ascii="Arial" w:cs="Arial" w:eastAsia="Arial" w:hAnsi="Arial"/>
          <w:sz w:val="18"/>
          <w:szCs w:val="18"/>
          <w:color w:val="auto"/>
        </w:rPr>
      </w:pPr>
      <w:r>
        <w:rPr>
          <w:rFonts w:ascii="Arial" w:cs="Arial" w:eastAsia="Arial" w:hAnsi="Arial"/>
          <w:sz w:val="20"/>
          <w:szCs w:val="20"/>
          <w:color w:val="auto"/>
        </w:rPr>
        <w:t>Ketamine led to increased PR, decreased PRV, increased absolute concentrations of oxy-hemoglobin and decreased deoxy-hemoglobin concentrations, and elevated electrodermal activity (measured by an external sensor), providing further physiological measures of the effects of the ketamine doses administered in the study.</w:t>
      </w:r>
    </w:p>
    <w:p>
      <w:pPr>
        <w:spacing w:after="0" w:line="19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“This study can be regarded as an important step toward larger-scale clinical studies using Kernel Flow to quantify the impact of psychedelics, or other neuroactive substances and central nervous system drugs, on the brain,” said Bryan Johnson, Founder and Chief Executive Officer of Kernel. “The feasibility study demonstrated the successful application of the portable Kernel Flow neuroimaging system to measure effects of the psychoactive substance ketamine on brain hemodynamics and provided preliminary evidence that a combination of neural and physiological metrics can track subjective mystical experiences.”</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242424"/>
        </w:rPr>
        <w:t>Feasibility Study Design</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±SD)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218"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The main objective of the feasibility study was to evaluate a participant’s experience wearing Kernel Flow while in an altered state of consciousness following the administration of ketamine.</w:t>
      </w:r>
    </w:p>
    <w:p>
      <w:pPr>
        <w:spacing w:after="0" w:line="18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feasibility study received U.S. Food and Drug Administration Investigational New Drug authorization in October 2021 and U.S. Institutional Review Board approval in January 2022.</w:t>
      </w:r>
    </w:p>
    <w:p>
      <w:pPr>
        <w:spacing w:after="0" w:line="20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As part of Cybin’s sponsorship of the feasibility study, the Company will retain an exclusive interest in any innovations that are discovered or developed through its independent analysis of the study findings.</w:t>
      </w:r>
    </w:p>
    <w:p>
      <w:pPr>
        <w:sectPr>
          <w:pgSz w:w="11900" w:h="16838" w:orient="portrait"/>
          <w:cols w:equalWidth="0" w:num="1">
            <w:col w:w="11240"/>
          </w:cols>
          <w:pgMar w:left="320" w:top="1427" w:right="339" w:bottom="1440" w:gutter="0" w:footer="0" w:header="0"/>
        </w:sectPr>
      </w:pPr>
    </w:p>
    <w:bookmarkStart w:id="5" w:name="page6"/>
    <w:bookmarkEnd w:id="5"/>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Kernel Flow</w:t>
      </w:r>
      <w:r>
        <w:rPr>
          <w:rFonts w:ascii="Arial" w:cs="Arial" w:eastAsia="Arial" w:hAnsi="Arial"/>
          <w:sz w:val="11"/>
          <w:szCs w:val="11"/>
          <w:b w:val="1"/>
          <w:bCs w:val="1"/>
          <w:color w:val="auto"/>
        </w:rPr>
        <w:t>®</w:t>
      </w: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Kernel Flow is a wearable headset that measures brain activity by recording local changes in blood oxygenation. It is adjustable, can accommodate nearly anyone and is safe. Kernel Flow is a groundbreaking neurotechnology because it reduces loud, expensive, and room-sized equipment to a head-worn apparatus while providing neural activity data of the highest possible optical quality. This combination has never existed in such a commercial and scalable device, all factors for why brain interfaces and neuroimaging technology has largely remained in academic labs or hospital basements. The entire system is the size and look of a bicycle helmet and could, in the future, be more broadly used for neuroscientific or physiological studies of brain activity during treatment.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anticipated results and potential uses of the Kernel Flow technology, the ability of Kernel Flow to potentially assist in and/or serve as a tool in respect of the identification and development of treatment regimens, the Company’s plan to engineer proprietary drug development platforms, innovative drug delivery systems, novel formulation approaches, potential treatment regimens for psychiatric disorders and development of medicinal psychedelics to address unmet medical needs.</w:t>
      </w:r>
    </w:p>
    <w:p>
      <w:pPr>
        <w:spacing w:after="0" w:line="11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20"/>
          <w:szCs w:val="20"/>
          <w:color w:val="auto"/>
        </w:rPr>
        <w:t xml:space="preserve">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 periods ended September 30, 2022 and the Company's annual information form for the year ended March 31, 2022, which are available under the Company's profile on </w:t>
      </w:r>
      <w:r>
        <w:rPr>
          <w:rFonts w:ascii="Arial" w:cs="Arial" w:eastAsia="Arial" w:hAnsi="Arial"/>
          <w:sz w:val="20"/>
          <w:szCs w:val="20"/>
          <w:u w:val="single" w:color="auto"/>
          <w:color w:val="0563C1"/>
        </w:rPr>
        <w:t>www.sedar.com</w:t>
      </w:r>
      <w:r>
        <w:rPr>
          <w:rFonts w:ascii="Arial" w:cs="Arial" w:eastAsia="Arial" w:hAnsi="Arial"/>
          <w:sz w:val="20"/>
          <w:szCs w:val="20"/>
          <w:color w:val="0563C1"/>
        </w:rPr>
        <w:t xml:space="preserve"> </w:t>
      </w:r>
      <w:r>
        <w:rPr>
          <w:rFonts w:ascii="Arial" w:cs="Arial" w:eastAsia="Arial" w:hAnsi="Arial"/>
          <w:sz w:val="20"/>
          <w:szCs w:val="20"/>
          <w:color w:val="000000"/>
        </w:rPr>
        <w:t>and with the U.S. Securities and Exchange Commission on EDGAR at</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www.sec.gov</w:t>
      </w:r>
      <w:r>
        <w:rPr>
          <w:rFonts w:ascii="Arial" w:cs="Arial" w:eastAsia="Arial" w:hAnsi="Arial"/>
          <w:sz w:val="20"/>
          <w:szCs w:val="20"/>
          <w:color w:val="000000"/>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13"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&amp; Media: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0563C1"/>
        </w:rPr>
        <w:t xml:space="preserve">irteam@cybin.com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042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2023-01-19T10:56:24Z</dcterms:created>
  <dcterms:modified xsi:type="dcterms:W3CDTF">2023-01-19T10:56:24Z</dcterms:modified>
</cp:coreProperties>
</file>