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March, 2026</w:t>
      </w:r>
      <w:r>
        <w:rPr>
          <w:rFonts w:ascii="Times New Roman" w:cs="Times New Roman" w:eastAsia="Times New Roman" w:hAnsi="Times New Roman"/>
          <w:sz w:val="22"/>
          <w:szCs w:val="22"/>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 99.1 of this Form 6-K of Cybin Inc. (the "Company") is hereby incorporated by reference into the Registration Statement on Form F-10 (File No. </w:t>
      </w:r>
      <w:hyperlink r:id="rId9">
        <w:r>
          <w:rPr>
            <w:rFonts w:ascii="Times New Roman" w:cs="Times New Roman" w:eastAsia="Times New Roman" w:hAnsi="Times New Roman"/>
            <w:sz w:val="22"/>
            <w:szCs w:val="22"/>
            <w:u w:val="single" w:color="auto"/>
            <w:color w:val="0000EE"/>
          </w:rPr>
          <w:t>333-292294</w:t>
        </w:r>
      </w:hyperlink>
      <w:r>
        <w:rPr>
          <w:rFonts w:ascii="Times New Roman" w:cs="Times New Roman" w:eastAsia="Times New Roman" w:hAnsi="Times New Roman"/>
          <w:sz w:val="22"/>
          <w:szCs w:val="22"/>
          <w:color w:val="auto"/>
        </w:rPr>
        <w:t>)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0" w:val="left"/>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w:t>
        <w:tab/>
        <w:t>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News Release dated 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74190" cy="874395"/>
                    </a:xfrm>
                    <a:prstGeom prst="rect">
                      <a:avLst/>
                    </a:prstGeom>
                    <a:noFill/>
                  </pic:spPr>
                </pic:pic>
              </a:graphicData>
            </a:graphic>
          </wp:anchor>
        </w:drawing>
      </w:r>
    </w:p>
    <w:p>
      <w:pPr>
        <w:spacing w:after="0" w:line="251" w:lineRule="exact"/>
        <w:rPr>
          <w:sz w:val="20"/>
          <w:szCs w:val="20"/>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Helus Pharma Announces Topline Results in Phase 2 Signal Detection Study for HLP004 in Patients with Generalized Anxiety Disorder</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i w:val="1"/>
          <w:iCs w:val="1"/>
          <w:color w:val="auto"/>
        </w:rPr>
        <w:t>Statistically significant (p&lt;0.0001) and clinically meaningful improvement in Hamilton Anxiety Rating Scale ("HAM-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-85725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i w:val="1"/>
          <w:iCs w:val="1"/>
          <w:color w:val="auto"/>
        </w:rPr>
        <w:t>A") of ~10 points on top of Standard of Care ("SoC") at 6 weeks</w:t>
      </w:r>
    </w:p>
    <w:p>
      <w:pPr>
        <w:ind w:left="980"/>
        <w:spacing w:after="0" w:line="235" w:lineRule="auto"/>
        <w:rPr>
          <w:sz w:val="20"/>
          <w:szCs w:val="20"/>
          <w:color w:val="auto"/>
        </w:rPr>
      </w:pPr>
      <w:r>
        <w:rPr>
          <w:rFonts w:ascii="Times New Roman" w:cs="Times New Roman" w:eastAsia="Times New Roman" w:hAnsi="Times New Roman"/>
          <w:sz w:val="22"/>
          <w:szCs w:val="22"/>
          <w:i w:val="1"/>
          <w:iCs w:val="1"/>
          <w:color w:val="auto"/>
        </w:rPr>
        <w:t>Durable effects sustained through at least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-107315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right="780"/>
        <w:spacing w:after="0" w:line="202" w:lineRule="auto"/>
        <w:rPr>
          <w:sz w:val="20"/>
          <w:szCs w:val="20"/>
          <w:color w:val="auto"/>
        </w:rPr>
      </w:pPr>
      <w:r>
        <w:rPr>
          <w:rFonts w:ascii="Times New Roman" w:cs="Times New Roman" w:eastAsia="Times New Roman" w:hAnsi="Times New Roman"/>
          <w:sz w:val="21"/>
          <w:szCs w:val="21"/>
          <w:i w:val="1"/>
          <w:iCs w:val="1"/>
          <w:color w:val="auto"/>
        </w:rPr>
        <w:t>In Phase 1 trial most participants were ready for discharge within 3 hours</w:t>
      </w:r>
      <w:r>
        <w:rPr>
          <w:rFonts w:ascii="Times New Roman" w:cs="Times New Roman" w:eastAsia="Times New Roman" w:hAnsi="Times New Roman"/>
          <w:sz w:val="34"/>
          <w:szCs w:val="34"/>
          <w:i w:val="1"/>
          <w:iCs w:val="1"/>
          <w:color w:val="auto"/>
          <w:vertAlign w:val="superscript"/>
        </w:rPr>
        <w:t>1</w:t>
      </w:r>
      <w:r>
        <w:rPr>
          <w:rFonts w:ascii="Times New Roman" w:cs="Times New Roman" w:eastAsia="Times New Roman" w:hAnsi="Times New Roman"/>
          <w:sz w:val="21"/>
          <w:szCs w:val="21"/>
          <w:i w:val="1"/>
          <w:iCs w:val="1"/>
          <w:color w:val="auto"/>
        </w:rPr>
        <w:t>; Acute effects lasted ~90 minutes Generally well-tolerated, adverse events were transient, with no drug related serious adverse events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-256540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-102235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spacing w:after="0" w:line="237" w:lineRule="auto"/>
        <w:rPr>
          <w:sz w:val="20"/>
          <w:szCs w:val="20"/>
          <w:color w:val="auto"/>
        </w:rPr>
      </w:pPr>
      <w:r>
        <w:rPr>
          <w:rFonts w:ascii="Times New Roman" w:cs="Times New Roman" w:eastAsia="Times New Roman" w:hAnsi="Times New Roman"/>
          <w:sz w:val="22"/>
          <w:szCs w:val="22"/>
          <w:i w:val="1"/>
          <w:iCs w:val="1"/>
          <w:color w:val="auto"/>
        </w:rPr>
        <w:t>At six months, the pooled study population showed 67% responders and 39% of patients were in remission (see Figure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130810</wp:posOffset>
            </wp:positionV>
            <wp:extent cx="3985895" cy="2743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98589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This news release constitutes a "designated news release" for the purpose of the Company's prospectus supplement dated December 30, 2025, to its short form base shelf prospectus dated September 17, 2025, as amended on December 19, 2025.</w:t>
      </w:r>
    </w:p>
    <w:p>
      <w:pPr>
        <w:spacing w:after="0" w:line="1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&amp; TORONTO - March 5, 2026 - Helus Pharma (Nasdaq: HELP; Cboe CA: HELP), a clinical-stage pharmaceutical company developing novel serotonergic agonists ("NSAs") for serious mental health conditions, today announced topline results from a Phase 2 signal detection study evaluating HLP004 as a potential treatment for adults with moderate-to-severe generalized anxiety disorder ("GAD") who remained symptomatic despite ongoing SoC antidepressant therapy, including selective serotonin reuptake inhibitors and related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GAD affects more than 20 million adults in the United States, and approximately half of patients treated for GAD fail to respond</w:t>
      </w:r>
    </w:p>
    <w:p>
      <w:pPr>
        <w:spacing w:after="0" w:line="3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to initial first-line therapy.</w:t>
      </w:r>
      <w:r>
        <w:rPr>
          <w:rFonts w:ascii="Times New Roman" w:cs="Times New Roman" w:eastAsia="Times New Roman" w:hAnsi="Times New Roman"/>
          <w:sz w:val="35"/>
          <w:szCs w:val="35"/>
          <w:color w:val="auto"/>
          <w:vertAlign w:val="superscript"/>
        </w:rPr>
        <w:t>2,3</w:t>
      </w:r>
      <w:r>
        <w:rPr>
          <w:rFonts w:ascii="Times New Roman" w:cs="Times New Roman" w:eastAsia="Times New Roman" w:hAnsi="Times New Roman"/>
          <w:sz w:val="22"/>
          <w:szCs w:val="22"/>
          <w:color w:val="auto"/>
        </w:rPr>
        <w:t xml:space="preserve"> No adjunctive pharmacologic treatment for GAD has ever been approved. No new monotherapy has been approved in almost two decades.</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Phase 2 signal detection study, 36 patients were randomized 2-to-1 active-to-placebo to HLP004 20 mg or 2mg and received two intramuscular doses three weeks apart. Patients were followed through Week 12, with continued observational follow-up extending up to one year. Participants had an average baseline HAM-A score of 22 and a General Anxiety Disorder-7 score of greater than or equal to 10 at screening.</w:t>
      </w:r>
    </w:p>
    <w:p>
      <w:pPr>
        <w:spacing w:after="0" w:line="15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All study participants were already being treated, and continued treatment throughout the trial, with SoC medications for generalized anxiety disorder. The 10-point improvement in anxiety symptoms is above and beyond what was already being seen with SoC treatment.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Key findings include:</w:t>
      </w:r>
    </w:p>
    <w:p>
      <w:pPr>
        <w:spacing w:after="0" w:line="18" w:lineRule="exact"/>
        <w:rPr>
          <w:sz w:val="20"/>
          <w:szCs w:val="20"/>
          <w:color w:val="auto"/>
        </w:rPr>
      </w:pPr>
    </w:p>
    <w:p>
      <w:pPr>
        <w:ind w:left="400" w:right="2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Clinically meaningful efficacy: </w:t>
      </w:r>
      <w:r>
        <w:rPr>
          <w:rFonts w:ascii="Times New Roman" w:cs="Times New Roman" w:eastAsia="Times New Roman" w:hAnsi="Times New Roman"/>
          <w:sz w:val="22"/>
          <w:szCs w:val="22"/>
          <w:color w:val="auto"/>
        </w:rPr>
        <w:t>Patients that received 20mg HLP004 adjunctive to SoC therapy achieved mean reduction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10.4-points (p&lt;0.0001) in the HAM-A from baseline at six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Efficacy in difficult to treat population: </w:t>
      </w:r>
      <w:r>
        <w:rPr>
          <w:rFonts w:ascii="Times New Roman" w:cs="Times New Roman" w:eastAsia="Times New Roman" w:hAnsi="Times New Roman"/>
          <w:sz w:val="22"/>
          <w:szCs w:val="22"/>
          <w:color w:val="auto"/>
        </w:rPr>
        <w:t>Study population consisted of moderate-to-severe patients who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symptomatic despite ongoing antidepressant or anxiolytic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line="231" w:lineRule="auto"/>
        <w:rPr>
          <w:sz w:val="20"/>
          <w:szCs w:val="20"/>
          <w:color w:val="auto"/>
        </w:rPr>
      </w:pPr>
      <w:r>
        <w:rPr>
          <w:rFonts w:ascii="Times New Roman" w:cs="Times New Roman" w:eastAsia="Times New Roman" w:hAnsi="Times New Roman"/>
          <w:sz w:val="22"/>
          <w:szCs w:val="22"/>
          <w:b w:val="1"/>
          <w:bCs w:val="1"/>
          <w:color w:val="auto"/>
        </w:rPr>
        <w:t>Durable remission and robust response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-103505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At six months, the pooled study population showed 67% responders and 39% remitters.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-104140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Participants randomized to both 20 mg and 2mg dosing arms experienced meaningful subjective effects and showed clinically significant responses over SoC, with 59% meeting the criteria for response and 32% for remission in the 20mg arm and a 30% responder and remitter rate in the 2mg arm at week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-411480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Commercially scalable clinic time: </w:t>
      </w:r>
      <w:r>
        <w:rPr>
          <w:rFonts w:ascii="Times New Roman" w:cs="Times New Roman" w:eastAsia="Times New Roman" w:hAnsi="Times New Roman"/>
          <w:sz w:val="22"/>
          <w:szCs w:val="22"/>
          <w:color w:val="auto"/>
        </w:rPr>
        <w:t>Short in-clinic treatment experience with acute drug effects lasting approximately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-106680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400"/>
        <w:spacing w:after="0" w:line="195" w:lineRule="auto"/>
        <w:rPr>
          <w:sz w:val="20"/>
          <w:szCs w:val="20"/>
          <w:color w:val="auto"/>
        </w:rPr>
      </w:pPr>
      <w:r>
        <w:rPr>
          <w:rFonts w:ascii="Times New Roman" w:cs="Times New Roman" w:eastAsia="Times New Roman" w:hAnsi="Times New Roman"/>
          <w:sz w:val="22"/>
          <w:szCs w:val="22"/>
          <w:color w:val="auto"/>
        </w:rPr>
        <w:t>minutes and discharge readiness within approximately three hours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fitting within the treatment paradigm of existing interventional psychiatry clinics.</w:t>
      </w:r>
    </w:p>
    <w:p>
      <w:pPr>
        <w:spacing w:after="0" w:line="2" w:lineRule="exact"/>
        <w:rPr>
          <w:sz w:val="20"/>
          <w:szCs w:val="20"/>
          <w:color w:val="auto"/>
        </w:rPr>
      </w:pPr>
    </w:p>
    <w:p>
      <w:pPr>
        <w:ind w:left="400"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Well tolerated: </w:t>
      </w:r>
      <w:r>
        <w:rPr>
          <w:rFonts w:ascii="Times New Roman" w:cs="Times New Roman" w:eastAsia="Times New Roman" w:hAnsi="Times New Roman"/>
          <w:sz w:val="22"/>
          <w:szCs w:val="22"/>
          <w:color w:val="auto"/>
        </w:rPr>
        <w:t>Favorable tolerability profile with no drug-related serious adverse events or suicidality-related safety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-267335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"These Phase 2 results support the continued development of HLP004, and I am encouraged by the magnitude of improvement observed over standard of care treatments, together with the rapid onset and short in-clinic treatment experience for this patient population with limited options," noted Dr. Andrew Cutler, Clinical Professor of Psychiatry at SUNY Upstate Medical University and Senior Advisor to Helus Pharma.</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Michael Cola, Chief Executive Officer of Helus Pharma, said, "Patients living with generalized anxiety disorder remain significantly underserved, with many continuing to struggle despite currently available treatments. We are encouraged by these data and the potential for HLP004 to bring hope to GAD patients. The Company's broad intellectual property portfolio has been leveraged once again to create what we feel are best in class products and we are further excited to release the data on HLP003 targeted at major depressive disorder in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22"/>
          <w:szCs w:val="22"/>
          <w:color w:val="auto"/>
        </w:rPr>
        <w:t>For additional information, please access our webcast, which is available on the Company's investor relations website on the Events and Presentations page.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HLP004</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HLP004 is an investigational intramuscular deuterated serotonergic agonist designed to activate serotonin pathways believed to promote neuroplasticity. The program is being developed as a potential adjunctive treatment for patients with generalized anxiety disorder who remain symptomatic despite existing pharmacologic therapies.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Company operates in Canada, the United States, the United Kingdom, and Ireland. For Company updates and to learn more about Helus Pharma, visit </w:t>
      </w:r>
      <w:r>
        <w:rPr>
          <w:rFonts w:ascii="Times New Roman" w:cs="Times New Roman" w:eastAsia="Times New Roman" w:hAnsi="Times New Roman"/>
          <w:sz w:val="22"/>
          <w:szCs w:val="22"/>
          <w:u w:val="single" w:color="auto"/>
          <w:color w:val="040A2C"/>
        </w:rPr>
        <w:t>www.helus.com</w:t>
      </w:r>
      <w:r>
        <w:rPr>
          <w:rFonts w:ascii="Times New Roman" w:cs="Times New Roman" w:eastAsia="Times New Roman" w:hAnsi="Times New Roman"/>
          <w:sz w:val="22"/>
          <w:szCs w:val="22"/>
          <w:color w:val="auto"/>
        </w:rPr>
        <w:t xml:space="preserve"> or follow the team on X, LinkedIn, YouTube and Instagram. Helus Pharma™ is a trademark of Cybin Corp.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8"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Phase 1 study at 30 mg dose​.</w:t>
      </w:r>
    </w:p>
    <w:p>
      <w:pPr>
        <w:ind w:left="220" w:hanging="212"/>
        <w:spacing w:after="0" w:line="230" w:lineRule="auto"/>
        <w:tabs>
          <w:tab w:leader="none" w:pos="2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Ringeisen H, et al. Mental and Substance Use Disorders Prevalence Study: Findings Report. RTI International; 2023.</w:t>
      </w:r>
    </w:p>
    <w:p>
      <w:pPr>
        <w:ind w:firstLine="8"/>
        <w:spacing w:after="0" w:line="237" w:lineRule="auto"/>
        <w:tabs>
          <w:tab w:leader="none" w:pos="23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Fagan H, et al. Pharmacological Treatment of Generalized Anxiety Disorder: Current Practice and Future Directions. Expert Review of Neurotherapeutics.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1 Notes: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Gueorguieva, et.al. Lancet Psychiatry, 2017. 4(3):230-237.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Rutherford, et al. Depress Anxiety, 2015. 32(12):944-57.</w:t>
      </w:r>
    </w:p>
    <w:p>
      <w:pPr>
        <w:spacing w:after="0" w:line="14" w:lineRule="exact"/>
        <w:rPr>
          <w:rFonts w:ascii="Times New Roman" w:cs="Times New Roman" w:eastAsia="Times New Roman" w:hAnsi="Times New Roman"/>
          <w:sz w:val="22"/>
          <w:szCs w:val="22"/>
          <w:color w:val="auto"/>
        </w:rPr>
      </w:pPr>
    </w:p>
    <w:p>
      <w:pPr>
        <w:ind w:left="240" w:hanging="232"/>
        <w:spacing w:after="0" w:line="230" w:lineRule="auto"/>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Berwian, I.M., et al. Psychol Med, 2017. 47(3):426-437.</w:t>
      </w:r>
    </w:p>
    <w:p>
      <w:pPr>
        <w:ind w:left="240" w:hanging="232"/>
        <w:spacing w:after="0" w:line="230" w:lineRule="auto"/>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Jones, B.D.M., et al.JAMA Network Open, 2021. 4(9):e2125531-e2125531.</w:t>
      </w:r>
    </w:p>
    <w:p>
      <w:pPr>
        <w:ind w:left="240" w:hanging="232"/>
        <w:spacing w:after="0" w:line="230" w:lineRule="auto"/>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Davidson, et al. Eur Neuropsychopharmacol, 2008. 18(9):p. 673-81.</w:t>
      </w: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Quitkin, et al. Arch GenPsychiatry, 1984. 41:p. 782-786.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expectations of progressing the HLP004 program toward development; the potential of HLP004 as a scalable treatment option for patients living with GAD; and the Company's plans to engineer proprietary drug discovery platforms, innovative drug delivery systems, novel formulation approaches and treatment regimens for mental health conditions.</w:t>
      </w:r>
    </w:p>
    <w:p>
      <w:pPr>
        <w:spacing w:after="0" w:line="1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13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 Barer</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Director</w:t>
      </w:r>
    </w:p>
    <w:p>
      <w:pPr>
        <w:ind w:right="87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578-6478 </w:t>
      </w:r>
      <w:r>
        <w:rPr>
          <w:rFonts w:ascii="Times New Roman" w:cs="Times New Roman" w:eastAsia="Times New Roman" w:hAnsi="Times New Roman"/>
          <w:sz w:val="21"/>
          <w:szCs w:val="21"/>
          <w:color w:val="156082"/>
        </w:rPr>
        <w:t>josh.barer@astrpartners.com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230" w:lineRule="auto"/>
        <w:rPr>
          <w:sz w:val="20"/>
          <w:szCs w:val="20"/>
          <w:color w:val="auto"/>
        </w:rPr>
      </w:pPr>
      <w:r>
        <w:rPr>
          <w:rFonts w:ascii="Times New Roman" w:cs="Times New Roman" w:eastAsia="Times New Roman" w:hAnsi="Times New Roman"/>
          <w:sz w:val="22"/>
          <w:szCs w:val="22"/>
          <w:color w:val="auto"/>
        </w:rPr>
        <w:t>Helus Pharma</w:t>
      </w:r>
    </w:p>
    <w:p>
      <w:pPr>
        <w:spacing w:after="0" w:line="231" w:lineRule="auto"/>
        <w:rPr>
          <w:sz w:val="20"/>
          <w:szCs w:val="20"/>
          <w:color w:val="auto"/>
        </w:rPr>
      </w:pPr>
      <w:r>
        <w:rPr>
          <w:rFonts w:ascii="Times New Roman" w:cs="Times New Roman" w:eastAsia="Times New Roman" w:hAnsi="Times New Roman"/>
          <w:sz w:val="22"/>
          <w:szCs w:val="22"/>
          <w:color w:val="auto"/>
        </w:rPr>
        <w:t>1-866-292-4601</w:t>
      </w:r>
    </w:p>
    <w:p>
      <w:pPr>
        <w:spacing w:after="0"/>
        <w:rPr>
          <w:sz w:val="20"/>
          <w:szCs w:val="20"/>
          <w:color w:val="auto"/>
        </w:rPr>
      </w:pPr>
      <w:r>
        <w:rPr>
          <w:rFonts w:ascii="Times New Roman" w:cs="Times New Roman" w:eastAsia="Times New Roman" w:hAnsi="Times New Roman"/>
          <w:sz w:val="22"/>
          <w:szCs w:val="22"/>
          <w:color w:val="156082"/>
        </w:rPr>
        <w:t xml:space="preserve">irteam@helus.com </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color w:val="156082"/>
        </w:rPr>
        <w:t xml:space="preserve"> media@helus.com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Johnny Tokarczyk</w:t>
      </w:r>
    </w:p>
    <w:p>
      <w:pPr>
        <w:spacing w:after="0" w:line="230" w:lineRule="auto"/>
        <w:rPr>
          <w:sz w:val="20"/>
          <w:szCs w:val="20"/>
          <w:color w:val="auto"/>
        </w:rPr>
      </w:pPr>
      <w:r>
        <w:rPr>
          <w:rFonts w:ascii="Times New Roman" w:cs="Times New Roman" w:eastAsia="Times New Roman" w:hAnsi="Times New Roman"/>
          <w:sz w:val="22"/>
          <w:szCs w:val="22"/>
          <w:color w:val="auto"/>
        </w:rPr>
        <w:t>RXMD</w:t>
      </w:r>
    </w:p>
    <w:p>
      <w:pPr>
        <w:spacing w:after="0" w:line="231" w:lineRule="auto"/>
        <w:rPr>
          <w:sz w:val="20"/>
          <w:szCs w:val="20"/>
          <w:color w:val="auto"/>
        </w:rPr>
      </w:pPr>
      <w:r>
        <w:rPr>
          <w:rFonts w:ascii="Times New Roman" w:cs="Times New Roman" w:eastAsia="Times New Roman" w:hAnsi="Times New Roman"/>
          <w:sz w:val="22"/>
          <w:szCs w:val="22"/>
          <w:color w:val="auto"/>
        </w:rPr>
        <w:t>Public Relations Director</w:t>
      </w:r>
    </w:p>
    <w:p>
      <w:pPr>
        <w:spacing w:after="0" w:line="230" w:lineRule="auto"/>
        <w:rPr>
          <w:sz w:val="20"/>
          <w:szCs w:val="20"/>
          <w:color w:val="auto"/>
        </w:rPr>
      </w:pPr>
      <w:r>
        <w:rPr>
          <w:rFonts w:ascii="Times New Roman" w:cs="Times New Roman" w:eastAsia="Times New Roman" w:hAnsi="Times New Roman"/>
          <w:sz w:val="22"/>
          <w:szCs w:val="22"/>
          <w:color w:val="156082"/>
        </w:rPr>
        <w:t>jtokarczyk@rxmedyn.com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 772-7562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90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9" Type="http://schemas.openxmlformats.org/officeDocument/2006/relationships/hyperlink" Target="http://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2026-03-05T06:56:27Z</dcterms:created>
  <dcterms:modified xsi:type="dcterms:W3CDTF">2026-03-05T06:56:27Z</dcterms:modified>
</cp:coreProperties>
</file>