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2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UNITED STATES</w:t>
      </w:r>
    </w:p>
    <w:p>
      <w:pPr>
        <w:spacing w:after="0" w:line="1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SECURITIES AND EXCHANGE COMMISSION</w:t>
      </w:r>
    </w:p>
    <w:p>
      <w:pPr>
        <w:jc w:val="center"/>
        <w:spacing w:after="0"/>
        <w:rPr>
          <w:sz w:val="20"/>
          <w:szCs w:val="20"/>
          <w:color w:val="auto"/>
        </w:rPr>
      </w:pPr>
      <w:r>
        <w:rPr>
          <w:rFonts w:ascii="Times New Roman" w:cs="Times New Roman" w:eastAsia="Times New Roman" w:hAnsi="Times New Roman"/>
          <w:sz w:val="16"/>
          <w:szCs w:val="16"/>
          <w:b w:val="1"/>
          <w:bCs w:val="1"/>
          <w:color w:val="auto"/>
        </w:rPr>
        <w:t>Washington, D.C. 20549</w:t>
      </w:r>
    </w:p>
    <w:p>
      <w:pPr>
        <w:spacing w:after="0" w:line="17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Form 6-K</w:t>
      </w:r>
    </w:p>
    <w:p>
      <w:pPr>
        <w:spacing w:after="0" w:line="19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REPORT OF FOREIGN PRIVATE ISSUER PURSUANT TO RULE 13a-16 OR 15d-16</w:t>
      </w:r>
    </w:p>
    <w:p>
      <w:pPr>
        <w:spacing w:after="0" w:line="1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UNDER THE SECURITIES EXCHANGE ACT OF 1934</w:t>
      </w:r>
    </w:p>
    <w:p>
      <w:pPr>
        <w:spacing w:after="0" w:line="64" w:lineRule="exact"/>
        <w:rPr>
          <w:sz w:val="24"/>
          <w:szCs w:val="24"/>
          <w:color w:val="auto"/>
        </w:rPr>
      </w:pPr>
    </w:p>
    <w:p>
      <w:pPr>
        <w:spacing w:after="0"/>
        <w:rPr>
          <w:sz w:val="20"/>
          <w:szCs w:val="20"/>
          <w:color w:val="auto"/>
        </w:rPr>
      </w:pPr>
      <w:r>
        <w:rPr>
          <w:rFonts w:ascii="Times New Roman" w:cs="Times New Roman" w:eastAsia="Times New Roman" w:hAnsi="Times New Roman"/>
          <w:sz w:val="16"/>
          <w:szCs w:val="16"/>
          <w:color w:val="auto"/>
        </w:rPr>
        <w:t>For the month of November, 2024.</w:t>
      </w:r>
    </w:p>
    <w:p>
      <w:pPr>
        <w:spacing w:after="0" w:line="80" w:lineRule="exact"/>
        <w:rPr>
          <w:sz w:val="24"/>
          <w:szCs w:val="24"/>
          <w:color w:val="auto"/>
        </w:rPr>
      </w:pPr>
    </w:p>
    <w:p>
      <w:pPr>
        <w:spacing w:after="0"/>
        <w:rPr>
          <w:sz w:val="20"/>
          <w:szCs w:val="20"/>
          <w:color w:val="auto"/>
        </w:rPr>
      </w:pPr>
      <w:r>
        <w:rPr>
          <w:rFonts w:ascii="Times New Roman" w:cs="Times New Roman" w:eastAsia="Times New Roman" w:hAnsi="Times New Roman"/>
          <w:sz w:val="16"/>
          <w:szCs w:val="16"/>
          <w:color w:val="auto"/>
        </w:rPr>
        <w:t xml:space="preserve">Commission File Number: </w:t>
      </w:r>
      <w:r>
        <w:rPr>
          <w:rFonts w:ascii="Times New Roman" w:cs="Times New Roman" w:eastAsia="Times New Roman" w:hAnsi="Times New Roman"/>
          <w:sz w:val="16"/>
          <w:szCs w:val="16"/>
          <w:b w:val="1"/>
          <w:bCs w:val="1"/>
          <w:color w:val="auto"/>
        </w:rPr>
        <w:t>001-40673</w:t>
      </w:r>
    </w:p>
    <w:p>
      <w:pPr>
        <w:spacing w:after="0" w:line="34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9"/>
          <w:szCs w:val="19"/>
          <w:b w:val="1"/>
          <w:bCs w:val="1"/>
          <w:u w:val="single" w:color="auto"/>
          <w:color w:val="auto"/>
        </w:rPr>
        <w:t>Cybin Inc.</w:t>
      </w:r>
    </w:p>
    <w:p>
      <w:pPr>
        <w:spacing w:after="0" w:line="3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color w:val="auto"/>
        </w:rPr>
        <w:t>(Exact Name of Registrant as Specified in Charter)</w:t>
      </w:r>
    </w:p>
    <w:p>
      <w:pPr>
        <w:spacing w:after="0" w:line="16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100 King Street West, Suite 5600, Toronto, Ontario, M5X 1C9</w:t>
      </w:r>
    </w:p>
    <w:p>
      <w:pPr>
        <w:spacing w:after="0" w:line="1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color w:val="auto"/>
        </w:rPr>
        <w:t>(Address of principal executive offices)</w:t>
      </w:r>
    </w:p>
    <w:p>
      <w:pPr>
        <w:spacing w:after="0" w:line="209" w:lineRule="exact"/>
        <w:rPr>
          <w:sz w:val="24"/>
          <w:szCs w:val="24"/>
          <w:color w:val="auto"/>
        </w:rPr>
      </w:pPr>
    </w:p>
    <w:p>
      <w:pPr>
        <w:spacing w:after="0"/>
        <w:rPr>
          <w:sz w:val="20"/>
          <w:szCs w:val="20"/>
          <w:color w:val="auto"/>
        </w:rPr>
      </w:pPr>
      <w:r>
        <w:rPr>
          <w:rFonts w:ascii="Times New Roman" w:cs="Times New Roman" w:eastAsia="Times New Roman" w:hAnsi="Times New Roman"/>
          <w:sz w:val="16"/>
          <w:szCs w:val="16"/>
          <w:color w:val="auto"/>
        </w:rPr>
        <w:t>Indicate by check mark whether the registrant files or will file annual reports under cover Form 20-F or Form 40-F.</w:t>
      </w:r>
    </w:p>
    <w:p>
      <w:pPr>
        <w:spacing w:after="0" w:line="18" w:lineRule="exact"/>
        <w:rPr>
          <w:sz w:val="24"/>
          <w:szCs w:val="24"/>
          <w:color w:val="auto"/>
        </w:rPr>
      </w:pPr>
    </w:p>
    <w:p>
      <w:pPr>
        <w:spacing w:after="0" w:line="253" w:lineRule="exact"/>
        <w:rPr>
          <w:sz w:val="20"/>
          <w:szCs w:val="20"/>
          <w:color w:val="auto"/>
        </w:rPr>
      </w:pPr>
      <w:r>
        <w:rPr>
          <w:rFonts w:ascii="Times New Roman" w:cs="Times New Roman" w:eastAsia="Times New Roman" w:hAnsi="Times New Roman"/>
          <w:sz w:val="16"/>
          <w:szCs w:val="16"/>
          <w:color w:val="auto"/>
        </w:rPr>
        <w:t xml:space="preserve">Form 20-F </w:t>
      </w:r>
      <w:r>
        <w:rPr>
          <w:rFonts w:ascii="Times New Roman" w:cs="Times New Roman" w:eastAsia="Times New Roman" w:hAnsi="Times New Roman"/>
          <w:sz w:val="22"/>
          <w:szCs w:val="22"/>
          <w:color w:val="auto"/>
        </w:rPr>
        <w:t>□</w:t>
      </w:r>
      <w:r>
        <w:rPr>
          <w:rFonts w:ascii="Times New Roman" w:cs="Times New Roman" w:eastAsia="Times New Roman" w:hAnsi="Times New Roman"/>
          <w:sz w:val="16"/>
          <w:szCs w:val="16"/>
          <w:color w:val="auto"/>
        </w:rPr>
        <w:t xml:space="preserve"> Form 40-F </w:t>
      </w:r>
      <w:r>
        <w:rPr>
          <w:rFonts w:ascii="MS PGothic" w:cs="MS PGothic" w:eastAsia="MS PGothic" w:hAnsi="MS PGothic"/>
          <w:sz w:val="16"/>
          <w:szCs w:val="16"/>
          <w:color w:val="auto"/>
        </w:rPr>
        <w:t>⊠</w:t>
      </w:r>
    </w:p>
    <w:p>
      <w:pPr>
        <w:spacing w:after="0" w:line="28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INCORPORATION BY REFERENCE</w:t>
      </w:r>
    </w:p>
    <w:p>
      <w:pPr>
        <w:spacing w:after="0" w:line="84" w:lineRule="exact"/>
        <w:rPr>
          <w:sz w:val="24"/>
          <w:szCs w:val="24"/>
          <w:color w:val="auto"/>
        </w:rPr>
      </w:pPr>
    </w:p>
    <w:p>
      <w:pPr>
        <w:ind w:left="580"/>
        <w:spacing w:after="0"/>
        <w:rPr>
          <w:sz w:val="20"/>
          <w:szCs w:val="20"/>
          <w:color w:val="auto"/>
        </w:rPr>
      </w:pPr>
      <w:r>
        <w:rPr>
          <w:rFonts w:ascii="Times New Roman" w:cs="Times New Roman" w:eastAsia="Times New Roman" w:hAnsi="Times New Roman"/>
          <w:sz w:val="16"/>
          <w:szCs w:val="16"/>
          <w:color w:val="auto"/>
        </w:rPr>
        <w:t>Exhibits 99.1 - 99.2 of this Form 6-K of Cybin Inc. (the "Company") are hereby incorporated by reference into the Registration Statement on Form F-10 (File No.</w:t>
      </w:r>
    </w:p>
    <w:p>
      <w:pPr>
        <w:spacing w:after="0" w:line="15" w:lineRule="exact"/>
        <w:rPr>
          <w:sz w:val="24"/>
          <w:szCs w:val="24"/>
          <w:color w:val="auto"/>
        </w:rPr>
      </w:pPr>
    </w:p>
    <w:p>
      <w:pPr>
        <w:spacing w:after="0"/>
        <w:rPr>
          <w:sz w:val="20"/>
          <w:szCs w:val="20"/>
          <w:color w:val="auto"/>
        </w:rPr>
      </w:pPr>
      <w:r>
        <w:rPr>
          <w:rFonts w:ascii="Times New Roman" w:cs="Times New Roman" w:eastAsia="Times New Roman" w:hAnsi="Times New Roman"/>
          <w:sz w:val="16"/>
          <w:szCs w:val="16"/>
          <w:color w:val="auto"/>
        </w:rPr>
        <w:t>333-272706) of the Company, as amended or supplemented.</w:t>
      </w:r>
    </w:p>
    <w:p>
      <w:pPr>
        <w:sectPr>
          <w:pgSz w:w="11900" w:h="16838" w:orient="portrait"/>
          <w:cols w:equalWidth="0" w:num="1">
            <w:col w:w="11240"/>
          </w:cols>
          <w:pgMar w:left="320" w:top="1440" w:right="339" w:bottom="1440" w:gutter="0" w:footer="0" w:header="0"/>
        </w:sectPr>
      </w:pPr>
    </w:p>
    <w:bookmarkStart w:id="1" w:name="page2"/>
    <w:bookmarkEnd w:id="1"/>
    <w:p>
      <w:pPr>
        <w:jc w:val="center"/>
        <w:ind w:right="-599"/>
        <w:spacing w:after="0"/>
        <w:rPr>
          <w:sz w:val="20"/>
          <w:szCs w:val="20"/>
          <w:color w:val="auto"/>
        </w:rPr>
      </w:pPr>
      <w:r>
        <w:rPr>
          <w:rFonts w:ascii="Times New Roman" w:cs="Times New Roman" w:eastAsia="Times New Roman" w:hAnsi="Times New Roman"/>
          <w:sz w:val="16"/>
          <w:szCs w:val="16"/>
          <w:b w:val="1"/>
          <w:bCs w:val="1"/>
          <w:color w:val="auto"/>
        </w:rPr>
        <w:t>SIGNATURE</w:t>
      </w:r>
    </w:p>
    <w:p>
      <w:pPr>
        <w:spacing w:after="0" w:line="84" w:lineRule="exact"/>
        <w:rPr>
          <w:sz w:val="20"/>
          <w:szCs w:val="20"/>
          <w:color w:val="auto"/>
        </w:rPr>
      </w:pPr>
    </w:p>
    <w:p>
      <w:pPr>
        <w:ind w:firstLine="580"/>
        <w:spacing w:after="0" w:line="269" w:lineRule="auto"/>
        <w:rPr>
          <w:sz w:val="20"/>
          <w:szCs w:val="20"/>
          <w:color w:val="auto"/>
        </w:rPr>
      </w:pPr>
      <w:r>
        <w:rPr>
          <w:rFonts w:ascii="Times New Roman" w:cs="Times New Roman" w:eastAsia="Times New Roman" w:hAnsi="Times New Roman"/>
          <w:sz w:val="16"/>
          <w:szCs w:val="16"/>
          <w:color w:val="auto"/>
        </w:rPr>
        <w:t>Pursuant to the requirements of the Securities Exchange Act of 1934, the registrant has duly caused this report to be signed on its behalf by the undersigned, thereunto duly authorized.</w:t>
      </w:r>
    </w:p>
    <w:p>
      <w:pPr>
        <w:spacing w:after="0" w:line="81" w:lineRule="exact"/>
        <w:rPr>
          <w:sz w:val="20"/>
          <w:szCs w:val="20"/>
          <w:color w:val="auto"/>
        </w:rPr>
      </w:pPr>
    </w:p>
    <w:tbl>
      <w:tblPr>
        <w:tblLayout w:type="fixed"/>
        <w:tblInd w:w="20" w:type="dxa"/>
        <w:tblCellMar>
          <w:top w:w="0" w:type="dxa"/>
          <w:left w:w="0" w:type="dxa"/>
          <w:bottom w:w="0" w:type="dxa"/>
          <w:right w:w="0" w:type="dxa"/>
        </w:tblCellMar>
      </w:tblPr>
      <w:tr>
        <w:trPr>
          <w:trHeight w:val="212"/>
        </w:trPr>
        <w:tc>
          <w:tcPr>
            <w:tcW w:w="500" w:type="dxa"/>
            <w:vAlign w:val="bottom"/>
          </w:tcPr>
          <w:p>
            <w:pPr>
              <w:spacing w:after="0"/>
              <w:rPr>
                <w:sz w:val="18"/>
                <w:szCs w:val="18"/>
                <w:color w:val="auto"/>
              </w:rPr>
            </w:pPr>
          </w:p>
        </w:tc>
        <w:tc>
          <w:tcPr>
            <w:tcW w:w="5120" w:type="dxa"/>
            <w:vAlign w:val="bottom"/>
          </w:tcPr>
          <w:p>
            <w:pPr>
              <w:spacing w:after="0"/>
              <w:rPr>
                <w:sz w:val="18"/>
                <w:szCs w:val="18"/>
                <w:color w:val="auto"/>
              </w:rPr>
            </w:pPr>
          </w:p>
        </w:tc>
        <w:tc>
          <w:tcPr>
            <w:tcW w:w="4660" w:type="dxa"/>
            <w:vAlign w:val="bottom"/>
            <w:gridSpan w:val="2"/>
          </w:tcPr>
          <w:p>
            <w:pPr>
              <w:spacing w:after="0"/>
              <w:rPr>
                <w:sz w:val="20"/>
                <w:szCs w:val="20"/>
                <w:color w:val="auto"/>
              </w:rPr>
            </w:pPr>
            <w:r>
              <w:rPr>
                <w:rFonts w:ascii="Times New Roman" w:cs="Times New Roman" w:eastAsia="Times New Roman" w:hAnsi="Times New Roman"/>
                <w:sz w:val="16"/>
                <w:szCs w:val="16"/>
                <w:b w:val="1"/>
                <w:bCs w:val="1"/>
                <w:color w:val="auto"/>
              </w:rPr>
              <w:t>CYBIN INC.</w:t>
            </w:r>
          </w:p>
        </w:tc>
      </w:tr>
      <w:tr>
        <w:trPr>
          <w:trHeight w:val="230"/>
        </w:trPr>
        <w:tc>
          <w:tcPr>
            <w:tcW w:w="500" w:type="dxa"/>
            <w:vAlign w:val="bottom"/>
          </w:tcPr>
          <w:p>
            <w:pPr>
              <w:spacing w:after="0"/>
              <w:rPr>
                <w:sz w:val="19"/>
                <w:szCs w:val="19"/>
                <w:color w:val="auto"/>
              </w:rPr>
            </w:pPr>
          </w:p>
        </w:tc>
        <w:tc>
          <w:tcPr>
            <w:tcW w:w="5120" w:type="dxa"/>
            <w:vAlign w:val="bottom"/>
          </w:tcPr>
          <w:p>
            <w:pPr>
              <w:spacing w:after="0"/>
              <w:rPr>
                <w:sz w:val="19"/>
                <w:szCs w:val="19"/>
                <w:color w:val="auto"/>
              </w:rPr>
            </w:pPr>
          </w:p>
        </w:tc>
        <w:tc>
          <w:tcPr>
            <w:tcW w:w="466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(Registrant)</w:t>
            </w:r>
          </w:p>
        </w:tc>
      </w:tr>
      <w:tr>
        <w:trPr>
          <w:trHeight w:val="466"/>
        </w:trPr>
        <w:tc>
          <w:tcPr>
            <w:tcW w:w="500" w:type="dxa"/>
            <w:vAlign w:val="bottom"/>
          </w:tcPr>
          <w:p>
            <w:pPr>
              <w:spacing w:after="0"/>
              <w:rPr>
                <w:sz w:val="20"/>
                <w:szCs w:val="20"/>
                <w:color w:val="auto"/>
              </w:rPr>
            </w:pPr>
            <w:r>
              <w:rPr>
                <w:rFonts w:ascii="Times New Roman" w:cs="Times New Roman" w:eastAsia="Times New Roman" w:hAnsi="Times New Roman"/>
                <w:sz w:val="16"/>
                <w:szCs w:val="16"/>
                <w:color w:val="auto"/>
              </w:rPr>
              <w:t>Date:</w:t>
            </w:r>
          </w:p>
        </w:tc>
        <w:tc>
          <w:tcPr>
            <w:tcW w:w="512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November 13, 2024</w:t>
            </w:r>
          </w:p>
        </w:tc>
        <w:tc>
          <w:tcPr>
            <w:tcW w:w="6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6"/>
                <w:szCs w:val="16"/>
                <w:color w:val="auto"/>
              </w:rPr>
              <w:t>By:</w:t>
            </w:r>
          </w:p>
        </w:tc>
        <w:tc>
          <w:tcPr>
            <w:tcW w:w="4060" w:type="dxa"/>
            <w:vAlign w:val="bottom"/>
            <w:tcBorders>
              <w:bottom w:val="single" w:sz="8" w:color="auto"/>
            </w:tcBorders>
          </w:tcPr>
          <w:p>
            <w:pPr>
              <w:ind w:left="160"/>
              <w:spacing w:after="0"/>
              <w:rPr>
                <w:sz w:val="20"/>
                <w:szCs w:val="20"/>
                <w:color w:val="auto"/>
              </w:rPr>
            </w:pPr>
            <w:r>
              <w:rPr>
                <w:rFonts w:ascii="Times New Roman" w:cs="Times New Roman" w:eastAsia="Times New Roman" w:hAnsi="Times New Roman"/>
                <w:sz w:val="16"/>
                <w:szCs w:val="16"/>
                <w:i w:val="1"/>
                <w:iCs w:val="1"/>
                <w:color w:val="auto"/>
              </w:rPr>
              <w:t>/s/ Doug Drysdale</w:t>
            </w:r>
          </w:p>
        </w:tc>
      </w:tr>
      <w:tr>
        <w:trPr>
          <w:trHeight w:val="216"/>
        </w:trPr>
        <w:tc>
          <w:tcPr>
            <w:tcW w:w="500" w:type="dxa"/>
            <w:vAlign w:val="bottom"/>
          </w:tcPr>
          <w:p>
            <w:pPr>
              <w:spacing w:after="0"/>
              <w:rPr>
                <w:sz w:val="18"/>
                <w:szCs w:val="18"/>
                <w:color w:val="auto"/>
              </w:rPr>
            </w:pPr>
          </w:p>
        </w:tc>
        <w:tc>
          <w:tcPr>
            <w:tcW w:w="5120" w:type="dxa"/>
            <w:vAlign w:val="bottom"/>
          </w:tcPr>
          <w:p>
            <w:pPr>
              <w:spacing w:after="0"/>
              <w:rPr>
                <w:sz w:val="18"/>
                <w:szCs w:val="18"/>
                <w:color w:val="auto"/>
              </w:rPr>
            </w:pPr>
          </w:p>
        </w:tc>
        <w:tc>
          <w:tcPr>
            <w:tcW w:w="600" w:type="dxa"/>
            <w:vAlign w:val="bottom"/>
          </w:tcPr>
          <w:p>
            <w:pPr>
              <w:spacing w:after="0"/>
              <w:rPr>
                <w:sz w:val="20"/>
                <w:szCs w:val="20"/>
                <w:color w:val="auto"/>
              </w:rPr>
            </w:pPr>
            <w:r>
              <w:rPr>
                <w:rFonts w:ascii="Times New Roman" w:cs="Times New Roman" w:eastAsia="Times New Roman" w:hAnsi="Times New Roman"/>
                <w:sz w:val="16"/>
                <w:szCs w:val="16"/>
                <w:color w:val="auto"/>
              </w:rPr>
              <w:t>Name:</w:t>
            </w:r>
          </w:p>
        </w:tc>
        <w:tc>
          <w:tcPr>
            <w:tcW w:w="406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Doug Drysdale</w:t>
            </w:r>
          </w:p>
        </w:tc>
      </w:tr>
      <w:tr>
        <w:trPr>
          <w:trHeight w:val="230"/>
        </w:trPr>
        <w:tc>
          <w:tcPr>
            <w:tcW w:w="500" w:type="dxa"/>
            <w:vAlign w:val="bottom"/>
          </w:tcPr>
          <w:p>
            <w:pPr>
              <w:spacing w:after="0"/>
              <w:rPr>
                <w:sz w:val="19"/>
                <w:szCs w:val="19"/>
                <w:color w:val="auto"/>
              </w:rPr>
            </w:pPr>
          </w:p>
        </w:tc>
        <w:tc>
          <w:tcPr>
            <w:tcW w:w="5120" w:type="dxa"/>
            <w:vAlign w:val="bottom"/>
          </w:tcPr>
          <w:p>
            <w:pPr>
              <w:spacing w:after="0"/>
              <w:rPr>
                <w:sz w:val="19"/>
                <w:szCs w:val="19"/>
                <w:color w:val="auto"/>
              </w:rPr>
            </w:pPr>
          </w:p>
        </w:tc>
        <w:tc>
          <w:tcPr>
            <w:tcW w:w="600" w:type="dxa"/>
            <w:vAlign w:val="bottom"/>
          </w:tcPr>
          <w:p>
            <w:pPr>
              <w:spacing w:after="0"/>
              <w:rPr>
                <w:sz w:val="20"/>
                <w:szCs w:val="20"/>
                <w:color w:val="auto"/>
              </w:rPr>
            </w:pPr>
            <w:r>
              <w:rPr>
                <w:rFonts w:ascii="Times New Roman" w:cs="Times New Roman" w:eastAsia="Times New Roman" w:hAnsi="Times New Roman"/>
                <w:sz w:val="16"/>
                <w:szCs w:val="16"/>
                <w:color w:val="auto"/>
              </w:rPr>
              <w:t>Title:</w:t>
            </w:r>
          </w:p>
        </w:tc>
        <w:tc>
          <w:tcPr>
            <w:tcW w:w="406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Chief Executive Officer</w:t>
            </w:r>
          </w:p>
        </w:tc>
      </w:tr>
    </w:tbl>
    <w:p>
      <w:pPr>
        <w:sectPr>
          <w:pgSz w:w="11900" w:h="16838" w:orient="portrait"/>
          <w:cols w:equalWidth="0" w:num="1">
            <w:col w:w="10640"/>
          </w:cols>
          <w:pgMar w:left="320" w:top="1282" w:right="939" w:bottom="1440" w:gutter="0" w:footer="0" w:header="0"/>
        </w:sectPr>
      </w:pPr>
    </w:p>
    <w:bookmarkStart w:id="2" w:name="page3"/>
    <w:bookmarkEnd w:id="2"/>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1120" w:type="dxa"/>
            <w:vAlign w:val="bottom"/>
          </w:tcPr>
          <w:p>
            <w:pPr>
              <w:spacing w:after="0"/>
              <w:rPr>
                <w:sz w:val="16"/>
                <w:szCs w:val="16"/>
                <w:color w:val="auto"/>
              </w:rPr>
            </w:pPr>
          </w:p>
        </w:tc>
        <w:tc>
          <w:tcPr>
            <w:tcW w:w="264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2500" w:type="dxa"/>
            <w:vAlign w:val="bottom"/>
            <w:gridSpan w:val="5"/>
          </w:tcPr>
          <w:p>
            <w:pPr>
              <w:spacing w:after="0"/>
              <w:rPr>
                <w:sz w:val="20"/>
                <w:szCs w:val="20"/>
                <w:color w:val="auto"/>
              </w:rPr>
            </w:pPr>
            <w:r>
              <w:rPr>
                <w:rFonts w:ascii="Times New Roman" w:cs="Times New Roman" w:eastAsia="Times New Roman" w:hAnsi="Times New Roman"/>
                <w:sz w:val="16"/>
                <w:szCs w:val="16"/>
                <w:b w:val="1"/>
                <w:bCs w:val="1"/>
                <w:color w:val="auto"/>
              </w:rPr>
              <w:t>EXHIBIT INDEX</w:t>
            </w:r>
          </w:p>
        </w:tc>
      </w:tr>
      <w:tr>
        <w:trPr>
          <w:trHeight w:val="20"/>
        </w:trPr>
        <w:tc>
          <w:tcPr>
            <w:tcW w:w="1120" w:type="dxa"/>
            <w:vAlign w:val="bottom"/>
          </w:tcPr>
          <w:p>
            <w:pPr>
              <w:spacing w:after="0" w:line="20" w:lineRule="exact"/>
              <w:rPr>
                <w:sz w:val="1"/>
                <w:szCs w:val="1"/>
                <w:color w:val="auto"/>
              </w:rPr>
            </w:pPr>
          </w:p>
        </w:tc>
        <w:tc>
          <w:tcPr>
            <w:tcW w:w="264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r>
      <w:tr>
        <w:trPr>
          <w:trHeight w:val="512"/>
        </w:trPr>
        <w:tc>
          <w:tcPr>
            <w:tcW w:w="1120" w:type="dxa"/>
            <w:vAlign w:val="bottom"/>
          </w:tcPr>
          <w:p>
            <w:pPr>
              <w:jc w:val="right"/>
              <w:ind w:right="759"/>
              <w:spacing w:after="0"/>
              <w:rPr>
                <w:sz w:val="20"/>
                <w:szCs w:val="20"/>
                <w:color w:val="auto"/>
              </w:rPr>
            </w:pPr>
            <w:r>
              <w:rPr>
                <w:rFonts w:ascii="Times New Roman" w:cs="Times New Roman" w:eastAsia="Times New Roman" w:hAnsi="Times New Roman"/>
                <w:sz w:val="16"/>
                <w:szCs w:val="16"/>
                <w:color w:val="auto"/>
                <w:w w:val="92"/>
              </w:rPr>
              <w:t>99.1</w:t>
            </w:r>
          </w:p>
        </w:tc>
        <w:tc>
          <w:tcPr>
            <w:tcW w:w="6360" w:type="dxa"/>
            <w:vAlign w:val="bottom"/>
            <w:tcBorders>
              <w:bottom w:val="single" w:sz="8" w:color="0000FF"/>
            </w:tcBorders>
            <w:gridSpan w:val="7"/>
          </w:tcPr>
          <w:p>
            <w:pPr>
              <w:spacing w:after="0"/>
              <w:rPr>
                <w:sz w:val="20"/>
                <w:szCs w:val="20"/>
                <w:color w:val="auto"/>
              </w:rPr>
            </w:pPr>
            <w:r>
              <w:rPr>
                <w:rFonts w:ascii="Times New Roman" w:cs="Times New Roman" w:eastAsia="Times New Roman" w:hAnsi="Times New Roman"/>
                <w:sz w:val="16"/>
                <w:szCs w:val="16"/>
                <w:color w:val="0000FF"/>
              </w:rPr>
              <w:t>Interim Consolidated Financial Statements for the three and six months ended September 30, 2024</w:t>
            </w:r>
          </w:p>
        </w:tc>
      </w:tr>
      <w:tr>
        <w:trPr>
          <w:trHeight w:val="210"/>
        </w:trPr>
        <w:tc>
          <w:tcPr>
            <w:tcW w:w="1120" w:type="dxa"/>
            <w:vAlign w:val="bottom"/>
          </w:tcPr>
          <w:p>
            <w:pPr>
              <w:jc w:val="right"/>
              <w:ind w:right="759"/>
              <w:spacing w:after="0"/>
              <w:rPr>
                <w:sz w:val="20"/>
                <w:szCs w:val="20"/>
                <w:color w:val="auto"/>
              </w:rPr>
            </w:pPr>
            <w:r>
              <w:rPr>
                <w:rFonts w:ascii="Times New Roman" w:cs="Times New Roman" w:eastAsia="Times New Roman" w:hAnsi="Times New Roman"/>
                <w:sz w:val="16"/>
                <w:szCs w:val="16"/>
                <w:color w:val="auto"/>
                <w:w w:val="92"/>
              </w:rPr>
              <w:t>99.2</w:t>
            </w:r>
          </w:p>
        </w:tc>
        <w:tc>
          <w:tcPr>
            <w:tcW w:w="6360" w:type="dxa"/>
            <w:vAlign w:val="bottom"/>
            <w:gridSpan w:val="7"/>
          </w:tcPr>
          <w:p>
            <w:pPr>
              <w:spacing w:after="0"/>
              <w:rPr>
                <w:sz w:val="20"/>
                <w:szCs w:val="20"/>
                <w:color w:val="auto"/>
              </w:rPr>
            </w:pPr>
            <w:r>
              <w:rPr>
                <w:rFonts w:ascii="Times New Roman" w:cs="Times New Roman" w:eastAsia="Times New Roman" w:hAnsi="Times New Roman"/>
                <w:sz w:val="16"/>
                <w:szCs w:val="16"/>
                <w:color w:val="0000FF"/>
              </w:rPr>
              <w:t>Management’s Discussion and Analysis for the three and six months ended September 30, 2024</w:t>
            </w:r>
          </w:p>
        </w:tc>
      </w:tr>
      <w:tr>
        <w:trPr>
          <w:trHeight w:val="210"/>
        </w:trPr>
        <w:tc>
          <w:tcPr>
            <w:tcW w:w="1120" w:type="dxa"/>
            <w:vAlign w:val="bottom"/>
          </w:tcPr>
          <w:p>
            <w:pPr>
              <w:jc w:val="right"/>
              <w:ind w:right="759"/>
              <w:spacing w:after="0"/>
              <w:rPr>
                <w:sz w:val="20"/>
                <w:szCs w:val="20"/>
                <w:color w:val="auto"/>
              </w:rPr>
            </w:pPr>
            <w:r>
              <w:rPr>
                <w:rFonts w:ascii="Times New Roman" w:cs="Times New Roman" w:eastAsia="Times New Roman" w:hAnsi="Times New Roman"/>
                <w:sz w:val="16"/>
                <w:szCs w:val="16"/>
                <w:color w:val="auto"/>
                <w:w w:val="92"/>
              </w:rPr>
              <w:t>99.3</w:t>
            </w:r>
          </w:p>
        </w:tc>
        <w:tc>
          <w:tcPr>
            <w:tcW w:w="4280" w:type="dxa"/>
            <w:vAlign w:val="bottom"/>
            <w:tcBorders>
              <w:top w:val="single" w:sz="8" w:color="0000FF"/>
              <w:bottom w:val="single" w:sz="8" w:color="0000FF"/>
            </w:tcBorders>
            <w:gridSpan w:val="4"/>
          </w:tcPr>
          <w:p>
            <w:pPr>
              <w:spacing w:after="0"/>
              <w:rPr>
                <w:sz w:val="20"/>
                <w:szCs w:val="20"/>
                <w:color w:val="auto"/>
              </w:rPr>
            </w:pPr>
            <w:r>
              <w:rPr>
                <w:rFonts w:ascii="Times New Roman" w:cs="Times New Roman" w:eastAsia="Times New Roman" w:hAnsi="Times New Roman"/>
                <w:sz w:val="16"/>
                <w:szCs w:val="16"/>
                <w:color w:val="0000FF"/>
              </w:rPr>
              <w:t>Certification of Interim Filings by CEO dated November 13, 2024</w:t>
            </w:r>
          </w:p>
        </w:tc>
        <w:tc>
          <w:tcPr>
            <w:tcW w:w="1900" w:type="dxa"/>
            <w:vAlign w:val="bottom"/>
            <w:tcBorders>
              <w:top w:val="single" w:sz="8" w:color="0000FF"/>
            </w:tcBorders>
            <w:gridSpan w:val="2"/>
          </w:tcPr>
          <w:p>
            <w:pPr>
              <w:spacing w:after="0"/>
              <w:rPr>
                <w:sz w:val="18"/>
                <w:szCs w:val="18"/>
                <w:color w:val="auto"/>
              </w:rPr>
            </w:pPr>
          </w:p>
        </w:tc>
        <w:tc>
          <w:tcPr>
            <w:tcW w:w="180" w:type="dxa"/>
            <w:vAlign w:val="bottom"/>
          </w:tcPr>
          <w:p>
            <w:pPr>
              <w:spacing w:after="0"/>
              <w:rPr>
                <w:sz w:val="18"/>
                <w:szCs w:val="18"/>
                <w:color w:val="auto"/>
              </w:rPr>
            </w:pPr>
          </w:p>
        </w:tc>
      </w:tr>
      <w:tr>
        <w:trPr>
          <w:trHeight w:val="210"/>
        </w:trPr>
        <w:tc>
          <w:tcPr>
            <w:tcW w:w="1120" w:type="dxa"/>
            <w:vAlign w:val="bottom"/>
          </w:tcPr>
          <w:p>
            <w:pPr>
              <w:jc w:val="right"/>
              <w:ind w:right="759"/>
              <w:spacing w:after="0"/>
              <w:rPr>
                <w:sz w:val="20"/>
                <w:szCs w:val="20"/>
                <w:color w:val="auto"/>
              </w:rPr>
            </w:pPr>
            <w:r>
              <w:rPr>
                <w:rFonts w:ascii="Times New Roman" w:cs="Times New Roman" w:eastAsia="Times New Roman" w:hAnsi="Times New Roman"/>
                <w:sz w:val="16"/>
                <w:szCs w:val="16"/>
                <w:color w:val="auto"/>
                <w:w w:val="92"/>
              </w:rPr>
              <w:t>99.4</w:t>
            </w:r>
          </w:p>
        </w:tc>
        <w:tc>
          <w:tcPr>
            <w:tcW w:w="6360" w:type="dxa"/>
            <w:vAlign w:val="bottom"/>
            <w:gridSpan w:val="7"/>
          </w:tcPr>
          <w:p>
            <w:pPr>
              <w:spacing w:after="0"/>
              <w:rPr>
                <w:sz w:val="20"/>
                <w:szCs w:val="20"/>
                <w:color w:val="auto"/>
              </w:rPr>
            </w:pPr>
            <w:r>
              <w:rPr>
                <w:rFonts w:ascii="Times New Roman" w:cs="Times New Roman" w:eastAsia="Times New Roman" w:hAnsi="Times New Roman"/>
                <w:sz w:val="16"/>
                <w:szCs w:val="16"/>
                <w:color w:val="0000FF"/>
              </w:rPr>
              <w:t>Certification of Interim Filings by CFO dated November 13, 2024</w:t>
            </w:r>
          </w:p>
        </w:tc>
      </w:tr>
      <w:tr>
        <w:trPr>
          <w:trHeight w:val="210"/>
        </w:trPr>
        <w:tc>
          <w:tcPr>
            <w:tcW w:w="1120" w:type="dxa"/>
            <w:vAlign w:val="bottom"/>
          </w:tcPr>
          <w:p>
            <w:pPr>
              <w:jc w:val="right"/>
              <w:ind w:right="759"/>
              <w:spacing w:after="0"/>
              <w:rPr>
                <w:sz w:val="20"/>
                <w:szCs w:val="20"/>
                <w:color w:val="auto"/>
              </w:rPr>
            </w:pPr>
            <w:r>
              <w:rPr>
                <w:rFonts w:ascii="Times New Roman" w:cs="Times New Roman" w:eastAsia="Times New Roman" w:hAnsi="Times New Roman"/>
                <w:sz w:val="16"/>
                <w:szCs w:val="16"/>
                <w:color w:val="auto"/>
                <w:w w:val="92"/>
              </w:rPr>
              <w:t>99.5</w:t>
            </w:r>
          </w:p>
        </w:tc>
        <w:tc>
          <w:tcPr>
            <w:tcW w:w="2640" w:type="dxa"/>
            <w:vAlign w:val="bottom"/>
            <w:tcBorders>
              <w:top w:val="single" w:sz="8" w:color="0000FF"/>
              <w:bottom w:val="single" w:sz="8" w:color="0000FF"/>
            </w:tcBorders>
          </w:tcPr>
          <w:p>
            <w:pPr>
              <w:spacing w:after="0"/>
              <w:rPr>
                <w:sz w:val="20"/>
                <w:szCs w:val="20"/>
                <w:color w:val="auto"/>
              </w:rPr>
            </w:pPr>
            <w:r>
              <w:rPr>
                <w:rFonts w:ascii="Times New Roman" w:cs="Times New Roman" w:eastAsia="Times New Roman" w:hAnsi="Times New Roman"/>
                <w:sz w:val="16"/>
                <w:szCs w:val="16"/>
                <w:color w:val="0000FF"/>
              </w:rPr>
              <w:t>News Release dated November 13, 2024</w:t>
            </w:r>
          </w:p>
        </w:tc>
        <w:tc>
          <w:tcPr>
            <w:tcW w:w="1620" w:type="dxa"/>
            <w:vAlign w:val="bottom"/>
            <w:tcBorders>
              <w:top w:val="single" w:sz="8" w:color="0000FF"/>
            </w:tcBorders>
            <w:gridSpan w:val="2"/>
          </w:tcPr>
          <w:p>
            <w:pPr>
              <w:spacing w:after="0"/>
              <w:rPr>
                <w:sz w:val="18"/>
                <w:szCs w:val="18"/>
                <w:color w:val="auto"/>
              </w:rPr>
            </w:pPr>
          </w:p>
        </w:tc>
        <w:tc>
          <w:tcPr>
            <w:tcW w:w="2100" w:type="dxa"/>
            <w:vAlign w:val="bottom"/>
            <w:gridSpan w:val="4"/>
          </w:tcPr>
          <w:p>
            <w:pPr>
              <w:spacing w:after="0"/>
              <w:rPr>
                <w:sz w:val="18"/>
                <w:szCs w:val="18"/>
                <w:color w:val="auto"/>
              </w:rPr>
            </w:pPr>
          </w:p>
        </w:tc>
      </w:tr>
    </w:tbl>
    <w:p>
      <w:pPr>
        <w:sectPr>
          <w:pgSz w:w="11900" w:h="16838" w:orient="portrait"/>
          <w:cols w:equalWidth="0" w:num="1">
            <w:col w:w="10119"/>
          </w:cols>
          <w:pgMar w:left="340" w:top="1273" w:right="1440" w:bottom="1440" w:gutter="0" w:footer="0" w:header="0"/>
        </w:sectPr>
      </w:pPr>
    </w:p>
    <w:bookmarkStart w:id="3" w:name="page4"/>
    <w:bookmarkEnd w:id="3"/>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3087370</wp:posOffset>
            </wp:positionH>
            <wp:positionV relativeFrom="page">
              <wp:posOffset>2583815</wp:posOffset>
            </wp:positionV>
            <wp:extent cx="1381760" cy="80581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clrChange>
                        <a:clrFrom>
                          <a:srgbClr val="FFFFFF"/>
                        </a:clrFrom>
                        <a:clrTo>
                          <a:srgbClr val="FFFFFF">
                            <a:alpha val="0"/>
                          </a:srgbClr>
                        </a:clrTo>
                      </a:clrChange>
                      <a:extLst>
                        <a:ext uri="{28A0092B-C50C-407E-A947-70E740481C1C}"/>
                      </a:extLst>
                    </a:blip>
                    <a:srcRect/>
                    <a:stretch>
                      <a:fillRect/>
                    </a:stretch>
                  </pic:blipFill>
                  <pic:spPr bwMode="auto">
                    <a:xfrm>
                      <a:off x="0" y="0"/>
                      <a:ext cx="1381760" cy="8058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jc w:val="center"/>
        <w:spacing w:after="0"/>
        <w:rPr>
          <w:sz w:val="20"/>
          <w:szCs w:val="20"/>
          <w:color w:val="auto"/>
        </w:rPr>
      </w:pPr>
      <w:r>
        <w:rPr>
          <w:rFonts w:ascii="Calibri" w:cs="Calibri" w:eastAsia="Calibri" w:hAnsi="Calibri"/>
          <w:sz w:val="39"/>
          <w:szCs w:val="39"/>
          <w:b w:val="1"/>
          <w:bCs w:val="1"/>
          <w:color w:val="auto"/>
        </w:rPr>
        <w:t>CYBIN INC.</w:t>
      </w:r>
    </w:p>
    <w:p>
      <w:pPr>
        <w:spacing w:after="0" w:line="235" w:lineRule="exact"/>
        <w:rPr>
          <w:sz w:val="20"/>
          <w:szCs w:val="20"/>
          <w:color w:val="auto"/>
        </w:rPr>
      </w:pPr>
    </w:p>
    <w:p>
      <w:pPr>
        <w:jc w:val="center"/>
        <w:spacing w:after="0"/>
        <w:rPr>
          <w:sz w:val="20"/>
          <w:szCs w:val="20"/>
          <w:color w:val="auto"/>
        </w:rPr>
      </w:pPr>
      <w:r>
        <w:rPr>
          <w:rFonts w:ascii="Calibri" w:cs="Calibri" w:eastAsia="Calibri" w:hAnsi="Calibri"/>
          <w:sz w:val="22"/>
          <w:szCs w:val="22"/>
          <w:b w:val="1"/>
          <w:bCs w:val="1"/>
          <w:color w:val="auto"/>
        </w:rPr>
        <w:t>CONDENSED INTERIM CONSOLIDATED FINANCIAL STATEMENTS</w:t>
      </w:r>
    </w:p>
    <w:p>
      <w:pPr>
        <w:spacing w:after="0" w:line="191" w:lineRule="exact"/>
        <w:rPr>
          <w:sz w:val="20"/>
          <w:szCs w:val="20"/>
          <w:color w:val="auto"/>
        </w:rPr>
      </w:pPr>
    </w:p>
    <w:p>
      <w:pPr>
        <w:jc w:val="center"/>
        <w:spacing w:after="0"/>
        <w:rPr>
          <w:sz w:val="20"/>
          <w:szCs w:val="20"/>
          <w:color w:val="auto"/>
        </w:rPr>
      </w:pPr>
      <w:r>
        <w:rPr>
          <w:rFonts w:ascii="Calibri" w:cs="Calibri" w:eastAsia="Calibri" w:hAnsi="Calibri"/>
          <w:sz w:val="23"/>
          <w:szCs w:val="23"/>
          <w:b w:val="1"/>
          <w:bCs w:val="1"/>
          <w:color w:val="auto"/>
        </w:rPr>
        <w:t>SEPTEMBER 30, 2024</w:t>
      </w:r>
    </w:p>
    <w:p>
      <w:pPr>
        <w:spacing w:after="0" w:line="203" w:lineRule="exact"/>
        <w:rPr>
          <w:sz w:val="20"/>
          <w:szCs w:val="20"/>
          <w:color w:val="auto"/>
        </w:rPr>
      </w:pPr>
    </w:p>
    <w:p>
      <w:pPr>
        <w:jc w:val="center"/>
        <w:spacing w:after="0"/>
        <w:rPr>
          <w:sz w:val="20"/>
          <w:szCs w:val="20"/>
          <w:color w:val="auto"/>
        </w:rPr>
      </w:pPr>
      <w:r>
        <w:rPr>
          <w:rFonts w:ascii="Calibri" w:cs="Calibri" w:eastAsia="Calibri" w:hAnsi="Calibri"/>
          <w:sz w:val="23"/>
          <w:szCs w:val="23"/>
          <w:b w:val="1"/>
          <w:bCs w:val="1"/>
          <w:color w:val="auto"/>
        </w:rPr>
        <w:t>(UNAUDITED)</w:t>
      </w:r>
    </w:p>
    <w:p>
      <w:pPr>
        <w:sectPr>
          <w:pgSz w:w="11900" w:h="16838" w:orient="portrait"/>
          <w:cols w:equalWidth="0" w:num="1">
            <w:col w:w="9019"/>
          </w:cols>
          <w:pgMar w:left="1440" w:top="1440" w:right="1440" w:bottom="1440" w:gutter="0" w:footer="0" w:header="0"/>
        </w:sectPr>
      </w:pPr>
    </w:p>
    <w:bookmarkStart w:id="4" w:name="page5"/>
    <w:bookmarkEnd w:id="4"/>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p>
      <w:pPr>
        <w:spacing w:after="0"/>
        <w:rPr>
          <w:sz w:val="20"/>
          <w:szCs w:val="20"/>
          <w:color w:val="auto"/>
        </w:rPr>
      </w:pPr>
      <w:r>
        <w:rPr>
          <w:rFonts w:ascii="Calibri" w:cs="Calibri" w:eastAsia="Calibri" w:hAnsi="Calibri"/>
          <w:sz w:val="18"/>
          <w:szCs w:val="18"/>
          <w:b w:val="1"/>
          <w:bCs w:val="1"/>
          <w:color w:val="auto"/>
        </w:rPr>
        <w:t>TO OUR SHAREHOLDERS</w:t>
      </w:r>
    </w:p>
    <w:p>
      <w:pPr>
        <w:spacing w:after="0" w:line="196" w:lineRule="exact"/>
        <w:rPr>
          <w:sz w:val="20"/>
          <w:szCs w:val="20"/>
          <w:color w:val="auto"/>
        </w:rPr>
      </w:pPr>
    </w:p>
    <w:p>
      <w:pPr>
        <w:jc w:val="both"/>
        <w:spacing w:after="0" w:line="277" w:lineRule="auto"/>
        <w:rPr>
          <w:sz w:val="20"/>
          <w:szCs w:val="20"/>
          <w:color w:val="auto"/>
        </w:rPr>
      </w:pPr>
      <w:r>
        <w:rPr>
          <w:rFonts w:ascii="Calibri" w:cs="Calibri" w:eastAsia="Calibri" w:hAnsi="Calibri"/>
          <w:sz w:val="19"/>
          <w:szCs w:val="19"/>
          <w:color w:val="auto"/>
        </w:rPr>
        <w:t xml:space="preserve">The accompanying unaudited condensed interim consolidated fnancial statements of Cybin Inc. ("Cybin") have been prepared by and are the responsibility of Cybin's management in accordance with Internatonal Accountng Standards (“IAS”) 34, Interim Financial Reportng as issued by the Internatonal Accountng Standards Board ("IASB''). These unaudited condensed interim consolidated fnancial statements do not include all the informaton and notes required by Internatonal Financial Reportng Standards ("IFRS'') for annual fnancial statements and should be read in conjuncton with Cybin’s annual fnancial statements and notes for the year ended March 31, 2024, which are available on SEDAR+ at </w:t>
      </w:r>
      <w:r>
        <w:rPr>
          <w:rFonts w:ascii="Calibri" w:cs="Calibri" w:eastAsia="Calibri" w:hAnsi="Calibri"/>
          <w:sz w:val="19"/>
          <w:szCs w:val="19"/>
          <w:u w:val="single" w:color="auto"/>
          <w:color w:val="0000E1"/>
        </w:rPr>
        <w:t>www.sedarplus.com</w:t>
      </w:r>
      <w:r>
        <w:rPr>
          <w:rFonts w:ascii="Calibri" w:cs="Calibri" w:eastAsia="Calibri" w:hAnsi="Calibri"/>
          <w:sz w:val="19"/>
          <w:szCs w:val="19"/>
          <w:color w:val="auto"/>
        </w:rPr>
        <w:t>.</w:t>
      </w:r>
    </w:p>
    <w:p>
      <w:pPr>
        <w:sectPr>
          <w:pgSz w:w="11900" w:h="16838" w:orient="portrait"/>
          <w:cols w:equalWidth="0" w:num="1">
            <w:col w:w="11240"/>
          </w:cols>
          <w:pgMar w:left="320" w:top="1440" w:right="339" w:bottom="1440" w:gutter="0" w:footer="0" w:header="0"/>
        </w:sectPr>
      </w:pPr>
    </w:p>
    <w:bookmarkStart w:id="5" w:name="page6"/>
    <w:bookmarkEnd w:id="5"/>
    <w:p>
      <w:pPr>
        <w:ind w:left="60"/>
        <w:spacing w:after="0"/>
        <w:rPr>
          <w:sz w:val="20"/>
          <w:szCs w:val="20"/>
          <w:color w:val="auto"/>
        </w:rPr>
      </w:pPr>
      <w:r>
        <w:rPr>
          <w:rFonts w:ascii="Calibri" w:cs="Calibri" w:eastAsia="Calibri" w:hAnsi="Calibri"/>
          <w:sz w:val="19"/>
          <w:szCs w:val="19"/>
          <w:b w:val="1"/>
          <w:bCs w:val="1"/>
          <w:color w:val="auto"/>
        </w:rPr>
        <w:t>CYBIN INC.</w:t>
      </w:r>
    </w:p>
    <w:p>
      <w:pPr>
        <w:ind w:left="60" w:right="5080"/>
        <w:spacing w:after="0"/>
        <w:rPr>
          <w:sz w:val="20"/>
          <w:szCs w:val="20"/>
          <w:color w:val="auto"/>
        </w:rPr>
      </w:pPr>
      <w:r>
        <w:rPr>
          <w:rFonts w:ascii="Calibri" w:cs="Calibri" w:eastAsia="Calibri" w:hAnsi="Calibri"/>
          <w:sz w:val="19"/>
          <w:szCs w:val="19"/>
          <w:b w:val="1"/>
          <w:bCs w:val="1"/>
          <w:color w:val="auto"/>
        </w:rPr>
        <w:t>CONDENSED INTERIM CONSOLIDATED STATEMENTS OF FINANCIAL POSITION (All amounts expressed in thousands of Canadian dollars) (Unaudited)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189230</wp:posOffset>
            </wp:positionV>
            <wp:extent cx="7146925" cy="762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46925" cy="7620"/>
                    </a:xfrm>
                    <a:prstGeom prst="rect">
                      <a:avLst/>
                    </a:prstGeom>
                    <a:noFill/>
                  </pic:spPr>
                </pic:pic>
              </a:graphicData>
            </a:graphic>
          </wp:anchor>
        </w:drawing>
      </w:r>
    </w:p>
    <w:p>
      <w:pPr>
        <w:sectPr>
          <w:pgSz w:w="11900" w:h="16838" w:orient="portrait"/>
          <w:cols w:equalWidth="0" w:num="1">
            <w:col w:w="11260"/>
          </w:cols>
          <w:pgMar w:left="320" w:top="209" w:right="31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spacing w:after="0"/>
        <w:rPr>
          <w:sz w:val="20"/>
          <w:szCs w:val="20"/>
          <w:color w:val="auto"/>
        </w:rPr>
      </w:pPr>
      <w:r>
        <w:rPr>
          <w:rFonts w:ascii="Arial" w:cs="Arial" w:eastAsia="Arial" w:hAnsi="Arial"/>
          <w:sz w:val="15"/>
          <w:szCs w:val="15"/>
          <w:b w:val="1"/>
          <w:bCs w:val="1"/>
          <w:color w:val="auto"/>
        </w:rPr>
        <w:t>As at</w:t>
      </w:r>
    </w:p>
    <w:p>
      <w:pPr>
        <w:spacing w:after="0" w:line="261" w:lineRule="exact"/>
        <w:rPr>
          <w:sz w:val="20"/>
          <w:szCs w:val="20"/>
          <w:color w:val="auto"/>
        </w:rPr>
      </w:pPr>
    </w:p>
    <w:p>
      <w:pPr>
        <w:ind w:left="60"/>
        <w:spacing w:after="0"/>
        <w:rPr>
          <w:sz w:val="20"/>
          <w:szCs w:val="20"/>
          <w:color w:val="auto"/>
        </w:rPr>
      </w:pPr>
      <w:r>
        <w:rPr>
          <w:rFonts w:ascii="Calibri" w:cs="Calibri" w:eastAsia="Calibri" w:hAnsi="Calibri"/>
          <w:sz w:val="15"/>
          <w:szCs w:val="15"/>
          <w:b w:val="1"/>
          <w:bCs w:val="1"/>
          <w:color w:val="auto"/>
        </w:rPr>
        <w:t>ASSETS</w:t>
      </w:r>
    </w:p>
    <w:p>
      <w:pPr>
        <w:spacing w:after="0" w:line="83" w:lineRule="exact"/>
        <w:rPr>
          <w:sz w:val="20"/>
          <w:szCs w:val="20"/>
          <w:color w:val="auto"/>
        </w:rPr>
      </w:pPr>
    </w:p>
    <w:p>
      <w:pPr>
        <w:ind w:left="200"/>
        <w:spacing w:after="0"/>
        <w:rPr>
          <w:sz w:val="20"/>
          <w:szCs w:val="20"/>
          <w:color w:val="auto"/>
        </w:rPr>
      </w:pPr>
      <w:r>
        <w:rPr>
          <w:rFonts w:ascii="Calibri" w:cs="Calibri" w:eastAsia="Calibri" w:hAnsi="Calibri"/>
          <w:sz w:val="15"/>
          <w:szCs w:val="15"/>
          <w:b w:val="1"/>
          <w:bCs w:val="1"/>
          <w:color w:val="auto"/>
        </w:rPr>
        <w:t>Current</w:t>
      </w:r>
    </w:p>
    <w:p>
      <w:pPr>
        <w:spacing w:after="0" w:line="131" w:lineRule="exact"/>
        <w:rPr>
          <w:sz w:val="20"/>
          <w:szCs w:val="20"/>
          <w:color w:val="auto"/>
        </w:rPr>
      </w:pPr>
    </w:p>
    <w:p>
      <w:pPr>
        <w:ind w:left="500"/>
        <w:spacing w:after="0"/>
        <w:rPr>
          <w:sz w:val="20"/>
          <w:szCs w:val="20"/>
          <w:color w:val="auto"/>
        </w:rPr>
      </w:pPr>
      <w:r>
        <w:rPr>
          <w:rFonts w:ascii="Calibri" w:cs="Calibri" w:eastAsia="Calibri" w:hAnsi="Calibri"/>
          <w:sz w:val="15"/>
          <w:szCs w:val="15"/>
          <w:color w:val="auto"/>
        </w:rPr>
        <w:t>Cash</w:t>
      </w:r>
    </w:p>
    <w:p>
      <w:pPr>
        <w:spacing w:after="0" w:line="142" w:lineRule="exact"/>
        <w:rPr>
          <w:sz w:val="20"/>
          <w:szCs w:val="20"/>
          <w:color w:val="auto"/>
        </w:rPr>
      </w:pPr>
    </w:p>
    <w:p>
      <w:pPr>
        <w:ind w:left="500"/>
        <w:spacing w:after="0"/>
        <w:rPr>
          <w:sz w:val="20"/>
          <w:szCs w:val="20"/>
          <w:color w:val="auto"/>
        </w:rPr>
      </w:pPr>
      <w:r>
        <w:rPr>
          <w:rFonts w:ascii="Calibri" w:cs="Calibri" w:eastAsia="Calibri" w:hAnsi="Calibri"/>
          <w:sz w:val="13"/>
          <w:szCs w:val="13"/>
          <w:color w:val="auto"/>
        </w:rPr>
        <w:t>Accounts receivable</w:t>
      </w:r>
    </w:p>
    <w:p>
      <w:pPr>
        <w:spacing w:after="0" w:line="145" w:lineRule="exact"/>
        <w:rPr>
          <w:sz w:val="20"/>
          <w:szCs w:val="20"/>
          <w:color w:val="auto"/>
        </w:rPr>
      </w:pPr>
    </w:p>
    <w:p>
      <w:pPr>
        <w:ind w:left="500"/>
        <w:spacing w:after="0"/>
        <w:rPr>
          <w:sz w:val="20"/>
          <w:szCs w:val="20"/>
          <w:color w:val="auto"/>
        </w:rPr>
      </w:pPr>
      <w:r>
        <w:rPr>
          <w:rFonts w:ascii="Calibri" w:cs="Calibri" w:eastAsia="Calibri" w:hAnsi="Calibri"/>
          <w:sz w:val="15"/>
          <w:szCs w:val="15"/>
          <w:color w:val="auto"/>
        </w:rPr>
        <w:t>Prepaid expenses</w:t>
      </w:r>
    </w:p>
    <w:p>
      <w:pPr>
        <w:spacing w:after="0" w:line="131" w:lineRule="exact"/>
        <w:rPr>
          <w:sz w:val="20"/>
          <w:szCs w:val="20"/>
          <w:color w:val="auto"/>
        </w:rPr>
      </w:pPr>
    </w:p>
    <w:p>
      <w:pPr>
        <w:jc w:val="right"/>
        <w:ind w:right="4520"/>
        <w:spacing w:after="0"/>
        <w:rPr>
          <w:sz w:val="20"/>
          <w:szCs w:val="20"/>
          <w:color w:val="auto"/>
        </w:rPr>
      </w:pPr>
      <w:r>
        <w:rPr>
          <w:rFonts w:ascii="Calibri" w:cs="Calibri" w:eastAsia="Calibri" w:hAnsi="Calibri"/>
          <w:sz w:val="15"/>
          <w:szCs w:val="15"/>
          <w:color w:val="auto"/>
        </w:rPr>
        <w:t>Other current assets</w:t>
      </w:r>
    </w:p>
    <w:p>
      <w:pPr>
        <w:spacing w:after="0" w:line="252" w:lineRule="exact"/>
        <w:rPr>
          <w:sz w:val="20"/>
          <w:szCs w:val="20"/>
          <w:color w:val="auto"/>
        </w:rPr>
      </w:pPr>
    </w:p>
    <w:p>
      <w:pPr>
        <w:ind w:left="60"/>
        <w:spacing w:after="0"/>
        <w:rPr>
          <w:sz w:val="20"/>
          <w:szCs w:val="20"/>
          <w:color w:val="auto"/>
        </w:rPr>
      </w:pPr>
      <w:r>
        <w:rPr>
          <w:rFonts w:ascii="Calibri" w:cs="Calibri" w:eastAsia="Calibri" w:hAnsi="Calibri"/>
          <w:sz w:val="15"/>
          <w:szCs w:val="15"/>
          <w:b w:val="1"/>
          <w:bCs w:val="1"/>
          <w:color w:val="auto"/>
        </w:rPr>
        <w:t>Total Current Assets</w:t>
      </w:r>
    </w:p>
    <w:p>
      <w:pPr>
        <w:spacing w:after="0" w:line="252" w:lineRule="exact"/>
        <w:rPr>
          <w:sz w:val="20"/>
          <w:szCs w:val="20"/>
          <w:color w:val="auto"/>
        </w:rPr>
      </w:pPr>
    </w:p>
    <w:p>
      <w:pPr>
        <w:ind w:left="200"/>
        <w:spacing w:after="0"/>
        <w:rPr>
          <w:sz w:val="20"/>
          <w:szCs w:val="20"/>
          <w:color w:val="auto"/>
        </w:rPr>
      </w:pPr>
      <w:r>
        <w:rPr>
          <w:rFonts w:ascii="Calibri" w:cs="Calibri" w:eastAsia="Calibri" w:hAnsi="Calibri"/>
          <w:sz w:val="15"/>
          <w:szCs w:val="15"/>
          <w:b w:val="1"/>
          <w:bCs w:val="1"/>
          <w:color w:val="auto"/>
        </w:rPr>
        <w:t>Non-current</w:t>
      </w:r>
    </w:p>
    <w:p>
      <w:pPr>
        <w:spacing w:after="0" w:line="131" w:lineRule="exact"/>
        <w:rPr>
          <w:sz w:val="20"/>
          <w:szCs w:val="20"/>
          <w:color w:val="auto"/>
        </w:rPr>
      </w:pPr>
    </w:p>
    <w:p>
      <w:pPr>
        <w:ind w:left="500"/>
        <w:spacing w:after="0"/>
        <w:rPr>
          <w:sz w:val="20"/>
          <w:szCs w:val="20"/>
          <w:color w:val="auto"/>
        </w:rPr>
      </w:pPr>
      <w:r>
        <w:rPr>
          <w:rFonts w:ascii="Calibri" w:cs="Calibri" w:eastAsia="Calibri" w:hAnsi="Calibri"/>
          <w:sz w:val="15"/>
          <w:szCs w:val="15"/>
          <w:color w:val="auto"/>
        </w:rPr>
        <w:t>Equipment</w:t>
      </w:r>
    </w:p>
    <w:p>
      <w:pPr>
        <w:spacing w:after="0" w:line="131" w:lineRule="exact"/>
        <w:rPr>
          <w:sz w:val="20"/>
          <w:szCs w:val="20"/>
          <w:color w:val="auto"/>
        </w:rPr>
      </w:pPr>
    </w:p>
    <w:p>
      <w:pPr>
        <w:ind w:left="500"/>
        <w:spacing w:after="0"/>
        <w:rPr>
          <w:sz w:val="20"/>
          <w:szCs w:val="20"/>
          <w:color w:val="auto"/>
        </w:rPr>
      </w:pPr>
      <w:r>
        <w:rPr>
          <w:rFonts w:ascii="Calibri" w:cs="Calibri" w:eastAsia="Calibri" w:hAnsi="Calibri"/>
          <w:sz w:val="15"/>
          <w:szCs w:val="15"/>
          <w:color w:val="auto"/>
        </w:rPr>
        <w:t>Intangible assets</w:t>
      </w:r>
    </w:p>
    <w:p>
      <w:pPr>
        <w:spacing w:after="0" w:line="59" w:lineRule="exact"/>
        <w:rPr>
          <w:sz w:val="20"/>
          <w:szCs w:val="20"/>
          <w:color w:val="auto"/>
        </w:rPr>
      </w:pPr>
    </w:p>
    <w:p>
      <w:pPr>
        <w:ind w:left="480"/>
        <w:spacing w:after="0"/>
        <w:rPr>
          <w:sz w:val="20"/>
          <w:szCs w:val="20"/>
          <w:color w:val="auto"/>
        </w:rPr>
      </w:pPr>
      <w:r>
        <w:rPr>
          <w:rFonts w:ascii="Calibri" w:cs="Calibri" w:eastAsia="Calibri" w:hAnsi="Calibri"/>
          <w:sz w:val="15"/>
          <w:szCs w:val="15"/>
          <w:color w:val="auto"/>
        </w:rPr>
        <w:t>Right-of-use asset</w:t>
      </w:r>
    </w:p>
    <w:p>
      <w:pPr>
        <w:spacing w:after="0" w:line="83" w:lineRule="exact"/>
        <w:rPr>
          <w:sz w:val="20"/>
          <w:szCs w:val="20"/>
          <w:color w:val="auto"/>
        </w:rPr>
      </w:pPr>
    </w:p>
    <w:p>
      <w:pPr>
        <w:ind w:left="500"/>
        <w:spacing w:after="0"/>
        <w:rPr>
          <w:sz w:val="20"/>
          <w:szCs w:val="20"/>
          <w:color w:val="auto"/>
        </w:rPr>
      </w:pPr>
      <w:r>
        <w:rPr>
          <w:rFonts w:ascii="Calibri" w:cs="Calibri" w:eastAsia="Calibri" w:hAnsi="Calibri"/>
          <w:sz w:val="15"/>
          <w:szCs w:val="15"/>
          <w:color w:val="auto"/>
        </w:rPr>
        <w:t>Goodwill</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spacing w:after="0"/>
        <w:tabs>
          <w:tab w:leader="none" w:pos="660" w:val="left"/>
          <w:tab w:leader="none" w:pos="3300" w:val="left"/>
        </w:tabs>
        <w:rPr>
          <w:sz w:val="20"/>
          <w:szCs w:val="20"/>
          <w:color w:val="auto"/>
        </w:rPr>
      </w:pPr>
      <w:r>
        <w:rPr>
          <w:rFonts w:ascii="Calibri" w:cs="Calibri" w:eastAsia="Calibri" w:hAnsi="Calibri"/>
          <w:sz w:val="29"/>
          <w:szCs w:val="29"/>
          <w:i w:val="1"/>
          <w:iCs w:val="1"/>
          <w:color w:val="auto"/>
          <w:vertAlign w:val="subscript"/>
        </w:rPr>
        <w:t>Notes</w:t>
      </w:r>
      <w:r>
        <w:rPr>
          <w:sz w:val="20"/>
          <w:szCs w:val="20"/>
          <w:color w:val="auto"/>
        </w:rPr>
        <w:tab/>
      </w:r>
      <w:r>
        <w:rPr>
          <w:rFonts w:ascii="Calibri" w:cs="Calibri" w:eastAsia="Calibri" w:hAnsi="Calibri"/>
          <w:sz w:val="15"/>
          <w:szCs w:val="15"/>
          <w:b w:val="1"/>
          <w:bCs w:val="1"/>
          <w:color w:val="auto"/>
        </w:rPr>
        <w:t>September 30, 2024</w:t>
      </w:r>
      <w:r>
        <w:rPr>
          <w:sz w:val="20"/>
          <w:szCs w:val="20"/>
          <w:color w:val="auto"/>
        </w:rPr>
        <w:tab/>
      </w:r>
      <w:r>
        <w:rPr>
          <w:rFonts w:ascii="Calibri" w:cs="Calibri" w:eastAsia="Calibri" w:hAnsi="Calibri"/>
          <w:sz w:val="13"/>
          <w:szCs w:val="13"/>
          <w:b w:val="1"/>
          <w:bCs w:val="1"/>
          <w:color w:val="auto"/>
        </w:rPr>
        <w:t>March 31,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-4408170</wp:posOffset>
            </wp:positionH>
            <wp:positionV relativeFrom="paragraph">
              <wp:posOffset>119380</wp:posOffset>
            </wp:positionV>
            <wp:extent cx="7146925" cy="762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46925" cy="76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tbl>
      <w:tblPr>
        <w:tblLayout w:type="fixed"/>
        <w:tblInd w:w="120" w:type="dxa"/>
        <w:tblCellMar>
          <w:top w:w="0" w:type="dxa"/>
          <w:left w:w="0" w:type="dxa"/>
          <w:bottom w:w="0" w:type="dxa"/>
          <w:right w:w="0" w:type="dxa"/>
        </w:tblCellMar>
      </w:tblPr>
      <w:tr>
        <w:trPr>
          <w:trHeight w:val="183"/>
        </w:trPr>
        <w:tc>
          <w:tcPr>
            <w:tcW w:w="1080" w:type="dxa"/>
            <w:vAlign w:val="bottom"/>
          </w:tcPr>
          <w:p>
            <w:pPr>
              <w:spacing w:after="0"/>
              <w:rPr>
                <w:sz w:val="15"/>
                <w:szCs w:val="15"/>
                <w:color w:val="auto"/>
              </w:rPr>
            </w:pPr>
          </w:p>
        </w:tc>
        <w:tc>
          <w:tcPr>
            <w:tcW w:w="2020" w:type="dxa"/>
            <w:vAlign w:val="bottom"/>
          </w:tcPr>
          <w:p>
            <w:pPr>
              <w:jc w:val="right"/>
              <w:ind w:right="467"/>
              <w:spacing w:after="0"/>
              <w:rPr>
                <w:sz w:val="20"/>
                <w:szCs w:val="20"/>
                <w:color w:val="auto"/>
              </w:rPr>
            </w:pPr>
            <w:r>
              <w:rPr>
                <w:rFonts w:ascii="Calibri" w:cs="Calibri" w:eastAsia="Calibri" w:hAnsi="Calibri"/>
                <w:sz w:val="15"/>
                <w:szCs w:val="15"/>
                <w:color w:val="auto"/>
              </w:rPr>
              <w:t>154,318</w:t>
            </w:r>
          </w:p>
        </w:tc>
        <w:tc>
          <w:tcPr>
            <w:tcW w:w="1040" w:type="dxa"/>
            <w:vAlign w:val="bottom"/>
          </w:tcPr>
          <w:p>
            <w:pPr>
              <w:jc w:val="right"/>
              <w:spacing w:after="0"/>
              <w:rPr>
                <w:sz w:val="20"/>
                <w:szCs w:val="20"/>
                <w:color w:val="auto"/>
              </w:rPr>
            </w:pPr>
            <w:r>
              <w:rPr>
                <w:rFonts w:ascii="Calibri" w:cs="Calibri" w:eastAsia="Calibri" w:hAnsi="Calibri"/>
                <w:sz w:val="15"/>
                <w:szCs w:val="15"/>
                <w:color w:val="auto"/>
              </w:rPr>
              <w:t>208,992</w:t>
            </w:r>
          </w:p>
        </w:tc>
        <w:tc>
          <w:tcPr>
            <w:tcW w:w="0" w:type="dxa"/>
            <w:vAlign w:val="bottom"/>
          </w:tcPr>
          <w:p>
            <w:pPr>
              <w:spacing w:after="0"/>
              <w:rPr>
                <w:sz w:val="1"/>
                <w:szCs w:val="1"/>
                <w:color w:val="auto"/>
              </w:rPr>
            </w:pPr>
          </w:p>
        </w:tc>
      </w:tr>
      <w:tr>
        <w:trPr>
          <w:trHeight w:val="314"/>
        </w:trPr>
        <w:tc>
          <w:tcPr>
            <w:tcW w:w="1080" w:type="dxa"/>
            <w:vAlign w:val="bottom"/>
          </w:tcPr>
          <w:p>
            <w:pPr>
              <w:spacing w:after="0"/>
              <w:rPr>
                <w:sz w:val="24"/>
                <w:szCs w:val="24"/>
                <w:color w:val="auto"/>
              </w:rPr>
            </w:pPr>
          </w:p>
        </w:tc>
        <w:tc>
          <w:tcPr>
            <w:tcW w:w="2020" w:type="dxa"/>
            <w:vAlign w:val="bottom"/>
          </w:tcPr>
          <w:p>
            <w:pPr>
              <w:jc w:val="right"/>
              <w:ind w:right="467"/>
              <w:spacing w:after="0"/>
              <w:rPr>
                <w:sz w:val="20"/>
                <w:szCs w:val="20"/>
                <w:color w:val="auto"/>
              </w:rPr>
            </w:pPr>
            <w:r>
              <w:rPr>
                <w:rFonts w:ascii="Calibri" w:cs="Calibri" w:eastAsia="Calibri" w:hAnsi="Calibri"/>
                <w:sz w:val="15"/>
                <w:szCs w:val="15"/>
                <w:color w:val="auto"/>
              </w:rPr>
              <w:t>5,505</w:t>
            </w:r>
          </w:p>
        </w:tc>
        <w:tc>
          <w:tcPr>
            <w:tcW w:w="1040" w:type="dxa"/>
            <w:vAlign w:val="bottom"/>
          </w:tcPr>
          <w:p>
            <w:pPr>
              <w:jc w:val="right"/>
              <w:spacing w:after="0"/>
              <w:rPr>
                <w:sz w:val="20"/>
                <w:szCs w:val="20"/>
                <w:color w:val="auto"/>
              </w:rPr>
            </w:pPr>
            <w:r>
              <w:rPr>
                <w:rFonts w:ascii="Calibri" w:cs="Calibri" w:eastAsia="Calibri" w:hAnsi="Calibri"/>
                <w:sz w:val="15"/>
                <w:szCs w:val="15"/>
                <w:color w:val="auto"/>
              </w:rPr>
              <w:t>4,476</w:t>
            </w:r>
          </w:p>
        </w:tc>
        <w:tc>
          <w:tcPr>
            <w:tcW w:w="0" w:type="dxa"/>
            <w:vAlign w:val="bottom"/>
          </w:tcPr>
          <w:p>
            <w:pPr>
              <w:spacing w:after="0"/>
              <w:rPr>
                <w:sz w:val="1"/>
                <w:szCs w:val="1"/>
                <w:color w:val="auto"/>
              </w:rPr>
            </w:pPr>
          </w:p>
        </w:tc>
      </w:tr>
      <w:tr>
        <w:trPr>
          <w:trHeight w:val="314"/>
        </w:trPr>
        <w:tc>
          <w:tcPr>
            <w:tcW w:w="1080" w:type="dxa"/>
            <w:vAlign w:val="bottom"/>
          </w:tcPr>
          <w:p>
            <w:pPr>
              <w:spacing w:after="0"/>
              <w:rPr>
                <w:sz w:val="24"/>
                <w:szCs w:val="24"/>
                <w:color w:val="auto"/>
              </w:rPr>
            </w:pPr>
          </w:p>
        </w:tc>
        <w:tc>
          <w:tcPr>
            <w:tcW w:w="2020" w:type="dxa"/>
            <w:vAlign w:val="bottom"/>
          </w:tcPr>
          <w:p>
            <w:pPr>
              <w:jc w:val="right"/>
              <w:ind w:right="467"/>
              <w:spacing w:after="0"/>
              <w:rPr>
                <w:sz w:val="20"/>
                <w:szCs w:val="20"/>
                <w:color w:val="auto"/>
              </w:rPr>
            </w:pPr>
            <w:r>
              <w:rPr>
                <w:rFonts w:ascii="Calibri" w:cs="Calibri" w:eastAsia="Calibri" w:hAnsi="Calibri"/>
                <w:sz w:val="15"/>
                <w:szCs w:val="15"/>
                <w:color w:val="auto"/>
              </w:rPr>
              <w:t>17,301</w:t>
            </w:r>
          </w:p>
        </w:tc>
        <w:tc>
          <w:tcPr>
            <w:tcW w:w="1040" w:type="dxa"/>
            <w:vAlign w:val="bottom"/>
          </w:tcPr>
          <w:p>
            <w:pPr>
              <w:jc w:val="right"/>
              <w:spacing w:after="0"/>
              <w:rPr>
                <w:sz w:val="20"/>
                <w:szCs w:val="20"/>
                <w:color w:val="auto"/>
              </w:rPr>
            </w:pPr>
            <w:r>
              <w:rPr>
                <w:rFonts w:ascii="Calibri" w:cs="Calibri" w:eastAsia="Calibri" w:hAnsi="Calibri"/>
                <w:sz w:val="15"/>
                <w:szCs w:val="15"/>
                <w:color w:val="auto"/>
              </w:rPr>
              <w:t>2,891</w:t>
            </w:r>
          </w:p>
        </w:tc>
        <w:tc>
          <w:tcPr>
            <w:tcW w:w="0" w:type="dxa"/>
            <w:vAlign w:val="bottom"/>
          </w:tcPr>
          <w:p>
            <w:pPr>
              <w:spacing w:after="0"/>
              <w:rPr>
                <w:sz w:val="1"/>
                <w:szCs w:val="1"/>
                <w:color w:val="auto"/>
              </w:rPr>
            </w:pPr>
          </w:p>
        </w:tc>
      </w:tr>
      <w:tr>
        <w:trPr>
          <w:trHeight w:val="314"/>
        </w:trPr>
        <w:tc>
          <w:tcPr>
            <w:tcW w:w="1080" w:type="dxa"/>
            <w:vAlign w:val="bottom"/>
          </w:tcPr>
          <w:p>
            <w:pPr>
              <w:spacing w:after="0"/>
              <w:rPr>
                <w:sz w:val="24"/>
                <w:szCs w:val="24"/>
                <w:color w:val="auto"/>
              </w:rPr>
            </w:pPr>
          </w:p>
        </w:tc>
        <w:tc>
          <w:tcPr>
            <w:tcW w:w="2020" w:type="dxa"/>
            <w:vAlign w:val="bottom"/>
          </w:tcPr>
          <w:p>
            <w:pPr>
              <w:jc w:val="right"/>
              <w:ind w:right="467"/>
              <w:spacing w:after="0"/>
              <w:rPr>
                <w:sz w:val="20"/>
                <w:szCs w:val="20"/>
                <w:color w:val="auto"/>
              </w:rPr>
            </w:pPr>
            <w:r>
              <w:rPr>
                <w:rFonts w:ascii="Calibri" w:cs="Calibri" w:eastAsia="Calibri" w:hAnsi="Calibri"/>
                <w:sz w:val="15"/>
                <w:szCs w:val="15"/>
                <w:color w:val="auto"/>
              </w:rPr>
              <w:t>1,605</w:t>
            </w:r>
          </w:p>
        </w:tc>
        <w:tc>
          <w:tcPr>
            <w:tcW w:w="1040" w:type="dxa"/>
            <w:vAlign w:val="bottom"/>
          </w:tcPr>
          <w:p>
            <w:pPr>
              <w:jc w:val="right"/>
              <w:spacing w:after="0"/>
              <w:rPr>
                <w:sz w:val="20"/>
                <w:szCs w:val="20"/>
                <w:color w:val="auto"/>
              </w:rPr>
            </w:pPr>
            <w:r>
              <w:rPr>
                <w:rFonts w:ascii="Calibri" w:cs="Calibri" w:eastAsia="Calibri" w:hAnsi="Calibri"/>
                <w:sz w:val="15"/>
                <w:szCs w:val="15"/>
                <w:color w:val="auto"/>
              </w:rPr>
              <w:t>2,177</w:t>
            </w:r>
          </w:p>
        </w:tc>
        <w:tc>
          <w:tcPr>
            <w:tcW w:w="0" w:type="dxa"/>
            <w:vAlign w:val="bottom"/>
          </w:tcPr>
          <w:p>
            <w:pPr>
              <w:spacing w:after="0"/>
              <w:rPr>
                <w:sz w:val="1"/>
                <w:szCs w:val="1"/>
                <w:color w:val="auto"/>
              </w:rPr>
            </w:pPr>
          </w:p>
        </w:tc>
      </w:tr>
      <w:tr>
        <w:trPr>
          <w:trHeight w:val="387"/>
        </w:trPr>
        <w:tc>
          <w:tcPr>
            <w:tcW w:w="1080" w:type="dxa"/>
            <w:vAlign w:val="bottom"/>
          </w:tcPr>
          <w:p>
            <w:pPr>
              <w:spacing w:after="0"/>
              <w:rPr>
                <w:sz w:val="24"/>
                <w:szCs w:val="24"/>
                <w:color w:val="auto"/>
              </w:rPr>
            </w:pPr>
          </w:p>
        </w:tc>
        <w:tc>
          <w:tcPr>
            <w:tcW w:w="2020" w:type="dxa"/>
            <w:vAlign w:val="bottom"/>
          </w:tcPr>
          <w:p>
            <w:pPr>
              <w:jc w:val="right"/>
              <w:ind w:right="467"/>
              <w:spacing w:after="0"/>
              <w:rPr>
                <w:sz w:val="20"/>
                <w:szCs w:val="20"/>
                <w:color w:val="auto"/>
              </w:rPr>
            </w:pPr>
            <w:r>
              <w:rPr>
                <w:rFonts w:ascii="Calibri" w:cs="Calibri" w:eastAsia="Calibri" w:hAnsi="Calibri"/>
                <w:sz w:val="15"/>
                <w:szCs w:val="15"/>
                <w:b w:val="1"/>
                <w:bCs w:val="1"/>
                <w:color w:val="auto"/>
              </w:rPr>
              <w:t>178,729</w:t>
            </w:r>
          </w:p>
        </w:tc>
        <w:tc>
          <w:tcPr>
            <w:tcW w:w="1040" w:type="dxa"/>
            <w:vAlign w:val="bottom"/>
          </w:tcPr>
          <w:p>
            <w:pPr>
              <w:jc w:val="right"/>
              <w:spacing w:after="0"/>
              <w:rPr>
                <w:sz w:val="20"/>
                <w:szCs w:val="20"/>
                <w:color w:val="auto"/>
              </w:rPr>
            </w:pPr>
            <w:r>
              <w:rPr>
                <w:rFonts w:ascii="Calibri" w:cs="Calibri" w:eastAsia="Calibri" w:hAnsi="Calibri"/>
                <w:sz w:val="15"/>
                <w:szCs w:val="15"/>
                <w:color w:val="auto"/>
              </w:rPr>
              <w:t>218,536</w:t>
            </w:r>
          </w:p>
        </w:tc>
        <w:tc>
          <w:tcPr>
            <w:tcW w:w="0" w:type="dxa"/>
            <w:vAlign w:val="bottom"/>
          </w:tcPr>
          <w:p>
            <w:pPr>
              <w:spacing w:after="0"/>
              <w:rPr>
                <w:sz w:val="1"/>
                <w:szCs w:val="1"/>
                <w:color w:val="auto"/>
              </w:rPr>
            </w:pPr>
          </w:p>
        </w:tc>
      </w:tr>
      <w:tr>
        <w:trPr>
          <w:trHeight w:val="677"/>
        </w:trPr>
        <w:tc>
          <w:tcPr>
            <w:tcW w:w="1080" w:type="dxa"/>
            <w:vAlign w:val="bottom"/>
          </w:tcPr>
          <w:p>
            <w:pPr>
              <w:jc w:val="right"/>
              <w:ind w:right="927"/>
              <w:spacing w:after="0"/>
              <w:rPr>
                <w:sz w:val="20"/>
                <w:szCs w:val="20"/>
                <w:color w:val="auto"/>
              </w:rPr>
            </w:pPr>
            <w:r>
              <w:rPr>
                <w:rFonts w:ascii="Calibri" w:cs="Calibri" w:eastAsia="Calibri" w:hAnsi="Calibri"/>
                <w:sz w:val="15"/>
                <w:szCs w:val="15"/>
                <w:i w:val="1"/>
                <w:iCs w:val="1"/>
                <w:color w:val="auto"/>
                <w:w w:val="78"/>
              </w:rPr>
              <w:t>3</w:t>
            </w:r>
          </w:p>
        </w:tc>
        <w:tc>
          <w:tcPr>
            <w:tcW w:w="2020" w:type="dxa"/>
            <w:vAlign w:val="bottom"/>
            <w:vMerge w:val="restart"/>
          </w:tcPr>
          <w:p>
            <w:pPr>
              <w:jc w:val="right"/>
              <w:ind w:right="467"/>
              <w:spacing w:after="0"/>
              <w:rPr>
                <w:sz w:val="20"/>
                <w:szCs w:val="20"/>
                <w:color w:val="auto"/>
              </w:rPr>
            </w:pPr>
            <w:r>
              <w:rPr>
                <w:rFonts w:ascii="Calibri" w:cs="Calibri" w:eastAsia="Calibri" w:hAnsi="Calibri"/>
                <w:sz w:val="15"/>
                <w:szCs w:val="15"/>
                <w:color w:val="auto"/>
              </w:rPr>
              <w:t>216</w:t>
            </w:r>
          </w:p>
        </w:tc>
        <w:tc>
          <w:tcPr>
            <w:tcW w:w="1040" w:type="dxa"/>
            <w:vAlign w:val="bottom"/>
            <w:vMerge w:val="restart"/>
          </w:tcPr>
          <w:p>
            <w:pPr>
              <w:jc w:val="right"/>
              <w:spacing w:after="0"/>
              <w:rPr>
                <w:sz w:val="20"/>
                <w:szCs w:val="20"/>
                <w:color w:val="auto"/>
              </w:rPr>
            </w:pPr>
            <w:r>
              <w:rPr>
                <w:rFonts w:ascii="Calibri" w:cs="Calibri" w:eastAsia="Calibri" w:hAnsi="Calibri"/>
                <w:sz w:val="15"/>
                <w:szCs w:val="15"/>
                <w:color w:val="auto"/>
              </w:rPr>
              <w:t>266</w:t>
            </w:r>
          </w:p>
        </w:tc>
        <w:tc>
          <w:tcPr>
            <w:tcW w:w="0" w:type="dxa"/>
            <w:vAlign w:val="bottom"/>
          </w:tcPr>
          <w:p>
            <w:pPr>
              <w:spacing w:after="0"/>
              <w:rPr>
                <w:sz w:val="1"/>
                <w:szCs w:val="1"/>
                <w:color w:val="auto"/>
              </w:rPr>
            </w:pPr>
          </w:p>
        </w:tc>
      </w:tr>
      <w:tr>
        <w:trPr>
          <w:trHeight w:val="121"/>
        </w:trPr>
        <w:tc>
          <w:tcPr>
            <w:tcW w:w="1080" w:type="dxa"/>
            <w:vAlign w:val="bottom"/>
          </w:tcPr>
          <w:p>
            <w:pPr>
              <w:spacing w:after="0"/>
              <w:rPr>
                <w:sz w:val="10"/>
                <w:szCs w:val="10"/>
                <w:color w:val="auto"/>
              </w:rPr>
            </w:pPr>
          </w:p>
        </w:tc>
        <w:tc>
          <w:tcPr>
            <w:tcW w:w="2020" w:type="dxa"/>
            <w:vAlign w:val="bottom"/>
            <w:vMerge w:val="continue"/>
          </w:tcPr>
          <w:p>
            <w:pPr>
              <w:spacing w:after="0"/>
              <w:rPr>
                <w:sz w:val="10"/>
                <w:szCs w:val="10"/>
                <w:color w:val="auto"/>
              </w:rPr>
            </w:pPr>
          </w:p>
        </w:tc>
        <w:tc>
          <w:tcPr>
            <w:tcW w:w="10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93"/>
        </w:trPr>
        <w:tc>
          <w:tcPr>
            <w:tcW w:w="1080" w:type="dxa"/>
            <w:vAlign w:val="bottom"/>
          </w:tcPr>
          <w:p>
            <w:pPr>
              <w:jc w:val="right"/>
              <w:ind w:right="927"/>
              <w:spacing w:after="0"/>
              <w:rPr>
                <w:sz w:val="20"/>
                <w:szCs w:val="20"/>
                <w:color w:val="auto"/>
              </w:rPr>
            </w:pPr>
            <w:r>
              <w:rPr>
                <w:rFonts w:ascii="Calibri" w:cs="Calibri" w:eastAsia="Calibri" w:hAnsi="Calibri"/>
                <w:sz w:val="15"/>
                <w:szCs w:val="15"/>
                <w:i w:val="1"/>
                <w:iCs w:val="1"/>
                <w:color w:val="auto"/>
                <w:w w:val="78"/>
              </w:rPr>
              <w:t>4</w:t>
            </w:r>
          </w:p>
        </w:tc>
        <w:tc>
          <w:tcPr>
            <w:tcW w:w="2020" w:type="dxa"/>
            <w:vAlign w:val="bottom"/>
            <w:vMerge w:val="restart"/>
          </w:tcPr>
          <w:p>
            <w:pPr>
              <w:jc w:val="right"/>
              <w:ind w:right="467"/>
              <w:spacing w:after="0"/>
              <w:rPr>
                <w:sz w:val="20"/>
                <w:szCs w:val="20"/>
                <w:color w:val="auto"/>
              </w:rPr>
            </w:pPr>
            <w:r>
              <w:rPr>
                <w:rFonts w:ascii="Calibri" w:cs="Calibri" w:eastAsia="Calibri" w:hAnsi="Calibri"/>
                <w:sz w:val="15"/>
                <w:szCs w:val="15"/>
                <w:color w:val="auto"/>
              </w:rPr>
              <w:t>35,937</w:t>
            </w:r>
          </w:p>
        </w:tc>
        <w:tc>
          <w:tcPr>
            <w:tcW w:w="1040" w:type="dxa"/>
            <w:vAlign w:val="bottom"/>
            <w:vMerge w:val="restart"/>
          </w:tcPr>
          <w:p>
            <w:pPr>
              <w:jc w:val="right"/>
              <w:spacing w:after="0"/>
              <w:rPr>
                <w:sz w:val="20"/>
                <w:szCs w:val="20"/>
                <w:color w:val="auto"/>
              </w:rPr>
            </w:pPr>
            <w:r>
              <w:rPr>
                <w:rFonts w:ascii="Calibri" w:cs="Calibri" w:eastAsia="Calibri" w:hAnsi="Calibri"/>
                <w:sz w:val="15"/>
                <w:szCs w:val="15"/>
                <w:color w:val="auto"/>
              </w:rPr>
              <w:t>35,465</w:t>
            </w:r>
          </w:p>
        </w:tc>
        <w:tc>
          <w:tcPr>
            <w:tcW w:w="0" w:type="dxa"/>
            <w:vAlign w:val="bottom"/>
          </w:tcPr>
          <w:p>
            <w:pPr>
              <w:spacing w:after="0"/>
              <w:rPr>
                <w:sz w:val="1"/>
                <w:szCs w:val="1"/>
                <w:color w:val="auto"/>
              </w:rPr>
            </w:pPr>
          </w:p>
        </w:tc>
      </w:tr>
      <w:tr>
        <w:trPr>
          <w:trHeight w:val="121"/>
        </w:trPr>
        <w:tc>
          <w:tcPr>
            <w:tcW w:w="1080" w:type="dxa"/>
            <w:vAlign w:val="bottom"/>
          </w:tcPr>
          <w:p>
            <w:pPr>
              <w:spacing w:after="0"/>
              <w:rPr>
                <w:sz w:val="10"/>
                <w:szCs w:val="10"/>
                <w:color w:val="auto"/>
              </w:rPr>
            </w:pPr>
          </w:p>
        </w:tc>
        <w:tc>
          <w:tcPr>
            <w:tcW w:w="2020" w:type="dxa"/>
            <w:vAlign w:val="bottom"/>
            <w:vMerge w:val="continue"/>
          </w:tcPr>
          <w:p>
            <w:pPr>
              <w:spacing w:after="0"/>
              <w:rPr>
                <w:sz w:val="10"/>
                <w:szCs w:val="10"/>
                <w:color w:val="auto"/>
              </w:rPr>
            </w:pPr>
          </w:p>
        </w:tc>
        <w:tc>
          <w:tcPr>
            <w:tcW w:w="10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93"/>
        </w:trPr>
        <w:tc>
          <w:tcPr>
            <w:tcW w:w="1080" w:type="dxa"/>
            <w:vAlign w:val="bottom"/>
          </w:tcPr>
          <w:p>
            <w:pPr>
              <w:jc w:val="right"/>
              <w:ind w:right="927"/>
              <w:spacing w:after="0"/>
              <w:rPr>
                <w:sz w:val="20"/>
                <w:szCs w:val="20"/>
                <w:color w:val="auto"/>
              </w:rPr>
            </w:pPr>
            <w:r>
              <w:rPr>
                <w:rFonts w:ascii="Calibri" w:cs="Calibri" w:eastAsia="Calibri" w:hAnsi="Calibri"/>
                <w:sz w:val="15"/>
                <w:szCs w:val="15"/>
                <w:i w:val="1"/>
                <w:iCs w:val="1"/>
                <w:color w:val="auto"/>
                <w:w w:val="78"/>
              </w:rPr>
              <w:t>5</w:t>
            </w:r>
          </w:p>
        </w:tc>
        <w:tc>
          <w:tcPr>
            <w:tcW w:w="2020" w:type="dxa"/>
            <w:vAlign w:val="bottom"/>
          </w:tcPr>
          <w:p>
            <w:pPr>
              <w:jc w:val="right"/>
              <w:ind w:right="467"/>
              <w:spacing w:after="0"/>
              <w:rPr>
                <w:sz w:val="20"/>
                <w:szCs w:val="20"/>
                <w:color w:val="auto"/>
              </w:rPr>
            </w:pPr>
            <w:r>
              <w:rPr>
                <w:rFonts w:ascii="Calibri" w:cs="Calibri" w:eastAsia="Calibri" w:hAnsi="Calibri"/>
                <w:sz w:val="15"/>
                <w:szCs w:val="15"/>
                <w:color w:val="auto"/>
              </w:rPr>
              <w:t>127</w:t>
            </w:r>
          </w:p>
        </w:tc>
        <w:tc>
          <w:tcPr>
            <w:tcW w:w="1040" w:type="dxa"/>
            <w:vAlign w:val="bottom"/>
          </w:tcPr>
          <w:p>
            <w:pPr>
              <w:jc w:val="right"/>
              <w:spacing w:after="0"/>
              <w:rPr>
                <w:sz w:val="20"/>
                <w:szCs w:val="20"/>
                <w:color w:val="auto"/>
              </w:rPr>
            </w:pPr>
            <w:r>
              <w:rPr>
                <w:rFonts w:ascii="Calibri" w:cs="Calibri" w:eastAsia="Calibri" w:hAnsi="Calibri"/>
                <w:sz w:val="15"/>
                <w:szCs w:val="15"/>
                <w:color w:val="auto"/>
              </w:rPr>
              <w:t>281</w:t>
            </w:r>
          </w:p>
        </w:tc>
        <w:tc>
          <w:tcPr>
            <w:tcW w:w="0" w:type="dxa"/>
            <w:vAlign w:val="bottom"/>
          </w:tcPr>
          <w:p>
            <w:pPr>
              <w:spacing w:after="0"/>
              <w:rPr>
                <w:sz w:val="1"/>
                <w:szCs w:val="1"/>
                <w:color w:val="auto"/>
              </w:rPr>
            </w:pPr>
          </w:p>
        </w:tc>
      </w:tr>
      <w:tr>
        <w:trPr>
          <w:trHeight w:val="193"/>
        </w:trPr>
        <w:tc>
          <w:tcPr>
            <w:tcW w:w="1080" w:type="dxa"/>
            <w:vAlign w:val="bottom"/>
          </w:tcPr>
          <w:p>
            <w:pPr>
              <w:jc w:val="right"/>
              <w:ind w:right="927"/>
              <w:spacing w:after="0"/>
              <w:rPr>
                <w:sz w:val="20"/>
                <w:szCs w:val="20"/>
                <w:color w:val="auto"/>
              </w:rPr>
            </w:pPr>
            <w:r>
              <w:rPr>
                <w:rFonts w:ascii="Calibri" w:cs="Calibri" w:eastAsia="Calibri" w:hAnsi="Calibri"/>
                <w:sz w:val="15"/>
                <w:szCs w:val="15"/>
                <w:i w:val="1"/>
                <w:iCs w:val="1"/>
                <w:color w:val="auto"/>
                <w:w w:val="78"/>
              </w:rPr>
              <w:t>6</w:t>
            </w:r>
          </w:p>
        </w:tc>
        <w:tc>
          <w:tcPr>
            <w:tcW w:w="2020" w:type="dxa"/>
            <w:vAlign w:val="bottom"/>
            <w:vMerge w:val="restart"/>
          </w:tcPr>
          <w:p>
            <w:pPr>
              <w:jc w:val="right"/>
              <w:ind w:right="467"/>
              <w:spacing w:after="0"/>
              <w:rPr>
                <w:sz w:val="20"/>
                <w:szCs w:val="20"/>
                <w:color w:val="auto"/>
              </w:rPr>
            </w:pPr>
            <w:r>
              <w:rPr>
                <w:rFonts w:ascii="Calibri" w:cs="Calibri" w:eastAsia="Calibri" w:hAnsi="Calibri"/>
                <w:sz w:val="15"/>
                <w:szCs w:val="15"/>
                <w:color w:val="auto"/>
              </w:rPr>
              <w:t>47,382</w:t>
            </w:r>
          </w:p>
        </w:tc>
        <w:tc>
          <w:tcPr>
            <w:tcW w:w="1040" w:type="dxa"/>
            <w:vAlign w:val="bottom"/>
            <w:vMerge w:val="restart"/>
          </w:tcPr>
          <w:p>
            <w:pPr>
              <w:jc w:val="right"/>
              <w:spacing w:after="0"/>
              <w:rPr>
                <w:sz w:val="20"/>
                <w:szCs w:val="20"/>
                <w:color w:val="auto"/>
              </w:rPr>
            </w:pPr>
            <w:r>
              <w:rPr>
                <w:rFonts w:ascii="Calibri" w:cs="Calibri" w:eastAsia="Calibri" w:hAnsi="Calibri"/>
                <w:sz w:val="15"/>
                <w:szCs w:val="15"/>
                <w:color w:val="auto"/>
              </w:rPr>
              <w:t>47,475</w:t>
            </w:r>
          </w:p>
        </w:tc>
        <w:tc>
          <w:tcPr>
            <w:tcW w:w="0" w:type="dxa"/>
            <w:vAlign w:val="bottom"/>
          </w:tcPr>
          <w:p>
            <w:pPr>
              <w:spacing w:after="0"/>
              <w:rPr>
                <w:sz w:val="1"/>
                <w:szCs w:val="1"/>
                <w:color w:val="auto"/>
              </w:rPr>
            </w:pPr>
          </w:p>
        </w:tc>
      </w:tr>
      <w:tr>
        <w:trPr>
          <w:trHeight w:val="121"/>
        </w:trPr>
        <w:tc>
          <w:tcPr>
            <w:tcW w:w="1080" w:type="dxa"/>
            <w:vAlign w:val="bottom"/>
          </w:tcPr>
          <w:p>
            <w:pPr>
              <w:spacing w:after="0"/>
              <w:rPr>
                <w:sz w:val="10"/>
                <w:szCs w:val="10"/>
                <w:color w:val="auto"/>
              </w:rPr>
            </w:pPr>
          </w:p>
        </w:tc>
        <w:tc>
          <w:tcPr>
            <w:tcW w:w="2020" w:type="dxa"/>
            <w:vAlign w:val="bottom"/>
            <w:vMerge w:val="continue"/>
          </w:tcPr>
          <w:p>
            <w:pPr>
              <w:spacing w:after="0"/>
              <w:rPr>
                <w:sz w:val="10"/>
                <w:szCs w:val="10"/>
                <w:color w:val="auto"/>
              </w:rPr>
            </w:pPr>
          </w:p>
        </w:tc>
        <w:tc>
          <w:tcPr>
            <w:tcW w:w="10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-4408170</wp:posOffset>
            </wp:positionH>
            <wp:positionV relativeFrom="paragraph">
              <wp:posOffset>130810</wp:posOffset>
            </wp:positionV>
            <wp:extent cx="7146925" cy="762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46925" cy="7620"/>
                    </a:xfrm>
                    <a:prstGeom prst="rect">
                      <a:avLst/>
                    </a:prstGeom>
                    <a:noFill/>
                  </pic:spPr>
                </pic:pic>
              </a:graphicData>
            </a:graphic>
          </wp:anchor>
        </w:drawing>
        <w:drawing>
          <wp:anchor simplePos="0" relativeHeight="251657728" behindDoc="1" locked="0" layoutInCell="0" allowOverlap="1">
            <wp:simplePos x="0" y="0"/>
            <wp:positionH relativeFrom="column">
              <wp:posOffset>-4408170</wp:posOffset>
            </wp:positionH>
            <wp:positionV relativeFrom="paragraph">
              <wp:posOffset>-1012190</wp:posOffset>
            </wp:positionV>
            <wp:extent cx="7146925" cy="762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46925" cy="7620"/>
                    </a:xfrm>
                    <a:prstGeom prst="rect">
                      <a:avLst/>
                    </a:prstGeom>
                    <a:noFill/>
                  </pic:spPr>
                </pic:pic>
              </a:graphicData>
            </a:graphic>
          </wp:anchor>
        </w:drawing>
        <w:drawing>
          <wp:anchor simplePos="0" relativeHeight="251657728" behindDoc="1" locked="0" layoutInCell="0" allowOverlap="1">
            <wp:simplePos x="0" y="0"/>
            <wp:positionH relativeFrom="column">
              <wp:posOffset>-4408170</wp:posOffset>
            </wp:positionH>
            <wp:positionV relativeFrom="paragraph">
              <wp:posOffset>-1143000</wp:posOffset>
            </wp:positionV>
            <wp:extent cx="7146925" cy="762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46925" cy="762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6220" w:space="720"/>
            <w:col w:w="4320"/>
          </w:cols>
          <w:pgMar w:left="320" w:top="209" w:right="319" w:bottom="1440" w:gutter="0" w:footer="0" w:header="0"/>
          <w:type w:val="continuous"/>
        </w:sectPr>
      </w:pPr>
    </w:p>
    <w:p>
      <w:pPr>
        <w:spacing w:after="0" w:line="4" w:lineRule="exact"/>
        <w:rPr>
          <w:sz w:val="20"/>
          <w:szCs w:val="20"/>
          <w:color w:val="auto"/>
        </w:rPr>
      </w:pPr>
    </w:p>
    <w:tbl>
      <w:tblPr>
        <w:tblLayout w:type="fixed"/>
        <w:tblInd w:w="0" w:type="dxa"/>
        <w:tblCellMar>
          <w:top w:w="0" w:type="dxa"/>
          <w:left w:w="0" w:type="dxa"/>
          <w:bottom w:w="0" w:type="dxa"/>
          <w:right w:w="0" w:type="dxa"/>
        </w:tblCellMar>
      </w:tblPr>
      <w:tr>
        <w:trPr>
          <w:trHeight w:val="183"/>
        </w:trPr>
        <w:tc>
          <w:tcPr>
            <w:tcW w:w="5000" w:type="dxa"/>
            <w:vAlign w:val="bottom"/>
          </w:tcPr>
          <w:p>
            <w:pPr>
              <w:ind w:left="60"/>
              <w:spacing w:after="0"/>
              <w:rPr>
                <w:sz w:val="20"/>
                <w:szCs w:val="20"/>
                <w:color w:val="auto"/>
              </w:rPr>
            </w:pPr>
            <w:r>
              <w:rPr>
                <w:rFonts w:ascii="Calibri" w:cs="Calibri" w:eastAsia="Calibri" w:hAnsi="Calibri"/>
                <w:sz w:val="15"/>
                <w:szCs w:val="15"/>
                <w:b w:val="1"/>
                <w:bCs w:val="1"/>
                <w:color w:val="auto"/>
              </w:rPr>
              <w:t>Total Non-Current Assets</w:t>
            </w:r>
          </w:p>
        </w:tc>
        <w:tc>
          <w:tcPr>
            <w:tcW w:w="3120" w:type="dxa"/>
            <w:vAlign w:val="bottom"/>
          </w:tcPr>
          <w:p>
            <w:pPr>
              <w:spacing w:after="0"/>
              <w:rPr>
                <w:sz w:val="15"/>
                <w:szCs w:val="15"/>
                <w:color w:val="auto"/>
              </w:rPr>
            </w:pPr>
          </w:p>
        </w:tc>
        <w:tc>
          <w:tcPr>
            <w:tcW w:w="2040" w:type="dxa"/>
            <w:vAlign w:val="bottom"/>
          </w:tcPr>
          <w:p>
            <w:pPr>
              <w:jc w:val="right"/>
              <w:ind w:right="467"/>
              <w:spacing w:after="0"/>
              <w:rPr>
                <w:sz w:val="20"/>
                <w:szCs w:val="20"/>
                <w:color w:val="auto"/>
              </w:rPr>
            </w:pPr>
            <w:r>
              <w:rPr>
                <w:rFonts w:ascii="Calibri" w:cs="Calibri" w:eastAsia="Calibri" w:hAnsi="Calibri"/>
                <w:sz w:val="15"/>
                <w:szCs w:val="15"/>
                <w:b w:val="1"/>
                <w:bCs w:val="1"/>
                <w:color w:val="auto"/>
              </w:rPr>
              <w:t>83,662</w:t>
            </w:r>
          </w:p>
        </w:tc>
        <w:tc>
          <w:tcPr>
            <w:tcW w:w="1100" w:type="dxa"/>
            <w:vAlign w:val="bottom"/>
          </w:tcPr>
          <w:p>
            <w:pPr>
              <w:jc w:val="right"/>
              <w:spacing w:after="0"/>
              <w:rPr>
                <w:sz w:val="20"/>
                <w:szCs w:val="20"/>
                <w:color w:val="auto"/>
              </w:rPr>
            </w:pPr>
            <w:r>
              <w:rPr>
                <w:rFonts w:ascii="Calibri" w:cs="Calibri" w:eastAsia="Calibri" w:hAnsi="Calibri"/>
                <w:sz w:val="15"/>
                <w:szCs w:val="15"/>
                <w:color w:val="auto"/>
              </w:rPr>
              <w:t>83,487</w:t>
            </w:r>
          </w:p>
        </w:tc>
        <w:tc>
          <w:tcPr>
            <w:tcW w:w="0" w:type="dxa"/>
            <w:vAlign w:val="bottom"/>
          </w:tcPr>
          <w:p>
            <w:pPr>
              <w:spacing w:after="0"/>
              <w:rPr>
                <w:sz w:val="1"/>
                <w:szCs w:val="1"/>
                <w:color w:val="auto"/>
              </w:rPr>
            </w:pPr>
          </w:p>
        </w:tc>
      </w:tr>
      <w:tr>
        <w:trPr>
          <w:trHeight w:val="24"/>
        </w:trPr>
        <w:tc>
          <w:tcPr>
            <w:tcW w:w="5000" w:type="dxa"/>
            <w:vAlign w:val="bottom"/>
            <w:tcBorders>
              <w:bottom w:val="single" w:sz="8" w:color="auto"/>
            </w:tcBorders>
          </w:tcPr>
          <w:p>
            <w:pPr>
              <w:spacing w:after="0"/>
              <w:rPr>
                <w:sz w:val="2"/>
                <w:szCs w:val="2"/>
                <w:color w:val="auto"/>
              </w:rPr>
            </w:pPr>
          </w:p>
        </w:tc>
        <w:tc>
          <w:tcPr>
            <w:tcW w:w="3120" w:type="dxa"/>
            <w:vAlign w:val="bottom"/>
            <w:tcBorders>
              <w:bottom w:val="single" w:sz="8" w:color="auto"/>
            </w:tcBorders>
          </w:tcPr>
          <w:p>
            <w:pPr>
              <w:spacing w:after="0"/>
              <w:rPr>
                <w:sz w:val="2"/>
                <w:szCs w:val="2"/>
                <w:color w:val="auto"/>
              </w:rPr>
            </w:pPr>
          </w:p>
        </w:tc>
        <w:tc>
          <w:tcPr>
            <w:tcW w:w="20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8"/>
        </w:trPr>
        <w:tc>
          <w:tcPr>
            <w:tcW w:w="5000" w:type="dxa"/>
            <w:vAlign w:val="bottom"/>
          </w:tcPr>
          <w:p>
            <w:pPr>
              <w:spacing w:after="0"/>
              <w:rPr>
                <w:sz w:val="2"/>
                <w:szCs w:val="2"/>
                <w:color w:val="auto"/>
              </w:rPr>
            </w:pPr>
          </w:p>
        </w:tc>
        <w:tc>
          <w:tcPr>
            <w:tcW w:w="3120" w:type="dxa"/>
            <w:vAlign w:val="bottom"/>
          </w:tcPr>
          <w:p>
            <w:pPr>
              <w:spacing w:after="0"/>
              <w:rPr>
                <w:sz w:val="2"/>
                <w:szCs w:val="2"/>
                <w:color w:val="auto"/>
              </w:rPr>
            </w:pPr>
          </w:p>
        </w:tc>
        <w:tc>
          <w:tcPr>
            <w:tcW w:w="20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8"/>
        </w:trPr>
        <w:tc>
          <w:tcPr>
            <w:tcW w:w="5000" w:type="dxa"/>
            <w:vAlign w:val="bottom"/>
            <w:tcBorders>
              <w:bottom w:val="single" w:sz="8" w:color="D9D9D9"/>
            </w:tcBorders>
            <w:shd w:val="clear" w:color="auto" w:fill="D9D9D9"/>
          </w:tcPr>
          <w:p>
            <w:pPr>
              <w:ind w:left="60"/>
              <w:spacing w:after="0" w:line="173" w:lineRule="exact"/>
              <w:rPr>
                <w:sz w:val="20"/>
                <w:szCs w:val="20"/>
                <w:color w:val="auto"/>
              </w:rPr>
            </w:pPr>
            <w:r>
              <w:rPr>
                <w:rFonts w:ascii="Calibri" w:cs="Calibri" w:eastAsia="Calibri" w:hAnsi="Calibri"/>
                <w:sz w:val="15"/>
                <w:szCs w:val="15"/>
                <w:b w:val="1"/>
                <w:bCs w:val="1"/>
                <w:color w:val="auto"/>
              </w:rPr>
              <w:t>TOTAL ASSETS</w:t>
            </w:r>
          </w:p>
        </w:tc>
        <w:tc>
          <w:tcPr>
            <w:tcW w:w="3120" w:type="dxa"/>
            <w:vAlign w:val="bottom"/>
            <w:tcBorders>
              <w:bottom w:val="single" w:sz="8" w:color="D9D9D9"/>
            </w:tcBorders>
            <w:shd w:val="clear" w:color="auto" w:fill="D9D9D9"/>
          </w:tcPr>
          <w:p>
            <w:pPr>
              <w:spacing w:after="0"/>
              <w:rPr>
                <w:sz w:val="16"/>
                <w:szCs w:val="16"/>
                <w:color w:val="auto"/>
              </w:rPr>
            </w:pPr>
          </w:p>
        </w:tc>
        <w:tc>
          <w:tcPr>
            <w:tcW w:w="2040" w:type="dxa"/>
            <w:vAlign w:val="bottom"/>
            <w:tcBorders>
              <w:bottom w:val="single" w:sz="8" w:color="D9D9D9"/>
            </w:tcBorders>
            <w:shd w:val="clear" w:color="auto" w:fill="D9D9D9"/>
          </w:tcPr>
          <w:p>
            <w:pPr>
              <w:jc w:val="right"/>
              <w:ind w:right="467"/>
              <w:spacing w:after="0" w:line="173" w:lineRule="exact"/>
              <w:rPr>
                <w:sz w:val="20"/>
                <w:szCs w:val="20"/>
                <w:color w:val="auto"/>
              </w:rPr>
            </w:pPr>
            <w:r>
              <w:rPr>
                <w:rFonts w:ascii="Calibri" w:cs="Calibri" w:eastAsia="Calibri" w:hAnsi="Calibri"/>
                <w:sz w:val="15"/>
                <w:szCs w:val="15"/>
                <w:b w:val="1"/>
                <w:bCs w:val="1"/>
                <w:color w:val="auto"/>
              </w:rPr>
              <w:t>262,391</w:t>
            </w:r>
          </w:p>
        </w:tc>
        <w:tc>
          <w:tcPr>
            <w:tcW w:w="1100" w:type="dxa"/>
            <w:vAlign w:val="bottom"/>
            <w:tcBorders>
              <w:bottom w:val="single" w:sz="8" w:color="D9D9D9"/>
            </w:tcBorders>
            <w:shd w:val="clear" w:color="auto" w:fill="D9D9D9"/>
          </w:tcPr>
          <w:p>
            <w:pPr>
              <w:jc w:val="right"/>
              <w:spacing w:after="0" w:line="173" w:lineRule="exact"/>
              <w:rPr>
                <w:sz w:val="20"/>
                <w:szCs w:val="20"/>
                <w:color w:val="auto"/>
              </w:rPr>
            </w:pPr>
            <w:r>
              <w:rPr>
                <w:rFonts w:ascii="Calibri" w:cs="Calibri" w:eastAsia="Calibri" w:hAnsi="Calibri"/>
                <w:sz w:val="15"/>
                <w:szCs w:val="15"/>
                <w:color w:val="auto"/>
              </w:rPr>
              <w:t>302,023</w:t>
            </w:r>
          </w:p>
        </w:tc>
        <w:tc>
          <w:tcPr>
            <w:tcW w:w="0" w:type="dxa"/>
            <w:vAlign w:val="bottom"/>
          </w:tcPr>
          <w:p>
            <w:pPr>
              <w:spacing w:after="0"/>
              <w:rPr>
                <w:sz w:val="1"/>
                <w:szCs w:val="1"/>
                <w:color w:val="auto"/>
              </w:rPr>
            </w:pPr>
          </w:p>
        </w:tc>
      </w:tr>
      <w:tr>
        <w:trPr>
          <w:trHeight w:val="197"/>
        </w:trPr>
        <w:tc>
          <w:tcPr>
            <w:tcW w:w="5000" w:type="dxa"/>
            <w:vAlign w:val="bottom"/>
            <w:tcBorders>
              <w:top w:val="single" w:sz="8" w:color="auto"/>
            </w:tcBorders>
          </w:tcPr>
          <w:p>
            <w:pPr>
              <w:ind w:left="60"/>
              <w:spacing w:after="0"/>
              <w:rPr>
                <w:sz w:val="20"/>
                <w:szCs w:val="20"/>
                <w:color w:val="auto"/>
              </w:rPr>
            </w:pPr>
            <w:r>
              <w:rPr>
                <w:rFonts w:ascii="Calibri" w:cs="Calibri" w:eastAsia="Calibri" w:hAnsi="Calibri"/>
                <w:sz w:val="15"/>
                <w:szCs w:val="15"/>
                <w:b w:val="1"/>
                <w:bCs w:val="1"/>
                <w:color w:val="auto"/>
              </w:rPr>
              <w:t>LIABILITIES</w:t>
            </w:r>
          </w:p>
        </w:tc>
        <w:tc>
          <w:tcPr>
            <w:tcW w:w="3120" w:type="dxa"/>
            <w:vAlign w:val="bottom"/>
            <w:tcBorders>
              <w:top w:val="single" w:sz="8" w:color="auto"/>
            </w:tcBorders>
          </w:tcPr>
          <w:p>
            <w:pPr>
              <w:spacing w:after="0"/>
              <w:rPr>
                <w:sz w:val="17"/>
                <w:szCs w:val="17"/>
                <w:color w:val="auto"/>
              </w:rPr>
            </w:pPr>
          </w:p>
        </w:tc>
        <w:tc>
          <w:tcPr>
            <w:tcW w:w="2040" w:type="dxa"/>
            <w:vAlign w:val="bottom"/>
            <w:tcBorders>
              <w:top w:val="single" w:sz="8" w:color="auto"/>
            </w:tcBorders>
          </w:tcPr>
          <w:p>
            <w:pPr>
              <w:spacing w:after="0"/>
              <w:rPr>
                <w:sz w:val="17"/>
                <w:szCs w:val="17"/>
                <w:color w:val="auto"/>
              </w:rPr>
            </w:pPr>
          </w:p>
        </w:tc>
        <w:tc>
          <w:tcPr>
            <w:tcW w:w="1100" w:type="dxa"/>
            <w:vAlign w:val="bottom"/>
            <w:tcBorders>
              <w:top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66"/>
        </w:trPr>
        <w:tc>
          <w:tcPr>
            <w:tcW w:w="5000" w:type="dxa"/>
            <w:vAlign w:val="bottom"/>
          </w:tcPr>
          <w:p>
            <w:pPr>
              <w:ind w:left="200"/>
              <w:spacing w:after="0"/>
              <w:rPr>
                <w:sz w:val="20"/>
                <w:szCs w:val="20"/>
                <w:color w:val="auto"/>
              </w:rPr>
            </w:pPr>
            <w:r>
              <w:rPr>
                <w:rFonts w:ascii="Calibri" w:cs="Calibri" w:eastAsia="Calibri" w:hAnsi="Calibri"/>
                <w:sz w:val="15"/>
                <w:szCs w:val="15"/>
                <w:b w:val="1"/>
                <w:bCs w:val="1"/>
                <w:color w:val="auto"/>
              </w:rPr>
              <w:t>Current</w:t>
            </w:r>
          </w:p>
        </w:tc>
        <w:tc>
          <w:tcPr>
            <w:tcW w:w="3120" w:type="dxa"/>
            <w:vAlign w:val="bottom"/>
          </w:tcPr>
          <w:p>
            <w:pPr>
              <w:spacing w:after="0"/>
              <w:rPr>
                <w:sz w:val="23"/>
                <w:szCs w:val="23"/>
                <w:color w:val="auto"/>
              </w:rPr>
            </w:pPr>
          </w:p>
        </w:tc>
        <w:tc>
          <w:tcPr>
            <w:tcW w:w="2040" w:type="dxa"/>
            <w:vAlign w:val="bottom"/>
          </w:tcPr>
          <w:p>
            <w:pPr>
              <w:spacing w:after="0"/>
              <w:rPr>
                <w:sz w:val="23"/>
                <w:szCs w:val="23"/>
                <w:color w:val="auto"/>
              </w:rPr>
            </w:pPr>
          </w:p>
        </w:tc>
        <w:tc>
          <w:tcPr>
            <w:tcW w:w="1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302"/>
        </w:trPr>
        <w:tc>
          <w:tcPr>
            <w:tcW w:w="5000" w:type="dxa"/>
            <w:vAlign w:val="bottom"/>
          </w:tcPr>
          <w:p>
            <w:pPr>
              <w:ind w:left="500"/>
              <w:spacing w:after="0"/>
              <w:rPr>
                <w:sz w:val="20"/>
                <w:szCs w:val="20"/>
                <w:color w:val="auto"/>
              </w:rPr>
            </w:pPr>
            <w:r>
              <w:rPr>
                <w:rFonts w:ascii="Calibri" w:cs="Calibri" w:eastAsia="Calibri" w:hAnsi="Calibri"/>
                <w:sz w:val="15"/>
                <w:szCs w:val="15"/>
                <w:color w:val="auto"/>
              </w:rPr>
              <w:t>Accounts payable and accrued liabilites</w:t>
            </w:r>
          </w:p>
        </w:tc>
        <w:tc>
          <w:tcPr>
            <w:tcW w:w="3120" w:type="dxa"/>
            <w:vAlign w:val="bottom"/>
          </w:tcPr>
          <w:p>
            <w:pPr>
              <w:spacing w:after="0"/>
              <w:rPr>
                <w:sz w:val="24"/>
                <w:szCs w:val="24"/>
                <w:color w:val="auto"/>
              </w:rPr>
            </w:pPr>
          </w:p>
        </w:tc>
        <w:tc>
          <w:tcPr>
            <w:tcW w:w="2040" w:type="dxa"/>
            <w:vAlign w:val="bottom"/>
          </w:tcPr>
          <w:p>
            <w:pPr>
              <w:jc w:val="right"/>
              <w:ind w:right="467"/>
              <w:spacing w:after="0"/>
              <w:rPr>
                <w:sz w:val="20"/>
                <w:szCs w:val="20"/>
                <w:color w:val="auto"/>
              </w:rPr>
            </w:pPr>
            <w:r>
              <w:rPr>
                <w:rFonts w:ascii="Calibri" w:cs="Calibri" w:eastAsia="Calibri" w:hAnsi="Calibri"/>
                <w:sz w:val="15"/>
                <w:szCs w:val="15"/>
                <w:color w:val="auto"/>
              </w:rPr>
              <w:t>7,240</w:t>
            </w:r>
          </w:p>
        </w:tc>
        <w:tc>
          <w:tcPr>
            <w:tcW w:w="1100" w:type="dxa"/>
            <w:vAlign w:val="bottom"/>
          </w:tcPr>
          <w:p>
            <w:pPr>
              <w:jc w:val="right"/>
              <w:spacing w:after="0"/>
              <w:rPr>
                <w:sz w:val="20"/>
                <w:szCs w:val="20"/>
                <w:color w:val="auto"/>
              </w:rPr>
            </w:pPr>
            <w:r>
              <w:rPr>
                <w:rFonts w:ascii="Calibri" w:cs="Calibri" w:eastAsia="Calibri" w:hAnsi="Calibri"/>
                <w:sz w:val="15"/>
                <w:szCs w:val="15"/>
                <w:color w:val="auto"/>
              </w:rPr>
              <w:t>9,805</w:t>
            </w:r>
          </w:p>
        </w:tc>
        <w:tc>
          <w:tcPr>
            <w:tcW w:w="0" w:type="dxa"/>
            <w:vAlign w:val="bottom"/>
          </w:tcPr>
          <w:p>
            <w:pPr>
              <w:spacing w:after="0"/>
              <w:rPr>
                <w:sz w:val="1"/>
                <w:szCs w:val="1"/>
                <w:color w:val="auto"/>
              </w:rPr>
            </w:pPr>
          </w:p>
        </w:tc>
      </w:tr>
      <w:tr>
        <w:trPr>
          <w:trHeight w:val="193"/>
        </w:trPr>
        <w:tc>
          <w:tcPr>
            <w:tcW w:w="5000" w:type="dxa"/>
            <w:vAlign w:val="bottom"/>
          </w:tcPr>
          <w:p>
            <w:pPr>
              <w:ind w:left="500"/>
              <w:spacing w:after="0"/>
              <w:rPr>
                <w:sz w:val="20"/>
                <w:szCs w:val="20"/>
                <w:color w:val="auto"/>
              </w:rPr>
            </w:pPr>
            <w:r>
              <w:rPr>
                <w:rFonts w:ascii="Calibri" w:cs="Calibri" w:eastAsia="Calibri" w:hAnsi="Calibri"/>
                <w:sz w:val="15"/>
                <w:szCs w:val="15"/>
                <w:color w:val="auto"/>
              </w:rPr>
              <w:t>Lease liabilites</w:t>
            </w:r>
          </w:p>
        </w:tc>
        <w:tc>
          <w:tcPr>
            <w:tcW w:w="3120" w:type="dxa"/>
            <w:vAlign w:val="bottom"/>
          </w:tcPr>
          <w:p>
            <w:pPr>
              <w:jc w:val="right"/>
              <w:ind w:right="907"/>
              <w:spacing w:after="0"/>
              <w:rPr>
                <w:sz w:val="20"/>
                <w:szCs w:val="20"/>
                <w:color w:val="auto"/>
              </w:rPr>
            </w:pPr>
            <w:r>
              <w:rPr>
                <w:rFonts w:ascii="Calibri" w:cs="Calibri" w:eastAsia="Calibri" w:hAnsi="Calibri"/>
                <w:sz w:val="15"/>
                <w:szCs w:val="15"/>
                <w:i w:val="1"/>
                <w:iCs w:val="1"/>
                <w:color w:val="auto"/>
              </w:rPr>
              <w:t>5</w:t>
            </w:r>
          </w:p>
        </w:tc>
        <w:tc>
          <w:tcPr>
            <w:tcW w:w="2040" w:type="dxa"/>
            <w:vAlign w:val="bottom"/>
          </w:tcPr>
          <w:p>
            <w:pPr>
              <w:jc w:val="right"/>
              <w:ind w:right="467"/>
              <w:spacing w:after="0"/>
              <w:rPr>
                <w:sz w:val="20"/>
                <w:szCs w:val="20"/>
                <w:color w:val="auto"/>
              </w:rPr>
            </w:pPr>
            <w:r>
              <w:rPr>
                <w:rFonts w:ascii="Calibri" w:cs="Calibri" w:eastAsia="Calibri" w:hAnsi="Calibri"/>
                <w:sz w:val="15"/>
                <w:szCs w:val="15"/>
                <w:color w:val="auto"/>
              </w:rPr>
              <w:t>133</w:t>
            </w:r>
          </w:p>
        </w:tc>
        <w:tc>
          <w:tcPr>
            <w:tcW w:w="1100" w:type="dxa"/>
            <w:vAlign w:val="bottom"/>
          </w:tcPr>
          <w:p>
            <w:pPr>
              <w:jc w:val="right"/>
              <w:spacing w:after="0"/>
              <w:rPr>
                <w:sz w:val="20"/>
                <w:szCs w:val="20"/>
                <w:color w:val="auto"/>
              </w:rPr>
            </w:pPr>
            <w:r>
              <w:rPr>
                <w:rFonts w:ascii="Calibri" w:cs="Calibri" w:eastAsia="Calibri" w:hAnsi="Calibri"/>
                <w:sz w:val="15"/>
                <w:szCs w:val="15"/>
                <w:color w:val="auto"/>
              </w:rPr>
              <w:t>291</w:t>
            </w:r>
          </w:p>
        </w:tc>
        <w:tc>
          <w:tcPr>
            <w:tcW w:w="0" w:type="dxa"/>
            <w:vAlign w:val="bottom"/>
          </w:tcPr>
          <w:p>
            <w:pPr>
              <w:spacing w:after="0"/>
              <w:rPr>
                <w:sz w:val="1"/>
                <w:szCs w:val="1"/>
                <w:color w:val="auto"/>
              </w:rPr>
            </w:pPr>
          </w:p>
        </w:tc>
      </w:tr>
      <w:tr>
        <w:trPr>
          <w:trHeight w:val="157"/>
        </w:trPr>
        <w:tc>
          <w:tcPr>
            <w:tcW w:w="5000" w:type="dxa"/>
            <w:vAlign w:val="bottom"/>
            <w:tcBorders>
              <w:bottom w:val="single" w:sz="8" w:color="auto"/>
            </w:tcBorders>
          </w:tcPr>
          <w:p>
            <w:pPr>
              <w:spacing w:after="0"/>
              <w:rPr>
                <w:sz w:val="13"/>
                <w:szCs w:val="13"/>
                <w:color w:val="auto"/>
              </w:rPr>
            </w:pPr>
          </w:p>
        </w:tc>
        <w:tc>
          <w:tcPr>
            <w:tcW w:w="3120" w:type="dxa"/>
            <w:vAlign w:val="bottom"/>
            <w:tcBorders>
              <w:bottom w:val="single" w:sz="8" w:color="auto"/>
            </w:tcBorders>
          </w:tcPr>
          <w:p>
            <w:pPr>
              <w:spacing w:after="0"/>
              <w:rPr>
                <w:sz w:val="13"/>
                <w:szCs w:val="13"/>
                <w:color w:val="auto"/>
              </w:rPr>
            </w:pPr>
          </w:p>
        </w:tc>
        <w:tc>
          <w:tcPr>
            <w:tcW w:w="2040" w:type="dxa"/>
            <w:vAlign w:val="bottom"/>
            <w:tcBorders>
              <w:bottom w:val="single" w:sz="8" w:color="auto"/>
            </w:tcBorders>
          </w:tcPr>
          <w:p>
            <w:pPr>
              <w:spacing w:after="0"/>
              <w:rPr>
                <w:sz w:val="13"/>
                <w:szCs w:val="13"/>
                <w:color w:val="auto"/>
              </w:rPr>
            </w:pPr>
          </w:p>
        </w:tc>
        <w:tc>
          <w:tcPr>
            <w:tcW w:w="110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91"/>
        </w:trPr>
        <w:tc>
          <w:tcPr>
            <w:tcW w:w="5000" w:type="dxa"/>
            <w:vAlign w:val="bottom"/>
            <w:tcBorders>
              <w:bottom w:val="single" w:sz="8" w:color="DBDBDB"/>
            </w:tcBorders>
            <w:shd w:val="clear" w:color="auto" w:fill="DBDBDB"/>
          </w:tcPr>
          <w:p>
            <w:pPr>
              <w:ind w:left="60"/>
              <w:spacing w:after="0" w:line="165" w:lineRule="exact"/>
              <w:rPr>
                <w:sz w:val="20"/>
                <w:szCs w:val="20"/>
                <w:color w:val="auto"/>
              </w:rPr>
            </w:pPr>
            <w:r>
              <w:rPr>
                <w:rFonts w:ascii="Calibri" w:cs="Calibri" w:eastAsia="Calibri" w:hAnsi="Calibri"/>
                <w:sz w:val="15"/>
                <w:szCs w:val="15"/>
                <w:b w:val="1"/>
                <w:bCs w:val="1"/>
                <w:color w:val="auto"/>
              </w:rPr>
              <w:t>Total Liabilites</w:t>
            </w:r>
          </w:p>
        </w:tc>
        <w:tc>
          <w:tcPr>
            <w:tcW w:w="3120" w:type="dxa"/>
            <w:vAlign w:val="bottom"/>
            <w:tcBorders>
              <w:bottom w:val="single" w:sz="8" w:color="DBDBDB"/>
            </w:tcBorders>
            <w:shd w:val="clear" w:color="auto" w:fill="DBDBDB"/>
          </w:tcPr>
          <w:p>
            <w:pPr>
              <w:spacing w:after="0"/>
              <w:rPr>
                <w:sz w:val="16"/>
                <w:szCs w:val="16"/>
                <w:color w:val="auto"/>
              </w:rPr>
            </w:pPr>
          </w:p>
        </w:tc>
        <w:tc>
          <w:tcPr>
            <w:tcW w:w="2040" w:type="dxa"/>
            <w:vAlign w:val="bottom"/>
            <w:tcBorders>
              <w:bottom w:val="single" w:sz="8" w:color="DBDBDB"/>
            </w:tcBorders>
            <w:shd w:val="clear" w:color="auto" w:fill="DBDBDB"/>
          </w:tcPr>
          <w:p>
            <w:pPr>
              <w:jc w:val="right"/>
              <w:ind w:right="467"/>
              <w:spacing w:after="0" w:line="165" w:lineRule="exact"/>
              <w:rPr>
                <w:sz w:val="20"/>
                <w:szCs w:val="20"/>
                <w:color w:val="auto"/>
              </w:rPr>
            </w:pPr>
            <w:r>
              <w:rPr>
                <w:rFonts w:ascii="Calibri" w:cs="Calibri" w:eastAsia="Calibri" w:hAnsi="Calibri"/>
                <w:sz w:val="15"/>
                <w:szCs w:val="15"/>
                <w:b w:val="1"/>
                <w:bCs w:val="1"/>
                <w:color w:val="auto"/>
              </w:rPr>
              <w:t>7,373</w:t>
            </w:r>
          </w:p>
        </w:tc>
        <w:tc>
          <w:tcPr>
            <w:tcW w:w="1100" w:type="dxa"/>
            <w:vAlign w:val="bottom"/>
            <w:tcBorders>
              <w:bottom w:val="single" w:sz="8" w:color="DBDBDB"/>
            </w:tcBorders>
            <w:shd w:val="clear" w:color="auto" w:fill="DBDBDB"/>
          </w:tcPr>
          <w:p>
            <w:pPr>
              <w:jc w:val="right"/>
              <w:spacing w:after="0" w:line="165" w:lineRule="exact"/>
              <w:rPr>
                <w:sz w:val="20"/>
                <w:szCs w:val="20"/>
                <w:color w:val="auto"/>
              </w:rPr>
            </w:pPr>
            <w:r>
              <w:rPr>
                <w:rFonts w:ascii="Calibri" w:cs="Calibri" w:eastAsia="Calibri" w:hAnsi="Calibri"/>
                <w:sz w:val="15"/>
                <w:szCs w:val="15"/>
                <w:color w:val="auto"/>
              </w:rPr>
              <w:t>10,096</w:t>
            </w:r>
          </w:p>
        </w:tc>
        <w:tc>
          <w:tcPr>
            <w:tcW w:w="0" w:type="dxa"/>
            <w:vAlign w:val="bottom"/>
          </w:tcPr>
          <w:p>
            <w:pPr>
              <w:spacing w:after="0"/>
              <w:rPr>
                <w:sz w:val="1"/>
                <w:szCs w:val="1"/>
                <w:color w:val="auto"/>
              </w:rPr>
            </w:pPr>
          </w:p>
        </w:tc>
      </w:tr>
      <w:tr>
        <w:trPr>
          <w:trHeight w:val="197"/>
        </w:trPr>
        <w:tc>
          <w:tcPr>
            <w:tcW w:w="5000" w:type="dxa"/>
            <w:vAlign w:val="bottom"/>
            <w:tcBorders>
              <w:top w:val="single" w:sz="8" w:color="auto"/>
            </w:tcBorders>
          </w:tcPr>
          <w:p>
            <w:pPr>
              <w:ind w:left="60"/>
              <w:spacing w:after="0"/>
              <w:rPr>
                <w:sz w:val="20"/>
                <w:szCs w:val="20"/>
                <w:color w:val="auto"/>
              </w:rPr>
            </w:pPr>
            <w:r>
              <w:rPr>
                <w:rFonts w:ascii="Calibri" w:cs="Calibri" w:eastAsia="Calibri" w:hAnsi="Calibri"/>
                <w:sz w:val="15"/>
                <w:szCs w:val="15"/>
                <w:b w:val="1"/>
                <w:bCs w:val="1"/>
                <w:color w:val="auto"/>
              </w:rPr>
              <w:t>SHAREHOLDERS' EQUITY</w:t>
            </w:r>
          </w:p>
        </w:tc>
        <w:tc>
          <w:tcPr>
            <w:tcW w:w="3120" w:type="dxa"/>
            <w:vAlign w:val="bottom"/>
            <w:tcBorders>
              <w:top w:val="single" w:sz="8" w:color="auto"/>
            </w:tcBorders>
          </w:tcPr>
          <w:p>
            <w:pPr>
              <w:spacing w:after="0"/>
              <w:rPr>
                <w:sz w:val="17"/>
                <w:szCs w:val="17"/>
                <w:color w:val="auto"/>
              </w:rPr>
            </w:pPr>
          </w:p>
        </w:tc>
        <w:tc>
          <w:tcPr>
            <w:tcW w:w="2040" w:type="dxa"/>
            <w:vAlign w:val="bottom"/>
            <w:tcBorders>
              <w:top w:val="single" w:sz="8" w:color="auto"/>
            </w:tcBorders>
          </w:tcPr>
          <w:p>
            <w:pPr>
              <w:spacing w:after="0"/>
              <w:rPr>
                <w:sz w:val="17"/>
                <w:szCs w:val="17"/>
                <w:color w:val="auto"/>
              </w:rPr>
            </w:pPr>
          </w:p>
        </w:tc>
        <w:tc>
          <w:tcPr>
            <w:tcW w:w="1100" w:type="dxa"/>
            <w:vAlign w:val="bottom"/>
            <w:tcBorders>
              <w:top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93"/>
        </w:trPr>
        <w:tc>
          <w:tcPr>
            <w:tcW w:w="5000" w:type="dxa"/>
            <w:vAlign w:val="bottom"/>
            <w:vMerge w:val="restart"/>
          </w:tcPr>
          <w:p>
            <w:pPr>
              <w:ind w:left="500"/>
              <w:spacing w:after="0"/>
              <w:rPr>
                <w:sz w:val="20"/>
                <w:szCs w:val="20"/>
                <w:color w:val="auto"/>
              </w:rPr>
            </w:pPr>
            <w:r>
              <w:rPr>
                <w:rFonts w:ascii="Calibri" w:cs="Calibri" w:eastAsia="Calibri" w:hAnsi="Calibri"/>
                <w:sz w:val="15"/>
                <w:szCs w:val="15"/>
                <w:color w:val="auto"/>
              </w:rPr>
              <w:t>Share capital</w:t>
            </w:r>
          </w:p>
        </w:tc>
        <w:tc>
          <w:tcPr>
            <w:tcW w:w="3120" w:type="dxa"/>
            <w:vAlign w:val="bottom"/>
          </w:tcPr>
          <w:p>
            <w:pPr>
              <w:jc w:val="right"/>
              <w:ind w:right="907"/>
              <w:spacing w:after="0"/>
              <w:rPr>
                <w:sz w:val="20"/>
                <w:szCs w:val="20"/>
                <w:color w:val="auto"/>
              </w:rPr>
            </w:pPr>
            <w:r>
              <w:rPr>
                <w:rFonts w:ascii="Calibri" w:cs="Calibri" w:eastAsia="Calibri" w:hAnsi="Calibri"/>
                <w:sz w:val="15"/>
                <w:szCs w:val="15"/>
                <w:i w:val="1"/>
                <w:iCs w:val="1"/>
                <w:color w:val="auto"/>
              </w:rPr>
              <w:t>7</w:t>
            </w:r>
          </w:p>
        </w:tc>
        <w:tc>
          <w:tcPr>
            <w:tcW w:w="2040" w:type="dxa"/>
            <w:vAlign w:val="bottom"/>
            <w:vMerge w:val="restart"/>
          </w:tcPr>
          <w:p>
            <w:pPr>
              <w:jc w:val="right"/>
              <w:ind w:right="467"/>
              <w:spacing w:after="0"/>
              <w:rPr>
                <w:sz w:val="20"/>
                <w:szCs w:val="20"/>
                <w:color w:val="auto"/>
              </w:rPr>
            </w:pPr>
            <w:r>
              <w:rPr>
                <w:rFonts w:ascii="Calibri" w:cs="Calibri" w:eastAsia="Calibri" w:hAnsi="Calibri"/>
                <w:sz w:val="15"/>
                <w:szCs w:val="15"/>
                <w:color w:val="auto"/>
              </w:rPr>
              <w:t>443,448</w:t>
            </w:r>
          </w:p>
        </w:tc>
        <w:tc>
          <w:tcPr>
            <w:tcW w:w="1100" w:type="dxa"/>
            <w:vAlign w:val="bottom"/>
            <w:vMerge w:val="restart"/>
          </w:tcPr>
          <w:p>
            <w:pPr>
              <w:jc w:val="right"/>
              <w:spacing w:after="0"/>
              <w:rPr>
                <w:sz w:val="20"/>
                <w:szCs w:val="20"/>
                <w:color w:val="auto"/>
              </w:rPr>
            </w:pPr>
            <w:r>
              <w:rPr>
                <w:rFonts w:ascii="Arial" w:cs="Arial" w:eastAsia="Arial" w:hAnsi="Arial"/>
                <w:sz w:val="13"/>
                <w:szCs w:val="13"/>
                <w:color w:val="auto"/>
              </w:rPr>
              <w:t>443,877</w:t>
            </w:r>
          </w:p>
        </w:tc>
        <w:tc>
          <w:tcPr>
            <w:tcW w:w="0" w:type="dxa"/>
            <w:vAlign w:val="bottom"/>
          </w:tcPr>
          <w:p>
            <w:pPr>
              <w:spacing w:after="0"/>
              <w:rPr>
                <w:sz w:val="1"/>
                <w:szCs w:val="1"/>
                <w:color w:val="auto"/>
              </w:rPr>
            </w:pPr>
          </w:p>
        </w:tc>
      </w:tr>
      <w:tr>
        <w:trPr>
          <w:trHeight w:val="73"/>
        </w:trPr>
        <w:tc>
          <w:tcPr>
            <w:tcW w:w="5000" w:type="dxa"/>
            <w:vAlign w:val="bottom"/>
            <w:vMerge w:val="continue"/>
          </w:tcPr>
          <w:p>
            <w:pPr>
              <w:spacing w:after="0"/>
              <w:rPr>
                <w:sz w:val="6"/>
                <w:szCs w:val="6"/>
                <w:color w:val="auto"/>
              </w:rPr>
            </w:pPr>
          </w:p>
        </w:tc>
        <w:tc>
          <w:tcPr>
            <w:tcW w:w="3120" w:type="dxa"/>
            <w:vAlign w:val="bottom"/>
          </w:tcPr>
          <w:p>
            <w:pPr>
              <w:spacing w:after="0"/>
              <w:rPr>
                <w:sz w:val="6"/>
                <w:szCs w:val="6"/>
                <w:color w:val="auto"/>
              </w:rPr>
            </w:pPr>
          </w:p>
        </w:tc>
        <w:tc>
          <w:tcPr>
            <w:tcW w:w="2040" w:type="dxa"/>
            <w:vAlign w:val="bottom"/>
            <w:vMerge w:val="continue"/>
          </w:tcPr>
          <w:p>
            <w:pPr>
              <w:spacing w:after="0"/>
              <w:rPr>
                <w:sz w:val="6"/>
                <w:szCs w:val="6"/>
                <w:color w:val="auto"/>
              </w:rPr>
            </w:pPr>
          </w:p>
        </w:tc>
        <w:tc>
          <w:tcPr>
            <w:tcW w:w="110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64"/>
        </w:trPr>
        <w:tc>
          <w:tcPr>
            <w:tcW w:w="5000" w:type="dxa"/>
            <w:vAlign w:val="bottom"/>
          </w:tcPr>
          <w:p>
            <w:pPr>
              <w:spacing w:after="0"/>
              <w:rPr>
                <w:sz w:val="5"/>
                <w:szCs w:val="5"/>
                <w:color w:val="auto"/>
              </w:rPr>
            </w:pPr>
          </w:p>
        </w:tc>
        <w:tc>
          <w:tcPr>
            <w:tcW w:w="3120" w:type="dxa"/>
            <w:vAlign w:val="bottom"/>
          </w:tcPr>
          <w:p>
            <w:pPr>
              <w:spacing w:after="0"/>
              <w:rPr>
                <w:sz w:val="5"/>
                <w:szCs w:val="5"/>
                <w:color w:val="auto"/>
              </w:rPr>
            </w:pPr>
          </w:p>
        </w:tc>
        <w:tc>
          <w:tcPr>
            <w:tcW w:w="2040" w:type="dxa"/>
            <w:vAlign w:val="bottom"/>
            <w:vMerge w:val="continue"/>
          </w:tcPr>
          <w:p>
            <w:pPr>
              <w:spacing w:after="0"/>
              <w:rPr>
                <w:sz w:val="5"/>
                <w:szCs w:val="5"/>
                <w:color w:val="auto"/>
              </w:rPr>
            </w:pPr>
          </w:p>
        </w:tc>
        <w:tc>
          <w:tcPr>
            <w:tcW w:w="110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50"/>
        </w:trPr>
        <w:tc>
          <w:tcPr>
            <w:tcW w:w="5000" w:type="dxa"/>
            <w:vAlign w:val="bottom"/>
          </w:tcPr>
          <w:p>
            <w:pPr>
              <w:ind w:left="500"/>
              <w:spacing w:after="0"/>
              <w:rPr>
                <w:sz w:val="20"/>
                <w:szCs w:val="20"/>
                <w:color w:val="auto"/>
              </w:rPr>
            </w:pPr>
            <w:r>
              <w:rPr>
                <w:rFonts w:ascii="Calibri" w:cs="Calibri" w:eastAsia="Calibri" w:hAnsi="Calibri"/>
                <w:sz w:val="15"/>
                <w:szCs w:val="15"/>
                <w:color w:val="auto"/>
              </w:rPr>
              <w:t>Contributed surplus</w:t>
            </w:r>
          </w:p>
        </w:tc>
        <w:tc>
          <w:tcPr>
            <w:tcW w:w="3120" w:type="dxa"/>
            <w:vAlign w:val="bottom"/>
          </w:tcPr>
          <w:p>
            <w:pPr>
              <w:spacing w:after="0"/>
              <w:rPr>
                <w:sz w:val="21"/>
                <w:szCs w:val="21"/>
                <w:color w:val="auto"/>
              </w:rPr>
            </w:pPr>
          </w:p>
        </w:tc>
        <w:tc>
          <w:tcPr>
            <w:tcW w:w="2040" w:type="dxa"/>
            <w:vAlign w:val="bottom"/>
            <w:vMerge w:val="restart"/>
          </w:tcPr>
          <w:p>
            <w:pPr>
              <w:jc w:val="right"/>
              <w:ind w:right="467"/>
              <w:spacing w:after="0"/>
              <w:rPr>
                <w:sz w:val="20"/>
                <w:szCs w:val="20"/>
                <w:color w:val="auto"/>
              </w:rPr>
            </w:pPr>
            <w:r>
              <w:rPr>
                <w:rFonts w:ascii="Calibri" w:cs="Calibri" w:eastAsia="Calibri" w:hAnsi="Calibri"/>
                <w:sz w:val="15"/>
                <w:szCs w:val="15"/>
                <w:color w:val="auto"/>
              </w:rPr>
              <w:t>43,791</w:t>
            </w:r>
          </w:p>
        </w:tc>
        <w:tc>
          <w:tcPr>
            <w:tcW w:w="1100" w:type="dxa"/>
            <w:vAlign w:val="bottom"/>
            <w:vMerge w:val="restart"/>
          </w:tcPr>
          <w:p>
            <w:pPr>
              <w:jc w:val="right"/>
              <w:spacing w:after="0"/>
              <w:rPr>
                <w:sz w:val="20"/>
                <w:szCs w:val="20"/>
                <w:color w:val="auto"/>
              </w:rPr>
            </w:pPr>
            <w:r>
              <w:rPr>
                <w:rFonts w:ascii="Arial" w:cs="Arial" w:eastAsia="Arial" w:hAnsi="Arial"/>
                <w:sz w:val="13"/>
                <w:szCs w:val="13"/>
                <w:color w:val="auto"/>
              </w:rPr>
              <w:t>11,750</w:t>
            </w:r>
          </w:p>
        </w:tc>
        <w:tc>
          <w:tcPr>
            <w:tcW w:w="0" w:type="dxa"/>
            <w:vAlign w:val="bottom"/>
          </w:tcPr>
          <w:p>
            <w:pPr>
              <w:spacing w:after="0"/>
              <w:rPr>
                <w:sz w:val="1"/>
                <w:szCs w:val="1"/>
                <w:color w:val="auto"/>
              </w:rPr>
            </w:pPr>
          </w:p>
        </w:tc>
      </w:tr>
      <w:tr>
        <w:trPr>
          <w:trHeight w:val="64"/>
        </w:trPr>
        <w:tc>
          <w:tcPr>
            <w:tcW w:w="5000" w:type="dxa"/>
            <w:vAlign w:val="bottom"/>
          </w:tcPr>
          <w:p>
            <w:pPr>
              <w:spacing w:after="0"/>
              <w:rPr>
                <w:sz w:val="5"/>
                <w:szCs w:val="5"/>
                <w:color w:val="auto"/>
              </w:rPr>
            </w:pPr>
          </w:p>
        </w:tc>
        <w:tc>
          <w:tcPr>
            <w:tcW w:w="3120" w:type="dxa"/>
            <w:vAlign w:val="bottom"/>
          </w:tcPr>
          <w:p>
            <w:pPr>
              <w:spacing w:after="0"/>
              <w:rPr>
                <w:sz w:val="5"/>
                <w:szCs w:val="5"/>
                <w:color w:val="auto"/>
              </w:rPr>
            </w:pPr>
          </w:p>
        </w:tc>
        <w:tc>
          <w:tcPr>
            <w:tcW w:w="2040" w:type="dxa"/>
            <w:vAlign w:val="bottom"/>
            <w:vMerge w:val="continue"/>
          </w:tcPr>
          <w:p>
            <w:pPr>
              <w:spacing w:after="0"/>
              <w:rPr>
                <w:sz w:val="5"/>
                <w:szCs w:val="5"/>
                <w:color w:val="auto"/>
              </w:rPr>
            </w:pPr>
          </w:p>
        </w:tc>
        <w:tc>
          <w:tcPr>
            <w:tcW w:w="110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77"/>
        </w:trPr>
        <w:tc>
          <w:tcPr>
            <w:tcW w:w="5000" w:type="dxa"/>
            <w:vAlign w:val="bottom"/>
            <w:vMerge w:val="restart"/>
          </w:tcPr>
          <w:p>
            <w:pPr>
              <w:ind w:left="500"/>
              <w:spacing w:after="0"/>
              <w:rPr>
                <w:sz w:val="20"/>
                <w:szCs w:val="20"/>
                <w:color w:val="auto"/>
              </w:rPr>
            </w:pPr>
            <w:r>
              <w:rPr>
                <w:rFonts w:ascii="Calibri" w:cs="Calibri" w:eastAsia="Calibri" w:hAnsi="Calibri"/>
                <w:sz w:val="15"/>
                <w:szCs w:val="15"/>
                <w:color w:val="auto"/>
              </w:rPr>
              <w:t>Optons reserve</w:t>
            </w:r>
          </w:p>
        </w:tc>
        <w:tc>
          <w:tcPr>
            <w:tcW w:w="3120" w:type="dxa"/>
            <w:vAlign w:val="bottom"/>
          </w:tcPr>
          <w:p>
            <w:pPr>
              <w:jc w:val="right"/>
              <w:ind w:right="907"/>
              <w:spacing w:after="0" w:line="178" w:lineRule="exact"/>
              <w:rPr>
                <w:sz w:val="20"/>
                <w:szCs w:val="20"/>
                <w:color w:val="auto"/>
              </w:rPr>
            </w:pPr>
            <w:r>
              <w:rPr>
                <w:rFonts w:ascii="Calibri" w:cs="Calibri" w:eastAsia="Calibri" w:hAnsi="Calibri"/>
                <w:sz w:val="15"/>
                <w:szCs w:val="15"/>
                <w:i w:val="1"/>
                <w:iCs w:val="1"/>
                <w:color w:val="auto"/>
              </w:rPr>
              <w:t>7</w:t>
            </w:r>
          </w:p>
        </w:tc>
        <w:tc>
          <w:tcPr>
            <w:tcW w:w="2040" w:type="dxa"/>
            <w:vAlign w:val="bottom"/>
            <w:vMerge w:val="restart"/>
          </w:tcPr>
          <w:p>
            <w:pPr>
              <w:jc w:val="right"/>
              <w:ind w:right="467"/>
              <w:spacing w:after="0"/>
              <w:rPr>
                <w:sz w:val="20"/>
                <w:szCs w:val="20"/>
                <w:color w:val="auto"/>
              </w:rPr>
            </w:pPr>
            <w:r>
              <w:rPr>
                <w:rFonts w:ascii="Calibri" w:cs="Calibri" w:eastAsia="Calibri" w:hAnsi="Calibri"/>
                <w:sz w:val="15"/>
                <w:szCs w:val="15"/>
                <w:color w:val="auto"/>
              </w:rPr>
              <w:t>42,615</w:t>
            </w:r>
          </w:p>
        </w:tc>
        <w:tc>
          <w:tcPr>
            <w:tcW w:w="1100" w:type="dxa"/>
            <w:vAlign w:val="bottom"/>
            <w:vMerge w:val="restart"/>
          </w:tcPr>
          <w:p>
            <w:pPr>
              <w:jc w:val="right"/>
              <w:spacing w:after="0"/>
              <w:rPr>
                <w:sz w:val="20"/>
                <w:szCs w:val="20"/>
                <w:color w:val="auto"/>
              </w:rPr>
            </w:pPr>
            <w:r>
              <w:rPr>
                <w:rFonts w:ascii="Arial" w:cs="Arial" w:eastAsia="Arial" w:hAnsi="Arial"/>
                <w:sz w:val="13"/>
                <w:szCs w:val="13"/>
                <w:color w:val="auto"/>
              </w:rPr>
              <w:t>39,177</w:t>
            </w:r>
          </w:p>
        </w:tc>
        <w:tc>
          <w:tcPr>
            <w:tcW w:w="0" w:type="dxa"/>
            <w:vAlign w:val="bottom"/>
          </w:tcPr>
          <w:p>
            <w:pPr>
              <w:spacing w:after="0"/>
              <w:rPr>
                <w:sz w:val="1"/>
                <w:szCs w:val="1"/>
                <w:color w:val="auto"/>
              </w:rPr>
            </w:pPr>
          </w:p>
        </w:tc>
      </w:tr>
      <w:tr>
        <w:trPr>
          <w:trHeight w:val="73"/>
        </w:trPr>
        <w:tc>
          <w:tcPr>
            <w:tcW w:w="5000" w:type="dxa"/>
            <w:vAlign w:val="bottom"/>
            <w:vMerge w:val="continue"/>
          </w:tcPr>
          <w:p>
            <w:pPr>
              <w:spacing w:after="0"/>
              <w:rPr>
                <w:sz w:val="6"/>
                <w:szCs w:val="6"/>
                <w:color w:val="auto"/>
              </w:rPr>
            </w:pPr>
          </w:p>
        </w:tc>
        <w:tc>
          <w:tcPr>
            <w:tcW w:w="3120" w:type="dxa"/>
            <w:vAlign w:val="bottom"/>
          </w:tcPr>
          <w:p>
            <w:pPr>
              <w:spacing w:after="0"/>
              <w:rPr>
                <w:sz w:val="6"/>
                <w:szCs w:val="6"/>
                <w:color w:val="auto"/>
              </w:rPr>
            </w:pPr>
          </w:p>
        </w:tc>
        <w:tc>
          <w:tcPr>
            <w:tcW w:w="2040" w:type="dxa"/>
            <w:vAlign w:val="bottom"/>
            <w:vMerge w:val="continue"/>
          </w:tcPr>
          <w:p>
            <w:pPr>
              <w:spacing w:after="0"/>
              <w:rPr>
                <w:sz w:val="6"/>
                <w:szCs w:val="6"/>
                <w:color w:val="auto"/>
              </w:rPr>
            </w:pPr>
          </w:p>
        </w:tc>
        <w:tc>
          <w:tcPr>
            <w:tcW w:w="110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64"/>
        </w:trPr>
        <w:tc>
          <w:tcPr>
            <w:tcW w:w="5000" w:type="dxa"/>
            <w:vAlign w:val="bottom"/>
          </w:tcPr>
          <w:p>
            <w:pPr>
              <w:spacing w:after="0"/>
              <w:rPr>
                <w:sz w:val="5"/>
                <w:szCs w:val="5"/>
                <w:color w:val="auto"/>
              </w:rPr>
            </w:pPr>
          </w:p>
        </w:tc>
        <w:tc>
          <w:tcPr>
            <w:tcW w:w="3120" w:type="dxa"/>
            <w:vAlign w:val="bottom"/>
          </w:tcPr>
          <w:p>
            <w:pPr>
              <w:spacing w:after="0"/>
              <w:rPr>
                <w:sz w:val="5"/>
                <w:szCs w:val="5"/>
                <w:color w:val="auto"/>
              </w:rPr>
            </w:pPr>
          </w:p>
        </w:tc>
        <w:tc>
          <w:tcPr>
            <w:tcW w:w="2040" w:type="dxa"/>
            <w:vAlign w:val="bottom"/>
            <w:vMerge w:val="continue"/>
          </w:tcPr>
          <w:p>
            <w:pPr>
              <w:spacing w:after="0"/>
              <w:rPr>
                <w:sz w:val="5"/>
                <w:szCs w:val="5"/>
                <w:color w:val="auto"/>
              </w:rPr>
            </w:pPr>
          </w:p>
        </w:tc>
        <w:tc>
          <w:tcPr>
            <w:tcW w:w="110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77"/>
        </w:trPr>
        <w:tc>
          <w:tcPr>
            <w:tcW w:w="5000" w:type="dxa"/>
            <w:vAlign w:val="bottom"/>
            <w:vMerge w:val="restart"/>
          </w:tcPr>
          <w:p>
            <w:pPr>
              <w:ind w:left="500"/>
              <w:spacing w:after="0"/>
              <w:rPr>
                <w:sz w:val="20"/>
                <w:szCs w:val="20"/>
                <w:color w:val="auto"/>
              </w:rPr>
            </w:pPr>
            <w:r>
              <w:rPr>
                <w:rFonts w:ascii="Calibri" w:cs="Calibri" w:eastAsia="Calibri" w:hAnsi="Calibri"/>
                <w:sz w:val="15"/>
                <w:szCs w:val="15"/>
                <w:color w:val="auto"/>
              </w:rPr>
              <w:t>Warrants reserve</w:t>
            </w:r>
          </w:p>
        </w:tc>
        <w:tc>
          <w:tcPr>
            <w:tcW w:w="3120" w:type="dxa"/>
            <w:vAlign w:val="bottom"/>
          </w:tcPr>
          <w:p>
            <w:pPr>
              <w:jc w:val="right"/>
              <w:ind w:right="907"/>
              <w:spacing w:after="0" w:line="178" w:lineRule="exact"/>
              <w:rPr>
                <w:sz w:val="20"/>
                <w:szCs w:val="20"/>
                <w:color w:val="auto"/>
              </w:rPr>
            </w:pPr>
            <w:r>
              <w:rPr>
                <w:rFonts w:ascii="Calibri" w:cs="Calibri" w:eastAsia="Calibri" w:hAnsi="Calibri"/>
                <w:sz w:val="15"/>
                <w:szCs w:val="15"/>
                <w:i w:val="1"/>
                <w:iCs w:val="1"/>
                <w:color w:val="auto"/>
              </w:rPr>
              <w:t>7</w:t>
            </w:r>
          </w:p>
        </w:tc>
        <w:tc>
          <w:tcPr>
            <w:tcW w:w="2040" w:type="dxa"/>
            <w:vAlign w:val="bottom"/>
            <w:vMerge w:val="restart"/>
          </w:tcPr>
          <w:p>
            <w:pPr>
              <w:jc w:val="right"/>
              <w:ind w:right="467"/>
              <w:spacing w:after="0"/>
              <w:rPr>
                <w:sz w:val="20"/>
                <w:szCs w:val="20"/>
                <w:color w:val="auto"/>
              </w:rPr>
            </w:pPr>
            <w:r>
              <w:rPr>
                <w:rFonts w:ascii="Calibri" w:cs="Calibri" w:eastAsia="Calibri" w:hAnsi="Calibri"/>
                <w:sz w:val="15"/>
                <w:szCs w:val="15"/>
                <w:color w:val="auto"/>
              </w:rPr>
              <w:t>27,594</w:t>
            </w:r>
          </w:p>
        </w:tc>
        <w:tc>
          <w:tcPr>
            <w:tcW w:w="1100" w:type="dxa"/>
            <w:vAlign w:val="bottom"/>
            <w:vMerge w:val="restart"/>
          </w:tcPr>
          <w:p>
            <w:pPr>
              <w:jc w:val="right"/>
              <w:spacing w:after="0"/>
              <w:rPr>
                <w:sz w:val="20"/>
                <w:szCs w:val="20"/>
                <w:color w:val="auto"/>
              </w:rPr>
            </w:pPr>
            <w:r>
              <w:rPr>
                <w:rFonts w:ascii="Arial" w:cs="Arial" w:eastAsia="Arial" w:hAnsi="Arial"/>
                <w:sz w:val="13"/>
                <w:szCs w:val="13"/>
                <w:color w:val="auto"/>
              </w:rPr>
              <w:t>25,639</w:t>
            </w:r>
          </w:p>
        </w:tc>
        <w:tc>
          <w:tcPr>
            <w:tcW w:w="0" w:type="dxa"/>
            <w:vAlign w:val="bottom"/>
          </w:tcPr>
          <w:p>
            <w:pPr>
              <w:spacing w:after="0"/>
              <w:rPr>
                <w:sz w:val="1"/>
                <w:szCs w:val="1"/>
                <w:color w:val="auto"/>
              </w:rPr>
            </w:pPr>
          </w:p>
        </w:tc>
      </w:tr>
      <w:tr>
        <w:trPr>
          <w:trHeight w:val="73"/>
        </w:trPr>
        <w:tc>
          <w:tcPr>
            <w:tcW w:w="5000" w:type="dxa"/>
            <w:vAlign w:val="bottom"/>
            <w:vMerge w:val="continue"/>
          </w:tcPr>
          <w:p>
            <w:pPr>
              <w:spacing w:after="0"/>
              <w:rPr>
                <w:sz w:val="6"/>
                <w:szCs w:val="6"/>
                <w:color w:val="auto"/>
              </w:rPr>
            </w:pPr>
          </w:p>
        </w:tc>
        <w:tc>
          <w:tcPr>
            <w:tcW w:w="3120" w:type="dxa"/>
            <w:vAlign w:val="bottom"/>
          </w:tcPr>
          <w:p>
            <w:pPr>
              <w:spacing w:after="0"/>
              <w:rPr>
                <w:sz w:val="6"/>
                <w:szCs w:val="6"/>
                <w:color w:val="auto"/>
              </w:rPr>
            </w:pPr>
          </w:p>
        </w:tc>
        <w:tc>
          <w:tcPr>
            <w:tcW w:w="2040" w:type="dxa"/>
            <w:vAlign w:val="bottom"/>
            <w:vMerge w:val="continue"/>
          </w:tcPr>
          <w:p>
            <w:pPr>
              <w:spacing w:after="0"/>
              <w:rPr>
                <w:sz w:val="6"/>
                <w:szCs w:val="6"/>
                <w:color w:val="auto"/>
              </w:rPr>
            </w:pPr>
          </w:p>
        </w:tc>
        <w:tc>
          <w:tcPr>
            <w:tcW w:w="110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64"/>
        </w:trPr>
        <w:tc>
          <w:tcPr>
            <w:tcW w:w="5000" w:type="dxa"/>
            <w:vAlign w:val="bottom"/>
          </w:tcPr>
          <w:p>
            <w:pPr>
              <w:spacing w:after="0"/>
              <w:rPr>
                <w:sz w:val="5"/>
                <w:szCs w:val="5"/>
                <w:color w:val="auto"/>
              </w:rPr>
            </w:pPr>
          </w:p>
        </w:tc>
        <w:tc>
          <w:tcPr>
            <w:tcW w:w="3120" w:type="dxa"/>
            <w:vAlign w:val="bottom"/>
          </w:tcPr>
          <w:p>
            <w:pPr>
              <w:spacing w:after="0"/>
              <w:rPr>
                <w:sz w:val="5"/>
                <w:szCs w:val="5"/>
                <w:color w:val="auto"/>
              </w:rPr>
            </w:pPr>
          </w:p>
        </w:tc>
        <w:tc>
          <w:tcPr>
            <w:tcW w:w="2040" w:type="dxa"/>
            <w:vAlign w:val="bottom"/>
            <w:vMerge w:val="continue"/>
          </w:tcPr>
          <w:p>
            <w:pPr>
              <w:spacing w:after="0"/>
              <w:rPr>
                <w:sz w:val="5"/>
                <w:szCs w:val="5"/>
                <w:color w:val="auto"/>
              </w:rPr>
            </w:pPr>
          </w:p>
        </w:tc>
        <w:tc>
          <w:tcPr>
            <w:tcW w:w="110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50"/>
        </w:trPr>
        <w:tc>
          <w:tcPr>
            <w:tcW w:w="5000" w:type="dxa"/>
            <w:vAlign w:val="bottom"/>
          </w:tcPr>
          <w:p>
            <w:pPr>
              <w:ind w:left="500"/>
              <w:spacing w:after="0"/>
              <w:rPr>
                <w:sz w:val="20"/>
                <w:szCs w:val="20"/>
                <w:color w:val="auto"/>
              </w:rPr>
            </w:pPr>
            <w:r>
              <w:rPr>
                <w:rFonts w:ascii="Calibri" w:cs="Calibri" w:eastAsia="Calibri" w:hAnsi="Calibri"/>
                <w:sz w:val="15"/>
                <w:szCs w:val="15"/>
                <w:color w:val="auto"/>
              </w:rPr>
              <w:t>Accumulated other comprehensive loss</w:t>
            </w:r>
          </w:p>
        </w:tc>
        <w:tc>
          <w:tcPr>
            <w:tcW w:w="3120" w:type="dxa"/>
            <w:vAlign w:val="bottom"/>
          </w:tcPr>
          <w:p>
            <w:pPr>
              <w:spacing w:after="0"/>
              <w:rPr>
                <w:sz w:val="21"/>
                <w:szCs w:val="21"/>
                <w:color w:val="auto"/>
              </w:rPr>
            </w:pPr>
          </w:p>
        </w:tc>
        <w:tc>
          <w:tcPr>
            <w:tcW w:w="2040" w:type="dxa"/>
            <w:vAlign w:val="bottom"/>
            <w:vMerge w:val="restart"/>
          </w:tcPr>
          <w:p>
            <w:pPr>
              <w:jc w:val="right"/>
              <w:ind w:right="447"/>
              <w:spacing w:after="0"/>
              <w:rPr>
                <w:sz w:val="20"/>
                <w:szCs w:val="20"/>
                <w:color w:val="auto"/>
              </w:rPr>
            </w:pPr>
            <w:r>
              <w:rPr>
                <w:rFonts w:ascii="Calibri" w:cs="Calibri" w:eastAsia="Calibri" w:hAnsi="Calibri"/>
                <w:sz w:val="15"/>
                <w:szCs w:val="15"/>
                <w:color w:val="auto"/>
              </w:rPr>
              <w:t>(4,183)</w:t>
            </w:r>
          </w:p>
        </w:tc>
        <w:tc>
          <w:tcPr>
            <w:tcW w:w="1100" w:type="dxa"/>
            <w:vAlign w:val="bottom"/>
            <w:vMerge w:val="restart"/>
          </w:tcPr>
          <w:p>
            <w:pPr>
              <w:jc w:val="right"/>
              <w:spacing w:after="0"/>
              <w:rPr>
                <w:sz w:val="20"/>
                <w:szCs w:val="20"/>
                <w:color w:val="auto"/>
              </w:rPr>
            </w:pPr>
            <w:r>
              <w:rPr>
                <w:rFonts w:ascii="Arial" w:cs="Arial" w:eastAsia="Arial" w:hAnsi="Arial"/>
                <w:sz w:val="13"/>
                <w:szCs w:val="13"/>
                <w:color w:val="auto"/>
              </w:rPr>
              <w:t>(2,285)</w:t>
            </w:r>
          </w:p>
        </w:tc>
        <w:tc>
          <w:tcPr>
            <w:tcW w:w="0" w:type="dxa"/>
            <w:vAlign w:val="bottom"/>
          </w:tcPr>
          <w:p>
            <w:pPr>
              <w:spacing w:after="0"/>
              <w:rPr>
                <w:sz w:val="1"/>
                <w:szCs w:val="1"/>
                <w:color w:val="auto"/>
              </w:rPr>
            </w:pPr>
          </w:p>
        </w:tc>
      </w:tr>
      <w:tr>
        <w:trPr>
          <w:trHeight w:val="64"/>
        </w:trPr>
        <w:tc>
          <w:tcPr>
            <w:tcW w:w="5000" w:type="dxa"/>
            <w:vAlign w:val="bottom"/>
          </w:tcPr>
          <w:p>
            <w:pPr>
              <w:spacing w:after="0"/>
              <w:rPr>
                <w:sz w:val="5"/>
                <w:szCs w:val="5"/>
                <w:color w:val="auto"/>
              </w:rPr>
            </w:pPr>
          </w:p>
        </w:tc>
        <w:tc>
          <w:tcPr>
            <w:tcW w:w="3120" w:type="dxa"/>
            <w:vAlign w:val="bottom"/>
          </w:tcPr>
          <w:p>
            <w:pPr>
              <w:spacing w:after="0"/>
              <w:rPr>
                <w:sz w:val="5"/>
                <w:szCs w:val="5"/>
                <w:color w:val="auto"/>
              </w:rPr>
            </w:pPr>
          </w:p>
        </w:tc>
        <w:tc>
          <w:tcPr>
            <w:tcW w:w="2040" w:type="dxa"/>
            <w:vAlign w:val="bottom"/>
            <w:vMerge w:val="continue"/>
          </w:tcPr>
          <w:p>
            <w:pPr>
              <w:spacing w:after="0"/>
              <w:rPr>
                <w:sz w:val="5"/>
                <w:szCs w:val="5"/>
                <w:color w:val="auto"/>
              </w:rPr>
            </w:pPr>
          </w:p>
        </w:tc>
        <w:tc>
          <w:tcPr>
            <w:tcW w:w="110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50"/>
        </w:trPr>
        <w:tc>
          <w:tcPr>
            <w:tcW w:w="5000" w:type="dxa"/>
            <w:vAlign w:val="bottom"/>
          </w:tcPr>
          <w:p>
            <w:pPr>
              <w:ind w:left="500"/>
              <w:spacing w:after="0"/>
              <w:rPr>
                <w:sz w:val="20"/>
                <w:szCs w:val="20"/>
                <w:color w:val="auto"/>
              </w:rPr>
            </w:pPr>
            <w:r>
              <w:rPr>
                <w:rFonts w:ascii="Calibri" w:cs="Calibri" w:eastAsia="Calibri" w:hAnsi="Calibri"/>
                <w:sz w:val="15"/>
                <w:szCs w:val="15"/>
                <w:color w:val="auto"/>
              </w:rPr>
              <w:t>Defcit</w:t>
            </w:r>
          </w:p>
        </w:tc>
        <w:tc>
          <w:tcPr>
            <w:tcW w:w="3120" w:type="dxa"/>
            <w:vAlign w:val="bottom"/>
          </w:tcPr>
          <w:p>
            <w:pPr>
              <w:spacing w:after="0"/>
              <w:rPr>
                <w:sz w:val="21"/>
                <w:szCs w:val="21"/>
                <w:color w:val="auto"/>
              </w:rPr>
            </w:pPr>
          </w:p>
        </w:tc>
        <w:tc>
          <w:tcPr>
            <w:tcW w:w="2040" w:type="dxa"/>
            <w:vAlign w:val="bottom"/>
            <w:vMerge w:val="restart"/>
          </w:tcPr>
          <w:p>
            <w:pPr>
              <w:jc w:val="right"/>
              <w:ind w:right="447"/>
              <w:spacing w:after="0"/>
              <w:rPr>
                <w:sz w:val="20"/>
                <w:szCs w:val="20"/>
                <w:color w:val="auto"/>
              </w:rPr>
            </w:pPr>
            <w:r>
              <w:rPr>
                <w:rFonts w:ascii="Calibri" w:cs="Calibri" w:eastAsia="Calibri" w:hAnsi="Calibri"/>
                <w:sz w:val="15"/>
                <w:szCs w:val="15"/>
                <w:color w:val="auto"/>
              </w:rPr>
              <w:t>(298,247)</w:t>
            </w:r>
          </w:p>
        </w:tc>
        <w:tc>
          <w:tcPr>
            <w:tcW w:w="1100" w:type="dxa"/>
            <w:vAlign w:val="bottom"/>
            <w:vMerge w:val="restart"/>
          </w:tcPr>
          <w:p>
            <w:pPr>
              <w:jc w:val="right"/>
              <w:spacing w:after="0"/>
              <w:rPr>
                <w:sz w:val="20"/>
                <w:szCs w:val="20"/>
                <w:color w:val="auto"/>
              </w:rPr>
            </w:pPr>
            <w:r>
              <w:rPr>
                <w:rFonts w:ascii="Arial" w:cs="Arial" w:eastAsia="Arial" w:hAnsi="Arial"/>
                <w:sz w:val="13"/>
                <w:szCs w:val="13"/>
                <w:color w:val="auto"/>
              </w:rPr>
              <w:t>(226,231)</w:t>
            </w:r>
          </w:p>
        </w:tc>
        <w:tc>
          <w:tcPr>
            <w:tcW w:w="0" w:type="dxa"/>
            <w:vAlign w:val="bottom"/>
          </w:tcPr>
          <w:p>
            <w:pPr>
              <w:spacing w:after="0"/>
              <w:rPr>
                <w:sz w:val="1"/>
                <w:szCs w:val="1"/>
                <w:color w:val="auto"/>
              </w:rPr>
            </w:pPr>
          </w:p>
        </w:tc>
      </w:tr>
      <w:tr>
        <w:trPr>
          <w:trHeight w:val="64"/>
        </w:trPr>
        <w:tc>
          <w:tcPr>
            <w:tcW w:w="5000" w:type="dxa"/>
            <w:vAlign w:val="bottom"/>
          </w:tcPr>
          <w:p>
            <w:pPr>
              <w:spacing w:after="0"/>
              <w:rPr>
                <w:sz w:val="5"/>
                <w:szCs w:val="5"/>
                <w:color w:val="auto"/>
              </w:rPr>
            </w:pPr>
          </w:p>
        </w:tc>
        <w:tc>
          <w:tcPr>
            <w:tcW w:w="3120" w:type="dxa"/>
            <w:vAlign w:val="bottom"/>
          </w:tcPr>
          <w:p>
            <w:pPr>
              <w:spacing w:after="0"/>
              <w:rPr>
                <w:sz w:val="5"/>
                <w:szCs w:val="5"/>
                <w:color w:val="auto"/>
              </w:rPr>
            </w:pPr>
          </w:p>
        </w:tc>
        <w:tc>
          <w:tcPr>
            <w:tcW w:w="2040" w:type="dxa"/>
            <w:vAlign w:val="bottom"/>
            <w:vMerge w:val="continue"/>
          </w:tcPr>
          <w:p>
            <w:pPr>
              <w:spacing w:after="0"/>
              <w:rPr>
                <w:sz w:val="5"/>
                <w:szCs w:val="5"/>
                <w:color w:val="auto"/>
              </w:rPr>
            </w:pPr>
          </w:p>
        </w:tc>
        <w:tc>
          <w:tcPr>
            <w:tcW w:w="110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90"/>
        </w:trPr>
        <w:tc>
          <w:tcPr>
            <w:tcW w:w="5000" w:type="dxa"/>
            <w:vAlign w:val="bottom"/>
            <w:tcBorders>
              <w:bottom w:val="single" w:sz="8" w:color="auto"/>
            </w:tcBorders>
          </w:tcPr>
          <w:p>
            <w:pPr>
              <w:spacing w:after="0"/>
              <w:rPr>
                <w:sz w:val="16"/>
                <w:szCs w:val="16"/>
                <w:color w:val="auto"/>
              </w:rPr>
            </w:pPr>
          </w:p>
        </w:tc>
        <w:tc>
          <w:tcPr>
            <w:tcW w:w="3120" w:type="dxa"/>
            <w:vAlign w:val="bottom"/>
            <w:tcBorders>
              <w:bottom w:val="single" w:sz="8" w:color="auto"/>
            </w:tcBorders>
          </w:tcPr>
          <w:p>
            <w:pPr>
              <w:spacing w:after="0"/>
              <w:rPr>
                <w:sz w:val="16"/>
                <w:szCs w:val="16"/>
                <w:color w:val="auto"/>
              </w:rPr>
            </w:pPr>
          </w:p>
        </w:tc>
        <w:tc>
          <w:tcPr>
            <w:tcW w:w="20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5000" w:type="dxa"/>
            <w:vAlign w:val="bottom"/>
            <w:tcBorders>
              <w:bottom w:val="single" w:sz="8" w:color="D9D9D9"/>
            </w:tcBorders>
            <w:shd w:val="clear" w:color="auto" w:fill="D9D9D9"/>
          </w:tcPr>
          <w:p>
            <w:pPr>
              <w:ind w:left="60"/>
              <w:spacing w:after="0" w:line="165" w:lineRule="exact"/>
              <w:rPr>
                <w:sz w:val="20"/>
                <w:szCs w:val="20"/>
                <w:color w:val="auto"/>
              </w:rPr>
            </w:pPr>
            <w:r>
              <w:rPr>
                <w:rFonts w:ascii="Calibri" w:cs="Calibri" w:eastAsia="Calibri" w:hAnsi="Calibri"/>
                <w:sz w:val="15"/>
                <w:szCs w:val="15"/>
                <w:b w:val="1"/>
                <w:bCs w:val="1"/>
                <w:color w:val="auto"/>
              </w:rPr>
              <w:t>TOTAL SHAREHOLDERS' EQUITY</w:t>
            </w:r>
          </w:p>
        </w:tc>
        <w:tc>
          <w:tcPr>
            <w:tcW w:w="3120" w:type="dxa"/>
            <w:vAlign w:val="bottom"/>
            <w:tcBorders>
              <w:bottom w:val="single" w:sz="8" w:color="D9D9D9"/>
            </w:tcBorders>
            <w:shd w:val="clear" w:color="auto" w:fill="D9D9D9"/>
          </w:tcPr>
          <w:p>
            <w:pPr>
              <w:spacing w:after="0"/>
              <w:rPr>
                <w:sz w:val="16"/>
                <w:szCs w:val="16"/>
                <w:color w:val="auto"/>
              </w:rPr>
            </w:pPr>
          </w:p>
        </w:tc>
        <w:tc>
          <w:tcPr>
            <w:tcW w:w="2040" w:type="dxa"/>
            <w:vAlign w:val="bottom"/>
            <w:tcBorders>
              <w:bottom w:val="single" w:sz="8" w:color="D9D9D9"/>
            </w:tcBorders>
            <w:shd w:val="clear" w:color="auto" w:fill="D9D9D9"/>
          </w:tcPr>
          <w:p>
            <w:pPr>
              <w:jc w:val="right"/>
              <w:ind w:right="467"/>
              <w:spacing w:after="0" w:line="165" w:lineRule="exact"/>
              <w:rPr>
                <w:sz w:val="20"/>
                <w:szCs w:val="20"/>
                <w:color w:val="auto"/>
              </w:rPr>
            </w:pPr>
            <w:r>
              <w:rPr>
                <w:rFonts w:ascii="Calibri" w:cs="Calibri" w:eastAsia="Calibri" w:hAnsi="Calibri"/>
                <w:sz w:val="15"/>
                <w:szCs w:val="15"/>
                <w:b w:val="1"/>
                <w:bCs w:val="1"/>
                <w:color w:val="auto"/>
              </w:rPr>
              <w:t>255,018</w:t>
            </w:r>
          </w:p>
        </w:tc>
        <w:tc>
          <w:tcPr>
            <w:tcW w:w="1100" w:type="dxa"/>
            <w:vAlign w:val="bottom"/>
            <w:tcBorders>
              <w:bottom w:val="single" w:sz="8" w:color="D9D9D9"/>
            </w:tcBorders>
            <w:shd w:val="clear" w:color="auto" w:fill="D9D9D9"/>
          </w:tcPr>
          <w:p>
            <w:pPr>
              <w:jc w:val="right"/>
              <w:spacing w:after="0" w:line="165" w:lineRule="exact"/>
              <w:rPr>
                <w:sz w:val="20"/>
                <w:szCs w:val="20"/>
                <w:color w:val="auto"/>
              </w:rPr>
            </w:pPr>
            <w:r>
              <w:rPr>
                <w:rFonts w:ascii="Calibri" w:cs="Calibri" w:eastAsia="Calibri" w:hAnsi="Calibri"/>
                <w:sz w:val="15"/>
                <w:szCs w:val="15"/>
                <w:color w:val="auto"/>
              </w:rPr>
              <w:t>291,927</w:t>
            </w:r>
          </w:p>
        </w:tc>
        <w:tc>
          <w:tcPr>
            <w:tcW w:w="0" w:type="dxa"/>
            <w:vAlign w:val="bottom"/>
          </w:tcPr>
          <w:p>
            <w:pPr>
              <w:spacing w:after="0"/>
              <w:rPr>
                <w:sz w:val="1"/>
                <w:szCs w:val="1"/>
                <w:color w:val="auto"/>
              </w:rPr>
            </w:pPr>
          </w:p>
        </w:tc>
      </w:tr>
      <w:tr>
        <w:trPr>
          <w:trHeight w:val="28"/>
        </w:trPr>
        <w:tc>
          <w:tcPr>
            <w:tcW w:w="5000" w:type="dxa"/>
            <w:vAlign w:val="bottom"/>
            <w:tcBorders>
              <w:top w:val="single" w:sz="8" w:color="auto"/>
            </w:tcBorders>
          </w:tcPr>
          <w:p>
            <w:pPr>
              <w:spacing w:after="0"/>
              <w:rPr>
                <w:sz w:val="2"/>
                <w:szCs w:val="2"/>
                <w:color w:val="auto"/>
              </w:rPr>
            </w:pPr>
          </w:p>
        </w:tc>
        <w:tc>
          <w:tcPr>
            <w:tcW w:w="3120" w:type="dxa"/>
            <w:vAlign w:val="bottom"/>
            <w:tcBorders>
              <w:top w:val="single" w:sz="8" w:color="auto"/>
            </w:tcBorders>
          </w:tcPr>
          <w:p>
            <w:pPr>
              <w:spacing w:after="0"/>
              <w:rPr>
                <w:sz w:val="2"/>
                <w:szCs w:val="2"/>
                <w:color w:val="auto"/>
              </w:rPr>
            </w:pPr>
          </w:p>
        </w:tc>
        <w:tc>
          <w:tcPr>
            <w:tcW w:w="2040" w:type="dxa"/>
            <w:vAlign w:val="bottom"/>
            <w:tcBorders>
              <w:top w:val="single" w:sz="8" w:color="auto"/>
            </w:tcBorders>
          </w:tcPr>
          <w:p>
            <w:pPr>
              <w:spacing w:after="0"/>
              <w:rPr>
                <w:sz w:val="2"/>
                <w:szCs w:val="2"/>
                <w:color w:val="auto"/>
              </w:rPr>
            </w:pPr>
          </w:p>
        </w:tc>
        <w:tc>
          <w:tcPr>
            <w:tcW w:w="1100" w:type="dxa"/>
            <w:vAlign w:val="bottom"/>
            <w:tcBorders>
              <w:top w:val="single" w:sz="8" w:color="auto"/>
            </w:tcBorders>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3"/>
        </w:trPr>
        <w:tc>
          <w:tcPr>
            <w:tcW w:w="5000" w:type="dxa"/>
            <w:vAlign w:val="bottom"/>
            <w:tcBorders>
              <w:bottom w:val="single" w:sz="8" w:color="D9D9D9"/>
            </w:tcBorders>
            <w:shd w:val="clear" w:color="auto" w:fill="D9D9D9"/>
          </w:tcPr>
          <w:p>
            <w:pPr>
              <w:ind w:left="60"/>
              <w:spacing w:after="0" w:line="173" w:lineRule="exact"/>
              <w:rPr>
                <w:sz w:val="20"/>
                <w:szCs w:val="20"/>
                <w:color w:val="auto"/>
              </w:rPr>
            </w:pPr>
            <w:r>
              <w:rPr>
                <w:rFonts w:ascii="Calibri" w:cs="Calibri" w:eastAsia="Calibri" w:hAnsi="Calibri"/>
                <w:sz w:val="15"/>
                <w:szCs w:val="15"/>
                <w:b w:val="1"/>
                <w:bCs w:val="1"/>
                <w:color w:val="auto"/>
              </w:rPr>
              <w:t>TOTAL LIABILITIES AND SHAREHOLDERS' EQUITY</w:t>
            </w:r>
          </w:p>
        </w:tc>
        <w:tc>
          <w:tcPr>
            <w:tcW w:w="3120" w:type="dxa"/>
            <w:vAlign w:val="bottom"/>
            <w:tcBorders>
              <w:bottom w:val="single" w:sz="8" w:color="D9D9D9"/>
            </w:tcBorders>
            <w:shd w:val="clear" w:color="auto" w:fill="D9D9D9"/>
          </w:tcPr>
          <w:p>
            <w:pPr>
              <w:spacing w:after="0"/>
              <w:rPr>
                <w:sz w:val="15"/>
                <w:szCs w:val="15"/>
                <w:color w:val="auto"/>
              </w:rPr>
            </w:pPr>
          </w:p>
        </w:tc>
        <w:tc>
          <w:tcPr>
            <w:tcW w:w="2040" w:type="dxa"/>
            <w:vAlign w:val="bottom"/>
            <w:tcBorders>
              <w:bottom w:val="single" w:sz="8" w:color="D9D9D9"/>
            </w:tcBorders>
            <w:shd w:val="clear" w:color="auto" w:fill="D9D9D9"/>
          </w:tcPr>
          <w:p>
            <w:pPr>
              <w:jc w:val="right"/>
              <w:ind w:right="467"/>
              <w:spacing w:after="0" w:line="173" w:lineRule="exact"/>
              <w:rPr>
                <w:sz w:val="20"/>
                <w:szCs w:val="20"/>
                <w:color w:val="auto"/>
              </w:rPr>
            </w:pPr>
            <w:r>
              <w:rPr>
                <w:rFonts w:ascii="Calibri" w:cs="Calibri" w:eastAsia="Calibri" w:hAnsi="Calibri"/>
                <w:sz w:val="15"/>
                <w:szCs w:val="15"/>
                <w:b w:val="1"/>
                <w:bCs w:val="1"/>
                <w:color w:val="auto"/>
              </w:rPr>
              <w:t>262,391</w:t>
            </w:r>
          </w:p>
        </w:tc>
        <w:tc>
          <w:tcPr>
            <w:tcW w:w="1100" w:type="dxa"/>
            <w:vAlign w:val="bottom"/>
            <w:tcBorders>
              <w:bottom w:val="single" w:sz="8" w:color="D9D9D9"/>
            </w:tcBorders>
            <w:shd w:val="clear" w:color="auto" w:fill="D9D9D9"/>
          </w:tcPr>
          <w:p>
            <w:pPr>
              <w:jc w:val="right"/>
              <w:spacing w:after="0" w:line="173" w:lineRule="exact"/>
              <w:rPr>
                <w:sz w:val="20"/>
                <w:szCs w:val="20"/>
                <w:color w:val="auto"/>
              </w:rPr>
            </w:pPr>
            <w:r>
              <w:rPr>
                <w:rFonts w:ascii="Calibri" w:cs="Calibri" w:eastAsia="Calibri" w:hAnsi="Calibri"/>
                <w:sz w:val="15"/>
                <w:szCs w:val="15"/>
                <w:color w:val="auto"/>
              </w:rPr>
              <w:t>302,023</w:t>
            </w:r>
          </w:p>
        </w:tc>
        <w:tc>
          <w:tcPr>
            <w:tcW w:w="0" w:type="dxa"/>
            <w:vAlign w:val="bottom"/>
          </w:tcPr>
          <w:p>
            <w:pPr>
              <w:spacing w:after="0"/>
              <w:rPr>
                <w:sz w:val="1"/>
                <w:szCs w:val="1"/>
                <w:color w:val="auto"/>
              </w:rPr>
            </w:pPr>
          </w:p>
        </w:tc>
      </w:tr>
      <w:tr>
        <w:trPr>
          <w:trHeight w:val="20"/>
        </w:trPr>
        <w:tc>
          <w:tcPr>
            <w:tcW w:w="5000" w:type="dxa"/>
            <w:vAlign w:val="bottom"/>
            <w:shd w:val="clear" w:color="auto" w:fill="000000"/>
          </w:tcPr>
          <w:p>
            <w:pPr>
              <w:spacing w:after="0" w:line="20" w:lineRule="exact"/>
              <w:rPr>
                <w:sz w:val="1"/>
                <w:szCs w:val="1"/>
                <w:color w:val="auto"/>
              </w:rPr>
            </w:pPr>
          </w:p>
        </w:tc>
        <w:tc>
          <w:tcPr>
            <w:tcW w:w="3120" w:type="dxa"/>
            <w:vAlign w:val="bottom"/>
            <w:shd w:val="clear" w:color="auto" w:fill="000000"/>
          </w:tcPr>
          <w:p>
            <w:pPr>
              <w:spacing w:after="0" w:line="20" w:lineRule="exact"/>
              <w:rPr>
                <w:sz w:val="1"/>
                <w:szCs w:val="1"/>
                <w:color w:val="auto"/>
              </w:rPr>
            </w:pPr>
          </w:p>
        </w:tc>
        <w:tc>
          <w:tcPr>
            <w:tcW w:w="2040" w:type="dxa"/>
            <w:vAlign w:val="bottom"/>
            <w:shd w:val="clear" w:color="auto" w:fill="000000"/>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46" w:lineRule="exact"/>
        <w:rPr>
          <w:sz w:val="20"/>
          <w:szCs w:val="20"/>
          <w:color w:val="auto"/>
        </w:rPr>
      </w:pPr>
    </w:p>
    <w:p>
      <w:pPr>
        <w:spacing w:after="0"/>
        <w:rPr>
          <w:sz w:val="20"/>
          <w:szCs w:val="20"/>
          <w:color w:val="auto"/>
        </w:rPr>
      </w:pPr>
      <w:r>
        <w:rPr>
          <w:rFonts w:ascii="Calibri" w:cs="Calibri" w:eastAsia="Calibri" w:hAnsi="Calibri"/>
          <w:sz w:val="15"/>
          <w:szCs w:val="15"/>
          <w:i w:val="1"/>
          <w:iCs w:val="1"/>
          <w:color w:val="auto"/>
        </w:rPr>
        <w:t>Corporate informaton (note 1); Contracts, commitments and contngencies (note 11)</w:t>
      </w:r>
    </w:p>
    <w:p>
      <w:pPr>
        <w:spacing w:after="0" w:line="147" w:lineRule="exact"/>
        <w:rPr>
          <w:sz w:val="20"/>
          <w:szCs w:val="20"/>
          <w:color w:val="auto"/>
        </w:rPr>
      </w:pPr>
    </w:p>
    <w:p>
      <w:pPr>
        <w:spacing w:after="0"/>
        <w:rPr>
          <w:sz w:val="20"/>
          <w:szCs w:val="20"/>
          <w:color w:val="auto"/>
        </w:rPr>
      </w:pPr>
      <w:r>
        <w:rPr>
          <w:rFonts w:ascii="Calibri" w:cs="Calibri" w:eastAsia="Calibri" w:hAnsi="Calibri"/>
          <w:sz w:val="16"/>
          <w:szCs w:val="16"/>
          <w:i w:val="1"/>
          <w:iCs w:val="1"/>
          <w:color w:val="auto"/>
        </w:rPr>
        <w:t>The accompanying notes are an integral part of these condensed interim consolidated fnancial statements.</w:t>
      </w:r>
    </w:p>
    <w:p>
      <w:pPr>
        <w:spacing w:after="0" w:line="143" w:lineRule="exact"/>
        <w:rPr>
          <w:sz w:val="20"/>
          <w:szCs w:val="20"/>
          <w:color w:val="auto"/>
        </w:rPr>
      </w:pPr>
    </w:p>
    <w:p>
      <w:pPr>
        <w:spacing w:after="0"/>
        <w:rPr>
          <w:sz w:val="20"/>
          <w:szCs w:val="20"/>
          <w:color w:val="auto"/>
        </w:rPr>
      </w:pPr>
      <w:r>
        <w:rPr>
          <w:rFonts w:ascii="Calibri" w:cs="Calibri" w:eastAsia="Calibri" w:hAnsi="Calibri"/>
          <w:sz w:val="16"/>
          <w:szCs w:val="16"/>
          <w:color w:val="auto"/>
        </w:rPr>
        <w:t>These condensed interim consolidated fnancial statements were approved for issue on November 12, 2024 by the board of directors and signed on its behalf by:</w:t>
      </w:r>
    </w:p>
    <w:p>
      <w:pPr>
        <w:spacing w:after="0" w:line="143" w:lineRule="exact"/>
        <w:rPr>
          <w:sz w:val="20"/>
          <w:szCs w:val="20"/>
          <w:color w:val="auto"/>
        </w:rPr>
      </w:pPr>
    </w:p>
    <w:p>
      <w:pPr>
        <w:spacing w:after="0"/>
        <w:tabs>
          <w:tab w:leader="none" w:pos="2700" w:val="left"/>
        </w:tabs>
        <w:rPr>
          <w:sz w:val="20"/>
          <w:szCs w:val="20"/>
          <w:color w:val="auto"/>
        </w:rPr>
      </w:pPr>
      <w:r>
        <w:rPr>
          <w:rFonts w:ascii="Calibri" w:cs="Calibri" w:eastAsia="Calibri" w:hAnsi="Calibri"/>
          <w:sz w:val="16"/>
          <w:szCs w:val="16"/>
          <w:i w:val="1"/>
          <w:iCs w:val="1"/>
          <w:color w:val="auto"/>
        </w:rPr>
        <w:t xml:space="preserve">/s/ Paul Glavine </w:t>
      </w:r>
      <w:r>
        <w:rPr>
          <w:rFonts w:ascii="Calibri" w:cs="Calibri" w:eastAsia="Calibri" w:hAnsi="Calibri"/>
          <w:sz w:val="16"/>
          <w:szCs w:val="16"/>
          <w:color w:val="auto"/>
        </w:rPr>
        <w:t>Director</w:t>
      </w:r>
      <w:r>
        <w:rPr>
          <w:sz w:val="20"/>
          <w:szCs w:val="20"/>
          <w:color w:val="auto"/>
        </w:rPr>
        <w:tab/>
      </w:r>
      <w:r>
        <w:rPr>
          <w:rFonts w:ascii="Calibri" w:cs="Calibri" w:eastAsia="Calibri" w:hAnsi="Calibri"/>
          <w:sz w:val="15"/>
          <w:szCs w:val="15"/>
          <w:i w:val="1"/>
          <w:iCs w:val="1"/>
          <w:color w:val="auto"/>
        </w:rPr>
        <w:t xml:space="preserve">/s/ Eric So </w:t>
      </w:r>
      <w:r>
        <w:rPr>
          <w:rFonts w:ascii="Calibri" w:cs="Calibri" w:eastAsia="Calibri" w:hAnsi="Calibri"/>
          <w:sz w:val="15"/>
          <w:szCs w:val="15"/>
          <w:color w:val="auto"/>
        </w:rPr>
        <w:t>Director</w:t>
      </w:r>
    </w:p>
    <w:p>
      <w:pPr>
        <w:sectPr>
          <w:pgSz w:w="11900" w:h="16838" w:orient="portrait"/>
          <w:cols w:equalWidth="0" w:num="1">
            <w:col w:w="11260"/>
          </w:cols>
          <w:pgMar w:left="320" w:top="209" w:right="319" w:bottom="1440" w:gutter="0" w:footer="0" w:header="0"/>
          <w:type w:val="continuous"/>
        </w:sectPr>
      </w:pPr>
    </w:p>
    <w:bookmarkStart w:id="6" w:name="page7"/>
    <w:bookmarkEnd w:id="6"/>
    <w:p>
      <w:pPr>
        <w:ind w:left="60"/>
        <w:spacing w:after="0"/>
        <w:rPr>
          <w:sz w:val="20"/>
          <w:szCs w:val="20"/>
          <w:color w:val="auto"/>
        </w:rPr>
      </w:pPr>
      <w:r>
        <w:rPr>
          <w:rFonts w:ascii="Calibri" w:cs="Calibri" w:eastAsia="Calibri" w:hAnsi="Calibri"/>
          <w:sz w:val="19"/>
          <w:szCs w:val="19"/>
          <w:b w:val="1"/>
          <w:bCs w:val="1"/>
          <w:color w:val="auto"/>
        </w:rPr>
        <w:t>CYBIN INC.</w:t>
      </w:r>
    </w:p>
    <w:p>
      <w:pPr>
        <w:ind w:left="60"/>
        <w:spacing w:after="0" w:line="225" w:lineRule="auto"/>
        <w:rPr>
          <w:sz w:val="20"/>
          <w:szCs w:val="20"/>
          <w:color w:val="auto"/>
        </w:rPr>
      </w:pPr>
      <w:r>
        <w:rPr>
          <w:rFonts w:ascii="Calibri" w:cs="Calibri" w:eastAsia="Calibri" w:hAnsi="Calibri"/>
          <w:sz w:val="19"/>
          <w:szCs w:val="19"/>
          <w:b w:val="1"/>
          <w:bCs w:val="1"/>
          <w:color w:val="auto"/>
        </w:rPr>
        <w:t>CONDENSED INTERIM CONSOLIDATED STATEMENTS OF LOSS AND COMPREHENSIVE LOSS</w:t>
      </w:r>
    </w:p>
    <w:p>
      <w:pPr>
        <w:ind w:left="60"/>
        <w:spacing w:after="0" w:line="225" w:lineRule="auto"/>
        <w:rPr>
          <w:sz w:val="20"/>
          <w:szCs w:val="20"/>
          <w:color w:val="auto"/>
        </w:rPr>
      </w:pPr>
      <w:r>
        <w:rPr>
          <w:rFonts w:ascii="Calibri" w:cs="Calibri" w:eastAsia="Calibri" w:hAnsi="Calibri"/>
          <w:sz w:val="19"/>
          <w:szCs w:val="19"/>
          <w:b w:val="1"/>
          <w:bCs w:val="1"/>
          <w:color w:val="auto"/>
        </w:rPr>
        <w:t>(All amounts expressed in thousands of Canadian dollars, except share and per share amounts)</w:t>
      </w:r>
    </w:p>
    <w:p>
      <w:pPr>
        <w:ind w:left="60"/>
        <w:spacing w:after="0" w:line="237" w:lineRule="auto"/>
        <w:rPr>
          <w:sz w:val="20"/>
          <w:szCs w:val="20"/>
          <w:color w:val="auto"/>
        </w:rPr>
      </w:pPr>
      <w:r>
        <w:rPr>
          <w:rFonts w:ascii="Calibri" w:cs="Calibri" w:eastAsia="Calibri" w:hAnsi="Calibri"/>
          <w:sz w:val="19"/>
          <w:szCs w:val="19"/>
          <w:b w:val="1"/>
          <w:bCs w:val="1"/>
          <w:color w:val="auto"/>
        </w:rPr>
        <w:t>(Unaudited)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48260</wp:posOffset>
            </wp:positionV>
            <wp:extent cx="7146925" cy="762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46925" cy="76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tbl>
      <w:tblPr>
        <w:tblLayout w:type="fixed"/>
        <w:tblInd w:w="0" w:type="dxa"/>
        <w:tblCellMar>
          <w:top w:w="0" w:type="dxa"/>
          <w:left w:w="0" w:type="dxa"/>
          <w:bottom w:w="0" w:type="dxa"/>
          <w:right w:w="0" w:type="dxa"/>
        </w:tblCellMar>
      </w:tblPr>
      <w:tr>
        <w:trPr>
          <w:trHeight w:val="183"/>
        </w:trPr>
        <w:tc>
          <w:tcPr>
            <w:tcW w:w="47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980" w:type="dxa"/>
            <w:vAlign w:val="bottom"/>
          </w:tcPr>
          <w:p>
            <w:pPr>
              <w:jc w:val="right"/>
              <w:spacing w:after="0"/>
              <w:rPr>
                <w:sz w:val="20"/>
                <w:szCs w:val="20"/>
                <w:color w:val="auto"/>
              </w:rPr>
            </w:pPr>
            <w:r>
              <w:rPr>
                <w:rFonts w:ascii="Calibri" w:cs="Calibri" w:eastAsia="Calibri" w:hAnsi="Calibri"/>
                <w:sz w:val="15"/>
                <w:szCs w:val="15"/>
                <w:b w:val="1"/>
                <w:bCs w:val="1"/>
                <w:color w:val="auto"/>
              </w:rPr>
              <w:t>Three months ended</w:t>
            </w:r>
          </w:p>
        </w:tc>
        <w:tc>
          <w:tcPr>
            <w:tcW w:w="1140" w:type="dxa"/>
            <w:vAlign w:val="bottom"/>
          </w:tcPr>
          <w:p>
            <w:pPr>
              <w:spacing w:after="0"/>
              <w:rPr>
                <w:sz w:val="15"/>
                <w:szCs w:val="15"/>
                <w:color w:val="auto"/>
              </w:rPr>
            </w:pPr>
          </w:p>
        </w:tc>
        <w:tc>
          <w:tcPr>
            <w:tcW w:w="1900" w:type="dxa"/>
            <w:vAlign w:val="bottom"/>
          </w:tcPr>
          <w:p>
            <w:pPr>
              <w:jc w:val="right"/>
              <w:ind w:right="127"/>
              <w:spacing w:after="0"/>
              <w:rPr>
                <w:sz w:val="20"/>
                <w:szCs w:val="20"/>
                <w:color w:val="auto"/>
              </w:rPr>
            </w:pPr>
            <w:r>
              <w:rPr>
                <w:rFonts w:ascii="Calibri" w:cs="Calibri" w:eastAsia="Calibri" w:hAnsi="Calibri"/>
                <w:sz w:val="15"/>
                <w:szCs w:val="15"/>
                <w:b w:val="1"/>
                <w:bCs w:val="1"/>
                <w:color w:val="auto"/>
              </w:rPr>
              <w:t>Six months ended</w:t>
            </w:r>
          </w:p>
        </w:tc>
        <w:tc>
          <w:tcPr>
            <w:tcW w:w="8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3"/>
        </w:trPr>
        <w:tc>
          <w:tcPr>
            <w:tcW w:w="47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980" w:type="dxa"/>
            <w:vAlign w:val="bottom"/>
          </w:tcPr>
          <w:p>
            <w:pPr>
              <w:jc w:val="right"/>
              <w:ind w:right="148"/>
              <w:spacing w:after="0" w:line="173" w:lineRule="exact"/>
              <w:rPr>
                <w:sz w:val="20"/>
                <w:szCs w:val="20"/>
                <w:color w:val="auto"/>
              </w:rPr>
            </w:pPr>
            <w:r>
              <w:rPr>
                <w:rFonts w:ascii="Calibri" w:cs="Calibri" w:eastAsia="Calibri" w:hAnsi="Calibri"/>
                <w:sz w:val="15"/>
                <w:szCs w:val="15"/>
                <w:b w:val="1"/>
                <w:bCs w:val="1"/>
                <w:color w:val="auto"/>
              </w:rPr>
              <w:t>September 30</w:t>
            </w:r>
          </w:p>
        </w:tc>
        <w:tc>
          <w:tcPr>
            <w:tcW w:w="1140" w:type="dxa"/>
            <w:vAlign w:val="bottom"/>
          </w:tcPr>
          <w:p>
            <w:pPr>
              <w:spacing w:after="0"/>
              <w:rPr>
                <w:sz w:val="15"/>
                <w:szCs w:val="15"/>
                <w:color w:val="auto"/>
              </w:rPr>
            </w:pPr>
          </w:p>
        </w:tc>
        <w:tc>
          <w:tcPr>
            <w:tcW w:w="1900" w:type="dxa"/>
            <w:vAlign w:val="bottom"/>
          </w:tcPr>
          <w:p>
            <w:pPr>
              <w:jc w:val="right"/>
              <w:ind w:right="227"/>
              <w:spacing w:after="0" w:line="173" w:lineRule="exact"/>
              <w:rPr>
                <w:sz w:val="20"/>
                <w:szCs w:val="20"/>
                <w:color w:val="auto"/>
              </w:rPr>
            </w:pPr>
            <w:r>
              <w:rPr>
                <w:rFonts w:ascii="Calibri" w:cs="Calibri" w:eastAsia="Calibri" w:hAnsi="Calibri"/>
                <w:sz w:val="15"/>
                <w:szCs w:val="15"/>
                <w:b w:val="1"/>
                <w:bCs w:val="1"/>
                <w:color w:val="auto"/>
              </w:rPr>
              <w:t>September 30</w:t>
            </w:r>
          </w:p>
        </w:tc>
        <w:tc>
          <w:tcPr>
            <w:tcW w:w="8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
        </w:trPr>
        <w:tc>
          <w:tcPr>
            <w:tcW w:w="478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9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90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7"/>
        </w:trPr>
        <w:tc>
          <w:tcPr>
            <w:tcW w:w="4780" w:type="dxa"/>
            <w:vAlign w:val="bottom"/>
          </w:tcPr>
          <w:p>
            <w:pPr>
              <w:spacing w:after="0"/>
              <w:rPr>
                <w:sz w:val="17"/>
                <w:szCs w:val="17"/>
                <w:color w:val="auto"/>
              </w:rPr>
            </w:pPr>
          </w:p>
        </w:tc>
        <w:tc>
          <w:tcPr>
            <w:tcW w:w="620" w:type="dxa"/>
            <w:vAlign w:val="bottom"/>
          </w:tcPr>
          <w:p>
            <w:pPr>
              <w:ind w:left="220"/>
              <w:spacing w:after="0"/>
              <w:rPr>
                <w:sz w:val="20"/>
                <w:szCs w:val="20"/>
                <w:color w:val="auto"/>
              </w:rPr>
            </w:pPr>
            <w:r>
              <w:rPr>
                <w:rFonts w:ascii="Calibri" w:cs="Calibri" w:eastAsia="Calibri" w:hAnsi="Calibri"/>
                <w:sz w:val="15"/>
                <w:szCs w:val="15"/>
                <w:i w:val="1"/>
                <w:iCs w:val="1"/>
                <w:color w:val="auto"/>
              </w:rPr>
              <w:t>Notes</w:t>
            </w:r>
          </w:p>
        </w:tc>
        <w:tc>
          <w:tcPr>
            <w:tcW w:w="1980" w:type="dxa"/>
            <w:vAlign w:val="bottom"/>
          </w:tcPr>
          <w:p>
            <w:pPr>
              <w:jc w:val="right"/>
              <w:ind w:right="628"/>
              <w:spacing w:after="0"/>
              <w:rPr>
                <w:sz w:val="20"/>
                <w:szCs w:val="20"/>
                <w:color w:val="auto"/>
              </w:rPr>
            </w:pPr>
            <w:r>
              <w:rPr>
                <w:rFonts w:ascii="Calibri" w:cs="Calibri" w:eastAsia="Calibri" w:hAnsi="Calibri"/>
                <w:sz w:val="15"/>
                <w:szCs w:val="15"/>
                <w:b w:val="1"/>
                <w:bCs w:val="1"/>
                <w:color w:val="auto"/>
              </w:rPr>
              <w:t>2024</w:t>
            </w:r>
          </w:p>
        </w:tc>
        <w:tc>
          <w:tcPr>
            <w:tcW w:w="1140" w:type="dxa"/>
            <w:vAlign w:val="bottom"/>
          </w:tcPr>
          <w:p>
            <w:pPr>
              <w:jc w:val="right"/>
              <w:ind w:right="447"/>
              <w:spacing w:after="0"/>
              <w:rPr>
                <w:sz w:val="20"/>
                <w:szCs w:val="20"/>
                <w:color w:val="auto"/>
              </w:rPr>
            </w:pPr>
            <w:r>
              <w:rPr>
                <w:rFonts w:ascii="Calibri" w:cs="Calibri" w:eastAsia="Calibri" w:hAnsi="Calibri"/>
                <w:sz w:val="15"/>
                <w:szCs w:val="15"/>
                <w:b w:val="1"/>
                <w:bCs w:val="1"/>
                <w:color w:val="auto"/>
              </w:rPr>
              <w:t>2023</w:t>
            </w:r>
          </w:p>
        </w:tc>
        <w:tc>
          <w:tcPr>
            <w:tcW w:w="1900" w:type="dxa"/>
            <w:vAlign w:val="bottom"/>
            <w:vMerge w:val="restart"/>
          </w:tcPr>
          <w:p>
            <w:pPr>
              <w:jc w:val="right"/>
              <w:ind w:right="707"/>
              <w:spacing w:after="0"/>
              <w:rPr>
                <w:sz w:val="20"/>
                <w:szCs w:val="20"/>
                <w:color w:val="auto"/>
              </w:rPr>
            </w:pPr>
            <w:r>
              <w:rPr>
                <w:rFonts w:ascii="Calibri" w:cs="Calibri" w:eastAsia="Calibri" w:hAnsi="Calibri"/>
                <w:sz w:val="15"/>
                <w:szCs w:val="15"/>
                <w:b w:val="1"/>
                <w:bCs w:val="1"/>
                <w:color w:val="auto"/>
              </w:rPr>
              <w:t>2024</w:t>
            </w:r>
          </w:p>
        </w:tc>
        <w:tc>
          <w:tcPr>
            <w:tcW w:w="840" w:type="dxa"/>
            <w:vAlign w:val="bottom"/>
            <w:vMerge w:val="restart"/>
          </w:tcPr>
          <w:p>
            <w:pPr>
              <w:jc w:val="right"/>
              <w:spacing w:after="0"/>
              <w:rPr>
                <w:sz w:val="20"/>
                <w:szCs w:val="20"/>
                <w:color w:val="auto"/>
              </w:rPr>
            </w:pPr>
            <w:r>
              <w:rPr>
                <w:rFonts w:ascii="Calibri" w:cs="Calibri" w:eastAsia="Calibri" w:hAnsi="Calibri"/>
                <w:sz w:val="15"/>
                <w:szCs w:val="15"/>
                <w:b w:val="1"/>
                <w:bCs w:val="1"/>
                <w:color w:val="auto"/>
              </w:rPr>
              <w:t>2023</w:t>
            </w:r>
          </w:p>
        </w:tc>
        <w:tc>
          <w:tcPr>
            <w:tcW w:w="0" w:type="dxa"/>
            <w:vAlign w:val="bottom"/>
          </w:tcPr>
          <w:p>
            <w:pPr>
              <w:spacing w:after="0"/>
              <w:rPr>
                <w:sz w:val="1"/>
                <w:szCs w:val="1"/>
                <w:color w:val="auto"/>
              </w:rPr>
            </w:pPr>
          </w:p>
        </w:tc>
      </w:tr>
      <w:tr>
        <w:trPr>
          <w:trHeight w:val="48"/>
        </w:trPr>
        <w:tc>
          <w:tcPr>
            <w:tcW w:w="4780" w:type="dxa"/>
            <w:vAlign w:val="bottom"/>
          </w:tcPr>
          <w:p>
            <w:pPr>
              <w:spacing w:after="0"/>
              <w:rPr>
                <w:sz w:val="4"/>
                <w:szCs w:val="4"/>
                <w:color w:val="auto"/>
              </w:rPr>
            </w:pPr>
          </w:p>
        </w:tc>
        <w:tc>
          <w:tcPr>
            <w:tcW w:w="620" w:type="dxa"/>
            <w:vAlign w:val="bottom"/>
          </w:tcPr>
          <w:p>
            <w:pPr>
              <w:spacing w:after="0"/>
              <w:rPr>
                <w:sz w:val="4"/>
                <w:szCs w:val="4"/>
                <w:color w:val="auto"/>
              </w:rPr>
            </w:pPr>
          </w:p>
        </w:tc>
        <w:tc>
          <w:tcPr>
            <w:tcW w:w="198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900" w:type="dxa"/>
            <w:vAlign w:val="bottom"/>
            <w:vMerge w:val="continue"/>
          </w:tcPr>
          <w:p>
            <w:pPr>
              <w:spacing w:after="0"/>
              <w:rPr>
                <w:sz w:val="4"/>
                <w:szCs w:val="4"/>
                <w:color w:val="auto"/>
              </w:rPr>
            </w:pPr>
          </w:p>
        </w:tc>
        <w:tc>
          <w:tcPr>
            <w:tcW w:w="8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4"/>
        </w:trPr>
        <w:tc>
          <w:tcPr>
            <w:tcW w:w="478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9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90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379"/>
        </w:trPr>
        <w:tc>
          <w:tcPr>
            <w:tcW w:w="4780" w:type="dxa"/>
            <w:vAlign w:val="bottom"/>
          </w:tcPr>
          <w:p>
            <w:pPr>
              <w:ind w:left="60"/>
              <w:spacing w:after="0"/>
              <w:rPr>
                <w:sz w:val="20"/>
                <w:szCs w:val="20"/>
                <w:color w:val="auto"/>
              </w:rPr>
            </w:pPr>
            <w:r>
              <w:rPr>
                <w:rFonts w:ascii="Calibri" w:cs="Calibri" w:eastAsia="Calibri" w:hAnsi="Calibri"/>
                <w:sz w:val="15"/>
                <w:szCs w:val="15"/>
                <w:b w:val="1"/>
                <w:bCs w:val="1"/>
                <w:color w:val="auto"/>
              </w:rPr>
              <w:t>EXPENSES</w:t>
            </w:r>
          </w:p>
        </w:tc>
        <w:tc>
          <w:tcPr>
            <w:tcW w:w="620" w:type="dxa"/>
            <w:vAlign w:val="bottom"/>
          </w:tcPr>
          <w:p>
            <w:pPr>
              <w:spacing w:after="0"/>
              <w:rPr>
                <w:sz w:val="24"/>
                <w:szCs w:val="24"/>
                <w:color w:val="auto"/>
              </w:rPr>
            </w:pPr>
          </w:p>
        </w:tc>
        <w:tc>
          <w:tcPr>
            <w:tcW w:w="19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9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3"/>
        </w:trPr>
        <w:tc>
          <w:tcPr>
            <w:tcW w:w="4780" w:type="dxa"/>
            <w:vAlign w:val="bottom"/>
            <w:vMerge w:val="restart"/>
          </w:tcPr>
          <w:p>
            <w:pPr>
              <w:ind w:left="200"/>
              <w:spacing w:after="0"/>
              <w:rPr>
                <w:sz w:val="20"/>
                <w:szCs w:val="20"/>
                <w:color w:val="auto"/>
              </w:rPr>
            </w:pPr>
            <w:r>
              <w:rPr>
                <w:rFonts w:ascii="Calibri" w:cs="Calibri" w:eastAsia="Calibri" w:hAnsi="Calibri"/>
                <w:sz w:val="15"/>
                <w:szCs w:val="15"/>
                <w:color w:val="auto"/>
              </w:rPr>
              <w:t>Research</w:t>
            </w:r>
          </w:p>
        </w:tc>
        <w:tc>
          <w:tcPr>
            <w:tcW w:w="620" w:type="dxa"/>
            <w:vAlign w:val="bottom"/>
          </w:tcPr>
          <w:p>
            <w:pPr>
              <w:jc w:val="center"/>
              <w:spacing w:after="0"/>
              <w:rPr>
                <w:sz w:val="20"/>
                <w:szCs w:val="20"/>
                <w:color w:val="auto"/>
              </w:rPr>
            </w:pPr>
            <w:r>
              <w:rPr>
                <w:rFonts w:ascii="Calibri" w:cs="Calibri" w:eastAsia="Calibri" w:hAnsi="Calibri"/>
                <w:sz w:val="15"/>
                <w:szCs w:val="15"/>
                <w:i w:val="1"/>
                <w:iCs w:val="1"/>
                <w:color w:val="auto"/>
              </w:rPr>
              <w:t>9</w:t>
            </w:r>
          </w:p>
        </w:tc>
        <w:tc>
          <w:tcPr>
            <w:tcW w:w="1980" w:type="dxa"/>
            <w:vAlign w:val="bottom"/>
            <w:vMerge w:val="restart"/>
          </w:tcPr>
          <w:p>
            <w:pPr>
              <w:jc w:val="right"/>
              <w:ind w:right="628"/>
              <w:spacing w:after="0"/>
              <w:rPr>
                <w:sz w:val="20"/>
                <w:szCs w:val="20"/>
                <w:color w:val="auto"/>
              </w:rPr>
            </w:pPr>
            <w:r>
              <w:rPr>
                <w:rFonts w:ascii="Calibri" w:cs="Calibri" w:eastAsia="Calibri" w:hAnsi="Calibri"/>
                <w:sz w:val="15"/>
                <w:szCs w:val="15"/>
                <w:b w:val="1"/>
                <w:bCs w:val="1"/>
                <w:color w:val="auto"/>
              </w:rPr>
              <w:t>9,115</w:t>
            </w:r>
          </w:p>
        </w:tc>
        <w:tc>
          <w:tcPr>
            <w:tcW w:w="1140" w:type="dxa"/>
            <w:vAlign w:val="bottom"/>
            <w:vMerge w:val="restart"/>
          </w:tcPr>
          <w:p>
            <w:pPr>
              <w:jc w:val="right"/>
              <w:ind w:right="447"/>
              <w:spacing w:after="0"/>
              <w:rPr>
                <w:sz w:val="20"/>
                <w:szCs w:val="20"/>
                <w:color w:val="auto"/>
              </w:rPr>
            </w:pPr>
            <w:r>
              <w:rPr>
                <w:rFonts w:ascii="Calibri" w:cs="Calibri" w:eastAsia="Calibri" w:hAnsi="Calibri"/>
                <w:sz w:val="15"/>
                <w:szCs w:val="15"/>
                <w:color w:val="auto"/>
              </w:rPr>
              <w:t>6,696</w:t>
            </w:r>
          </w:p>
        </w:tc>
        <w:tc>
          <w:tcPr>
            <w:tcW w:w="1900" w:type="dxa"/>
            <w:vAlign w:val="bottom"/>
            <w:vMerge w:val="restart"/>
          </w:tcPr>
          <w:p>
            <w:pPr>
              <w:jc w:val="right"/>
              <w:ind w:right="707"/>
              <w:spacing w:after="0"/>
              <w:rPr>
                <w:sz w:val="20"/>
                <w:szCs w:val="20"/>
                <w:color w:val="auto"/>
              </w:rPr>
            </w:pPr>
            <w:r>
              <w:rPr>
                <w:rFonts w:ascii="Calibri" w:cs="Calibri" w:eastAsia="Calibri" w:hAnsi="Calibri"/>
                <w:sz w:val="15"/>
                <w:szCs w:val="15"/>
                <w:b w:val="1"/>
                <w:bCs w:val="1"/>
                <w:color w:val="auto"/>
              </w:rPr>
              <w:t>17,156</w:t>
            </w:r>
          </w:p>
        </w:tc>
        <w:tc>
          <w:tcPr>
            <w:tcW w:w="840" w:type="dxa"/>
            <w:vAlign w:val="bottom"/>
            <w:vMerge w:val="restart"/>
          </w:tcPr>
          <w:p>
            <w:pPr>
              <w:jc w:val="right"/>
              <w:spacing w:after="0"/>
              <w:rPr>
                <w:sz w:val="20"/>
                <w:szCs w:val="20"/>
                <w:color w:val="auto"/>
              </w:rPr>
            </w:pPr>
            <w:r>
              <w:rPr>
                <w:rFonts w:ascii="Calibri" w:cs="Calibri" w:eastAsia="Calibri" w:hAnsi="Calibri"/>
                <w:sz w:val="15"/>
                <w:szCs w:val="15"/>
                <w:color w:val="auto"/>
              </w:rPr>
              <w:t>13,080</w:t>
            </w:r>
          </w:p>
        </w:tc>
        <w:tc>
          <w:tcPr>
            <w:tcW w:w="0" w:type="dxa"/>
            <w:vAlign w:val="bottom"/>
          </w:tcPr>
          <w:p>
            <w:pPr>
              <w:spacing w:after="0"/>
              <w:rPr>
                <w:sz w:val="1"/>
                <w:szCs w:val="1"/>
                <w:color w:val="auto"/>
              </w:rPr>
            </w:pPr>
          </w:p>
        </w:tc>
      </w:tr>
      <w:tr>
        <w:trPr>
          <w:trHeight w:val="73"/>
        </w:trPr>
        <w:tc>
          <w:tcPr>
            <w:tcW w:w="4780" w:type="dxa"/>
            <w:vAlign w:val="bottom"/>
            <w:vMerge w:val="continue"/>
          </w:tcPr>
          <w:p>
            <w:pPr>
              <w:spacing w:after="0"/>
              <w:rPr>
                <w:sz w:val="6"/>
                <w:szCs w:val="6"/>
                <w:color w:val="auto"/>
              </w:rPr>
            </w:pPr>
          </w:p>
        </w:tc>
        <w:tc>
          <w:tcPr>
            <w:tcW w:w="620" w:type="dxa"/>
            <w:vAlign w:val="bottom"/>
          </w:tcPr>
          <w:p>
            <w:pPr>
              <w:spacing w:after="0"/>
              <w:rPr>
                <w:sz w:val="6"/>
                <w:szCs w:val="6"/>
                <w:color w:val="auto"/>
              </w:rPr>
            </w:pPr>
          </w:p>
        </w:tc>
        <w:tc>
          <w:tcPr>
            <w:tcW w:w="1980" w:type="dxa"/>
            <w:vAlign w:val="bottom"/>
            <w:vMerge w:val="continue"/>
          </w:tcPr>
          <w:p>
            <w:pPr>
              <w:spacing w:after="0"/>
              <w:rPr>
                <w:sz w:val="6"/>
                <w:szCs w:val="6"/>
                <w:color w:val="auto"/>
              </w:rPr>
            </w:pPr>
          </w:p>
        </w:tc>
        <w:tc>
          <w:tcPr>
            <w:tcW w:w="1140" w:type="dxa"/>
            <w:vAlign w:val="bottom"/>
            <w:vMerge w:val="continue"/>
          </w:tcPr>
          <w:p>
            <w:pPr>
              <w:spacing w:after="0"/>
              <w:rPr>
                <w:sz w:val="6"/>
                <w:szCs w:val="6"/>
                <w:color w:val="auto"/>
              </w:rPr>
            </w:pPr>
          </w:p>
        </w:tc>
        <w:tc>
          <w:tcPr>
            <w:tcW w:w="1900" w:type="dxa"/>
            <w:vAlign w:val="bottom"/>
            <w:vMerge w:val="continue"/>
          </w:tcPr>
          <w:p>
            <w:pPr>
              <w:spacing w:after="0"/>
              <w:rPr>
                <w:sz w:val="6"/>
                <w:szCs w:val="6"/>
                <w:color w:val="auto"/>
              </w:rPr>
            </w:pPr>
          </w:p>
        </w:tc>
        <w:tc>
          <w:tcPr>
            <w:tcW w:w="84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48"/>
        </w:trPr>
        <w:tc>
          <w:tcPr>
            <w:tcW w:w="4780" w:type="dxa"/>
            <w:vAlign w:val="bottom"/>
          </w:tcPr>
          <w:p>
            <w:pPr>
              <w:spacing w:after="0"/>
              <w:rPr>
                <w:sz w:val="4"/>
                <w:szCs w:val="4"/>
                <w:color w:val="auto"/>
              </w:rPr>
            </w:pPr>
          </w:p>
        </w:tc>
        <w:tc>
          <w:tcPr>
            <w:tcW w:w="620" w:type="dxa"/>
            <w:vAlign w:val="bottom"/>
          </w:tcPr>
          <w:p>
            <w:pPr>
              <w:spacing w:after="0"/>
              <w:rPr>
                <w:sz w:val="4"/>
                <w:szCs w:val="4"/>
                <w:color w:val="auto"/>
              </w:rPr>
            </w:pPr>
          </w:p>
        </w:tc>
        <w:tc>
          <w:tcPr>
            <w:tcW w:w="1980" w:type="dxa"/>
            <w:vAlign w:val="bottom"/>
            <w:vMerge w:val="continue"/>
          </w:tcPr>
          <w:p>
            <w:pPr>
              <w:spacing w:after="0"/>
              <w:rPr>
                <w:sz w:val="4"/>
                <w:szCs w:val="4"/>
                <w:color w:val="auto"/>
              </w:rPr>
            </w:pPr>
          </w:p>
        </w:tc>
        <w:tc>
          <w:tcPr>
            <w:tcW w:w="1140" w:type="dxa"/>
            <w:vAlign w:val="bottom"/>
            <w:vMerge w:val="continue"/>
          </w:tcPr>
          <w:p>
            <w:pPr>
              <w:spacing w:after="0"/>
              <w:rPr>
                <w:sz w:val="4"/>
                <w:szCs w:val="4"/>
                <w:color w:val="auto"/>
              </w:rPr>
            </w:pPr>
          </w:p>
        </w:tc>
        <w:tc>
          <w:tcPr>
            <w:tcW w:w="1900" w:type="dxa"/>
            <w:vAlign w:val="bottom"/>
            <w:vMerge w:val="continue"/>
          </w:tcPr>
          <w:p>
            <w:pPr>
              <w:spacing w:after="0"/>
              <w:rPr>
                <w:sz w:val="4"/>
                <w:szCs w:val="4"/>
                <w:color w:val="auto"/>
              </w:rPr>
            </w:pPr>
          </w:p>
        </w:tc>
        <w:tc>
          <w:tcPr>
            <w:tcW w:w="8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93"/>
        </w:trPr>
        <w:tc>
          <w:tcPr>
            <w:tcW w:w="4780" w:type="dxa"/>
            <w:vAlign w:val="bottom"/>
            <w:vMerge w:val="restart"/>
          </w:tcPr>
          <w:p>
            <w:pPr>
              <w:ind w:left="200"/>
              <w:spacing w:after="0"/>
              <w:rPr>
                <w:sz w:val="20"/>
                <w:szCs w:val="20"/>
                <w:color w:val="auto"/>
              </w:rPr>
            </w:pPr>
            <w:r>
              <w:rPr>
                <w:rFonts w:ascii="Calibri" w:cs="Calibri" w:eastAsia="Calibri" w:hAnsi="Calibri"/>
                <w:sz w:val="15"/>
                <w:szCs w:val="15"/>
                <w:color w:val="auto"/>
              </w:rPr>
              <w:t>General and administratve costs</w:t>
            </w:r>
          </w:p>
        </w:tc>
        <w:tc>
          <w:tcPr>
            <w:tcW w:w="620" w:type="dxa"/>
            <w:vAlign w:val="bottom"/>
          </w:tcPr>
          <w:p>
            <w:pPr>
              <w:jc w:val="center"/>
              <w:spacing w:after="0"/>
              <w:rPr>
                <w:sz w:val="20"/>
                <w:szCs w:val="20"/>
                <w:color w:val="auto"/>
              </w:rPr>
            </w:pPr>
            <w:r>
              <w:rPr>
                <w:rFonts w:ascii="Calibri" w:cs="Calibri" w:eastAsia="Calibri" w:hAnsi="Calibri"/>
                <w:sz w:val="15"/>
                <w:szCs w:val="15"/>
                <w:i w:val="1"/>
                <w:iCs w:val="1"/>
                <w:color w:val="auto"/>
                <w:w w:val="91"/>
              </w:rPr>
              <w:t>10</w:t>
            </w:r>
          </w:p>
        </w:tc>
        <w:tc>
          <w:tcPr>
            <w:tcW w:w="1980" w:type="dxa"/>
            <w:vAlign w:val="bottom"/>
            <w:vMerge w:val="restart"/>
          </w:tcPr>
          <w:p>
            <w:pPr>
              <w:jc w:val="right"/>
              <w:ind w:right="628"/>
              <w:spacing w:after="0"/>
              <w:rPr>
                <w:sz w:val="20"/>
                <w:szCs w:val="20"/>
                <w:color w:val="auto"/>
              </w:rPr>
            </w:pPr>
            <w:r>
              <w:rPr>
                <w:rFonts w:ascii="Calibri" w:cs="Calibri" w:eastAsia="Calibri" w:hAnsi="Calibri"/>
                <w:sz w:val="15"/>
                <w:szCs w:val="15"/>
                <w:b w:val="1"/>
                <w:bCs w:val="1"/>
                <w:color w:val="auto"/>
              </w:rPr>
              <w:t>15,678</w:t>
            </w:r>
          </w:p>
        </w:tc>
        <w:tc>
          <w:tcPr>
            <w:tcW w:w="1140" w:type="dxa"/>
            <w:vAlign w:val="bottom"/>
            <w:vMerge w:val="restart"/>
          </w:tcPr>
          <w:p>
            <w:pPr>
              <w:jc w:val="right"/>
              <w:ind w:right="447"/>
              <w:spacing w:after="0"/>
              <w:rPr>
                <w:sz w:val="20"/>
                <w:szCs w:val="20"/>
                <w:color w:val="auto"/>
              </w:rPr>
            </w:pPr>
            <w:r>
              <w:rPr>
                <w:rFonts w:ascii="Calibri" w:cs="Calibri" w:eastAsia="Calibri" w:hAnsi="Calibri"/>
                <w:sz w:val="15"/>
                <w:szCs w:val="15"/>
                <w:color w:val="auto"/>
              </w:rPr>
              <w:t>5,800</w:t>
            </w:r>
          </w:p>
        </w:tc>
        <w:tc>
          <w:tcPr>
            <w:tcW w:w="1900" w:type="dxa"/>
            <w:vAlign w:val="bottom"/>
            <w:vMerge w:val="restart"/>
          </w:tcPr>
          <w:p>
            <w:pPr>
              <w:jc w:val="right"/>
              <w:ind w:right="707"/>
              <w:spacing w:after="0"/>
              <w:rPr>
                <w:sz w:val="20"/>
                <w:szCs w:val="20"/>
                <w:color w:val="auto"/>
              </w:rPr>
            </w:pPr>
            <w:r>
              <w:rPr>
                <w:rFonts w:ascii="Calibri" w:cs="Calibri" w:eastAsia="Calibri" w:hAnsi="Calibri"/>
                <w:sz w:val="15"/>
                <w:szCs w:val="15"/>
                <w:b w:val="1"/>
                <w:bCs w:val="1"/>
                <w:color w:val="auto"/>
              </w:rPr>
              <w:t>23,981</w:t>
            </w:r>
          </w:p>
        </w:tc>
        <w:tc>
          <w:tcPr>
            <w:tcW w:w="840" w:type="dxa"/>
            <w:vAlign w:val="bottom"/>
            <w:vMerge w:val="restart"/>
          </w:tcPr>
          <w:p>
            <w:pPr>
              <w:jc w:val="right"/>
              <w:spacing w:after="0"/>
              <w:rPr>
                <w:sz w:val="20"/>
                <w:szCs w:val="20"/>
                <w:color w:val="auto"/>
              </w:rPr>
            </w:pPr>
            <w:r>
              <w:rPr>
                <w:rFonts w:ascii="Calibri" w:cs="Calibri" w:eastAsia="Calibri" w:hAnsi="Calibri"/>
                <w:sz w:val="15"/>
                <w:szCs w:val="15"/>
                <w:color w:val="auto"/>
              </w:rPr>
              <w:t>10,848</w:t>
            </w:r>
          </w:p>
        </w:tc>
        <w:tc>
          <w:tcPr>
            <w:tcW w:w="0" w:type="dxa"/>
            <w:vAlign w:val="bottom"/>
          </w:tcPr>
          <w:p>
            <w:pPr>
              <w:spacing w:after="0"/>
              <w:rPr>
                <w:sz w:val="1"/>
                <w:szCs w:val="1"/>
                <w:color w:val="auto"/>
              </w:rPr>
            </w:pPr>
          </w:p>
        </w:tc>
      </w:tr>
      <w:tr>
        <w:trPr>
          <w:trHeight w:val="73"/>
        </w:trPr>
        <w:tc>
          <w:tcPr>
            <w:tcW w:w="4780" w:type="dxa"/>
            <w:vAlign w:val="bottom"/>
            <w:vMerge w:val="continue"/>
          </w:tcPr>
          <w:p>
            <w:pPr>
              <w:spacing w:after="0"/>
              <w:rPr>
                <w:sz w:val="6"/>
                <w:szCs w:val="6"/>
                <w:color w:val="auto"/>
              </w:rPr>
            </w:pPr>
          </w:p>
        </w:tc>
        <w:tc>
          <w:tcPr>
            <w:tcW w:w="620" w:type="dxa"/>
            <w:vAlign w:val="bottom"/>
          </w:tcPr>
          <w:p>
            <w:pPr>
              <w:spacing w:after="0"/>
              <w:rPr>
                <w:sz w:val="6"/>
                <w:szCs w:val="6"/>
                <w:color w:val="auto"/>
              </w:rPr>
            </w:pPr>
          </w:p>
        </w:tc>
        <w:tc>
          <w:tcPr>
            <w:tcW w:w="1980" w:type="dxa"/>
            <w:vAlign w:val="bottom"/>
            <w:vMerge w:val="continue"/>
          </w:tcPr>
          <w:p>
            <w:pPr>
              <w:spacing w:after="0"/>
              <w:rPr>
                <w:sz w:val="6"/>
                <w:szCs w:val="6"/>
                <w:color w:val="auto"/>
              </w:rPr>
            </w:pPr>
          </w:p>
        </w:tc>
        <w:tc>
          <w:tcPr>
            <w:tcW w:w="1140" w:type="dxa"/>
            <w:vAlign w:val="bottom"/>
            <w:vMerge w:val="continue"/>
          </w:tcPr>
          <w:p>
            <w:pPr>
              <w:spacing w:after="0"/>
              <w:rPr>
                <w:sz w:val="6"/>
                <w:szCs w:val="6"/>
                <w:color w:val="auto"/>
              </w:rPr>
            </w:pPr>
          </w:p>
        </w:tc>
        <w:tc>
          <w:tcPr>
            <w:tcW w:w="1900" w:type="dxa"/>
            <w:vAlign w:val="bottom"/>
            <w:vMerge w:val="continue"/>
          </w:tcPr>
          <w:p>
            <w:pPr>
              <w:spacing w:after="0"/>
              <w:rPr>
                <w:sz w:val="6"/>
                <w:szCs w:val="6"/>
                <w:color w:val="auto"/>
              </w:rPr>
            </w:pPr>
          </w:p>
        </w:tc>
        <w:tc>
          <w:tcPr>
            <w:tcW w:w="84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48"/>
        </w:trPr>
        <w:tc>
          <w:tcPr>
            <w:tcW w:w="4780" w:type="dxa"/>
            <w:vAlign w:val="bottom"/>
          </w:tcPr>
          <w:p>
            <w:pPr>
              <w:spacing w:after="0"/>
              <w:rPr>
                <w:sz w:val="4"/>
                <w:szCs w:val="4"/>
                <w:color w:val="auto"/>
              </w:rPr>
            </w:pPr>
          </w:p>
        </w:tc>
        <w:tc>
          <w:tcPr>
            <w:tcW w:w="620" w:type="dxa"/>
            <w:vAlign w:val="bottom"/>
          </w:tcPr>
          <w:p>
            <w:pPr>
              <w:spacing w:after="0"/>
              <w:rPr>
                <w:sz w:val="4"/>
                <w:szCs w:val="4"/>
                <w:color w:val="auto"/>
              </w:rPr>
            </w:pPr>
          </w:p>
        </w:tc>
        <w:tc>
          <w:tcPr>
            <w:tcW w:w="1980" w:type="dxa"/>
            <w:vAlign w:val="bottom"/>
            <w:vMerge w:val="continue"/>
          </w:tcPr>
          <w:p>
            <w:pPr>
              <w:spacing w:after="0"/>
              <w:rPr>
                <w:sz w:val="4"/>
                <w:szCs w:val="4"/>
                <w:color w:val="auto"/>
              </w:rPr>
            </w:pPr>
          </w:p>
        </w:tc>
        <w:tc>
          <w:tcPr>
            <w:tcW w:w="1140" w:type="dxa"/>
            <w:vAlign w:val="bottom"/>
            <w:vMerge w:val="continue"/>
          </w:tcPr>
          <w:p>
            <w:pPr>
              <w:spacing w:after="0"/>
              <w:rPr>
                <w:sz w:val="4"/>
                <w:szCs w:val="4"/>
                <w:color w:val="auto"/>
              </w:rPr>
            </w:pPr>
          </w:p>
        </w:tc>
        <w:tc>
          <w:tcPr>
            <w:tcW w:w="1900" w:type="dxa"/>
            <w:vAlign w:val="bottom"/>
            <w:vMerge w:val="continue"/>
          </w:tcPr>
          <w:p>
            <w:pPr>
              <w:spacing w:after="0"/>
              <w:rPr>
                <w:sz w:val="4"/>
                <w:szCs w:val="4"/>
                <w:color w:val="auto"/>
              </w:rPr>
            </w:pPr>
          </w:p>
        </w:tc>
        <w:tc>
          <w:tcPr>
            <w:tcW w:w="8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93"/>
        </w:trPr>
        <w:tc>
          <w:tcPr>
            <w:tcW w:w="4780" w:type="dxa"/>
            <w:vAlign w:val="bottom"/>
            <w:vMerge w:val="restart"/>
          </w:tcPr>
          <w:p>
            <w:pPr>
              <w:ind w:left="200"/>
              <w:spacing w:after="0"/>
              <w:rPr>
                <w:sz w:val="20"/>
                <w:szCs w:val="20"/>
                <w:color w:val="auto"/>
              </w:rPr>
            </w:pPr>
            <w:r>
              <w:rPr>
                <w:rFonts w:ascii="Calibri" w:cs="Calibri" w:eastAsia="Calibri" w:hAnsi="Calibri"/>
                <w:sz w:val="15"/>
                <w:szCs w:val="15"/>
                <w:color w:val="auto"/>
              </w:rPr>
              <w:t>Share-based compensaton</w:t>
            </w:r>
          </w:p>
        </w:tc>
        <w:tc>
          <w:tcPr>
            <w:tcW w:w="620" w:type="dxa"/>
            <w:vAlign w:val="bottom"/>
          </w:tcPr>
          <w:p>
            <w:pPr>
              <w:jc w:val="center"/>
              <w:spacing w:after="0"/>
              <w:rPr>
                <w:sz w:val="20"/>
                <w:szCs w:val="20"/>
                <w:color w:val="auto"/>
              </w:rPr>
            </w:pPr>
            <w:r>
              <w:rPr>
                <w:rFonts w:ascii="Calibri" w:cs="Calibri" w:eastAsia="Calibri" w:hAnsi="Calibri"/>
                <w:sz w:val="15"/>
                <w:szCs w:val="15"/>
                <w:i w:val="1"/>
                <w:iCs w:val="1"/>
                <w:color w:val="auto"/>
              </w:rPr>
              <w:t>7</w:t>
            </w:r>
          </w:p>
        </w:tc>
        <w:tc>
          <w:tcPr>
            <w:tcW w:w="1980" w:type="dxa"/>
            <w:vAlign w:val="bottom"/>
            <w:vMerge w:val="restart"/>
          </w:tcPr>
          <w:p>
            <w:pPr>
              <w:jc w:val="right"/>
              <w:ind w:right="628"/>
              <w:spacing w:after="0"/>
              <w:rPr>
                <w:sz w:val="20"/>
                <w:szCs w:val="20"/>
                <w:color w:val="auto"/>
              </w:rPr>
            </w:pPr>
            <w:r>
              <w:rPr>
                <w:rFonts w:ascii="Calibri" w:cs="Calibri" w:eastAsia="Calibri" w:hAnsi="Calibri"/>
                <w:sz w:val="15"/>
                <w:szCs w:val="15"/>
                <w:b w:val="1"/>
                <w:bCs w:val="1"/>
                <w:color w:val="auto"/>
              </w:rPr>
              <w:t>33,461</w:t>
            </w:r>
          </w:p>
        </w:tc>
        <w:tc>
          <w:tcPr>
            <w:tcW w:w="1140" w:type="dxa"/>
            <w:vAlign w:val="bottom"/>
            <w:vMerge w:val="restart"/>
          </w:tcPr>
          <w:p>
            <w:pPr>
              <w:jc w:val="right"/>
              <w:ind w:right="447"/>
              <w:spacing w:after="0"/>
              <w:rPr>
                <w:sz w:val="20"/>
                <w:szCs w:val="20"/>
                <w:color w:val="auto"/>
              </w:rPr>
            </w:pPr>
            <w:r>
              <w:rPr>
                <w:rFonts w:ascii="Calibri" w:cs="Calibri" w:eastAsia="Calibri" w:hAnsi="Calibri"/>
                <w:sz w:val="15"/>
                <w:szCs w:val="15"/>
                <w:color w:val="auto"/>
              </w:rPr>
              <w:t>1,414</w:t>
            </w:r>
          </w:p>
        </w:tc>
        <w:tc>
          <w:tcPr>
            <w:tcW w:w="1900" w:type="dxa"/>
            <w:vAlign w:val="bottom"/>
            <w:vMerge w:val="restart"/>
          </w:tcPr>
          <w:p>
            <w:pPr>
              <w:jc w:val="right"/>
              <w:ind w:right="707"/>
              <w:spacing w:after="0"/>
              <w:rPr>
                <w:sz w:val="20"/>
                <w:szCs w:val="20"/>
                <w:color w:val="auto"/>
              </w:rPr>
            </w:pPr>
            <w:r>
              <w:rPr>
                <w:rFonts w:ascii="Calibri" w:cs="Calibri" w:eastAsia="Calibri" w:hAnsi="Calibri"/>
                <w:sz w:val="15"/>
                <w:szCs w:val="15"/>
                <w:b w:val="1"/>
                <w:bCs w:val="1"/>
                <w:color w:val="auto"/>
              </w:rPr>
              <w:t>37,434</w:t>
            </w:r>
          </w:p>
        </w:tc>
        <w:tc>
          <w:tcPr>
            <w:tcW w:w="840" w:type="dxa"/>
            <w:vAlign w:val="bottom"/>
            <w:vMerge w:val="restart"/>
          </w:tcPr>
          <w:p>
            <w:pPr>
              <w:jc w:val="right"/>
              <w:spacing w:after="0"/>
              <w:rPr>
                <w:sz w:val="20"/>
                <w:szCs w:val="20"/>
                <w:color w:val="auto"/>
              </w:rPr>
            </w:pPr>
            <w:r>
              <w:rPr>
                <w:rFonts w:ascii="Calibri" w:cs="Calibri" w:eastAsia="Calibri" w:hAnsi="Calibri"/>
                <w:sz w:val="15"/>
                <w:szCs w:val="15"/>
                <w:color w:val="auto"/>
              </w:rPr>
              <w:t>2,689</w:t>
            </w:r>
          </w:p>
        </w:tc>
        <w:tc>
          <w:tcPr>
            <w:tcW w:w="0" w:type="dxa"/>
            <w:vAlign w:val="bottom"/>
          </w:tcPr>
          <w:p>
            <w:pPr>
              <w:spacing w:after="0"/>
              <w:rPr>
                <w:sz w:val="1"/>
                <w:szCs w:val="1"/>
                <w:color w:val="auto"/>
              </w:rPr>
            </w:pPr>
          </w:p>
        </w:tc>
      </w:tr>
      <w:tr>
        <w:trPr>
          <w:trHeight w:val="73"/>
        </w:trPr>
        <w:tc>
          <w:tcPr>
            <w:tcW w:w="4780" w:type="dxa"/>
            <w:vAlign w:val="bottom"/>
            <w:vMerge w:val="continue"/>
          </w:tcPr>
          <w:p>
            <w:pPr>
              <w:spacing w:after="0"/>
              <w:rPr>
                <w:sz w:val="6"/>
                <w:szCs w:val="6"/>
                <w:color w:val="auto"/>
              </w:rPr>
            </w:pPr>
          </w:p>
        </w:tc>
        <w:tc>
          <w:tcPr>
            <w:tcW w:w="620" w:type="dxa"/>
            <w:vAlign w:val="bottom"/>
          </w:tcPr>
          <w:p>
            <w:pPr>
              <w:spacing w:after="0"/>
              <w:rPr>
                <w:sz w:val="6"/>
                <w:szCs w:val="6"/>
                <w:color w:val="auto"/>
              </w:rPr>
            </w:pPr>
          </w:p>
        </w:tc>
        <w:tc>
          <w:tcPr>
            <w:tcW w:w="1980" w:type="dxa"/>
            <w:vAlign w:val="bottom"/>
            <w:vMerge w:val="continue"/>
          </w:tcPr>
          <w:p>
            <w:pPr>
              <w:spacing w:after="0"/>
              <w:rPr>
                <w:sz w:val="6"/>
                <w:szCs w:val="6"/>
                <w:color w:val="auto"/>
              </w:rPr>
            </w:pPr>
          </w:p>
        </w:tc>
        <w:tc>
          <w:tcPr>
            <w:tcW w:w="1140" w:type="dxa"/>
            <w:vAlign w:val="bottom"/>
            <w:vMerge w:val="continue"/>
          </w:tcPr>
          <w:p>
            <w:pPr>
              <w:spacing w:after="0"/>
              <w:rPr>
                <w:sz w:val="6"/>
                <w:szCs w:val="6"/>
                <w:color w:val="auto"/>
              </w:rPr>
            </w:pPr>
          </w:p>
        </w:tc>
        <w:tc>
          <w:tcPr>
            <w:tcW w:w="1900" w:type="dxa"/>
            <w:vAlign w:val="bottom"/>
            <w:vMerge w:val="continue"/>
          </w:tcPr>
          <w:p>
            <w:pPr>
              <w:spacing w:after="0"/>
              <w:rPr>
                <w:sz w:val="6"/>
                <w:szCs w:val="6"/>
                <w:color w:val="auto"/>
              </w:rPr>
            </w:pPr>
          </w:p>
        </w:tc>
        <w:tc>
          <w:tcPr>
            <w:tcW w:w="84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48"/>
        </w:trPr>
        <w:tc>
          <w:tcPr>
            <w:tcW w:w="4780" w:type="dxa"/>
            <w:vAlign w:val="bottom"/>
          </w:tcPr>
          <w:p>
            <w:pPr>
              <w:spacing w:after="0"/>
              <w:rPr>
                <w:sz w:val="4"/>
                <w:szCs w:val="4"/>
                <w:color w:val="auto"/>
              </w:rPr>
            </w:pPr>
          </w:p>
        </w:tc>
        <w:tc>
          <w:tcPr>
            <w:tcW w:w="620" w:type="dxa"/>
            <w:vAlign w:val="bottom"/>
          </w:tcPr>
          <w:p>
            <w:pPr>
              <w:spacing w:after="0"/>
              <w:rPr>
                <w:sz w:val="4"/>
                <w:szCs w:val="4"/>
                <w:color w:val="auto"/>
              </w:rPr>
            </w:pPr>
          </w:p>
        </w:tc>
        <w:tc>
          <w:tcPr>
            <w:tcW w:w="1980" w:type="dxa"/>
            <w:vAlign w:val="bottom"/>
            <w:vMerge w:val="continue"/>
          </w:tcPr>
          <w:p>
            <w:pPr>
              <w:spacing w:after="0"/>
              <w:rPr>
                <w:sz w:val="4"/>
                <w:szCs w:val="4"/>
                <w:color w:val="auto"/>
              </w:rPr>
            </w:pPr>
          </w:p>
        </w:tc>
        <w:tc>
          <w:tcPr>
            <w:tcW w:w="1140" w:type="dxa"/>
            <w:vAlign w:val="bottom"/>
            <w:vMerge w:val="continue"/>
          </w:tcPr>
          <w:p>
            <w:pPr>
              <w:spacing w:after="0"/>
              <w:rPr>
                <w:sz w:val="4"/>
                <w:szCs w:val="4"/>
                <w:color w:val="auto"/>
              </w:rPr>
            </w:pPr>
          </w:p>
        </w:tc>
        <w:tc>
          <w:tcPr>
            <w:tcW w:w="1900" w:type="dxa"/>
            <w:vAlign w:val="bottom"/>
            <w:vMerge w:val="continue"/>
          </w:tcPr>
          <w:p>
            <w:pPr>
              <w:spacing w:after="0"/>
              <w:rPr>
                <w:sz w:val="4"/>
                <w:szCs w:val="4"/>
                <w:color w:val="auto"/>
              </w:rPr>
            </w:pPr>
          </w:p>
        </w:tc>
        <w:tc>
          <w:tcPr>
            <w:tcW w:w="8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54"/>
        </w:trPr>
        <w:tc>
          <w:tcPr>
            <w:tcW w:w="4780" w:type="dxa"/>
            <w:vAlign w:val="bottom"/>
            <w:tcBorders>
              <w:bottom w:val="single" w:sz="8" w:color="auto"/>
            </w:tcBorders>
          </w:tcPr>
          <w:p>
            <w:pPr>
              <w:spacing w:after="0"/>
              <w:rPr>
                <w:sz w:val="22"/>
                <w:szCs w:val="22"/>
                <w:color w:val="auto"/>
              </w:rPr>
            </w:pPr>
          </w:p>
        </w:tc>
        <w:tc>
          <w:tcPr>
            <w:tcW w:w="620" w:type="dxa"/>
            <w:vAlign w:val="bottom"/>
            <w:tcBorders>
              <w:bottom w:val="single" w:sz="8" w:color="auto"/>
            </w:tcBorders>
          </w:tcPr>
          <w:p>
            <w:pPr>
              <w:spacing w:after="0"/>
              <w:rPr>
                <w:sz w:val="22"/>
                <w:szCs w:val="22"/>
                <w:color w:val="auto"/>
              </w:rPr>
            </w:pPr>
          </w:p>
        </w:tc>
        <w:tc>
          <w:tcPr>
            <w:tcW w:w="198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spacing w:after="0"/>
              <w:rPr>
                <w:sz w:val="22"/>
                <w:szCs w:val="22"/>
                <w:color w:val="auto"/>
              </w:rPr>
            </w:pPr>
          </w:p>
        </w:tc>
        <w:tc>
          <w:tcPr>
            <w:tcW w:w="1900" w:type="dxa"/>
            <w:vAlign w:val="bottom"/>
            <w:tcBorders>
              <w:bottom w:val="single" w:sz="8" w:color="auto"/>
            </w:tcBorders>
          </w:tcPr>
          <w:p>
            <w:pPr>
              <w:spacing w:after="0"/>
              <w:rPr>
                <w:sz w:val="22"/>
                <w:szCs w:val="22"/>
                <w:color w:val="auto"/>
              </w:rPr>
            </w:pPr>
          </w:p>
        </w:tc>
        <w:tc>
          <w:tcPr>
            <w:tcW w:w="840" w:type="dxa"/>
            <w:vAlign w:val="bottom"/>
            <w:tcBorders>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165"/>
        </w:trPr>
        <w:tc>
          <w:tcPr>
            <w:tcW w:w="4780" w:type="dxa"/>
            <w:vAlign w:val="bottom"/>
          </w:tcPr>
          <w:p>
            <w:pPr>
              <w:ind w:left="60"/>
              <w:spacing w:after="0" w:line="165" w:lineRule="exact"/>
              <w:rPr>
                <w:sz w:val="20"/>
                <w:szCs w:val="20"/>
                <w:color w:val="auto"/>
              </w:rPr>
            </w:pPr>
            <w:r>
              <w:rPr>
                <w:rFonts w:ascii="Calibri" w:cs="Calibri" w:eastAsia="Calibri" w:hAnsi="Calibri"/>
                <w:sz w:val="15"/>
                <w:szCs w:val="15"/>
                <w:b w:val="1"/>
                <w:bCs w:val="1"/>
                <w:color w:val="auto"/>
              </w:rPr>
              <w:t>TOTAL EXPENSES</w:t>
            </w:r>
          </w:p>
        </w:tc>
        <w:tc>
          <w:tcPr>
            <w:tcW w:w="620" w:type="dxa"/>
            <w:vAlign w:val="bottom"/>
          </w:tcPr>
          <w:p>
            <w:pPr>
              <w:spacing w:after="0"/>
              <w:rPr>
                <w:sz w:val="14"/>
                <w:szCs w:val="14"/>
                <w:color w:val="auto"/>
              </w:rPr>
            </w:pPr>
          </w:p>
        </w:tc>
        <w:tc>
          <w:tcPr>
            <w:tcW w:w="1980" w:type="dxa"/>
            <w:vAlign w:val="bottom"/>
          </w:tcPr>
          <w:p>
            <w:pPr>
              <w:jc w:val="right"/>
              <w:ind w:right="628"/>
              <w:spacing w:after="0" w:line="165" w:lineRule="exact"/>
              <w:rPr>
                <w:sz w:val="20"/>
                <w:szCs w:val="20"/>
                <w:color w:val="auto"/>
              </w:rPr>
            </w:pPr>
            <w:r>
              <w:rPr>
                <w:rFonts w:ascii="Calibri" w:cs="Calibri" w:eastAsia="Calibri" w:hAnsi="Calibri"/>
                <w:sz w:val="15"/>
                <w:szCs w:val="15"/>
                <w:b w:val="1"/>
                <w:bCs w:val="1"/>
                <w:color w:val="auto"/>
              </w:rPr>
              <w:t>58,254</w:t>
            </w:r>
          </w:p>
        </w:tc>
        <w:tc>
          <w:tcPr>
            <w:tcW w:w="1140" w:type="dxa"/>
            <w:vAlign w:val="bottom"/>
          </w:tcPr>
          <w:p>
            <w:pPr>
              <w:jc w:val="right"/>
              <w:ind w:right="447"/>
              <w:spacing w:after="0" w:line="165" w:lineRule="exact"/>
              <w:rPr>
                <w:sz w:val="20"/>
                <w:szCs w:val="20"/>
                <w:color w:val="auto"/>
              </w:rPr>
            </w:pPr>
            <w:r>
              <w:rPr>
                <w:rFonts w:ascii="Calibri" w:cs="Calibri" w:eastAsia="Calibri" w:hAnsi="Calibri"/>
                <w:sz w:val="15"/>
                <w:szCs w:val="15"/>
                <w:color w:val="auto"/>
              </w:rPr>
              <w:t>13,910</w:t>
            </w:r>
          </w:p>
        </w:tc>
        <w:tc>
          <w:tcPr>
            <w:tcW w:w="1900" w:type="dxa"/>
            <w:vAlign w:val="bottom"/>
          </w:tcPr>
          <w:p>
            <w:pPr>
              <w:jc w:val="right"/>
              <w:ind w:right="707"/>
              <w:spacing w:after="0" w:line="165" w:lineRule="exact"/>
              <w:rPr>
                <w:sz w:val="20"/>
                <w:szCs w:val="20"/>
                <w:color w:val="auto"/>
              </w:rPr>
            </w:pPr>
            <w:r>
              <w:rPr>
                <w:rFonts w:ascii="Calibri" w:cs="Calibri" w:eastAsia="Calibri" w:hAnsi="Calibri"/>
                <w:sz w:val="15"/>
                <w:szCs w:val="15"/>
                <w:b w:val="1"/>
                <w:bCs w:val="1"/>
                <w:color w:val="auto"/>
              </w:rPr>
              <w:t>78,571</w:t>
            </w:r>
          </w:p>
        </w:tc>
        <w:tc>
          <w:tcPr>
            <w:tcW w:w="840" w:type="dxa"/>
            <w:vAlign w:val="bottom"/>
          </w:tcPr>
          <w:p>
            <w:pPr>
              <w:jc w:val="right"/>
              <w:spacing w:after="0" w:line="165" w:lineRule="exact"/>
              <w:rPr>
                <w:sz w:val="20"/>
                <w:szCs w:val="20"/>
                <w:color w:val="auto"/>
              </w:rPr>
            </w:pPr>
            <w:r>
              <w:rPr>
                <w:rFonts w:ascii="Calibri" w:cs="Calibri" w:eastAsia="Calibri" w:hAnsi="Calibri"/>
                <w:sz w:val="15"/>
                <w:szCs w:val="15"/>
                <w:color w:val="auto"/>
              </w:rPr>
              <w:t>26,617</w:t>
            </w:r>
          </w:p>
        </w:tc>
        <w:tc>
          <w:tcPr>
            <w:tcW w:w="0" w:type="dxa"/>
            <w:vAlign w:val="bottom"/>
          </w:tcPr>
          <w:p>
            <w:pPr>
              <w:spacing w:after="0"/>
              <w:rPr>
                <w:sz w:val="1"/>
                <w:szCs w:val="1"/>
                <w:color w:val="auto"/>
              </w:rPr>
            </w:pPr>
          </w:p>
        </w:tc>
      </w:tr>
      <w:tr>
        <w:trPr>
          <w:trHeight w:val="21"/>
        </w:trPr>
        <w:tc>
          <w:tcPr>
            <w:tcW w:w="47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9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9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379"/>
        </w:trPr>
        <w:tc>
          <w:tcPr>
            <w:tcW w:w="4780" w:type="dxa"/>
            <w:vAlign w:val="bottom"/>
          </w:tcPr>
          <w:p>
            <w:pPr>
              <w:ind w:left="60"/>
              <w:spacing w:after="0"/>
              <w:rPr>
                <w:sz w:val="20"/>
                <w:szCs w:val="20"/>
                <w:color w:val="auto"/>
              </w:rPr>
            </w:pPr>
            <w:r>
              <w:rPr>
                <w:rFonts w:ascii="Calibri" w:cs="Calibri" w:eastAsia="Calibri" w:hAnsi="Calibri"/>
                <w:sz w:val="15"/>
                <w:szCs w:val="15"/>
                <w:b w:val="1"/>
                <w:bCs w:val="1"/>
                <w:color w:val="auto"/>
              </w:rPr>
              <w:t>OTHER INCOME (EXPENSES)</w:t>
            </w:r>
          </w:p>
        </w:tc>
        <w:tc>
          <w:tcPr>
            <w:tcW w:w="620" w:type="dxa"/>
            <w:vAlign w:val="bottom"/>
          </w:tcPr>
          <w:p>
            <w:pPr>
              <w:spacing w:after="0"/>
              <w:rPr>
                <w:sz w:val="24"/>
                <w:szCs w:val="24"/>
                <w:color w:val="auto"/>
              </w:rPr>
            </w:pPr>
          </w:p>
        </w:tc>
        <w:tc>
          <w:tcPr>
            <w:tcW w:w="19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9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6"/>
        </w:trPr>
        <w:tc>
          <w:tcPr>
            <w:tcW w:w="4780" w:type="dxa"/>
            <w:vAlign w:val="bottom"/>
          </w:tcPr>
          <w:p>
            <w:pPr>
              <w:ind w:left="200"/>
              <w:spacing w:after="0"/>
              <w:rPr>
                <w:sz w:val="20"/>
                <w:szCs w:val="20"/>
                <w:color w:val="auto"/>
              </w:rPr>
            </w:pPr>
            <w:r>
              <w:rPr>
                <w:rFonts w:ascii="Calibri" w:cs="Calibri" w:eastAsia="Calibri" w:hAnsi="Calibri"/>
                <w:sz w:val="15"/>
                <w:szCs w:val="15"/>
                <w:color w:val="auto"/>
              </w:rPr>
              <w:t>Foreign currency translaton gain (loss)</w:t>
            </w:r>
          </w:p>
        </w:tc>
        <w:tc>
          <w:tcPr>
            <w:tcW w:w="620" w:type="dxa"/>
            <w:vAlign w:val="bottom"/>
          </w:tcPr>
          <w:p>
            <w:pPr>
              <w:spacing w:after="0"/>
              <w:rPr>
                <w:sz w:val="23"/>
                <w:szCs w:val="23"/>
                <w:color w:val="auto"/>
              </w:rPr>
            </w:pPr>
          </w:p>
        </w:tc>
        <w:tc>
          <w:tcPr>
            <w:tcW w:w="1980" w:type="dxa"/>
            <w:vAlign w:val="bottom"/>
            <w:vMerge w:val="restart"/>
          </w:tcPr>
          <w:p>
            <w:pPr>
              <w:jc w:val="right"/>
              <w:ind w:right="608"/>
              <w:spacing w:after="0"/>
              <w:rPr>
                <w:sz w:val="20"/>
                <w:szCs w:val="20"/>
                <w:color w:val="auto"/>
              </w:rPr>
            </w:pPr>
            <w:r>
              <w:rPr>
                <w:rFonts w:ascii="Calibri" w:cs="Calibri" w:eastAsia="Calibri" w:hAnsi="Calibri"/>
                <w:sz w:val="15"/>
                <w:szCs w:val="15"/>
                <w:b w:val="1"/>
                <w:bCs w:val="1"/>
                <w:color w:val="auto"/>
              </w:rPr>
              <w:t>(2,016)</w:t>
            </w:r>
          </w:p>
        </w:tc>
        <w:tc>
          <w:tcPr>
            <w:tcW w:w="1140" w:type="dxa"/>
            <w:vAlign w:val="bottom"/>
            <w:vMerge w:val="restart"/>
          </w:tcPr>
          <w:p>
            <w:pPr>
              <w:jc w:val="right"/>
              <w:ind w:right="447"/>
              <w:spacing w:after="0"/>
              <w:rPr>
                <w:sz w:val="20"/>
                <w:szCs w:val="20"/>
                <w:color w:val="auto"/>
              </w:rPr>
            </w:pPr>
            <w:r>
              <w:rPr>
                <w:rFonts w:ascii="Calibri" w:cs="Calibri" w:eastAsia="Calibri" w:hAnsi="Calibri"/>
                <w:sz w:val="15"/>
                <w:szCs w:val="15"/>
                <w:color w:val="auto"/>
              </w:rPr>
              <w:t>1,968</w:t>
            </w:r>
          </w:p>
        </w:tc>
        <w:tc>
          <w:tcPr>
            <w:tcW w:w="1900" w:type="dxa"/>
            <w:vAlign w:val="bottom"/>
            <w:vMerge w:val="restart"/>
          </w:tcPr>
          <w:p>
            <w:pPr>
              <w:jc w:val="right"/>
              <w:ind w:right="707"/>
              <w:spacing w:after="0"/>
              <w:rPr>
                <w:sz w:val="20"/>
                <w:szCs w:val="20"/>
                <w:color w:val="auto"/>
              </w:rPr>
            </w:pPr>
            <w:r>
              <w:rPr>
                <w:rFonts w:ascii="Calibri" w:cs="Calibri" w:eastAsia="Calibri" w:hAnsi="Calibri"/>
                <w:sz w:val="15"/>
                <w:szCs w:val="15"/>
                <w:b w:val="1"/>
                <w:bCs w:val="1"/>
                <w:color w:val="auto"/>
              </w:rPr>
              <w:t>1,336</w:t>
            </w:r>
          </w:p>
        </w:tc>
        <w:tc>
          <w:tcPr>
            <w:tcW w:w="840" w:type="dxa"/>
            <w:vAlign w:val="bottom"/>
            <w:vMerge w:val="restart"/>
          </w:tcPr>
          <w:p>
            <w:pPr>
              <w:jc w:val="right"/>
              <w:spacing w:after="0"/>
              <w:rPr>
                <w:sz w:val="20"/>
                <w:szCs w:val="20"/>
                <w:color w:val="auto"/>
              </w:rPr>
            </w:pPr>
            <w:r>
              <w:rPr>
                <w:rFonts w:ascii="Calibri" w:cs="Calibri" w:eastAsia="Calibri" w:hAnsi="Calibri"/>
                <w:sz w:val="15"/>
                <w:szCs w:val="15"/>
                <w:color w:val="auto"/>
              </w:rPr>
              <w:t>77</w:t>
            </w:r>
          </w:p>
        </w:tc>
        <w:tc>
          <w:tcPr>
            <w:tcW w:w="0" w:type="dxa"/>
            <w:vAlign w:val="bottom"/>
          </w:tcPr>
          <w:p>
            <w:pPr>
              <w:spacing w:after="0"/>
              <w:rPr>
                <w:sz w:val="1"/>
                <w:szCs w:val="1"/>
                <w:color w:val="auto"/>
              </w:rPr>
            </w:pPr>
          </w:p>
        </w:tc>
      </w:tr>
      <w:tr>
        <w:trPr>
          <w:trHeight w:val="48"/>
        </w:trPr>
        <w:tc>
          <w:tcPr>
            <w:tcW w:w="4780" w:type="dxa"/>
            <w:vAlign w:val="bottom"/>
          </w:tcPr>
          <w:p>
            <w:pPr>
              <w:spacing w:after="0"/>
              <w:rPr>
                <w:sz w:val="4"/>
                <w:szCs w:val="4"/>
                <w:color w:val="auto"/>
              </w:rPr>
            </w:pPr>
          </w:p>
        </w:tc>
        <w:tc>
          <w:tcPr>
            <w:tcW w:w="620" w:type="dxa"/>
            <w:vAlign w:val="bottom"/>
          </w:tcPr>
          <w:p>
            <w:pPr>
              <w:spacing w:after="0"/>
              <w:rPr>
                <w:sz w:val="4"/>
                <w:szCs w:val="4"/>
                <w:color w:val="auto"/>
              </w:rPr>
            </w:pPr>
          </w:p>
        </w:tc>
        <w:tc>
          <w:tcPr>
            <w:tcW w:w="1980" w:type="dxa"/>
            <w:vAlign w:val="bottom"/>
            <w:vMerge w:val="continue"/>
          </w:tcPr>
          <w:p>
            <w:pPr>
              <w:spacing w:after="0"/>
              <w:rPr>
                <w:sz w:val="4"/>
                <w:szCs w:val="4"/>
                <w:color w:val="auto"/>
              </w:rPr>
            </w:pPr>
          </w:p>
        </w:tc>
        <w:tc>
          <w:tcPr>
            <w:tcW w:w="1140" w:type="dxa"/>
            <w:vAlign w:val="bottom"/>
            <w:vMerge w:val="continue"/>
          </w:tcPr>
          <w:p>
            <w:pPr>
              <w:spacing w:after="0"/>
              <w:rPr>
                <w:sz w:val="4"/>
                <w:szCs w:val="4"/>
                <w:color w:val="auto"/>
              </w:rPr>
            </w:pPr>
          </w:p>
        </w:tc>
        <w:tc>
          <w:tcPr>
            <w:tcW w:w="1900" w:type="dxa"/>
            <w:vAlign w:val="bottom"/>
            <w:vMerge w:val="continue"/>
          </w:tcPr>
          <w:p>
            <w:pPr>
              <w:spacing w:after="0"/>
              <w:rPr>
                <w:sz w:val="4"/>
                <w:szCs w:val="4"/>
                <w:color w:val="auto"/>
              </w:rPr>
            </w:pPr>
          </w:p>
        </w:tc>
        <w:tc>
          <w:tcPr>
            <w:tcW w:w="8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66"/>
        </w:trPr>
        <w:tc>
          <w:tcPr>
            <w:tcW w:w="4780" w:type="dxa"/>
            <w:vAlign w:val="bottom"/>
          </w:tcPr>
          <w:p>
            <w:pPr>
              <w:ind w:left="200"/>
              <w:spacing w:after="0"/>
              <w:rPr>
                <w:sz w:val="20"/>
                <w:szCs w:val="20"/>
                <w:color w:val="auto"/>
              </w:rPr>
            </w:pPr>
            <w:r>
              <w:rPr>
                <w:rFonts w:ascii="Calibri" w:cs="Calibri" w:eastAsia="Calibri" w:hAnsi="Calibri"/>
                <w:sz w:val="15"/>
                <w:szCs w:val="15"/>
                <w:color w:val="auto"/>
              </w:rPr>
              <w:t>Interest income</w:t>
            </w:r>
          </w:p>
        </w:tc>
        <w:tc>
          <w:tcPr>
            <w:tcW w:w="620" w:type="dxa"/>
            <w:vAlign w:val="bottom"/>
          </w:tcPr>
          <w:p>
            <w:pPr>
              <w:spacing w:after="0"/>
              <w:rPr>
                <w:sz w:val="23"/>
                <w:szCs w:val="23"/>
                <w:color w:val="auto"/>
              </w:rPr>
            </w:pPr>
          </w:p>
        </w:tc>
        <w:tc>
          <w:tcPr>
            <w:tcW w:w="1980" w:type="dxa"/>
            <w:vAlign w:val="bottom"/>
            <w:vMerge w:val="restart"/>
          </w:tcPr>
          <w:p>
            <w:pPr>
              <w:jc w:val="right"/>
              <w:ind w:right="628"/>
              <w:spacing w:after="0"/>
              <w:rPr>
                <w:sz w:val="20"/>
                <w:szCs w:val="20"/>
                <w:color w:val="auto"/>
              </w:rPr>
            </w:pPr>
            <w:r>
              <w:rPr>
                <w:rFonts w:ascii="Calibri" w:cs="Calibri" w:eastAsia="Calibri" w:hAnsi="Calibri"/>
                <w:sz w:val="15"/>
                <w:szCs w:val="15"/>
                <w:b w:val="1"/>
                <w:bCs w:val="1"/>
                <w:color w:val="auto"/>
              </w:rPr>
              <w:t>3,078</w:t>
            </w:r>
          </w:p>
        </w:tc>
        <w:tc>
          <w:tcPr>
            <w:tcW w:w="1140" w:type="dxa"/>
            <w:vAlign w:val="bottom"/>
            <w:vMerge w:val="restart"/>
          </w:tcPr>
          <w:p>
            <w:pPr>
              <w:jc w:val="right"/>
              <w:ind w:right="447"/>
              <w:spacing w:after="0"/>
              <w:rPr>
                <w:sz w:val="20"/>
                <w:szCs w:val="20"/>
                <w:color w:val="auto"/>
              </w:rPr>
            </w:pPr>
            <w:r>
              <w:rPr>
                <w:rFonts w:ascii="Calibri" w:cs="Calibri" w:eastAsia="Calibri" w:hAnsi="Calibri"/>
                <w:sz w:val="15"/>
                <w:szCs w:val="15"/>
                <w:color w:val="auto"/>
              </w:rPr>
              <w:t>52</w:t>
            </w:r>
          </w:p>
        </w:tc>
        <w:tc>
          <w:tcPr>
            <w:tcW w:w="1900" w:type="dxa"/>
            <w:vAlign w:val="bottom"/>
            <w:vMerge w:val="restart"/>
          </w:tcPr>
          <w:p>
            <w:pPr>
              <w:jc w:val="right"/>
              <w:ind w:right="707"/>
              <w:spacing w:after="0"/>
              <w:rPr>
                <w:sz w:val="20"/>
                <w:szCs w:val="20"/>
                <w:color w:val="auto"/>
              </w:rPr>
            </w:pPr>
            <w:r>
              <w:rPr>
                <w:rFonts w:ascii="Calibri" w:cs="Calibri" w:eastAsia="Calibri" w:hAnsi="Calibri"/>
                <w:sz w:val="15"/>
                <w:szCs w:val="15"/>
                <w:b w:val="1"/>
                <w:bCs w:val="1"/>
                <w:color w:val="auto"/>
              </w:rPr>
              <w:t>5,219</w:t>
            </w:r>
          </w:p>
        </w:tc>
        <w:tc>
          <w:tcPr>
            <w:tcW w:w="840" w:type="dxa"/>
            <w:vAlign w:val="bottom"/>
            <w:vMerge w:val="restart"/>
          </w:tcPr>
          <w:p>
            <w:pPr>
              <w:jc w:val="right"/>
              <w:spacing w:after="0"/>
              <w:rPr>
                <w:sz w:val="20"/>
                <w:szCs w:val="20"/>
                <w:color w:val="auto"/>
              </w:rPr>
            </w:pPr>
            <w:r>
              <w:rPr>
                <w:rFonts w:ascii="Calibri" w:cs="Calibri" w:eastAsia="Calibri" w:hAnsi="Calibri"/>
                <w:sz w:val="15"/>
                <w:szCs w:val="15"/>
                <w:color w:val="auto"/>
              </w:rPr>
              <w:t>136</w:t>
            </w:r>
          </w:p>
        </w:tc>
        <w:tc>
          <w:tcPr>
            <w:tcW w:w="0" w:type="dxa"/>
            <w:vAlign w:val="bottom"/>
          </w:tcPr>
          <w:p>
            <w:pPr>
              <w:spacing w:after="0"/>
              <w:rPr>
                <w:sz w:val="1"/>
                <w:szCs w:val="1"/>
                <w:color w:val="auto"/>
              </w:rPr>
            </w:pPr>
          </w:p>
        </w:tc>
      </w:tr>
      <w:tr>
        <w:trPr>
          <w:trHeight w:val="48"/>
        </w:trPr>
        <w:tc>
          <w:tcPr>
            <w:tcW w:w="4780" w:type="dxa"/>
            <w:vAlign w:val="bottom"/>
          </w:tcPr>
          <w:p>
            <w:pPr>
              <w:spacing w:after="0"/>
              <w:rPr>
                <w:sz w:val="4"/>
                <w:szCs w:val="4"/>
                <w:color w:val="auto"/>
              </w:rPr>
            </w:pPr>
          </w:p>
        </w:tc>
        <w:tc>
          <w:tcPr>
            <w:tcW w:w="620" w:type="dxa"/>
            <w:vAlign w:val="bottom"/>
          </w:tcPr>
          <w:p>
            <w:pPr>
              <w:spacing w:after="0"/>
              <w:rPr>
                <w:sz w:val="4"/>
                <w:szCs w:val="4"/>
                <w:color w:val="auto"/>
              </w:rPr>
            </w:pPr>
          </w:p>
        </w:tc>
        <w:tc>
          <w:tcPr>
            <w:tcW w:w="1980" w:type="dxa"/>
            <w:vAlign w:val="bottom"/>
            <w:vMerge w:val="continue"/>
          </w:tcPr>
          <w:p>
            <w:pPr>
              <w:spacing w:after="0"/>
              <w:rPr>
                <w:sz w:val="4"/>
                <w:szCs w:val="4"/>
                <w:color w:val="auto"/>
              </w:rPr>
            </w:pPr>
          </w:p>
        </w:tc>
        <w:tc>
          <w:tcPr>
            <w:tcW w:w="1140" w:type="dxa"/>
            <w:vAlign w:val="bottom"/>
            <w:vMerge w:val="continue"/>
          </w:tcPr>
          <w:p>
            <w:pPr>
              <w:spacing w:after="0"/>
              <w:rPr>
                <w:sz w:val="4"/>
                <w:szCs w:val="4"/>
                <w:color w:val="auto"/>
              </w:rPr>
            </w:pPr>
          </w:p>
        </w:tc>
        <w:tc>
          <w:tcPr>
            <w:tcW w:w="1900" w:type="dxa"/>
            <w:vAlign w:val="bottom"/>
            <w:vMerge w:val="continue"/>
          </w:tcPr>
          <w:p>
            <w:pPr>
              <w:spacing w:after="0"/>
              <w:rPr>
                <w:sz w:val="4"/>
                <w:szCs w:val="4"/>
                <w:color w:val="auto"/>
              </w:rPr>
            </w:pPr>
          </w:p>
        </w:tc>
        <w:tc>
          <w:tcPr>
            <w:tcW w:w="8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54"/>
        </w:trPr>
        <w:tc>
          <w:tcPr>
            <w:tcW w:w="4780" w:type="dxa"/>
            <w:vAlign w:val="bottom"/>
            <w:tcBorders>
              <w:bottom w:val="single" w:sz="8" w:color="auto"/>
            </w:tcBorders>
          </w:tcPr>
          <w:p>
            <w:pPr>
              <w:spacing w:after="0"/>
              <w:rPr>
                <w:sz w:val="22"/>
                <w:szCs w:val="22"/>
                <w:color w:val="auto"/>
              </w:rPr>
            </w:pPr>
          </w:p>
        </w:tc>
        <w:tc>
          <w:tcPr>
            <w:tcW w:w="620" w:type="dxa"/>
            <w:vAlign w:val="bottom"/>
            <w:tcBorders>
              <w:bottom w:val="single" w:sz="8" w:color="auto"/>
            </w:tcBorders>
          </w:tcPr>
          <w:p>
            <w:pPr>
              <w:spacing w:after="0"/>
              <w:rPr>
                <w:sz w:val="22"/>
                <w:szCs w:val="22"/>
                <w:color w:val="auto"/>
              </w:rPr>
            </w:pPr>
          </w:p>
        </w:tc>
        <w:tc>
          <w:tcPr>
            <w:tcW w:w="198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spacing w:after="0"/>
              <w:rPr>
                <w:sz w:val="22"/>
                <w:szCs w:val="22"/>
                <w:color w:val="auto"/>
              </w:rPr>
            </w:pPr>
          </w:p>
        </w:tc>
        <w:tc>
          <w:tcPr>
            <w:tcW w:w="1900" w:type="dxa"/>
            <w:vAlign w:val="bottom"/>
            <w:tcBorders>
              <w:bottom w:val="single" w:sz="8" w:color="auto"/>
            </w:tcBorders>
          </w:tcPr>
          <w:p>
            <w:pPr>
              <w:spacing w:after="0"/>
              <w:rPr>
                <w:sz w:val="22"/>
                <w:szCs w:val="22"/>
                <w:color w:val="auto"/>
              </w:rPr>
            </w:pPr>
          </w:p>
        </w:tc>
        <w:tc>
          <w:tcPr>
            <w:tcW w:w="840" w:type="dxa"/>
            <w:vAlign w:val="bottom"/>
            <w:tcBorders>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165"/>
        </w:trPr>
        <w:tc>
          <w:tcPr>
            <w:tcW w:w="4780" w:type="dxa"/>
            <w:vAlign w:val="bottom"/>
          </w:tcPr>
          <w:p>
            <w:pPr>
              <w:ind w:left="60"/>
              <w:spacing w:after="0" w:line="165" w:lineRule="exact"/>
              <w:rPr>
                <w:sz w:val="20"/>
                <w:szCs w:val="20"/>
                <w:color w:val="auto"/>
              </w:rPr>
            </w:pPr>
            <w:r>
              <w:rPr>
                <w:rFonts w:ascii="Calibri" w:cs="Calibri" w:eastAsia="Calibri" w:hAnsi="Calibri"/>
                <w:sz w:val="15"/>
                <w:szCs w:val="15"/>
                <w:b w:val="1"/>
                <w:bCs w:val="1"/>
                <w:color w:val="auto"/>
              </w:rPr>
              <w:t>TOTAL OTHER INCOME</w:t>
            </w:r>
          </w:p>
        </w:tc>
        <w:tc>
          <w:tcPr>
            <w:tcW w:w="620" w:type="dxa"/>
            <w:vAlign w:val="bottom"/>
          </w:tcPr>
          <w:p>
            <w:pPr>
              <w:spacing w:after="0"/>
              <w:rPr>
                <w:sz w:val="14"/>
                <w:szCs w:val="14"/>
                <w:color w:val="auto"/>
              </w:rPr>
            </w:pPr>
          </w:p>
        </w:tc>
        <w:tc>
          <w:tcPr>
            <w:tcW w:w="1980" w:type="dxa"/>
            <w:vAlign w:val="bottom"/>
          </w:tcPr>
          <w:p>
            <w:pPr>
              <w:jc w:val="right"/>
              <w:ind w:right="628"/>
              <w:spacing w:after="0" w:line="165" w:lineRule="exact"/>
              <w:rPr>
                <w:sz w:val="20"/>
                <w:szCs w:val="20"/>
                <w:color w:val="auto"/>
              </w:rPr>
            </w:pPr>
            <w:r>
              <w:rPr>
                <w:rFonts w:ascii="Calibri" w:cs="Calibri" w:eastAsia="Calibri" w:hAnsi="Calibri"/>
                <w:sz w:val="15"/>
                <w:szCs w:val="15"/>
                <w:b w:val="1"/>
                <w:bCs w:val="1"/>
                <w:color w:val="auto"/>
              </w:rPr>
              <w:t>1,062</w:t>
            </w:r>
          </w:p>
        </w:tc>
        <w:tc>
          <w:tcPr>
            <w:tcW w:w="1140" w:type="dxa"/>
            <w:vAlign w:val="bottom"/>
          </w:tcPr>
          <w:p>
            <w:pPr>
              <w:jc w:val="right"/>
              <w:ind w:right="447"/>
              <w:spacing w:after="0" w:line="165" w:lineRule="exact"/>
              <w:rPr>
                <w:sz w:val="20"/>
                <w:szCs w:val="20"/>
                <w:color w:val="auto"/>
              </w:rPr>
            </w:pPr>
            <w:r>
              <w:rPr>
                <w:rFonts w:ascii="Calibri" w:cs="Calibri" w:eastAsia="Calibri" w:hAnsi="Calibri"/>
                <w:sz w:val="15"/>
                <w:szCs w:val="15"/>
                <w:color w:val="auto"/>
              </w:rPr>
              <w:t>2,020</w:t>
            </w:r>
          </w:p>
        </w:tc>
        <w:tc>
          <w:tcPr>
            <w:tcW w:w="1900" w:type="dxa"/>
            <w:vAlign w:val="bottom"/>
          </w:tcPr>
          <w:p>
            <w:pPr>
              <w:jc w:val="right"/>
              <w:ind w:right="707"/>
              <w:spacing w:after="0" w:line="165" w:lineRule="exact"/>
              <w:rPr>
                <w:sz w:val="20"/>
                <w:szCs w:val="20"/>
                <w:color w:val="auto"/>
              </w:rPr>
            </w:pPr>
            <w:r>
              <w:rPr>
                <w:rFonts w:ascii="Calibri" w:cs="Calibri" w:eastAsia="Calibri" w:hAnsi="Calibri"/>
                <w:sz w:val="15"/>
                <w:szCs w:val="15"/>
                <w:b w:val="1"/>
                <w:bCs w:val="1"/>
                <w:color w:val="auto"/>
              </w:rPr>
              <w:t>6,555</w:t>
            </w:r>
          </w:p>
        </w:tc>
        <w:tc>
          <w:tcPr>
            <w:tcW w:w="840" w:type="dxa"/>
            <w:vAlign w:val="bottom"/>
          </w:tcPr>
          <w:p>
            <w:pPr>
              <w:jc w:val="right"/>
              <w:spacing w:after="0" w:line="165" w:lineRule="exact"/>
              <w:rPr>
                <w:sz w:val="20"/>
                <w:szCs w:val="20"/>
                <w:color w:val="auto"/>
              </w:rPr>
            </w:pPr>
            <w:r>
              <w:rPr>
                <w:rFonts w:ascii="Calibri" w:cs="Calibri" w:eastAsia="Calibri" w:hAnsi="Calibri"/>
                <w:sz w:val="15"/>
                <w:szCs w:val="15"/>
                <w:color w:val="auto"/>
              </w:rPr>
              <w:t>213</w:t>
            </w:r>
          </w:p>
        </w:tc>
        <w:tc>
          <w:tcPr>
            <w:tcW w:w="0" w:type="dxa"/>
            <w:vAlign w:val="bottom"/>
          </w:tcPr>
          <w:p>
            <w:pPr>
              <w:spacing w:after="0"/>
              <w:rPr>
                <w:sz w:val="1"/>
                <w:szCs w:val="1"/>
                <w:color w:val="auto"/>
              </w:rPr>
            </w:pPr>
          </w:p>
        </w:tc>
      </w:tr>
      <w:tr>
        <w:trPr>
          <w:trHeight w:val="21"/>
        </w:trPr>
        <w:tc>
          <w:tcPr>
            <w:tcW w:w="47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9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9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478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spacing w:after="0"/>
              <w:rPr>
                <w:sz w:val="18"/>
                <w:szCs w:val="18"/>
                <w:color w:val="auto"/>
              </w:rPr>
            </w:pPr>
          </w:p>
        </w:tc>
        <w:tc>
          <w:tcPr>
            <w:tcW w:w="198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spacing w:after="0"/>
              <w:rPr>
                <w:sz w:val="18"/>
                <w:szCs w:val="18"/>
                <w:color w:val="auto"/>
              </w:rPr>
            </w:pPr>
          </w:p>
        </w:tc>
        <w:tc>
          <w:tcPr>
            <w:tcW w:w="190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91"/>
        </w:trPr>
        <w:tc>
          <w:tcPr>
            <w:tcW w:w="4780" w:type="dxa"/>
            <w:vAlign w:val="bottom"/>
            <w:tcBorders>
              <w:bottom w:val="single" w:sz="8" w:color="D9D9D9"/>
            </w:tcBorders>
            <w:shd w:val="clear" w:color="auto" w:fill="D9D9D9"/>
          </w:tcPr>
          <w:p>
            <w:pPr>
              <w:ind w:left="60"/>
              <w:spacing w:after="0" w:line="165" w:lineRule="exact"/>
              <w:rPr>
                <w:sz w:val="20"/>
                <w:szCs w:val="20"/>
                <w:color w:val="auto"/>
              </w:rPr>
            </w:pPr>
            <w:r>
              <w:rPr>
                <w:rFonts w:ascii="Calibri" w:cs="Calibri" w:eastAsia="Calibri" w:hAnsi="Calibri"/>
                <w:sz w:val="15"/>
                <w:szCs w:val="15"/>
                <w:b w:val="1"/>
                <w:bCs w:val="1"/>
                <w:color w:val="auto"/>
              </w:rPr>
              <w:t>NET LOSS FOR THE PERIOD</w:t>
            </w:r>
          </w:p>
        </w:tc>
        <w:tc>
          <w:tcPr>
            <w:tcW w:w="620" w:type="dxa"/>
            <w:vAlign w:val="bottom"/>
            <w:tcBorders>
              <w:bottom w:val="single" w:sz="8" w:color="DBDBDB"/>
            </w:tcBorders>
            <w:shd w:val="clear" w:color="auto" w:fill="DBDBDB"/>
          </w:tcPr>
          <w:p>
            <w:pPr>
              <w:spacing w:after="0"/>
              <w:rPr>
                <w:sz w:val="16"/>
                <w:szCs w:val="16"/>
                <w:color w:val="auto"/>
              </w:rPr>
            </w:pPr>
          </w:p>
        </w:tc>
        <w:tc>
          <w:tcPr>
            <w:tcW w:w="1980" w:type="dxa"/>
            <w:vAlign w:val="bottom"/>
            <w:tcBorders>
              <w:bottom w:val="single" w:sz="8" w:color="DBDBDB"/>
            </w:tcBorders>
            <w:shd w:val="clear" w:color="auto" w:fill="DBDBDB"/>
          </w:tcPr>
          <w:p>
            <w:pPr>
              <w:jc w:val="right"/>
              <w:ind w:right="608"/>
              <w:spacing w:after="0" w:line="165" w:lineRule="exact"/>
              <w:rPr>
                <w:sz w:val="20"/>
                <w:szCs w:val="20"/>
                <w:color w:val="auto"/>
              </w:rPr>
            </w:pPr>
            <w:r>
              <w:rPr>
                <w:rFonts w:ascii="Calibri" w:cs="Calibri" w:eastAsia="Calibri" w:hAnsi="Calibri"/>
                <w:sz w:val="15"/>
                <w:szCs w:val="15"/>
                <w:b w:val="1"/>
                <w:bCs w:val="1"/>
                <w:color w:val="auto"/>
              </w:rPr>
              <w:t>(57,192)</w:t>
            </w:r>
          </w:p>
        </w:tc>
        <w:tc>
          <w:tcPr>
            <w:tcW w:w="1140" w:type="dxa"/>
            <w:vAlign w:val="bottom"/>
            <w:tcBorders>
              <w:bottom w:val="single" w:sz="8" w:color="DBDBDB"/>
            </w:tcBorders>
            <w:shd w:val="clear" w:color="auto" w:fill="DBDBDB"/>
          </w:tcPr>
          <w:p>
            <w:pPr>
              <w:jc w:val="right"/>
              <w:ind w:right="407"/>
              <w:spacing w:after="0" w:line="165" w:lineRule="exact"/>
              <w:rPr>
                <w:sz w:val="20"/>
                <w:szCs w:val="20"/>
                <w:color w:val="auto"/>
              </w:rPr>
            </w:pPr>
            <w:r>
              <w:rPr>
                <w:rFonts w:ascii="Calibri" w:cs="Calibri" w:eastAsia="Calibri" w:hAnsi="Calibri"/>
                <w:sz w:val="15"/>
                <w:szCs w:val="15"/>
                <w:color w:val="auto"/>
              </w:rPr>
              <w:t>(11,890)</w:t>
            </w:r>
          </w:p>
        </w:tc>
        <w:tc>
          <w:tcPr>
            <w:tcW w:w="1900" w:type="dxa"/>
            <w:vAlign w:val="bottom"/>
            <w:tcBorders>
              <w:bottom w:val="single" w:sz="8" w:color="DBDBDB"/>
            </w:tcBorders>
            <w:shd w:val="clear" w:color="auto" w:fill="DBDBDB"/>
          </w:tcPr>
          <w:p>
            <w:pPr>
              <w:jc w:val="right"/>
              <w:ind w:right="667"/>
              <w:spacing w:after="0" w:line="165" w:lineRule="exact"/>
              <w:rPr>
                <w:sz w:val="20"/>
                <w:szCs w:val="20"/>
                <w:color w:val="auto"/>
              </w:rPr>
            </w:pPr>
            <w:r>
              <w:rPr>
                <w:rFonts w:ascii="Calibri" w:cs="Calibri" w:eastAsia="Calibri" w:hAnsi="Calibri"/>
                <w:sz w:val="15"/>
                <w:szCs w:val="15"/>
                <w:b w:val="1"/>
                <w:bCs w:val="1"/>
                <w:color w:val="auto"/>
              </w:rPr>
              <w:t>(72,016)</w:t>
            </w:r>
          </w:p>
        </w:tc>
        <w:tc>
          <w:tcPr>
            <w:tcW w:w="840" w:type="dxa"/>
            <w:vAlign w:val="bottom"/>
            <w:tcBorders>
              <w:bottom w:val="single" w:sz="8" w:color="DBDBDB"/>
            </w:tcBorders>
            <w:shd w:val="clear" w:color="auto" w:fill="DBDBDB"/>
          </w:tcPr>
          <w:p>
            <w:pPr>
              <w:jc w:val="right"/>
              <w:spacing w:after="0" w:line="165" w:lineRule="exact"/>
              <w:rPr>
                <w:sz w:val="20"/>
                <w:szCs w:val="20"/>
                <w:color w:val="auto"/>
              </w:rPr>
            </w:pPr>
            <w:r>
              <w:rPr>
                <w:rFonts w:ascii="Calibri" w:cs="Calibri" w:eastAsia="Calibri" w:hAnsi="Calibri"/>
                <w:sz w:val="15"/>
                <w:szCs w:val="15"/>
                <w:color w:val="auto"/>
              </w:rPr>
              <w:t>(26,404)</w:t>
            </w:r>
          </w:p>
        </w:tc>
        <w:tc>
          <w:tcPr>
            <w:tcW w:w="0" w:type="dxa"/>
            <w:vAlign w:val="bottom"/>
          </w:tcPr>
          <w:p>
            <w:pPr>
              <w:spacing w:after="0"/>
              <w:rPr>
                <w:sz w:val="1"/>
                <w:szCs w:val="1"/>
                <w:color w:val="auto"/>
              </w:rPr>
            </w:pPr>
          </w:p>
        </w:tc>
      </w:tr>
      <w:tr>
        <w:trPr>
          <w:trHeight w:val="379"/>
        </w:trPr>
        <w:tc>
          <w:tcPr>
            <w:tcW w:w="4780" w:type="dxa"/>
            <w:vAlign w:val="bottom"/>
            <w:tcBorders>
              <w:top w:val="single" w:sz="8" w:color="auto"/>
            </w:tcBorders>
          </w:tcPr>
          <w:p>
            <w:pPr>
              <w:ind w:left="60"/>
              <w:spacing w:after="0"/>
              <w:rPr>
                <w:sz w:val="20"/>
                <w:szCs w:val="20"/>
                <w:color w:val="auto"/>
              </w:rPr>
            </w:pPr>
            <w:r>
              <w:rPr>
                <w:rFonts w:ascii="Calibri" w:cs="Calibri" w:eastAsia="Calibri" w:hAnsi="Calibri"/>
                <w:sz w:val="15"/>
                <w:szCs w:val="15"/>
                <w:b w:val="1"/>
                <w:bCs w:val="1"/>
                <w:color w:val="auto"/>
              </w:rPr>
              <w:t>OTHER COMPREHENSIVE LOSS</w:t>
            </w:r>
          </w:p>
        </w:tc>
        <w:tc>
          <w:tcPr>
            <w:tcW w:w="620" w:type="dxa"/>
            <w:vAlign w:val="bottom"/>
            <w:tcBorders>
              <w:top w:val="single" w:sz="8" w:color="auto"/>
            </w:tcBorders>
          </w:tcPr>
          <w:p>
            <w:pPr>
              <w:spacing w:after="0"/>
              <w:rPr>
                <w:sz w:val="24"/>
                <w:szCs w:val="24"/>
                <w:color w:val="auto"/>
              </w:rPr>
            </w:pPr>
          </w:p>
        </w:tc>
        <w:tc>
          <w:tcPr>
            <w:tcW w:w="1980" w:type="dxa"/>
            <w:vAlign w:val="bottom"/>
            <w:tcBorders>
              <w:top w:val="single" w:sz="8" w:color="auto"/>
            </w:tcBorders>
          </w:tcPr>
          <w:p>
            <w:pPr>
              <w:spacing w:after="0"/>
              <w:rPr>
                <w:sz w:val="24"/>
                <w:szCs w:val="24"/>
                <w:color w:val="auto"/>
              </w:rPr>
            </w:pPr>
          </w:p>
        </w:tc>
        <w:tc>
          <w:tcPr>
            <w:tcW w:w="1140" w:type="dxa"/>
            <w:vAlign w:val="bottom"/>
            <w:tcBorders>
              <w:top w:val="single" w:sz="8" w:color="auto"/>
            </w:tcBorders>
          </w:tcPr>
          <w:p>
            <w:pPr>
              <w:spacing w:after="0"/>
              <w:rPr>
                <w:sz w:val="24"/>
                <w:szCs w:val="24"/>
                <w:color w:val="auto"/>
              </w:rPr>
            </w:pPr>
          </w:p>
        </w:tc>
        <w:tc>
          <w:tcPr>
            <w:tcW w:w="1900" w:type="dxa"/>
            <w:vAlign w:val="bottom"/>
            <w:tcBorders>
              <w:top w:val="single" w:sz="8" w:color="auto"/>
            </w:tcBorders>
          </w:tcPr>
          <w:p>
            <w:pPr>
              <w:spacing w:after="0"/>
              <w:rPr>
                <w:sz w:val="24"/>
                <w:szCs w:val="24"/>
                <w:color w:val="auto"/>
              </w:rPr>
            </w:pPr>
          </w:p>
        </w:tc>
        <w:tc>
          <w:tcPr>
            <w:tcW w:w="840" w:type="dxa"/>
            <w:vAlign w:val="bottom"/>
            <w:tcBorders>
              <w:top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66"/>
        </w:trPr>
        <w:tc>
          <w:tcPr>
            <w:tcW w:w="4780" w:type="dxa"/>
            <w:vAlign w:val="bottom"/>
          </w:tcPr>
          <w:p>
            <w:pPr>
              <w:ind w:left="160"/>
              <w:spacing w:after="0"/>
              <w:rPr>
                <w:sz w:val="20"/>
                <w:szCs w:val="20"/>
                <w:color w:val="auto"/>
              </w:rPr>
            </w:pPr>
            <w:r>
              <w:rPr>
                <w:rFonts w:ascii="Calibri" w:cs="Calibri" w:eastAsia="Calibri" w:hAnsi="Calibri"/>
                <w:sz w:val="15"/>
                <w:szCs w:val="15"/>
                <w:color w:val="auto"/>
              </w:rPr>
              <w:t>Foreign currency translaton diferences for foreign operatons</w:t>
            </w:r>
          </w:p>
        </w:tc>
        <w:tc>
          <w:tcPr>
            <w:tcW w:w="620" w:type="dxa"/>
            <w:vAlign w:val="bottom"/>
          </w:tcPr>
          <w:p>
            <w:pPr>
              <w:spacing w:after="0"/>
              <w:rPr>
                <w:sz w:val="23"/>
                <w:szCs w:val="23"/>
                <w:color w:val="auto"/>
              </w:rPr>
            </w:pPr>
          </w:p>
        </w:tc>
        <w:tc>
          <w:tcPr>
            <w:tcW w:w="1980" w:type="dxa"/>
            <w:vAlign w:val="bottom"/>
            <w:vMerge w:val="restart"/>
          </w:tcPr>
          <w:p>
            <w:pPr>
              <w:jc w:val="right"/>
              <w:ind w:right="608"/>
              <w:spacing w:after="0"/>
              <w:rPr>
                <w:sz w:val="20"/>
                <w:szCs w:val="20"/>
                <w:color w:val="auto"/>
              </w:rPr>
            </w:pPr>
            <w:r>
              <w:rPr>
                <w:rFonts w:ascii="Arial" w:cs="Arial" w:eastAsia="Arial" w:hAnsi="Arial"/>
                <w:sz w:val="13"/>
                <w:szCs w:val="13"/>
                <w:b w:val="1"/>
                <w:bCs w:val="1"/>
                <w:color w:val="auto"/>
              </w:rPr>
              <w:t>(803)</w:t>
            </w:r>
          </w:p>
        </w:tc>
        <w:tc>
          <w:tcPr>
            <w:tcW w:w="1140" w:type="dxa"/>
            <w:vAlign w:val="bottom"/>
            <w:vMerge w:val="restart"/>
          </w:tcPr>
          <w:p>
            <w:pPr>
              <w:jc w:val="right"/>
              <w:ind w:right="407"/>
              <w:spacing w:after="0"/>
              <w:rPr>
                <w:sz w:val="20"/>
                <w:szCs w:val="20"/>
                <w:color w:val="auto"/>
              </w:rPr>
            </w:pPr>
            <w:r>
              <w:rPr>
                <w:rFonts w:ascii="Calibri" w:cs="Calibri" w:eastAsia="Calibri" w:hAnsi="Calibri"/>
                <w:sz w:val="15"/>
                <w:szCs w:val="15"/>
                <w:color w:val="auto"/>
              </w:rPr>
              <w:t>(1,216)</w:t>
            </w:r>
          </w:p>
        </w:tc>
        <w:tc>
          <w:tcPr>
            <w:tcW w:w="1900" w:type="dxa"/>
            <w:vAlign w:val="bottom"/>
            <w:vMerge w:val="restart"/>
          </w:tcPr>
          <w:p>
            <w:pPr>
              <w:jc w:val="right"/>
              <w:ind w:right="667"/>
              <w:spacing w:after="0"/>
              <w:rPr>
                <w:sz w:val="20"/>
                <w:szCs w:val="20"/>
                <w:color w:val="auto"/>
              </w:rPr>
            </w:pPr>
            <w:r>
              <w:rPr>
                <w:rFonts w:ascii="Calibri" w:cs="Calibri" w:eastAsia="Calibri" w:hAnsi="Calibri"/>
                <w:sz w:val="15"/>
                <w:szCs w:val="15"/>
                <w:color w:val="auto"/>
              </w:rPr>
              <w:t>(1,898)</w:t>
            </w:r>
          </w:p>
        </w:tc>
        <w:tc>
          <w:tcPr>
            <w:tcW w:w="840" w:type="dxa"/>
            <w:vAlign w:val="bottom"/>
            <w:vMerge w:val="restart"/>
          </w:tcPr>
          <w:p>
            <w:pPr>
              <w:jc w:val="right"/>
              <w:spacing w:after="0"/>
              <w:rPr>
                <w:sz w:val="20"/>
                <w:szCs w:val="20"/>
                <w:color w:val="auto"/>
              </w:rPr>
            </w:pPr>
            <w:r>
              <w:rPr>
                <w:rFonts w:ascii="Calibri" w:cs="Calibri" w:eastAsia="Calibri" w:hAnsi="Calibri"/>
                <w:sz w:val="15"/>
                <w:szCs w:val="15"/>
                <w:color w:val="auto"/>
              </w:rPr>
              <w:t>(39)</w:t>
            </w:r>
          </w:p>
        </w:tc>
        <w:tc>
          <w:tcPr>
            <w:tcW w:w="0" w:type="dxa"/>
            <w:vAlign w:val="bottom"/>
          </w:tcPr>
          <w:p>
            <w:pPr>
              <w:spacing w:after="0"/>
              <w:rPr>
                <w:sz w:val="1"/>
                <w:szCs w:val="1"/>
                <w:color w:val="auto"/>
              </w:rPr>
            </w:pPr>
          </w:p>
        </w:tc>
      </w:tr>
      <w:tr>
        <w:trPr>
          <w:trHeight w:val="73"/>
        </w:trPr>
        <w:tc>
          <w:tcPr>
            <w:tcW w:w="4780" w:type="dxa"/>
            <w:vAlign w:val="bottom"/>
            <w:tcBorders>
              <w:bottom w:val="single" w:sz="8" w:color="auto"/>
            </w:tcBorders>
          </w:tcPr>
          <w:p>
            <w:pPr>
              <w:spacing w:after="0"/>
              <w:rPr>
                <w:sz w:val="6"/>
                <w:szCs w:val="6"/>
                <w:color w:val="auto"/>
              </w:rPr>
            </w:pPr>
          </w:p>
        </w:tc>
        <w:tc>
          <w:tcPr>
            <w:tcW w:w="620" w:type="dxa"/>
            <w:vAlign w:val="bottom"/>
            <w:tcBorders>
              <w:bottom w:val="single" w:sz="8" w:color="auto"/>
            </w:tcBorders>
          </w:tcPr>
          <w:p>
            <w:pPr>
              <w:spacing w:after="0"/>
              <w:rPr>
                <w:sz w:val="6"/>
                <w:szCs w:val="6"/>
                <w:color w:val="auto"/>
              </w:rPr>
            </w:pPr>
          </w:p>
        </w:tc>
        <w:tc>
          <w:tcPr>
            <w:tcW w:w="1980" w:type="dxa"/>
            <w:vAlign w:val="bottom"/>
            <w:tcBorders>
              <w:bottom w:val="single" w:sz="8" w:color="auto"/>
            </w:tcBorders>
            <w:vMerge w:val="continue"/>
          </w:tcPr>
          <w:p>
            <w:pPr>
              <w:spacing w:after="0"/>
              <w:rPr>
                <w:sz w:val="6"/>
                <w:szCs w:val="6"/>
                <w:color w:val="auto"/>
              </w:rPr>
            </w:pPr>
          </w:p>
        </w:tc>
        <w:tc>
          <w:tcPr>
            <w:tcW w:w="1140" w:type="dxa"/>
            <w:vAlign w:val="bottom"/>
            <w:tcBorders>
              <w:bottom w:val="single" w:sz="8" w:color="auto"/>
            </w:tcBorders>
            <w:vMerge w:val="continue"/>
          </w:tcPr>
          <w:p>
            <w:pPr>
              <w:spacing w:after="0"/>
              <w:rPr>
                <w:sz w:val="6"/>
                <w:szCs w:val="6"/>
                <w:color w:val="auto"/>
              </w:rPr>
            </w:pPr>
          </w:p>
        </w:tc>
        <w:tc>
          <w:tcPr>
            <w:tcW w:w="1900" w:type="dxa"/>
            <w:vAlign w:val="bottom"/>
            <w:tcBorders>
              <w:bottom w:val="single" w:sz="8" w:color="auto"/>
            </w:tcBorders>
            <w:vMerge w:val="continue"/>
          </w:tcPr>
          <w:p>
            <w:pPr>
              <w:spacing w:after="0"/>
              <w:rPr>
                <w:sz w:val="6"/>
                <w:szCs w:val="6"/>
                <w:color w:val="auto"/>
              </w:rPr>
            </w:pPr>
          </w:p>
        </w:tc>
        <w:tc>
          <w:tcPr>
            <w:tcW w:w="840" w:type="dxa"/>
            <w:vAlign w:val="bottom"/>
            <w:tcBorders>
              <w:bottom w:val="single" w:sz="8" w:color="auto"/>
            </w:tcBorders>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1"/>
        </w:trPr>
        <w:tc>
          <w:tcPr>
            <w:tcW w:w="4780" w:type="dxa"/>
            <w:vAlign w:val="bottom"/>
            <w:tcBorders>
              <w:bottom w:val="single" w:sz="8" w:color="D9D9D9"/>
            </w:tcBorders>
            <w:shd w:val="clear" w:color="auto" w:fill="D9D9D9"/>
          </w:tcPr>
          <w:p>
            <w:pPr>
              <w:ind w:left="60"/>
              <w:spacing w:after="0" w:line="165" w:lineRule="exact"/>
              <w:rPr>
                <w:sz w:val="20"/>
                <w:szCs w:val="20"/>
                <w:color w:val="auto"/>
              </w:rPr>
            </w:pPr>
            <w:r>
              <w:rPr>
                <w:rFonts w:ascii="Calibri" w:cs="Calibri" w:eastAsia="Calibri" w:hAnsi="Calibri"/>
                <w:sz w:val="15"/>
                <w:szCs w:val="15"/>
                <w:b w:val="1"/>
                <w:bCs w:val="1"/>
                <w:color w:val="auto"/>
              </w:rPr>
              <w:t>COMPREHENSIVE LOSS FOR THE PERIOD</w:t>
            </w:r>
          </w:p>
        </w:tc>
        <w:tc>
          <w:tcPr>
            <w:tcW w:w="620" w:type="dxa"/>
            <w:vAlign w:val="bottom"/>
            <w:tcBorders>
              <w:bottom w:val="single" w:sz="8" w:color="D9D9D9"/>
            </w:tcBorders>
            <w:shd w:val="clear" w:color="auto" w:fill="D9D9D9"/>
          </w:tcPr>
          <w:p>
            <w:pPr>
              <w:spacing w:after="0"/>
              <w:rPr>
                <w:sz w:val="16"/>
                <w:szCs w:val="16"/>
                <w:color w:val="auto"/>
              </w:rPr>
            </w:pPr>
          </w:p>
        </w:tc>
        <w:tc>
          <w:tcPr>
            <w:tcW w:w="1980" w:type="dxa"/>
            <w:vAlign w:val="bottom"/>
            <w:tcBorders>
              <w:bottom w:val="single" w:sz="8" w:color="DBDBDB"/>
            </w:tcBorders>
            <w:shd w:val="clear" w:color="auto" w:fill="DBDBDB"/>
          </w:tcPr>
          <w:p>
            <w:pPr>
              <w:jc w:val="right"/>
              <w:ind w:right="608"/>
              <w:spacing w:after="0" w:line="165" w:lineRule="exact"/>
              <w:rPr>
                <w:sz w:val="20"/>
                <w:szCs w:val="20"/>
                <w:color w:val="auto"/>
              </w:rPr>
            </w:pPr>
            <w:r>
              <w:rPr>
                <w:rFonts w:ascii="Calibri" w:cs="Calibri" w:eastAsia="Calibri" w:hAnsi="Calibri"/>
                <w:sz w:val="15"/>
                <w:szCs w:val="15"/>
                <w:b w:val="1"/>
                <w:bCs w:val="1"/>
                <w:color w:val="auto"/>
              </w:rPr>
              <w:t>(57,995)</w:t>
            </w:r>
          </w:p>
        </w:tc>
        <w:tc>
          <w:tcPr>
            <w:tcW w:w="1140" w:type="dxa"/>
            <w:vAlign w:val="bottom"/>
            <w:tcBorders>
              <w:bottom w:val="single" w:sz="8" w:color="DBDBDB"/>
            </w:tcBorders>
            <w:shd w:val="clear" w:color="auto" w:fill="DBDBDB"/>
          </w:tcPr>
          <w:p>
            <w:pPr>
              <w:jc w:val="right"/>
              <w:ind w:right="407"/>
              <w:spacing w:after="0" w:line="165" w:lineRule="exact"/>
              <w:rPr>
                <w:sz w:val="20"/>
                <w:szCs w:val="20"/>
                <w:color w:val="auto"/>
              </w:rPr>
            </w:pPr>
            <w:r>
              <w:rPr>
                <w:rFonts w:ascii="Calibri" w:cs="Calibri" w:eastAsia="Calibri" w:hAnsi="Calibri"/>
                <w:sz w:val="15"/>
                <w:szCs w:val="15"/>
                <w:color w:val="auto"/>
              </w:rPr>
              <w:t>(13,106)</w:t>
            </w:r>
          </w:p>
        </w:tc>
        <w:tc>
          <w:tcPr>
            <w:tcW w:w="1900" w:type="dxa"/>
            <w:vAlign w:val="bottom"/>
            <w:tcBorders>
              <w:bottom w:val="single" w:sz="8" w:color="DBDBDB"/>
            </w:tcBorders>
            <w:shd w:val="clear" w:color="auto" w:fill="DBDBDB"/>
          </w:tcPr>
          <w:p>
            <w:pPr>
              <w:jc w:val="right"/>
              <w:ind w:right="667"/>
              <w:spacing w:after="0" w:line="165" w:lineRule="exact"/>
              <w:rPr>
                <w:sz w:val="20"/>
                <w:szCs w:val="20"/>
                <w:color w:val="auto"/>
              </w:rPr>
            </w:pPr>
            <w:r>
              <w:rPr>
                <w:rFonts w:ascii="Calibri" w:cs="Calibri" w:eastAsia="Calibri" w:hAnsi="Calibri"/>
                <w:sz w:val="15"/>
                <w:szCs w:val="15"/>
                <w:b w:val="1"/>
                <w:bCs w:val="1"/>
                <w:color w:val="auto"/>
              </w:rPr>
              <w:t>(73,914)</w:t>
            </w:r>
          </w:p>
        </w:tc>
        <w:tc>
          <w:tcPr>
            <w:tcW w:w="840" w:type="dxa"/>
            <w:vAlign w:val="bottom"/>
            <w:tcBorders>
              <w:bottom w:val="single" w:sz="8" w:color="DBDBDB"/>
            </w:tcBorders>
            <w:shd w:val="clear" w:color="auto" w:fill="DBDBDB"/>
          </w:tcPr>
          <w:p>
            <w:pPr>
              <w:jc w:val="right"/>
              <w:spacing w:after="0" w:line="165" w:lineRule="exact"/>
              <w:rPr>
                <w:sz w:val="20"/>
                <w:szCs w:val="20"/>
                <w:color w:val="auto"/>
              </w:rPr>
            </w:pPr>
            <w:r>
              <w:rPr>
                <w:rFonts w:ascii="Calibri" w:cs="Calibri" w:eastAsia="Calibri" w:hAnsi="Calibri"/>
                <w:sz w:val="15"/>
                <w:szCs w:val="15"/>
                <w:color w:val="auto"/>
              </w:rPr>
              <w:t>(26,443)</w:t>
            </w:r>
          </w:p>
        </w:tc>
        <w:tc>
          <w:tcPr>
            <w:tcW w:w="0" w:type="dxa"/>
            <w:vAlign w:val="bottom"/>
          </w:tcPr>
          <w:p>
            <w:pPr>
              <w:spacing w:after="0"/>
              <w:rPr>
                <w:sz w:val="1"/>
                <w:szCs w:val="1"/>
                <w:color w:val="auto"/>
              </w:rPr>
            </w:pPr>
          </w:p>
        </w:tc>
      </w:tr>
      <w:tr>
        <w:trPr>
          <w:trHeight w:val="379"/>
        </w:trPr>
        <w:tc>
          <w:tcPr>
            <w:tcW w:w="4780" w:type="dxa"/>
            <w:vAlign w:val="bottom"/>
            <w:tcBorders>
              <w:top w:val="single" w:sz="8" w:color="auto"/>
            </w:tcBorders>
          </w:tcPr>
          <w:p>
            <w:pPr>
              <w:ind w:left="60"/>
              <w:spacing w:after="0"/>
              <w:rPr>
                <w:sz w:val="20"/>
                <w:szCs w:val="20"/>
                <w:color w:val="auto"/>
              </w:rPr>
            </w:pPr>
            <w:r>
              <w:rPr>
                <w:rFonts w:ascii="Calibri" w:cs="Calibri" w:eastAsia="Calibri" w:hAnsi="Calibri"/>
                <w:sz w:val="15"/>
                <w:szCs w:val="15"/>
                <w:b w:val="1"/>
                <w:bCs w:val="1"/>
                <w:color w:val="auto"/>
              </w:rPr>
              <w:t>Basic loss per share for the period</w:t>
            </w:r>
          </w:p>
        </w:tc>
        <w:tc>
          <w:tcPr>
            <w:tcW w:w="620" w:type="dxa"/>
            <w:vAlign w:val="bottom"/>
            <w:tcBorders>
              <w:top w:val="single" w:sz="8" w:color="auto"/>
            </w:tcBorders>
          </w:tcPr>
          <w:p>
            <w:pPr>
              <w:spacing w:after="0"/>
              <w:rPr>
                <w:sz w:val="24"/>
                <w:szCs w:val="24"/>
                <w:color w:val="auto"/>
              </w:rPr>
            </w:pPr>
          </w:p>
        </w:tc>
        <w:tc>
          <w:tcPr>
            <w:tcW w:w="1980" w:type="dxa"/>
            <w:vAlign w:val="bottom"/>
            <w:tcBorders>
              <w:top w:val="single" w:sz="8" w:color="auto"/>
            </w:tcBorders>
          </w:tcPr>
          <w:p>
            <w:pPr>
              <w:jc w:val="right"/>
              <w:ind w:right="608"/>
              <w:spacing w:after="0"/>
              <w:rPr>
                <w:sz w:val="20"/>
                <w:szCs w:val="20"/>
                <w:color w:val="auto"/>
              </w:rPr>
            </w:pPr>
            <w:r>
              <w:rPr>
                <w:rFonts w:ascii="Calibri" w:cs="Calibri" w:eastAsia="Calibri" w:hAnsi="Calibri"/>
                <w:sz w:val="15"/>
                <w:szCs w:val="15"/>
                <w:b w:val="1"/>
                <w:bCs w:val="1"/>
                <w:color w:val="auto"/>
              </w:rPr>
              <w:t>(2.86)</w:t>
            </w:r>
          </w:p>
        </w:tc>
        <w:tc>
          <w:tcPr>
            <w:tcW w:w="1140" w:type="dxa"/>
            <w:vAlign w:val="bottom"/>
            <w:tcBorders>
              <w:top w:val="single" w:sz="8" w:color="auto"/>
            </w:tcBorders>
          </w:tcPr>
          <w:p>
            <w:pPr>
              <w:jc w:val="right"/>
              <w:ind w:right="407"/>
              <w:spacing w:after="0"/>
              <w:rPr>
                <w:sz w:val="20"/>
                <w:szCs w:val="20"/>
                <w:color w:val="auto"/>
              </w:rPr>
            </w:pPr>
            <w:r>
              <w:rPr>
                <w:rFonts w:ascii="Calibri" w:cs="Calibri" w:eastAsia="Calibri" w:hAnsi="Calibri"/>
                <w:sz w:val="15"/>
                <w:szCs w:val="15"/>
                <w:color w:val="auto"/>
              </w:rPr>
              <w:t>(1.93)</w:t>
            </w:r>
          </w:p>
        </w:tc>
        <w:tc>
          <w:tcPr>
            <w:tcW w:w="1900" w:type="dxa"/>
            <w:vAlign w:val="bottom"/>
            <w:tcBorders>
              <w:top w:val="single" w:sz="8" w:color="auto"/>
            </w:tcBorders>
          </w:tcPr>
          <w:p>
            <w:pPr>
              <w:jc w:val="right"/>
              <w:ind w:right="667"/>
              <w:spacing w:after="0"/>
              <w:rPr>
                <w:sz w:val="20"/>
                <w:szCs w:val="20"/>
                <w:color w:val="auto"/>
              </w:rPr>
            </w:pPr>
            <w:r>
              <w:rPr>
                <w:rFonts w:ascii="Calibri" w:cs="Calibri" w:eastAsia="Calibri" w:hAnsi="Calibri"/>
                <w:sz w:val="15"/>
                <w:szCs w:val="15"/>
                <w:b w:val="1"/>
                <w:bCs w:val="1"/>
                <w:color w:val="auto"/>
              </w:rPr>
              <w:t>(3.60)</w:t>
            </w:r>
          </w:p>
        </w:tc>
        <w:tc>
          <w:tcPr>
            <w:tcW w:w="840" w:type="dxa"/>
            <w:vAlign w:val="bottom"/>
            <w:tcBorders>
              <w:top w:val="single" w:sz="8" w:color="auto"/>
            </w:tcBorders>
          </w:tcPr>
          <w:p>
            <w:pPr>
              <w:jc w:val="right"/>
              <w:spacing w:after="0"/>
              <w:rPr>
                <w:sz w:val="20"/>
                <w:szCs w:val="20"/>
                <w:color w:val="auto"/>
              </w:rPr>
            </w:pPr>
            <w:r>
              <w:rPr>
                <w:rFonts w:ascii="Calibri" w:cs="Calibri" w:eastAsia="Calibri" w:hAnsi="Calibri"/>
                <w:sz w:val="15"/>
                <w:szCs w:val="15"/>
                <w:color w:val="auto"/>
              </w:rPr>
              <w:t>(4.55)</w:t>
            </w:r>
          </w:p>
        </w:tc>
        <w:tc>
          <w:tcPr>
            <w:tcW w:w="0" w:type="dxa"/>
            <w:vAlign w:val="bottom"/>
          </w:tcPr>
          <w:p>
            <w:pPr>
              <w:spacing w:after="0"/>
              <w:rPr>
                <w:sz w:val="1"/>
                <w:szCs w:val="1"/>
                <w:color w:val="auto"/>
              </w:rPr>
            </w:pPr>
          </w:p>
        </w:tc>
      </w:tr>
      <w:tr>
        <w:trPr>
          <w:trHeight w:val="24"/>
        </w:trPr>
        <w:tc>
          <w:tcPr>
            <w:tcW w:w="478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9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90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65"/>
        </w:trPr>
        <w:tc>
          <w:tcPr>
            <w:tcW w:w="4780" w:type="dxa"/>
            <w:vAlign w:val="bottom"/>
          </w:tcPr>
          <w:p>
            <w:pPr>
              <w:ind w:left="60"/>
              <w:spacing w:after="0" w:line="165" w:lineRule="exact"/>
              <w:rPr>
                <w:sz w:val="20"/>
                <w:szCs w:val="20"/>
                <w:color w:val="auto"/>
              </w:rPr>
            </w:pPr>
            <w:r>
              <w:rPr>
                <w:rFonts w:ascii="Calibri" w:cs="Calibri" w:eastAsia="Calibri" w:hAnsi="Calibri"/>
                <w:sz w:val="15"/>
                <w:szCs w:val="15"/>
                <w:b w:val="1"/>
                <w:bCs w:val="1"/>
                <w:color w:val="auto"/>
              </w:rPr>
              <w:t>Weighted average number of common shares outstanding - basic</w:t>
            </w:r>
          </w:p>
        </w:tc>
        <w:tc>
          <w:tcPr>
            <w:tcW w:w="620" w:type="dxa"/>
            <w:vAlign w:val="bottom"/>
          </w:tcPr>
          <w:p>
            <w:pPr>
              <w:spacing w:after="0"/>
              <w:rPr>
                <w:sz w:val="14"/>
                <w:szCs w:val="14"/>
                <w:color w:val="auto"/>
              </w:rPr>
            </w:pPr>
          </w:p>
        </w:tc>
        <w:tc>
          <w:tcPr>
            <w:tcW w:w="1980" w:type="dxa"/>
            <w:vAlign w:val="bottom"/>
          </w:tcPr>
          <w:p>
            <w:pPr>
              <w:jc w:val="right"/>
              <w:ind w:right="628"/>
              <w:spacing w:after="0" w:line="165" w:lineRule="exact"/>
              <w:rPr>
                <w:sz w:val="20"/>
                <w:szCs w:val="20"/>
                <w:color w:val="auto"/>
              </w:rPr>
            </w:pPr>
            <w:r>
              <w:rPr>
                <w:rFonts w:ascii="Calibri" w:cs="Calibri" w:eastAsia="Calibri" w:hAnsi="Calibri"/>
                <w:sz w:val="15"/>
                <w:szCs w:val="15"/>
                <w:b w:val="1"/>
                <w:bCs w:val="1"/>
                <w:color w:val="auto"/>
              </w:rPr>
              <w:t>20,001,406</w:t>
            </w:r>
          </w:p>
        </w:tc>
        <w:tc>
          <w:tcPr>
            <w:tcW w:w="1140" w:type="dxa"/>
            <w:vAlign w:val="bottom"/>
          </w:tcPr>
          <w:p>
            <w:pPr>
              <w:jc w:val="right"/>
              <w:ind w:right="447"/>
              <w:spacing w:after="0" w:line="165" w:lineRule="exact"/>
              <w:rPr>
                <w:sz w:val="20"/>
                <w:szCs w:val="20"/>
                <w:color w:val="auto"/>
              </w:rPr>
            </w:pPr>
            <w:r>
              <w:rPr>
                <w:rFonts w:ascii="Calibri" w:cs="Calibri" w:eastAsia="Calibri" w:hAnsi="Calibri"/>
                <w:sz w:val="15"/>
                <w:szCs w:val="15"/>
                <w:color w:val="auto"/>
                <w:w w:val="98"/>
              </w:rPr>
              <w:t>6,173,270</w:t>
            </w:r>
          </w:p>
        </w:tc>
        <w:tc>
          <w:tcPr>
            <w:tcW w:w="1900" w:type="dxa"/>
            <w:vAlign w:val="bottom"/>
          </w:tcPr>
          <w:p>
            <w:pPr>
              <w:jc w:val="right"/>
              <w:ind w:right="707"/>
              <w:spacing w:after="0" w:line="165" w:lineRule="exact"/>
              <w:rPr>
                <w:sz w:val="20"/>
                <w:szCs w:val="20"/>
                <w:color w:val="auto"/>
              </w:rPr>
            </w:pPr>
            <w:r>
              <w:rPr>
                <w:rFonts w:ascii="Calibri" w:cs="Calibri" w:eastAsia="Calibri" w:hAnsi="Calibri"/>
                <w:sz w:val="15"/>
                <w:szCs w:val="15"/>
                <w:b w:val="1"/>
                <w:bCs w:val="1"/>
                <w:color w:val="auto"/>
              </w:rPr>
              <w:t>20,001,406</w:t>
            </w:r>
          </w:p>
        </w:tc>
        <w:tc>
          <w:tcPr>
            <w:tcW w:w="840" w:type="dxa"/>
            <w:vAlign w:val="bottom"/>
          </w:tcPr>
          <w:p>
            <w:pPr>
              <w:jc w:val="right"/>
              <w:spacing w:after="0" w:line="165" w:lineRule="exact"/>
              <w:rPr>
                <w:sz w:val="20"/>
                <w:szCs w:val="20"/>
                <w:color w:val="auto"/>
              </w:rPr>
            </w:pPr>
            <w:r>
              <w:rPr>
                <w:rFonts w:ascii="Calibri" w:cs="Calibri" w:eastAsia="Calibri" w:hAnsi="Calibri"/>
                <w:sz w:val="15"/>
                <w:szCs w:val="15"/>
                <w:color w:val="auto"/>
              </w:rPr>
              <w:t>5,801,282</w:t>
            </w:r>
          </w:p>
        </w:tc>
        <w:tc>
          <w:tcPr>
            <w:tcW w:w="0" w:type="dxa"/>
            <w:vAlign w:val="bottom"/>
          </w:tcPr>
          <w:p>
            <w:pPr>
              <w:spacing w:after="0"/>
              <w:rPr>
                <w:sz w:val="1"/>
                <w:szCs w:val="1"/>
                <w:color w:val="auto"/>
              </w:rPr>
            </w:pPr>
          </w:p>
        </w:tc>
      </w:tr>
      <w:tr>
        <w:trPr>
          <w:trHeight w:val="21"/>
        </w:trPr>
        <w:tc>
          <w:tcPr>
            <w:tcW w:w="47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9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9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32" w:lineRule="exact"/>
        <w:rPr>
          <w:sz w:val="20"/>
          <w:szCs w:val="20"/>
          <w:color w:val="auto"/>
        </w:rPr>
      </w:pPr>
    </w:p>
    <w:p>
      <w:pPr>
        <w:spacing w:after="0"/>
        <w:rPr>
          <w:sz w:val="20"/>
          <w:szCs w:val="20"/>
          <w:color w:val="auto"/>
        </w:rPr>
      </w:pPr>
      <w:r>
        <w:rPr>
          <w:rFonts w:ascii="Calibri" w:cs="Calibri" w:eastAsia="Calibri" w:hAnsi="Calibri"/>
          <w:sz w:val="16"/>
          <w:szCs w:val="16"/>
          <w:i w:val="1"/>
          <w:iCs w:val="1"/>
          <w:color w:val="auto"/>
        </w:rPr>
        <w:t>The accompanying notes are an integral part of these condensed interim consolidated fnancial statements.</w:t>
      </w:r>
    </w:p>
    <w:p>
      <w:pPr>
        <w:sectPr>
          <w:pgSz w:w="11900" w:h="16838" w:orient="portrait"/>
          <w:cols w:equalWidth="0" w:num="1">
            <w:col w:w="11260"/>
          </w:cols>
          <w:pgMar w:left="320" w:top="195" w:right="319" w:bottom="1440" w:gutter="0" w:footer="0" w:header="0"/>
        </w:sectPr>
      </w:pPr>
    </w:p>
    <w:bookmarkStart w:id="7" w:name="page8"/>
    <w:bookmarkEnd w:id="7"/>
    <w:p>
      <w:pPr>
        <w:ind w:left="60"/>
        <w:spacing w:after="0"/>
        <w:rPr>
          <w:sz w:val="20"/>
          <w:szCs w:val="20"/>
          <w:color w:val="auto"/>
        </w:rPr>
      </w:pPr>
      <w:r>
        <w:rPr>
          <w:rFonts w:ascii="Calibri" w:cs="Calibri" w:eastAsia="Calibri" w:hAnsi="Calibri"/>
          <w:sz w:val="19"/>
          <w:szCs w:val="19"/>
          <w:b w:val="1"/>
          <w:bCs w:val="1"/>
          <w:color w:val="auto"/>
        </w:rPr>
        <w:t>CYBIN INC.</w:t>
      </w:r>
    </w:p>
    <w:p>
      <w:pPr>
        <w:ind w:left="60"/>
        <w:spacing w:after="0" w:line="237" w:lineRule="auto"/>
        <w:rPr>
          <w:sz w:val="20"/>
          <w:szCs w:val="20"/>
          <w:color w:val="auto"/>
        </w:rPr>
      </w:pPr>
      <w:r>
        <w:rPr>
          <w:rFonts w:ascii="Calibri" w:cs="Calibri" w:eastAsia="Calibri" w:hAnsi="Calibri"/>
          <w:sz w:val="19"/>
          <w:szCs w:val="19"/>
          <w:b w:val="1"/>
          <w:bCs w:val="1"/>
          <w:color w:val="auto"/>
        </w:rPr>
        <w:t>CONDENSED INTERIM CONSOLIDATED STATEMENTS OF CHANGES IN SHAREHOLDERS’ EQUITY</w:t>
      </w:r>
    </w:p>
    <w:p>
      <w:pPr>
        <w:ind w:left="60"/>
        <w:spacing w:after="0" w:line="238" w:lineRule="auto"/>
        <w:rPr>
          <w:sz w:val="20"/>
          <w:szCs w:val="20"/>
          <w:color w:val="auto"/>
        </w:rPr>
      </w:pPr>
      <w:r>
        <w:rPr>
          <w:rFonts w:ascii="Calibri" w:cs="Calibri" w:eastAsia="Calibri" w:hAnsi="Calibri"/>
          <w:sz w:val="19"/>
          <w:szCs w:val="19"/>
          <w:b w:val="1"/>
          <w:bCs w:val="1"/>
          <w:color w:val="auto"/>
        </w:rPr>
        <w:t>For the six-month periods ended September 30, 2024 and 2023</w:t>
      </w:r>
    </w:p>
    <w:p>
      <w:pPr>
        <w:spacing w:after="0" w:line="3" w:lineRule="exact"/>
        <w:rPr>
          <w:sz w:val="20"/>
          <w:szCs w:val="20"/>
          <w:color w:val="auto"/>
        </w:rPr>
      </w:pPr>
    </w:p>
    <w:p>
      <w:pPr>
        <w:ind w:left="60"/>
        <w:spacing w:after="0"/>
        <w:rPr>
          <w:sz w:val="20"/>
          <w:szCs w:val="20"/>
          <w:color w:val="auto"/>
        </w:rPr>
      </w:pPr>
      <w:r>
        <w:rPr>
          <w:rFonts w:ascii="Calibri" w:cs="Calibri" w:eastAsia="Calibri" w:hAnsi="Calibri"/>
          <w:sz w:val="16"/>
          <w:szCs w:val="16"/>
          <w:b w:val="1"/>
          <w:bCs w:val="1"/>
          <w:color w:val="auto"/>
        </w:rPr>
        <w:t>(All amounts expressed in thousands of Canadian dollars, except share amounts)</w:t>
      </w:r>
    </w:p>
    <w:p>
      <w:pPr>
        <w:ind w:left="60"/>
        <w:spacing w:after="0" w:line="237" w:lineRule="auto"/>
        <w:rPr>
          <w:sz w:val="20"/>
          <w:szCs w:val="20"/>
          <w:color w:val="auto"/>
        </w:rPr>
      </w:pPr>
      <w:r>
        <w:rPr>
          <w:rFonts w:ascii="Calibri" w:cs="Calibri" w:eastAsia="Calibri" w:hAnsi="Calibri"/>
          <w:sz w:val="16"/>
          <w:szCs w:val="16"/>
          <w:b w:val="1"/>
          <w:bCs w:val="1"/>
          <w:color w:val="auto"/>
        </w:rPr>
        <w:t>(Unaudited)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43815</wp:posOffset>
            </wp:positionV>
            <wp:extent cx="7146925" cy="762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46925" cy="76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tbl>
      <w:tblPr>
        <w:tblLayout w:type="fixed"/>
        <w:tblInd w:w="0" w:type="dxa"/>
        <w:tblCellMar>
          <w:top w:w="0" w:type="dxa"/>
          <w:left w:w="0" w:type="dxa"/>
          <w:bottom w:w="0" w:type="dxa"/>
          <w:right w:w="0" w:type="dxa"/>
        </w:tblCellMar>
      </w:tblPr>
      <w:tr>
        <w:trPr>
          <w:trHeight w:val="159"/>
        </w:trPr>
        <w:tc>
          <w:tcPr>
            <w:tcW w:w="33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20" w:type="dxa"/>
            <w:vAlign w:val="bottom"/>
            <w:gridSpan w:val="2"/>
          </w:tcPr>
          <w:p>
            <w:pPr>
              <w:jc w:val="right"/>
              <w:ind w:right="436"/>
              <w:spacing w:after="0"/>
              <w:rPr>
                <w:sz w:val="20"/>
                <w:szCs w:val="20"/>
                <w:color w:val="auto"/>
              </w:rPr>
            </w:pPr>
            <w:r>
              <w:rPr>
                <w:rFonts w:ascii="Calibri" w:cs="Calibri" w:eastAsia="Calibri" w:hAnsi="Calibri"/>
                <w:sz w:val="13"/>
                <w:szCs w:val="13"/>
                <w:b w:val="1"/>
                <w:bCs w:val="1"/>
                <w:color w:val="auto"/>
              </w:rPr>
              <w:t>Share capital</w:t>
            </w:r>
          </w:p>
        </w:tc>
        <w:tc>
          <w:tcPr>
            <w:tcW w:w="920" w:type="dxa"/>
            <w:vAlign w:val="bottom"/>
          </w:tcPr>
          <w:p>
            <w:pPr>
              <w:spacing w:after="0"/>
              <w:rPr>
                <w:sz w:val="13"/>
                <w:szCs w:val="13"/>
                <w:color w:val="auto"/>
              </w:rPr>
            </w:pPr>
          </w:p>
        </w:tc>
        <w:tc>
          <w:tcPr>
            <w:tcW w:w="820" w:type="dxa"/>
            <w:vAlign w:val="bottom"/>
          </w:tcPr>
          <w:p>
            <w:pPr>
              <w:jc w:val="center"/>
              <w:ind w:right="56"/>
              <w:spacing w:after="0"/>
              <w:rPr>
                <w:sz w:val="20"/>
                <w:szCs w:val="20"/>
                <w:color w:val="auto"/>
              </w:rPr>
            </w:pPr>
            <w:r>
              <w:rPr>
                <w:rFonts w:ascii="Calibri" w:cs="Calibri" w:eastAsia="Calibri" w:hAnsi="Calibri"/>
                <w:sz w:val="13"/>
                <w:szCs w:val="13"/>
                <w:b w:val="1"/>
                <w:bCs w:val="1"/>
                <w:color w:val="auto"/>
                <w:w w:val="95"/>
              </w:rPr>
              <w:t>Reserves</w:t>
            </w:r>
          </w:p>
        </w:tc>
        <w:tc>
          <w:tcPr>
            <w:tcW w:w="8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1"/>
        </w:trPr>
        <w:tc>
          <w:tcPr>
            <w:tcW w:w="3360" w:type="dxa"/>
            <w:vAlign w:val="bottom"/>
          </w:tcPr>
          <w:p>
            <w:pPr>
              <w:spacing w:after="0"/>
              <w:rPr>
                <w:sz w:val="3"/>
                <w:szCs w:val="3"/>
                <w:color w:val="auto"/>
              </w:rPr>
            </w:pPr>
          </w:p>
        </w:tc>
        <w:tc>
          <w:tcPr>
            <w:tcW w:w="620" w:type="dxa"/>
            <w:vAlign w:val="bottom"/>
          </w:tcPr>
          <w:p>
            <w:pPr>
              <w:spacing w:after="0"/>
              <w:rPr>
                <w:sz w:val="3"/>
                <w:szCs w:val="3"/>
                <w:color w:val="auto"/>
              </w:rPr>
            </w:pPr>
          </w:p>
        </w:tc>
        <w:tc>
          <w:tcPr>
            <w:tcW w:w="100" w:type="dxa"/>
            <w:vAlign w:val="bottom"/>
          </w:tcPr>
          <w:p>
            <w:pPr>
              <w:spacing w:after="0"/>
              <w:rPr>
                <w:sz w:val="3"/>
                <w:szCs w:val="3"/>
                <w:color w:val="auto"/>
              </w:rPr>
            </w:pPr>
          </w:p>
        </w:tc>
        <w:tc>
          <w:tcPr>
            <w:tcW w:w="840" w:type="dxa"/>
            <w:vAlign w:val="bottom"/>
            <w:tcBorders>
              <w:bottom w:val="single" w:sz="8" w:color="auto"/>
            </w:tcBorders>
          </w:tcPr>
          <w:p>
            <w:pPr>
              <w:spacing w:after="0"/>
              <w:rPr>
                <w:sz w:val="3"/>
                <w:szCs w:val="3"/>
                <w:color w:val="auto"/>
              </w:rPr>
            </w:pPr>
          </w:p>
        </w:tc>
        <w:tc>
          <w:tcPr>
            <w:tcW w:w="780" w:type="dxa"/>
            <w:vAlign w:val="bottom"/>
            <w:tcBorders>
              <w:bottom w:val="single" w:sz="8" w:color="auto"/>
            </w:tcBorders>
          </w:tcPr>
          <w:p>
            <w:pPr>
              <w:spacing w:after="0"/>
              <w:rPr>
                <w:sz w:val="3"/>
                <w:szCs w:val="3"/>
                <w:color w:val="auto"/>
              </w:rPr>
            </w:pPr>
          </w:p>
        </w:tc>
        <w:tc>
          <w:tcPr>
            <w:tcW w:w="920" w:type="dxa"/>
            <w:vAlign w:val="bottom"/>
            <w:tcBorders>
              <w:bottom w:val="single" w:sz="8" w:color="auto"/>
            </w:tcBorders>
          </w:tcPr>
          <w:p>
            <w:pPr>
              <w:spacing w:after="0"/>
              <w:rPr>
                <w:sz w:val="3"/>
                <w:szCs w:val="3"/>
                <w:color w:val="auto"/>
              </w:rPr>
            </w:pPr>
          </w:p>
        </w:tc>
        <w:tc>
          <w:tcPr>
            <w:tcW w:w="820" w:type="dxa"/>
            <w:vAlign w:val="bottom"/>
            <w:tcBorders>
              <w:bottom w:val="single" w:sz="8" w:color="auto"/>
            </w:tcBorders>
          </w:tcPr>
          <w:p>
            <w:pPr>
              <w:spacing w:after="0"/>
              <w:rPr>
                <w:sz w:val="3"/>
                <w:szCs w:val="3"/>
                <w:color w:val="auto"/>
              </w:rPr>
            </w:pPr>
          </w:p>
        </w:tc>
        <w:tc>
          <w:tcPr>
            <w:tcW w:w="80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840" w:type="dxa"/>
            <w:vAlign w:val="bottom"/>
          </w:tcPr>
          <w:p>
            <w:pPr>
              <w:spacing w:after="0"/>
              <w:rPr>
                <w:sz w:val="3"/>
                <w:szCs w:val="3"/>
                <w:color w:val="auto"/>
              </w:rPr>
            </w:pPr>
          </w:p>
        </w:tc>
        <w:tc>
          <w:tcPr>
            <w:tcW w:w="80" w:type="dxa"/>
            <w:vAlign w:val="bottom"/>
          </w:tcPr>
          <w:p>
            <w:pPr>
              <w:spacing w:after="0"/>
              <w:rPr>
                <w:sz w:val="3"/>
                <w:szCs w:val="3"/>
                <w:color w:val="auto"/>
              </w:rPr>
            </w:pPr>
          </w:p>
        </w:tc>
        <w:tc>
          <w:tcPr>
            <w:tcW w:w="1040" w:type="dxa"/>
            <w:vAlign w:val="bottom"/>
            <w:vMerge w:val="restart"/>
          </w:tcPr>
          <w:p>
            <w:pPr>
              <w:jc w:val="center"/>
              <w:spacing w:after="0" w:line="149" w:lineRule="exact"/>
              <w:rPr>
                <w:sz w:val="20"/>
                <w:szCs w:val="20"/>
                <w:color w:val="auto"/>
              </w:rPr>
            </w:pPr>
            <w:r>
              <w:rPr>
                <w:rFonts w:ascii="Calibri" w:cs="Calibri" w:eastAsia="Calibri" w:hAnsi="Calibri"/>
                <w:sz w:val="13"/>
                <w:szCs w:val="13"/>
                <w:b w:val="1"/>
                <w:bCs w:val="1"/>
                <w:color w:val="auto"/>
                <w:w w:val="98"/>
              </w:rPr>
              <w:t>Accumulated</w:t>
            </w:r>
          </w:p>
        </w:tc>
        <w:tc>
          <w:tcPr>
            <w:tcW w:w="80" w:type="dxa"/>
            <w:vAlign w:val="bottom"/>
          </w:tcPr>
          <w:p>
            <w:pPr>
              <w:spacing w:after="0"/>
              <w:rPr>
                <w:sz w:val="3"/>
                <w:szCs w:val="3"/>
                <w:color w:val="auto"/>
              </w:rPr>
            </w:pPr>
          </w:p>
        </w:tc>
        <w:tc>
          <w:tcPr>
            <w:tcW w:w="9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89"/>
        </w:trPr>
        <w:tc>
          <w:tcPr>
            <w:tcW w:w="3360" w:type="dxa"/>
            <w:vAlign w:val="bottom"/>
          </w:tcPr>
          <w:p>
            <w:pPr>
              <w:spacing w:after="0"/>
              <w:rPr>
                <w:sz w:val="7"/>
                <w:szCs w:val="7"/>
                <w:color w:val="auto"/>
              </w:rPr>
            </w:pPr>
          </w:p>
        </w:tc>
        <w:tc>
          <w:tcPr>
            <w:tcW w:w="620" w:type="dxa"/>
            <w:vAlign w:val="bottom"/>
          </w:tcPr>
          <w:p>
            <w:pPr>
              <w:spacing w:after="0"/>
              <w:rPr>
                <w:sz w:val="7"/>
                <w:szCs w:val="7"/>
                <w:color w:val="auto"/>
              </w:rPr>
            </w:pPr>
          </w:p>
        </w:tc>
        <w:tc>
          <w:tcPr>
            <w:tcW w:w="100" w:type="dxa"/>
            <w:vAlign w:val="bottom"/>
          </w:tcPr>
          <w:p>
            <w:pPr>
              <w:spacing w:after="0"/>
              <w:rPr>
                <w:sz w:val="7"/>
                <w:szCs w:val="7"/>
                <w:color w:val="auto"/>
              </w:rPr>
            </w:pPr>
          </w:p>
        </w:tc>
        <w:tc>
          <w:tcPr>
            <w:tcW w:w="840" w:type="dxa"/>
            <w:vAlign w:val="bottom"/>
          </w:tcPr>
          <w:p>
            <w:pPr>
              <w:spacing w:after="0"/>
              <w:rPr>
                <w:sz w:val="7"/>
                <w:szCs w:val="7"/>
                <w:color w:val="auto"/>
              </w:rPr>
            </w:pPr>
          </w:p>
        </w:tc>
        <w:tc>
          <w:tcPr>
            <w:tcW w:w="780" w:type="dxa"/>
            <w:vAlign w:val="bottom"/>
          </w:tcPr>
          <w:p>
            <w:pPr>
              <w:spacing w:after="0"/>
              <w:rPr>
                <w:sz w:val="7"/>
                <w:szCs w:val="7"/>
                <w:color w:val="auto"/>
              </w:rPr>
            </w:pPr>
          </w:p>
        </w:tc>
        <w:tc>
          <w:tcPr>
            <w:tcW w:w="920" w:type="dxa"/>
            <w:vAlign w:val="bottom"/>
          </w:tcPr>
          <w:p>
            <w:pPr>
              <w:spacing w:after="0"/>
              <w:rPr>
                <w:sz w:val="7"/>
                <w:szCs w:val="7"/>
                <w:color w:val="auto"/>
              </w:rPr>
            </w:pPr>
          </w:p>
        </w:tc>
        <w:tc>
          <w:tcPr>
            <w:tcW w:w="820" w:type="dxa"/>
            <w:vAlign w:val="bottom"/>
          </w:tcPr>
          <w:p>
            <w:pPr>
              <w:spacing w:after="0"/>
              <w:rPr>
                <w:sz w:val="7"/>
                <w:szCs w:val="7"/>
                <w:color w:val="auto"/>
              </w:rPr>
            </w:pPr>
          </w:p>
        </w:tc>
        <w:tc>
          <w:tcPr>
            <w:tcW w:w="800" w:type="dxa"/>
            <w:vAlign w:val="bottom"/>
          </w:tcPr>
          <w:p>
            <w:pPr>
              <w:spacing w:after="0"/>
              <w:rPr>
                <w:sz w:val="7"/>
                <w:szCs w:val="7"/>
                <w:color w:val="auto"/>
              </w:rPr>
            </w:pPr>
          </w:p>
        </w:tc>
        <w:tc>
          <w:tcPr>
            <w:tcW w:w="80" w:type="dxa"/>
            <w:vAlign w:val="bottom"/>
          </w:tcPr>
          <w:p>
            <w:pPr>
              <w:spacing w:after="0"/>
              <w:rPr>
                <w:sz w:val="7"/>
                <w:szCs w:val="7"/>
                <w:color w:val="auto"/>
              </w:rPr>
            </w:pPr>
          </w:p>
        </w:tc>
        <w:tc>
          <w:tcPr>
            <w:tcW w:w="840" w:type="dxa"/>
            <w:vAlign w:val="bottom"/>
          </w:tcPr>
          <w:p>
            <w:pPr>
              <w:spacing w:after="0"/>
              <w:rPr>
                <w:sz w:val="7"/>
                <w:szCs w:val="7"/>
                <w:color w:val="auto"/>
              </w:rPr>
            </w:pPr>
          </w:p>
        </w:tc>
        <w:tc>
          <w:tcPr>
            <w:tcW w:w="80" w:type="dxa"/>
            <w:vAlign w:val="bottom"/>
          </w:tcPr>
          <w:p>
            <w:pPr>
              <w:spacing w:after="0"/>
              <w:rPr>
                <w:sz w:val="7"/>
                <w:szCs w:val="7"/>
                <w:color w:val="auto"/>
              </w:rPr>
            </w:pPr>
          </w:p>
        </w:tc>
        <w:tc>
          <w:tcPr>
            <w:tcW w:w="1040" w:type="dxa"/>
            <w:vAlign w:val="bottom"/>
            <w:vMerge w:val="continue"/>
          </w:tcPr>
          <w:p>
            <w:pPr>
              <w:spacing w:after="0"/>
              <w:rPr>
                <w:sz w:val="7"/>
                <w:szCs w:val="7"/>
                <w:color w:val="auto"/>
              </w:rPr>
            </w:pPr>
          </w:p>
        </w:tc>
        <w:tc>
          <w:tcPr>
            <w:tcW w:w="80" w:type="dxa"/>
            <w:vAlign w:val="bottom"/>
          </w:tcPr>
          <w:p>
            <w:pPr>
              <w:spacing w:after="0"/>
              <w:rPr>
                <w:sz w:val="7"/>
                <w:szCs w:val="7"/>
                <w:color w:val="auto"/>
              </w:rPr>
            </w:pPr>
          </w:p>
        </w:tc>
        <w:tc>
          <w:tcPr>
            <w:tcW w:w="9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31"/>
        </w:trPr>
        <w:tc>
          <w:tcPr>
            <w:tcW w:w="33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40" w:type="dxa"/>
            <w:vAlign w:val="bottom"/>
          </w:tcPr>
          <w:p>
            <w:pPr>
              <w:jc w:val="center"/>
              <w:spacing w:after="0" w:line="131" w:lineRule="exact"/>
              <w:rPr>
                <w:sz w:val="20"/>
                <w:szCs w:val="20"/>
                <w:color w:val="auto"/>
              </w:rPr>
            </w:pPr>
            <w:r>
              <w:rPr>
                <w:rFonts w:ascii="Calibri" w:cs="Calibri" w:eastAsia="Calibri" w:hAnsi="Calibri"/>
                <w:sz w:val="13"/>
                <w:szCs w:val="13"/>
                <w:b w:val="1"/>
                <w:bCs w:val="1"/>
                <w:color w:val="auto"/>
              </w:rPr>
              <w:t>other</w:t>
            </w:r>
          </w:p>
        </w:tc>
        <w:tc>
          <w:tcPr>
            <w:tcW w:w="8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360" w:type="dxa"/>
            <w:vAlign w:val="bottom"/>
          </w:tcPr>
          <w:p>
            <w:pPr>
              <w:spacing w:after="0"/>
              <w:rPr>
                <w:sz w:val="11"/>
                <w:szCs w:val="11"/>
                <w:color w:val="auto"/>
              </w:rPr>
            </w:pPr>
          </w:p>
        </w:tc>
        <w:tc>
          <w:tcPr>
            <w:tcW w:w="620" w:type="dxa"/>
            <w:vAlign w:val="bottom"/>
            <w:vMerge w:val="restart"/>
          </w:tcPr>
          <w:p>
            <w:pPr>
              <w:jc w:val="center"/>
              <w:spacing w:after="0"/>
              <w:rPr>
                <w:sz w:val="20"/>
                <w:szCs w:val="20"/>
                <w:color w:val="auto"/>
              </w:rPr>
            </w:pPr>
            <w:r>
              <w:rPr>
                <w:rFonts w:ascii="Calibri" w:cs="Calibri" w:eastAsia="Calibri" w:hAnsi="Calibri"/>
                <w:sz w:val="13"/>
                <w:szCs w:val="13"/>
                <w:b w:val="1"/>
                <w:bCs w:val="1"/>
                <w:color w:val="auto"/>
                <w:w w:val="97"/>
              </w:rPr>
              <w:t>Note</w:t>
            </w:r>
          </w:p>
        </w:tc>
        <w:tc>
          <w:tcPr>
            <w:tcW w:w="100" w:type="dxa"/>
            <w:vAlign w:val="bottom"/>
          </w:tcPr>
          <w:p>
            <w:pPr>
              <w:spacing w:after="0"/>
              <w:rPr>
                <w:sz w:val="11"/>
                <w:szCs w:val="11"/>
                <w:color w:val="auto"/>
              </w:rPr>
            </w:pPr>
          </w:p>
        </w:tc>
        <w:tc>
          <w:tcPr>
            <w:tcW w:w="840" w:type="dxa"/>
            <w:vAlign w:val="bottom"/>
          </w:tcPr>
          <w:p>
            <w:pPr>
              <w:jc w:val="center"/>
              <w:spacing w:after="0" w:line="135" w:lineRule="exact"/>
              <w:rPr>
                <w:sz w:val="20"/>
                <w:szCs w:val="20"/>
                <w:color w:val="auto"/>
              </w:rPr>
            </w:pPr>
            <w:r>
              <w:rPr>
                <w:rFonts w:ascii="Calibri" w:cs="Calibri" w:eastAsia="Calibri" w:hAnsi="Calibri"/>
                <w:sz w:val="13"/>
                <w:szCs w:val="13"/>
                <w:b w:val="1"/>
                <w:bCs w:val="1"/>
                <w:color w:val="auto"/>
                <w:w w:val="99"/>
              </w:rPr>
              <w:t>Number of</w:t>
            </w:r>
          </w:p>
        </w:tc>
        <w:tc>
          <w:tcPr>
            <w:tcW w:w="780" w:type="dxa"/>
            <w:vAlign w:val="bottom"/>
            <w:vMerge w:val="restart"/>
          </w:tcPr>
          <w:p>
            <w:pPr>
              <w:jc w:val="right"/>
              <w:ind w:right="176"/>
              <w:spacing w:after="0"/>
              <w:rPr>
                <w:sz w:val="20"/>
                <w:szCs w:val="20"/>
                <w:color w:val="auto"/>
              </w:rPr>
            </w:pPr>
            <w:r>
              <w:rPr>
                <w:rFonts w:ascii="Calibri" w:cs="Calibri" w:eastAsia="Calibri" w:hAnsi="Calibri"/>
                <w:sz w:val="13"/>
                <w:szCs w:val="13"/>
                <w:b w:val="1"/>
                <w:bCs w:val="1"/>
                <w:color w:val="auto"/>
              </w:rPr>
              <w:t>Amount</w:t>
            </w:r>
          </w:p>
        </w:tc>
        <w:tc>
          <w:tcPr>
            <w:tcW w:w="920" w:type="dxa"/>
            <w:vAlign w:val="bottom"/>
            <w:vMerge w:val="restart"/>
          </w:tcPr>
          <w:p>
            <w:pPr>
              <w:jc w:val="right"/>
              <w:ind w:right="176"/>
              <w:spacing w:after="0"/>
              <w:rPr>
                <w:sz w:val="20"/>
                <w:szCs w:val="20"/>
                <w:color w:val="auto"/>
              </w:rPr>
            </w:pPr>
            <w:r>
              <w:rPr>
                <w:rFonts w:ascii="Calibri" w:cs="Calibri" w:eastAsia="Calibri" w:hAnsi="Calibri"/>
                <w:sz w:val="13"/>
                <w:szCs w:val="13"/>
                <w:b w:val="1"/>
                <w:bCs w:val="1"/>
                <w:color w:val="auto"/>
              </w:rPr>
              <w:t>Warrants</w:t>
            </w:r>
          </w:p>
        </w:tc>
        <w:tc>
          <w:tcPr>
            <w:tcW w:w="820" w:type="dxa"/>
            <w:vAlign w:val="bottom"/>
            <w:vMerge w:val="restart"/>
          </w:tcPr>
          <w:p>
            <w:pPr>
              <w:jc w:val="center"/>
              <w:ind w:right="56"/>
              <w:spacing w:after="0"/>
              <w:rPr>
                <w:sz w:val="20"/>
                <w:szCs w:val="20"/>
                <w:color w:val="auto"/>
              </w:rPr>
            </w:pPr>
            <w:r>
              <w:rPr>
                <w:rFonts w:ascii="Calibri" w:cs="Calibri" w:eastAsia="Calibri" w:hAnsi="Calibri"/>
                <w:sz w:val="13"/>
                <w:szCs w:val="13"/>
                <w:b w:val="1"/>
                <w:bCs w:val="1"/>
                <w:color w:val="auto"/>
              </w:rPr>
              <w:t>Optons</w:t>
            </w:r>
          </w:p>
        </w:tc>
        <w:tc>
          <w:tcPr>
            <w:tcW w:w="800" w:type="dxa"/>
            <w:vAlign w:val="bottom"/>
          </w:tcPr>
          <w:p>
            <w:pPr>
              <w:jc w:val="center"/>
              <w:spacing w:after="0" w:line="135" w:lineRule="exact"/>
              <w:rPr>
                <w:sz w:val="20"/>
                <w:szCs w:val="20"/>
                <w:color w:val="auto"/>
              </w:rPr>
            </w:pPr>
            <w:r>
              <w:rPr>
                <w:rFonts w:ascii="Calibri" w:cs="Calibri" w:eastAsia="Calibri" w:hAnsi="Calibri"/>
                <w:sz w:val="13"/>
                <w:szCs w:val="13"/>
                <w:b w:val="1"/>
                <w:bCs w:val="1"/>
                <w:color w:val="auto"/>
                <w:w w:val="98"/>
              </w:rPr>
              <w:t>Contributed</w:t>
            </w:r>
          </w:p>
        </w:tc>
        <w:tc>
          <w:tcPr>
            <w:tcW w:w="80" w:type="dxa"/>
            <w:vAlign w:val="bottom"/>
          </w:tcPr>
          <w:p>
            <w:pPr>
              <w:spacing w:after="0"/>
              <w:rPr>
                <w:sz w:val="11"/>
                <w:szCs w:val="11"/>
                <w:color w:val="auto"/>
              </w:rPr>
            </w:pPr>
          </w:p>
        </w:tc>
        <w:tc>
          <w:tcPr>
            <w:tcW w:w="840" w:type="dxa"/>
            <w:vAlign w:val="bottom"/>
            <w:vMerge w:val="restart"/>
          </w:tcPr>
          <w:p>
            <w:pPr>
              <w:jc w:val="right"/>
              <w:ind w:right="176"/>
              <w:spacing w:after="0"/>
              <w:rPr>
                <w:sz w:val="20"/>
                <w:szCs w:val="20"/>
                <w:color w:val="auto"/>
              </w:rPr>
            </w:pPr>
            <w:r>
              <w:rPr>
                <w:rFonts w:ascii="Calibri" w:cs="Calibri" w:eastAsia="Calibri" w:hAnsi="Calibri"/>
                <w:sz w:val="13"/>
                <w:szCs w:val="13"/>
                <w:b w:val="1"/>
                <w:bCs w:val="1"/>
                <w:color w:val="auto"/>
              </w:rPr>
              <w:t>Defcit</w:t>
            </w:r>
          </w:p>
        </w:tc>
        <w:tc>
          <w:tcPr>
            <w:tcW w:w="80" w:type="dxa"/>
            <w:vAlign w:val="bottom"/>
          </w:tcPr>
          <w:p>
            <w:pPr>
              <w:spacing w:after="0"/>
              <w:rPr>
                <w:sz w:val="11"/>
                <w:szCs w:val="11"/>
                <w:color w:val="auto"/>
              </w:rPr>
            </w:pPr>
          </w:p>
        </w:tc>
        <w:tc>
          <w:tcPr>
            <w:tcW w:w="1040" w:type="dxa"/>
            <w:vAlign w:val="bottom"/>
          </w:tcPr>
          <w:p>
            <w:pPr>
              <w:jc w:val="center"/>
              <w:spacing w:after="0" w:line="135" w:lineRule="exact"/>
              <w:rPr>
                <w:sz w:val="20"/>
                <w:szCs w:val="20"/>
                <w:color w:val="auto"/>
              </w:rPr>
            </w:pPr>
            <w:r>
              <w:rPr>
                <w:rFonts w:ascii="Calibri" w:cs="Calibri" w:eastAsia="Calibri" w:hAnsi="Calibri"/>
                <w:sz w:val="13"/>
                <w:szCs w:val="13"/>
                <w:b w:val="1"/>
                <w:bCs w:val="1"/>
                <w:color w:val="auto"/>
                <w:w w:val="99"/>
              </w:rPr>
              <w:t>comprehensive</w:t>
            </w:r>
          </w:p>
        </w:tc>
        <w:tc>
          <w:tcPr>
            <w:tcW w:w="80" w:type="dxa"/>
            <w:vAlign w:val="bottom"/>
          </w:tcPr>
          <w:p>
            <w:pPr>
              <w:spacing w:after="0"/>
              <w:rPr>
                <w:sz w:val="11"/>
                <w:szCs w:val="11"/>
                <w:color w:val="auto"/>
              </w:rPr>
            </w:pPr>
          </w:p>
        </w:tc>
        <w:tc>
          <w:tcPr>
            <w:tcW w:w="900" w:type="dxa"/>
            <w:vAlign w:val="bottom"/>
            <w:vMerge w:val="restart"/>
          </w:tcPr>
          <w:p>
            <w:pPr>
              <w:jc w:val="right"/>
              <w:ind w:right="256"/>
              <w:spacing w:after="0"/>
              <w:rPr>
                <w:sz w:val="20"/>
                <w:szCs w:val="20"/>
                <w:color w:val="auto"/>
              </w:rPr>
            </w:pPr>
            <w:r>
              <w:rPr>
                <w:rFonts w:ascii="Calibri" w:cs="Calibri" w:eastAsia="Calibri" w:hAnsi="Calibri"/>
                <w:sz w:val="13"/>
                <w:szCs w:val="13"/>
                <w:b w:val="1"/>
                <w:bCs w:val="1"/>
                <w:color w:val="auto"/>
              </w:rPr>
              <w:t>Total</w:t>
            </w:r>
          </w:p>
        </w:tc>
        <w:tc>
          <w:tcPr>
            <w:tcW w:w="0" w:type="dxa"/>
            <w:vAlign w:val="bottom"/>
          </w:tcPr>
          <w:p>
            <w:pPr>
              <w:spacing w:after="0"/>
              <w:rPr>
                <w:sz w:val="1"/>
                <w:szCs w:val="1"/>
                <w:color w:val="auto"/>
              </w:rPr>
            </w:pPr>
          </w:p>
        </w:tc>
      </w:tr>
      <w:tr>
        <w:trPr>
          <w:trHeight w:val="155"/>
        </w:trPr>
        <w:tc>
          <w:tcPr>
            <w:tcW w:w="3360" w:type="dxa"/>
            <w:vAlign w:val="bottom"/>
          </w:tcPr>
          <w:p>
            <w:pPr>
              <w:spacing w:after="0"/>
              <w:rPr>
                <w:sz w:val="13"/>
                <w:szCs w:val="13"/>
                <w:color w:val="auto"/>
              </w:rPr>
            </w:pPr>
          </w:p>
        </w:tc>
        <w:tc>
          <w:tcPr>
            <w:tcW w:w="620" w:type="dxa"/>
            <w:vAlign w:val="bottom"/>
            <w:vMerge w:val="continue"/>
          </w:tcPr>
          <w:p>
            <w:pPr>
              <w:spacing w:after="0"/>
              <w:rPr>
                <w:sz w:val="13"/>
                <w:szCs w:val="13"/>
                <w:color w:val="auto"/>
              </w:rPr>
            </w:pPr>
          </w:p>
        </w:tc>
        <w:tc>
          <w:tcPr>
            <w:tcW w:w="100" w:type="dxa"/>
            <w:vAlign w:val="bottom"/>
          </w:tcPr>
          <w:p>
            <w:pPr>
              <w:spacing w:after="0"/>
              <w:rPr>
                <w:sz w:val="13"/>
                <w:szCs w:val="13"/>
                <w:color w:val="auto"/>
              </w:rPr>
            </w:pPr>
          </w:p>
        </w:tc>
        <w:tc>
          <w:tcPr>
            <w:tcW w:w="840" w:type="dxa"/>
            <w:vAlign w:val="bottom"/>
          </w:tcPr>
          <w:p>
            <w:pPr>
              <w:jc w:val="center"/>
              <w:spacing w:after="0" w:line="155" w:lineRule="exact"/>
              <w:rPr>
                <w:sz w:val="20"/>
                <w:szCs w:val="20"/>
                <w:color w:val="auto"/>
              </w:rPr>
            </w:pPr>
            <w:r>
              <w:rPr>
                <w:rFonts w:ascii="Calibri" w:cs="Calibri" w:eastAsia="Calibri" w:hAnsi="Calibri"/>
                <w:sz w:val="13"/>
                <w:szCs w:val="13"/>
                <w:b w:val="1"/>
                <w:bCs w:val="1"/>
                <w:color w:val="auto"/>
                <w:w w:val="97"/>
              </w:rPr>
              <w:t>shares</w:t>
            </w:r>
          </w:p>
        </w:tc>
        <w:tc>
          <w:tcPr>
            <w:tcW w:w="780" w:type="dxa"/>
            <w:vAlign w:val="bottom"/>
            <w:vMerge w:val="continue"/>
          </w:tcPr>
          <w:p>
            <w:pPr>
              <w:spacing w:after="0"/>
              <w:rPr>
                <w:sz w:val="13"/>
                <w:szCs w:val="13"/>
                <w:color w:val="auto"/>
              </w:rPr>
            </w:pPr>
          </w:p>
        </w:tc>
        <w:tc>
          <w:tcPr>
            <w:tcW w:w="920" w:type="dxa"/>
            <w:vAlign w:val="bottom"/>
            <w:vMerge w:val="continue"/>
          </w:tcPr>
          <w:p>
            <w:pPr>
              <w:spacing w:after="0"/>
              <w:rPr>
                <w:sz w:val="13"/>
                <w:szCs w:val="13"/>
                <w:color w:val="auto"/>
              </w:rPr>
            </w:pPr>
          </w:p>
        </w:tc>
        <w:tc>
          <w:tcPr>
            <w:tcW w:w="820" w:type="dxa"/>
            <w:vAlign w:val="bottom"/>
            <w:vMerge w:val="continue"/>
          </w:tcPr>
          <w:p>
            <w:pPr>
              <w:spacing w:after="0"/>
              <w:rPr>
                <w:sz w:val="13"/>
                <w:szCs w:val="13"/>
                <w:color w:val="auto"/>
              </w:rPr>
            </w:pPr>
          </w:p>
        </w:tc>
        <w:tc>
          <w:tcPr>
            <w:tcW w:w="800" w:type="dxa"/>
            <w:vAlign w:val="bottom"/>
          </w:tcPr>
          <w:p>
            <w:pPr>
              <w:jc w:val="center"/>
              <w:spacing w:after="0" w:line="155" w:lineRule="exact"/>
              <w:rPr>
                <w:sz w:val="20"/>
                <w:szCs w:val="20"/>
                <w:color w:val="auto"/>
              </w:rPr>
            </w:pPr>
            <w:r>
              <w:rPr>
                <w:rFonts w:ascii="Calibri" w:cs="Calibri" w:eastAsia="Calibri" w:hAnsi="Calibri"/>
                <w:sz w:val="13"/>
                <w:szCs w:val="13"/>
                <w:b w:val="1"/>
                <w:bCs w:val="1"/>
                <w:color w:val="auto"/>
              </w:rPr>
              <w:t>surplus</w:t>
            </w:r>
          </w:p>
        </w:tc>
        <w:tc>
          <w:tcPr>
            <w:tcW w:w="80" w:type="dxa"/>
            <w:vAlign w:val="bottom"/>
          </w:tcPr>
          <w:p>
            <w:pPr>
              <w:spacing w:after="0"/>
              <w:rPr>
                <w:sz w:val="13"/>
                <w:szCs w:val="13"/>
                <w:color w:val="auto"/>
              </w:rPr>
            </w:pPr>
          </w:p>
        </w:tc>
        <w:tc>
          <w:tcPr>
            <w:tcW w:w="840" w:type="dxa"/>
            <w:vAlign w:val="bottom"/>
            <w:vMerge w:val="continue"/>
          </w:tcPr>
          <w:p>
            <w:pPr>
              <w:spacing w:after="0"/>
              <w:rPr>
                <w:sz w:val="13"/>
                <w:szCs w:val="13"/>
                <w:color w:val="auto"/>
              </w:rPr>
            </w:pPr>
          </w:p>
        </w:tc>
        <w:tc>
          <w:tcPr>
            <w:tcW w:w="80" w:type="dxa"/>
            <w:vAlign w:val="bottom"/>
          </w:tcPr>
          <w:p>
            <w:pPr>
              <w:spacing w:after="0"/>
              <w:rPr>
                <w:sz w:val="13"/>
                <w:szCs w:val="13"/>
                <w:color w:val="auto"/>
              </w:rPr>
            </w:pPr>
          </w:p>
        </w:tc>
        <w:tc>
          <w:tcPr>
            <w:tcW w:w="1040" w:type="dxa"/>
            <w:vAlign w:val="bottom"/>
          </w:tcPr>
          <w:p>
            <w:pPr>
              <w:jc w:val="center"/>
              <w:spacing w:after="0" w:line="155" w:lineRule="exact"/>
              <w:rPr>
                <w:sz w:val="20"/>
                <w:szCs w:val="20"/>
                <w:color w:val="auto"/>
              </w:rPr>
            </w:pPr>
            <w:r>
              <w:rPr>
                <w:rFonts w:ascii="Calibri" w:cs="Calibri" w:eastAsia="Calibri" w:hAnsi="Calibri"/>
                <w:sz w:val="13"/>
                <w:szCs w:val="13"/>
                <w:b w:val="1"/>
                <w:bCs w:val="1"/>
                <w:color w:val="auto"/>
                <w:w w:val="97"/>
              </w:rPr>
              <w:t>loss</w:t>
            </w:r>
          </w:p>
        </w:tc>
        <w:tc>
          <w:tcPr>
            <w:tcW w:w="80" w:type="dxa"/>
            <w:vAlign w:val="bottom"/>
          </w:tcPr>
          <w:p>
            <w:pPr>
              <w:spacing w:after="0"/>
              <w:rPr>
                <w:sz w:val="13"/>
                <w:szCs w:val="13"/>
                <w:color w:val="auto"/>
              </w:rPr>
            </w:pPr>
          </w:p>
        </w:tc>
        <w:tc>
          <w:tcPr>
            <w:tcW w:w="90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39"/>
        </w:trPr>
        <w:tc>
          <w:tcPr>
            <w:tcW w:w="3360" w:type="dxa"/>
            <w:vAlign w:val="bottom"/>
          </w:tcPr>
          <w:p>
            <w:pPr>
              <w:spacing w:after="0"/>
              <w:rPr>
                <w:sz w:val="3"/>
                <w:szCs w:val="3"/>
                <w:color w:val="auto"/>
              </w:rPr>
            </w:pPr>
          </w:p>
        </w:tc>
        <w:tc>
          <w:tcPr>
            <w:tcW w:w="620" w:type="dxa"/>
            <w:vAlign w:val="bottom"/>
            <w:tcBorders>
              <w:bottom w:val="single" w:sz="8" w:color="auto"/>
            </w:tcBorders>
          </w:tcPr>
          <w:p>
            <w:pPr>
              <w:spacing w:after="0"/>
              <w:rPr>
                <w:sz w:val="3"/>
                <w:szCs w:val="3"/>
                <w:color w:val="auto"/>
              </w:rPr>
            </w:pPr>
          </w:p>
        </w:tc>
        <w:tc>
          <w:tcPr>
            <w:tcW w:w="100" w:type="dxa"/>
            <w:vAlign w:val="bottom"/>
            <w:vMerge w:val="restart"/>
          </w:tcPr>
          <w:p>
            <w:pPr>
              <w:spacing w:after="0"/>
              <w:rPr>
                <w:sz w:val="3"/>
                <w:szCs w:val="3"/>
                <w:color w:val="auto"/>
              </w:rPr>
            </w:pPr>
          </w:p>
        </w:tc>
        <w:tc>
          <w:tcPr>
            <w:tcW w:w="840" w:type="dxa"/>
            <w:vAlign w:val="bottom"/>
            <w:tcBorders>
              <w:bottom w:val="single" w:sz="8" w:color="auto"/>
            </w:tcBorders>
          </w:tcPr>
          <w:p>
            <w:pPr>
              <w:spacing w:after="0"/>
              <w:rPr>
                <w:sz w:val="3"/>
                <w:szCs w:val="3"/>
                <w:color w:val="auto"/>
              </w:rPr>
            </w:pPr>
          </w:p>
        </w:tc>
        <w:tc>
          <w:tcPr>
            <w:tcW w:w="780" w:type="dxa"/>
            <w:vAlign w:val="bottom"/>
            <w:tcBorders>
              <w:bottom w:val="single" w:sz="8" w:color="auto"/>
            </w:tcBorders>
          </w:tcPr>
          <w:p>
            <w:pPr>
              <w:spacing w:after="0"/>
              <w:rPr>
                <w:sz w:val="3"/>
                <w:szCs w:val="3"/>
                <w:color w:val="auto"/>
              </w:rPr>
            </w:pPr>
          </w:p>
        </w:tc>
        <w:tc>
          <w:tcPr>
            <w:tcW w:w="920" w:type="dxa"/>
            <w:vAlign w:val="bottom"/>
            <w:tcBorders>
              <w:bottom w:val="single" w:sz="8" w:color="auto"/>
            </w:tcBorders>
          </w:tcPr>
          <w:p>
            <w:pPr>
              <w:spacing w:after="0"/>
              <w:rPr>
                <w:sz w:val="3"/>
                <w:szCs w:val="3"/>
                <w:color w:val="auto"/>
              </w:rPr>
            </w:pPr>
          </w:p>
        </w:tc>
        <w:tc>
          <w:tcPr>
            <w:tcW w:w="820" w:type="dxa"/>
            <w:vAlign w:val="bottom"/>
            <w:tcBorders>
              <w:bottom w:val="single" w:sz="8" w:color="auto"/>
            </w:tcBorders>
          </w:tcPr>
          <w:p>
            <w:pPr>
              <w:spacing w:after="0"/>
              <w:rPr>
                <w:sz w:val="3"/>
                <w:szCs w:val="3"/>
                <w:color w:val="auto"/>
              </w:rPr>
            </w:pPr>
          </w:p>
        </w:tc>
        <w:tc>
          <w:tcPr>
            <w:tcW w:w="800" w:type="dxa"/>
            <w:vAlign w:val="bottom"/>
            <w:tcBorders>
              <w:bottom w:val="single" w:sz="8" w:color="auto"/>
            </w:tcBorders>
          </w:tcPr>
          <w:p>
            <w:pPr>
              <w:spacing w:after="0"/>
              <w:rPr>
                <w:sz w:val="3"/>
                <w:szCs w:val="3"/>
                <w:color w:val="auto"/>
              </w:rPr>
            </w:pPr>
          </w:p>
        </w:tc>
        <w:tc>
          <w:tcPr>
            <w:tcW w:w="80" w:type="dxa"/>
            <w:vAlign w:val="bottom"/>
            <w:vMerge w:val="restart"/>
          </w:tcPr>
          <w:p>
            <w:pPr>
              <w:spacing w:after="0"/>
              <w:rPr>
                <w:sz w:val="3"/>
                <w:szCs w:val="3"/>
                <w:color w:val="auto"/>
              </w:rPr>
            </w:pPr>
          </w:p>
        </w:tc>
        <w:tc>
          <w:tcPr>
            <w:tcW w:w="840" w:type="dxa"/>
            <w:vAlign w:val="bottom"/>
            <w:tcBorders>
              <w:bottom w:val="single" w:sz="8" w:color="auto"/>
            </w:tcBorders>
          </w:tcPr>
          <w:p>
            <w:pPr>
              <w:spacing w:after="0"/>
              <w:rPr>
                <w:sz w:val="3"/>
                <w:szCs w:val="3"/>
                <w:color w:val="auto"/>
              </w:rPr>
            </w:pPr>
          </w:p>
        </w:tc>
        <w:tc>
          <w:tcPr>
            <w:tcW w:w="80" w:type="dxa"/>
            <w:vAlign w:val="bottom"/>
            <w:vMerge w:val="restart"/>
          </w:tcPr>
          <w:p>
            <w:pPr>
              <w:spacing w:after="0"/>
              <w:rPr>
                <w:sz w:val="3"/>
                <w:szCs w:val="3"/>
                <w:color w:val="auto"/>
              </w:rPr>
            </w:pPr>
          </w:p>
        </w:tc>
        <w:tc>
          <w:tcPr>
            <w:tcW w:w="1040" w:type="dxa"/>
            <w:vAlign w:val="bottom"/>
            <w:tcBorders>
              <w:bottom w:val="single" w:sz="8" w:color="auto"/>
            </w:tcBorders>
          </w:tcPr>
          <w:p>
            <w:pPr>
              <w:spacing w:after="0"/>
              <w:rPr>
                <w:sz w:val="3"/>
                <w:szCs w:val="3"/>
                <w:color w:val="auto"/>
              </w:rPr>
            </w:pPr>
          </w:p>
        </w:tc>
        <w:tc>
          <w:tcPr>
            <w:tcW w:w="980" w:type="dxa"/>
            <w:vAlign w:val="bottom"/>
            <w:tcBorders>
              <w:bottom w:val="single" w:sz="8" w:color="auto"/>
            </w:tcBorders>
            <w:gridSpan w:val="2"/>
          </w:tcPr>
          <w:p>
            <w:pPr>
              <w:spacing w:after="0"/>
              <w:rPr>
                <w:sz w:val="3"/>
                <w:szCs w:val="3"/>
                <w:color w:val="auto"/>
              </w:rPr>
            </w:pPr>
          </w:p>
        </w:tc>
        <w:tc>
          <w:tcPr>
            <w:tcW w:w="0" w:type="dxa"/>
            <w:vAlign w:val="bottom"/>
          </w:tcPr>
          <w:p>
            <w:pPr>
              <w:spacing w:after="0"/>
              <w:rPr>
                <w:sz w:val="1"/>
                <w:szCs w:val="1"/>
                <w:color w:val="auto"/>
              </w:rPr>
            </w:pPr>
          </w:p>
        </w:tc>
      </w:tr>
      <w:tr>
        <w:trPr>
          <w:trHeight w:val="147"/>
        </w:trPr>
        <w:tc>
          <w:tcPr>
            <w:tcW w:w="33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00" w:type="dxa"/>
            <w:vAlign w:val="bottom"/>
            <w:vMerge w:val="continue"/>
          </w:tcPr>
          <w:p>
            <w:pPr>
              <w:spacing w:after="0"/>
              <w:rPr>
                <w:sz w:val="12"/>
                <w:szCs w:val="12"/>
                <w:color w:val="auto"/>
              </w:rPr>
            </w:pPr>
          </w:p>
        </w:tc>
        <w:tc>
          <w:tcPr>
            <w:tcW w:w="840" w:type="dxa"/>
            <w:vAlign w:val="bottom"/>
          </w:tcPr>
          <w:p>
            <w:pPr>
              <w:jc w:val="center"/>
              <w:spacing w:after="0" w:line="147" w:lineRule="exact"/>
              <w:rPr>
                <w:sz w:val="20"/>
                <w:szCs w:val="20"/>
                <w:color w:val="auto"/>
              </w:rPr>
            </w:pPr>
            <w:r>
              <w:rPr>
                <w:rFonts w:ascii="Calibri" w:cs="Calibri" w:eastAsia="Calibri" w:hAnsi="Calibri"/>
                <w:sz w:val="13"/>
                <w:szCs w:val="13"/>
                <w:b w:val="1"/>
                <w:bCs w:val="1"/>
                <w:color w:val="auto"/>
                <w:w w:val="91"/>
              </w:rPr>
              <w:t>#</w:t>
            </w:r>
          </w:p>
        </w:tc>
        <w:tc>
          <w:tcPr>
            <w:tcW w:w="780" w:type="dxa"/>
            <w:vAlign w:val="bottom"/>
          </w:tcPr>
          <w:p>
            <w:pPr>
              <w:jc w:val="right"/>
              <w:ind w:right="356"/>
              <w:spacing w:after="0" w:line="147" w:lineRule="exact"/>
              <w:rPr>
                <w:sz w:val="20"/>
                <w:szCs w:val="20"/>
                <w:color w:val="auto"/>
              </w:rPr>
            </w:pPr>
            <w:r>
              <w:rPr>
                <w:rFonts w:ascii="Calibri" w:cs="Calibri" w:eastAsia="Calibri" w:hAnsi="Calibri"/>
                <w:sz w:val="13"/>
                <w:szCs w:val="13"/>
                <w:b w:val="1"/>
                <w:bCs w:val="1"/>
                <w:color w:val="auto"/>
              </w:rPr>
              <w:t>$</w:t>
            </w:r>
          </w:p>
        </w:tc>
        <w:tc>
          <w:tcPr>
            <w:tcW w:w="920" w:type="dxa"/>
            <w:vAlign w:val="bottom"/>
          </w:tcPr>
          <w:p>
            <w:pPr>
              <w:jc w:val="right"/>
              <w:ind w:right="396"/>
              <w:spacing w:after="0" w:line="147" w:lineRule="exact"/>
              <w:rPr>
                <w:sz w:val="20"/>
                <w:szCs w:val="20"/>
                <w:color w:val="auto"/>
              </w:rPr>
            </w:pPr>
            <w:r>
              <w:rPr>
                <w:rFonts w:ascii="Calibri" w:cs="Calibri" w:eastAsia="Calibri" w:hAnsi="Calibri"/>
                <w:sz w:val="13"/>
                <w:szCs w:val="13"/>
                <w:b w:val="1"/>
                <w:bCs w:val="1"/>
                <w:color w:val="auto"/>
              </w:rPr>
              <w:t>$</w:t>
            </w:r>
          </w:p>
        </w:tc>
        <w:tc>
          <w:tcPr>
            <w:tcW w:w="820" w:type="dxa"/>
            <w:vAlign w:val="bottom"/>
          </w:tcPr>
          <w:p>
            <w:pPr>
              <w:jc w:val="center"/>
              <w:ind w:right="56"/>
              <w:spacing w:after="0" w:line="147" w:lineRule="exact"/>
              <w:rPr>
                <w:sz w:val="20"/>
                <w:szCs w:val="20"/>
                <w:color w:val="auto"/>
              </w:rPr>
            </w:pPr>
            <w:r>
              <w:rPr>
                <w:rFonts w:ascii="Calibri" w:cs="Calibri" w:eastAsia="Calibri" w:hAnsi="Calibri"/>
                <w:sz w:val="13"/>
                <w:szCs w:val="13"/>
                <w:b w:val="1"/>
                <w:bCs w:val="1"/>
                <w:color w:val="auto"/>
                <w:w w:val="90"/>
              </w:rPr>
              <w:t>$</w:t>
            </w:r>
          </w:p>
        </w:tc>
        <w:tc>
          <w:tcPr>
            <w:tcW w:w="800" w:type="dxa"/>
            <w:vAlign w:val="bottom"/>
          </w:tcPr>
          <w:p>
            <w:pPr>
              <w:jc w:val="center"/>
              <w:spacing w:after="0" w:line="147" w:lineRule="exact"/>
              <w:rPr>
                <w:sz w:val="20"/>
                <w:szCs w:val="20"/>
                <w:color w:val="auto"/>
              </w:rPr>
            </w:pPr>
            <w:r>
              <w:rPr>
                <w:rFonts w:ascii="Calibri" w:cs="Calibri" w:eastAsia="Calibri" w:hAnsi="Calibri"/>
                <w:sz w:val="13"/>
                <w:szCs w:val="13"/>
                <w:b w:val="1"/>
                <w:bCs w:val="1"/>
                <w:color w:val="auto"/>
              </w:rPr>
              <w:t>$</w:t>
            </w:r>
          </w:p>
        </w:tc>
        <w:tc>
          <w:tcPr>
            <w:tcW w:w="80" w:type="dxa"/>
            <w:vAlign w:val="bottom"/>
            <w:vMerge w:val="continue"/>
          </w:tcPr>
          <w:p>
            <w:pPr>
              <w:spacing w:after="0"/>
              <w:rPr>
                <w:sz w:val="12"/>
                <w:szCs w:val="12"/>
                <w:color w:val="auto"/>
              </w:rPr>
            </w:pPr>
          </w:p>
        </w:tc>
        <w:tc>
          <w:tcPr>
            <w:tcW w:w="840" w:type="dxa"/>
            <w:vAlign w:val="bottom"/>
          </w:tcPr>
          <w:p>
            <w:pPr>
              <w:jc w:val="right"/>
              <w:ind w:right="336"/>
              <w:spacing w:after="0" w:line="147" w:lineRule="exact"/>
              <w:rPr>
                <w:sz w:val="20"/>
                <w:szCs w:val="20"/>
                <w:color w:val="auto"/>
              </w:rPr>
            </w:pPr>
            <w:r>
              <w:rPr>
                <w:rFonts w:ascii="Calibri" w:cs="Calibri" w:eastAsia="Calibri" w:hAnsi="Calibri"/>
                <w:sz w:val="13"/>
                <w:szCs w:val="13"/>
                <w:b w:val="1"/>
                <w:bCs w:val="1"/>
                <w:color w:val="auto"/>
              </w:rPr>
              <w:t>$</w:t>
            </w:r>
          </w:p>
        </w:tc>
        <w:tc>
          <w:tcPr>
            <w:tcW w:w="80" w:type="dxa"/>
            <w:vAlign w:val="bottom"/>
            <w:vMerge w:val="continue"/>
          </w:tcPr>
          <w:p>
            <w:pPr>
              <w:spacing w:after="0"/>
              <w:rPr>
                <w:sz w:val="12"/>
                <w:szCs w:val="12"/>
                <w:color w:val="auto"/>
              </w:rPr>
            </w:pPr>
          </w:p>
        </w:tc>
        <w:tc>
          <w:tcPr>
            <w:tcW w:w="1040" w:type="dxa"/>
            <w:vAlign w:val="bottom"/>
          </w:tcPr>
          <w:p>
            <w:pPr>
              <w:jc w:val="right"/>
              <w:ind w:right="376"/>
              <w:spacing w:after="0" w:line="147" w:lineRule="exact"/>
              <w:rPr>
                <w:sz w:val="20"/>
                <w:szCs w:val="20"/>
                <w:color w:val="auto"/>
              </w:rPr>
            </w:pPr>
            <w:r>
              <w:rPr>
                <w:rFonts w:ascii="Calibri" w:cs="Calibri" w:eastAsia="Calibri" w:hAnsi="Calibri"/>
                <w:sz w:val="13"/>
                <w:szCs w:val="13"/>
                <w:b w:val="1"/>
                <w:bCs w:val="1"/>
                <w:color w:val="auto"/>
              </w:rPr>
              <w:t>$</w:t>
            </w:r>
          </w:p>
        </w:tc>
        <w:tc>
          <w:tcPr>
            <w:tcW w:w="980" w:type="dxa"/>
            <w:vAlign w:val="bottom"/>
            <w:gridSpan w:val="2"/>
          </w:tcPr>
          <w:p>
            <w:pPr>
              <w:jc w:val="right"/>
              <w:ind w:right="356"/>
              <w:spacing w:after="0" w:line="147" w:lineRule="exact"/>
              <w:rPr>
                <w:sz w:val="20"/>
                <w:szCs w:val="20"/>
                <w:color w:val="auto"/>
              </w:rPr>
            </w:pPr>
            <w:r>
              <w:rPr>
                <w:rFonts w:ascii="Calibri" w:cs="Calibri" w:eastAsia="Calibri" w:hAnsi="Calibri"/>
                <w:sz w:val="13"/>
                <w:szCs w:val="13"/>
                <w:b w:val="1"/>
                <w:bCs w:val="1"/>
                <w:color w:val="auto"/>
              </w:rPr>
              <w:t>$</w:t>
            </w:r>
          </w:p>
        </w:tc>
        <w:tc>
          <w:tcPr>
            <w:tcW w:w="0" w:type="dxa"/>
            <w:vAlign w:val="bottom"/>
          </w:tcPr>
          <w:p>
            <w:pPr>
              <w:spacing w:after="0"/>
              <w:rPr>
                <w:sz w:val="1"/>
                <w:szCs w:val="1"/>
                <w:color w:val="auto"/>
              </w:rPr>
            </w:pPr>
          </w:p>
        </w:tc>
      </w:tr>
      <w:tr>
        <w:trPr>
          <w:trHeight w:val="27"/>
        </w:trPr>
        <w:tc>
          <w:tcPr>
            <w:tcW w:w="336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3"/>
        </w:trPr>
        <w:tc>
          <w:tcPr>
            <w:tcW w:w="3360" w:type="dxa"/>
            <w:vAlign w:val="bottom"/>
            <w:tcBorders>
              <w:bottom w:val="single" w:sz="8" w:color="D9D9D9"/>
            </w:tcBorders>
            <w:shd w:val="clear" w:color="auto" w:fill="D9D9D9"/>
          </w:tcPr>
          <w:p>
            <w:pPr>
              <w:ind w:left="60"/>
              <w:spacing w:after="0" w:line="147" w:lineRule="exact"/>
              <w:rPr>
                <w:sz w:val="20"/>
                <w:szCs w:val="20"/>
                <w:color w:val="auto"/>
              </w:rPr>
            </w:pPr>
            <w:r>
              <w:rPr>
                <w:rFonts w:ascii="Calibri" w:cs="Calibri" w:eastAsia="Calibri" w:hAnsi="Calibri"/>
                <w:sz w:val="13"/>
                <w:szCs w:val="13"/>
                <w:b w:val="1"/>
                <w:bCs w:val="1"/>
                <w:color w:val="auto"/>
              </w:rPr>
              <w:t>Balance at March 31, 2023</w:t>
            </w:r>
          </w:p>
        </w:tc>
        <w:tc>
          <w:tcPr>
            <w:tcW w:w="620" w:type="dxa"/>
            <w:vAlign w:val="bottom"/>
            <w:tcBorders>
              <w:bottom w:val="single" w:sz="8" w:color="D9D9D9"/>
            </w:tcBorders>
            <w:shd w:val="clear" w:color="auto" w:fill="D9D9D9"/>
          </w:tcPr>
          <w:p>
            <w:pPr>
              <w:spacing w:after="0"/>
              <w:rPr>
                <w:sz w:val="17"/>
                <w:szCs w:val="17"/>
                <w:color w:val="auto"/>
              </w:rPr>
            </w:pPr>
          </w:p>
        </w:tc>
        <w:tc>
          <w:tcPr>
            <w:tcW w:w="100" w:type="dxa"/>
            <w:vAlign w:val="bottom"/>
            <w:tcBorders>
              <w:bottom w:val="single" w:sz="8" w:color="DBDBDB"/>
            </w:tcBorders>
            <w:shd w:val="clear" w:color="auto" w:fill="DBDBDB"/>
          </w:tcPr>
          <w:p>
            <w:pPr>
              <w:spacing w:after="0"/>
              <w:rPr>
                <w:sz w:val="17"/>
                <w:szCs w:val="17"/>
                <w:color w:val="auto"/>
              </w:rPr>
            </w:pPr>
          </w:p>
        </w:tc>
        <w:tc>
          <w:tcPr>
            <w:tcW w:w="840" w:type="dxa"/>
            <w:vAlign w:val="bottom"/>
            <w:tcBorders>
              <w:bottom w:val="single" w:sz="8" w:color="D9D9D9"/>
            </w:tcBorders>
            <w:shd w:val="clear" w:color="auto" w:fill="D9D9D9"/>
          </w:tcPr>
          <w:p>
            <w:pPr>
              <w:jc w:val="right"/>
              <w:ind w:right="56"/>
              <w:spacing w:after="0" w:line="147" w:lineRule="exact"/>
              <w:rPr>
                <w:sz w:val="20"/>
                <w:szCs w:val="20"/>
                <w:color w:val="auto"/>
              </w:rPr>
            </w:pPr>
            <w:r>
              <w:rPr>
                <w:rFonts w:ascii="Calibri" w:cs="Calibri" w:eastAsia="Calibri" w:hAnsi="Calibri"/>
                <w:sz w:val="13"/>
                <w:szCs w:val="13"/>
                <w:b w:val="1"/>
                <w:bCs w:val="1"/>
                <w:color w:val="auto"/>
              </w:rPr>
              <w:t>5,279,846</w:t>
            </w:r>
          </w:p>
        </w:tc>
        <w:tc>
          <w:tcPr>
            <w:tcW w:w="780" w:type="dxa"/>
            <w:vAlign w:val="bottom"/>
            <w:tcBorders>
              <w:bottom w:val="single" w:sz="8" w:color="D9D9D9"/>
              <w:right w:val="single" w:sz="8" w:color="DBDBDB"/>
            </w:tcBorders>
            <w:shd w:val="clear" w:color="auto" w:fill="D9D9D9"/>
          </w:tcPr>
          <w:p>
            <w:pPr>
              <w:jc w:val="right"/>
              <w:ind w:right="76"/>
              <w:spacing w:after="0" w:line="147" w:lineRule="exact"/>
              <w:rPr>
                <w:sz w:val="20"/>
                <w:szCs w:val="20"/>
                <w:color w:val="auto"/>
              </w:rPr>
            </w:pPr>
            <w:r>
              <w:rPr>
                <w:rFonts w:ascii="Calibri" w:cs="Calibri" w:eastAsia="Calibri" w:hAnsi="Calibri"/>
                <w:sz w:val="13"/>
                <w:szCs w:val="13"/>
                <w:b w:val="1"/>
                <w:bCs w:val="1"/>
                <w:color w:val="auto"/>
              </w:rPr>
              <w:t>158,162</w:t>
            </w:r>
          </w:p>
        </w:tc>
        <w:tc>
          <w:tcPr>
            <w:tcW w:w="920" w:type="dxa"/>
            <w:vAlign w:val="bottom"/>
            <w:tcBorders>
              <w:bottom w:val="single" w:sz="8" w:color="D9D9D9"/>
            </w:tcBorders>
            <w:shd w:val="clear" w:color="auto" w:fill="D9D9D9"/>
          </w:tcPr>
          <w:p>
            <w:pPr>
              <w:jc w:val="right"/>
              <w:ind w:right="76"/>
              <w:spacing w:after="0" w:line="147" w:lineRule="exact"/>
              <w:rPr>
                <w:sz w:val="20"/>
                <w:szCs w:val="20"/>
                <w:color w:val="auto"/>
              </w:rPr>
            </w:pPr>
            <w:r>
              <w:rPr>
                <w:rFonts w:ascii="Calibri" w:cs="Calibri" w:eastAsia="Calibri" w:hAnsi="Calibri"/>
                <w:sz w:val="13"/>
                <w:szCs w:val="13"/>
                <w:b w:val="1"/>
                <w:bCs w:val="1"/>
                <w:color w:val="auto"/>
              </w:rPr>
              <w:t>10,873</w:t>
            </w:r>
          </w:p>
        </w:tc>
        <w:tc>
          <w:tcPr>
            <w:tcW w:w="820" w:type="dxa"/>
            <w:vAlign w:val="bottom"/>
            <w:tcBorders>
              <w:bottom w:val="single" w:sz="8" w:color="D9D9D9"/>
            </w:tcBorders>
            <w:shd w:val="clear" w:color="auto" w:fill="D9D9D9"/>
          </w:tcPr>
          <w:p>
            <w:pPr>
              <w:jc w:val="right"/>
              <w:ind w:right="36"/>
              <w:spacing w:after="0" w:line="147" w:lineRule="exact"/>
              <w:rPr>
                <w:sz w:val="20"/>
                <w:szCs w:val="20"/>
                <w:color w:val="auto"/>
              </w:rPr>
            </w:pPr>
            <w:r>
              <w:rPr>
                <w:rFonts w:ascii="Calibri" w:cs="Calibri" w:eastAsia="Calibri" w:hAnsi="Calibri"/>
                <w:sz w:val="13"/>
                <w:szCs w:val="13"/>
                <w:b w:val="1"/>
                <w:bCs w:val="1"/>
                <w:color w:val="auto"/>
              </w:rPr>
              <w:t>27,283</w:t>
            </w:r>
          </w:p>
        </w:tc>
        <w:tc>
          <w:tcPr>
            <w:tcW w:w="800" w:type="dxa"/>
            <w:vAlign w:val="bottom"/>
            <w:tcBorders>
              <w:bottom w:val="single" w:sz="8" w:color="D9D9D9"/>
            </w:tcBorders>
            <w:shd w:val="clear" w:color="auto" w:fill="D9D9D9"/>
          </w:tcPr>
          <w:p>
            <w:pPr>
              <w:jc w:val="right"/>
              <w:spacing w:after="0" w:line="147" w:lineRule="exact"/>
              <w:rPr>
                <w:sz w:val="20"/>
                <w:szCs w:val="20"/>
                <w:color w:val="auto"/>
              </w:rPr>
            </w:pPr>
            <w:r>
              <w:rPr>
                <w:rFonts w:ascii="Calibri" w:cs="Calibri" w:eastAsia="Calibri" w:hAnsi="Calibri"/>
                <w:sz w:val="13"/>
                <w:szCs w:val="13"/>
                <w:b w:val="1"/>
                <w:bCs w:val="1"/>
                <w:color w:val="auto"/>
              </w:rPr>
              <w:t>2,102</w:t>
            </w:r>
          </w:p>
        </w:tc>
        <w:tc>
          <w:tcPr>
            <w:tcW w:w="80" w:type="dxa"/>
            <w:vAlign w:val="bottom"/>
            <w:tcBorders>
              <w:bottom w:val="single" w:sz="8" w:color="DBDBDB"/>
            </w:tcBorders>
            <w:shd w:val="clear" w:color="auto" w:fill="DBDBDB"/>
          </w:tcPr>
          <w:p>
            <w:pPr>
              <w:spacing w:after="0"/>
              <w:rPr>
                <w:sz w:val="17"/>
                <w:szCs w:val="17"/>
                <w:color w:val="auto"/>
              </w:rPr>
            </w:pPr>
          </w:p>
        </w:tc>
        <w:tc>
          <w:tcPr>
            <w:tcW w:w="840" w:type="dxa"/>
            <w:vAlign w:val="bottom"/>
            <w:tcBorders>
              <w:bottom w:val="single" w:sz="8" w:color="D9D9D9"/>
            </w:tcBorders>
            <w:shd w:val="clear" w:color="auto" w:fill="D9D9D9"/>
          </w:tcPr>
          <w:p>
            <w:pPr>
              <w:jc w:val="right"/>
              <w:spacing w:after="0" w:line="147" w:lineRule="exact"/>
              <w:rPr>
                <w:sz w:val="20"/>
                <w:szCs w:val="20"/>
                <w:color w:val="auto"/>
              </w:rPr>
            </w:pPr>
            <w:r>
              <w:rPr>
                <w:rFonts w:ascii="Calibri" w:cs="Calibri" w:eastAsia="Calibri" w:hAnsi="Calibri"/>
                <w:sz w:val="13"/>
                <w:szCs w:val="13"/>
                <w:b w:val="1"/>
                <w:bCs w:val="1"/>
                <w:color w:val="auto"/>
              </w:rPr>
              <w:t>(148,151)</w:t>
            </w:r>
          </w:p>
        </w:tc>
        <w:tc>
          <w:tcPr>
            <w:tcW w:w="80" w:type="dxa"/>
            <w:vAlign w:val="bottom"/>
            <w:tcBorders>
              <w:bottom w:val="single" w:sz="8" w:color="DBDBDB"/>
            </w:tcBorders>
            <w:shd w:val="clear" w:color="auto" w:fill="DBDBDB"/>
          </w:tcPr>
          <w:p>
            <w:pPr>
              <w:spacing w:after="0"/>
              <w:rPr>
                <w:sz w:val="17"/>
                <w:szCs w:val="17"/>
                <w:color w:val="auto"/>
              </w:rPr>
            </w:pPr>
          </w:p>
        </w:tc>
        <w:tc>
          <w:tcPr>
            <w:tcW w:w="1040" w:type="dxa"/>
            <w:vAlign w:val="bottom"/>
            <w:tcBorders>
              <w:bottom w:val="single" w:sz="8" w:color="D9D9D9"/>
            </w:tcBorders>
            <w:shd w:val="clear" w:color="auto" w:fill="D9D9D9"/>
          </w:tcPr>
          <w:p>
            <w:pPr>
              <w:jc w:val="right"/>
              <w:spacing w:after="0" w:line="147" w:lineRule="exact"/>
              <w:rPr>
                <w:sz w:val="20"/>
                <w:szCs w:val="20"/>
                <w:color w:val="auto"/>
              </w:rPr>
            </w:pPr>
            <w:r>
              <w:rPr>
                <w:rFonts w:ascii="Calibri" w:cs="Calibri" w:eastAsia="Calibri" w:hAnsi="Calibri"/>
                <w:sz w:val="13"/>
                <w:szCs w:val="13"/>
                <w:b w:val="1"/>
                <w:bCs w:val="1"/>
                <w:color w:val="auto"/>
              </w:rPr>
              <w:t>(2,035)</w:t>
            </w:r>
          </w:p>
        </w:tc>
        <w:tc>
          <w:tcPr>
            <w:tcW w:w="980" w:type="dxa"/>
            <w:vAlign w:val="bottom"/>
            <w:tcBorders>
              <w:bottom w:val="single" w:sz="8" w:color="D9D9D9"/>
            </w:tcBorders>
            <w:gridSpan w:val="2"/>
            <w:shd w:val="clear" w:color="auto" w:fill="D9D9D9"/>
          </w:tcPr>
          <w:p>
            <w:pPr>
              <w:jc w:val="right"/>
              <w:spacing w:after="0" w:line="147" w:lineRule="exact"/>
              <w:rPr>
                <w:sz w:val="20"/>
                <w:szCs w:val="20"/>
                <w:color w:val="auto"/>
              </w:rPr>
            </w:pPr>
            <w:r>
              <w:rPr>
                <w:rFonts w:ascii="Calibri" w:cs="Calibri" w:eastAsia="Calibri" w:hAnsi="Calibri"/>
                <w:sz w:val="13"/>
                <w:szCs w:val="13"/>
                <w:b w:val="1"/>
                <w:bCs w:val="1"/>
                <w:color w:val="auto"/>
              </w:rPr>
              <w:t>48,234</w:t>
            </w:r>
          </w:p>
        </w:tc>
        <w:tc>
          <w:tcPr>
            <w:tcW w:w="0" w:type="dxa"/>
            <w:vAlign w:val="bottom"/>
          </w:tcPr>
          <w:p>
            <w:pPr>
              <w:spacing w:after="0"/>
              <w:rPr>
                <w:sz w:val="1"/>
                <w:szCs w:val="1"/>
                <w:color w:val="auto"/>
              </w:rPr>
            </w:pPr>
          </w:p>
        </w:tc>
      </w:tr>
      <w:tr>
        <w:trPr>
          <w:trHeight w:val="147"/>
        </w:trPr>
        <w:tc>
          <w:tcPr>
            <w:tcW w:w="3360" w:type="dxa"/>
            <w:vAlign w:val="bottom"/>
            <w:tcBorders>
              <w:top w:val="single" w:sz="8" w:color="auto"/>
            </w:tcBorders>
          </w:tcPr>
          <w:p>
            <w:pPr>
              <w:ind w:left="60"/>
              <w:spacing w:after="0" w:line="147" w:lineRule="exact"/>
              <w:rPr>
                <w:sz w:val="20"/>
                <w:szCs w:val="20"/>
                <w:color w:val="auto"/>
              </w:rPr>
            </w:pPr>
            <w:r>
              <w:rPr>
                <w:rFonts w:ascii="Calibri" w:cs="Calibri" w:eastAsia="Calibri" w:hAnsi="Calibri"/>
                <w:sz w:val="13"/>
                <w:szCs w:val="13"/>
                <w:color w:val="auto"/>
              </w:rPr>
              <w:t>At-the-market ofering - net of share issuance costs</w:t>
            </w:r>
          </w:p>
        </w:tc>
        <w:tc>
          <w:tcPr>
            <w:tcW w:w="620" w:type="dxa"/>
            <w:vAlign w:val="bottom"/>
            <w:tcBorders>
              <w:top w:val="single" w:sz="8" w:color="auto"/>
            </w:tcBorders>
          </w:tcPr>
          <w:p>
            <w:pPr>
              <w:jc w:val="center"/>
              <w:spacing w:after="0" w:line="147" w:lineRule="exact"/>
              <w:rPr>
                <w:sz w:val="20"/>
                <w:szCs w:val="20"/>
                <w:color w:val="auto"/>
              </w:rPr>
            </w:pPr>
            <w:r>
              <w:rPr>
                <w:rFonts w:ascii="Calibri" w:cs="Calibri" w:eastAsia="Calibri" w:hAnsi="Calibri"/>
                <w:sz w:val="13"/>
                <w:szCs w:val="13"/>
                <w:color w:val="auto"/>
              </w:rPr>
              <w:t>7</w:t>
            </w:r>
          </w:p>
        </w:tc>
        <w:tc>
          <w:tcPr>
            <w:tcW w:w="100" w:type="dxa"/>
            <w:vAlign w:val="bottom"/>
            <w:tcBorders>
              <w:top w:val="single" w:sz="8" w:color="auto"/>
            </w:tcBorders>
          </w:tcPr>
          <w:p>
            <w:pPr>
              <w:spacing w:after="0"/>
              <w:rPr>
                <w:sz w:val="12"/>
                <w:szCs w:val="12"/>
                <w:color w:val="auto"/>
              </w:rPr>
            </w:pPr>
          </w:p>
        </w:tc>
        <w:tc>
          <w:tcPr>
            <w:tcW w:w="840" w:type="dxa"/>
            <w:vAlign w:val="bottom"/>
            <w:tcBorders>
              <w:top w:val="single" w:sz="8" w:color="auto"/>
            </w:tcBorders>
          </w:tcPr>
          <w:p>
            <w:pPr>
              <w:jc w:val="right"/>
              <w:ind w:right="56"/>
              <w:spacing w:after="0" w:line="147" w:lineRule="exact"/>
              <w:rPr>
                <w:sz w:val="20"/>
                <w:szCs w:val="20"/>
                <w:color w:val="auto"/>
              </w:rPr>
            </w:pPr>
            <w:r>
              <w:rPr>
                <w:rFonts w:ascii="Calibri" w:cs="Calibri" w:eastAsia="Calibri" w:hAnsi="Calibri"/>
                <w:sz w:val="13"/>
                <w:szCs w:val="13"/>
                <w:color w:val="auto"/>
              </w:rPr>
              <w:t>855,691</w:t>
            </w:r>
          </w:p>
        </w:tc>
        <w:tc>
          <w:tcPr>
            <w:tcW w:w="780" w:type="dxa"/>
            <w:vAlign w:val="bottom"/>
            <w:tcBorders>
              <w:top w:val="single" w:sz="8" w:color="auto"/>
            </w:tcBorders>
          </w:tcPr>
          <w:p>
            <w:pPr>
              <w:jc w:val="right"/>
              <w:ind w:right="76"/>
              <w:spacing w:after="0" w:line="147" w:lineRule="exact"/>
              <w:rPr>
                <w:sz w:val="20"/>
                <w:szCs w:val="20"/>
                <w:color w:val="auto"/>
              </w:rPr>
            </w:pPr>
            <w:r>
              <w:rPr>
                <w:rFonts w:ascii="Calibri" w:cs="Calibri" w:eastAsia="Calibri" w:hAnsi="Calibri"/>
                <w:sz w:val="13"/>
                <w:szCs w:val="13"/>
                <w:color w:val="auto"/>
              </w:rPr>
              <w:t>13,722</w:t>
            </w:r>
          </w:p>
        </w:tc>
        <w:tc>
          <w:tcPr>
            <w:tcW w:w="920" w:type="dxa"/>
            <w:vAlign w:val="bottom"/>
            <w:tcBorders>
              <w:top w:val="single" w:sz="8" w:color="auto"/>
            </w:tcBorders>
          </w:tcPr>
          <w:p>
            <w:pPr>
              <w:jc w:val="right"/>
              <w:ind w:right="76"/>
              <w:spacing w:after="0" w:line="147" w:lineRule="exact"/>
              <w:rPr>
                <w:sz w:val="20"/>
                <w:szCs w:val="20"/>
                <w:color w:val="auto"/>
              </w:rPr>
            </w:pPr>
            <w:r>
              <w:rPr>
                <w:rFonts w:ascii="Calibri" w:cs="Calibri" w:eastAsia="Calibri" w:hAnsi="Calibri"/>
                <w:sz w:val="13"/>
                <w:szCs w:val="13"/>
                <w:color w:val="auto"/>
              </w:rPr>
              <w:t>—</w:t>
            </w:r>
          </w:p>
        </w:tc>
        <w:tc>
          <w:tcPr>
            <w:tcW w:w="820" w:type="dxa"/>
            <w:vAlign w:val="bottom"/>
            <w:tcBorders>
              <w:top w:val="single" w:sz="8" w:color="auto"/>
            </w:tcBorders>
          </w:tcPr>
          <w:p>
            <w:pPr>
              <w:jc w:val="right"/>
              <w:ind w:right="36"/>
              <w:spacing w:after="0" w:line="147" w:lineRule="exact"/>
              <w:rPr>
                <w:sz w:val="20"/>
                <w:szCs w:val="20"/>
                <w:color w:val="auto"/>
              </w:rPr>
            </w:pPr>
            <w:r>
              <w:rPr>
                <w:rFonts w:ascii="Calibri" w:cs="Calibri" w:eastAsia="Calibri" w:hAnsi="Calibri"/>
                <w:sz w:val="13"/>
                <w:szCs w:val="13"/>
                <w:color w:val="auto"/>
              </w:rPr>
              <w:t>—</w:t>
            </w:r>
          </w:p>
        </w:tc>
        <w:tc>
          <w:tcPr>
            <w:tcW w:w="800" w:type="dxa"/>
            <w:vAlign w:val="bottom"/>
            <w:tcBorders>
              <w:top w:val="single" w:sz="8" w:color="auto"/>
            </w:tcBorders>
          </w:tcPr>
          <w:p>
            <w:pPr>
              <w:jc w:val="right"/>
              <w:spacing w:after="0" w:line="147" w:lineRule="exact"/>
              <w:rPr>
                <w:sz w:val="20"/>
                <w:szCs w:val="20"/>
                <w:color w:val="auto"/>
              </w:rPr>
            </w:pPr>
            <w:r>
              <w:rPr>
                <w:rFonts w:ascii="Calibri" w:cs="Calibri" w:eastAsia="Calibri" w:hAnsi="Calibri"/>
                <w:sz w:val="13"/>
                <w:szCs w:val="13"/>
                <w:color w:val="auto"/>
              </w:rPr>
              <w:t>—</w:t>
            </w:r>
          </w:p>
        </w:tc>
        <w:tc>
          <w:tcPr>
            <w:tcW w:w="80" w:type="dxa"/>
            <w:vAlign w:val="bottom"/>
            <w:tcBorders>
              <w:top w:val="single" w:sz="8" w:color="auto"/>
            </w:tcBorders>
          </w:tcPr>
          <w:p>
            <w:pPr>
              <w:spacing w:after="0"/>
              <w:rPr>
                <w:sz w:val="12"/>
                <w:szCs w:val="12"/>
                <w:color w:val="auto"/>
              </w:rPr>
            </w:pPr>
          </w:p>
        </w:tc>
        <w:tc>
          <w:tcPr>
            <w:tcW w:w="840" w:type="dxa"/>
            <w:vAlign w:val="bottom"/>
            <w:tcBorders>
              <w:top w:val="single" w:sz="8" w:color="auto"/>
            </w:tcBorders>
          </w:tcPr>
          <w:p>
            <w:pPr>
              <w:jc w:val="right"/>
              <w:spacing w:after="0" w:line="147" w:lineRule="exact"/>
              <w:rPr>
                <w:sz w:val="20"/>
                <w:szCs w:val="20"/>
                <w:color w:val="auto"/>
              </w:rPr>
            </w:pPr>
            <w:r>
              <w:rPr>
                <w:rFonts w:ascii="Calibri" w:cs="Calibri" w:eastAsia="Calibri" w:hAnsi="Calibri"/>
                <w:sz w:val="13"/>
                <w:szCs w:val="13"/>
                <w:color w:val="auto"/>
              </w:rPr>
              <w:t>—</w:t>
            </w:r>
          </w:p>
        </w:tc>
        <w:tc>
          <w:tcPr>
            <w:tcW w:w="80" w:type="dxa"/>
            <w:vAlign w:val="bottom"/>
            <w:tcBorders>
              <w:top w:val="single" w:sz="8" w:color="auto"/>
            </w:tcBorders>
          </w:tcPr>
          <w:p>
            <w:pPr>
              <w:spacing w:after="0"/>
              <w:rPr>
                <w:sz w:val="12"/>
                <w:szCs w:val="12"/>
                <w:color w:val="auto"/>
              </w:rPr>
            </w:pPr>
          </w:p>
        </w:tc>
        <w:tc>
          <w:tcPr>
            <w:tcW w:w="1040" w:type="dxa"/>
            <w:vAlign w:val="bottom"/>
            <w:tcBorders>
              <w:top w:val="single" w:sz="8" w:color="auto"/>
            </w:tcBorders>
          </w:tcPr>
          <w:p>
            <w:pPr>
              <w:jc w:val="right"/>
              <w:spacing w:after="0" w:line="147" w:lineRule="exact"/>
              <w:rPr>
                <w:sz w:val="20"/>
                <w:szCs w:val="20"/>
                <w:color w:val="auto"/>
              </w:rPr>
            </w:pPr>
            <w:r>
              <w:rPr>
                <w:rFonts w:ascii="Calibri" w:cs="Calibri" w:eastAsia="Calibri" w:hAnsi="Calibri"/>
                <w:sz w:val="13"/>
                <w:szCs w:val="13"/>
                <w:color w:val="auto"/>
              </w:rPr>
              <w:t>—</w:t>
            </w:r>
          </w:p>
        </w:tc>
        <w:tc>
          <w:tcPr>
            <w:tcW w:w="980" w:type="dxa"/>
            <w:vAlign w:val="bottom"/>
            <w:tcBorders>
              <w:top w:val="single" w:sz="8" w:color="auto"/>
            </w:tcBorders>
            <w:gridSpan w:val="2"/>
          </w:tcPr>
          <w:p>
            <w:pPr>
              <w:jc w:val="right"/>
              <w:spacing w:after="0" w:line="147" w:lineRule="exact"/>
              <w:rPr>
                <w:sz w:val="20"/>
                <w:szCs w:val="20"/>
                <w:color w:val="auto"/>
              </w:rPr>
            </w:pPr>
            <w:r>
              <w:rPr>
                <w:rFonts w:ascii="Calibri" w:cs="Calibri" w:eastAsia="Calibri" w:hAnsi="Calibri"/>
                <w:sz w:val="13"/>
                <w:szCs w:val="13"/>
                <w:b w:val="1"/>
                <w:bCs w:val="1"/>
                <w:color w:val="auto"/>
              </w:rPr>
              <w:t>13,722</w:t>
            </w:r>
          </w:p>
        </w:tc>
        <w:tc>
          <w:tcPr>
            <w:tcW w:w="0" w:type="dxa"/>
            <w:vAlign w:val="bottom"/>
          </w:tcPr>
          <w:p>
            <w:pPr>
              <w:spacing w:after="0"/>
              <w:rPr>
                <w:sz w:val="1"/>
                <w:szCs w:val="1"/>
                <w:color w:val="auto"/>
              </w:rPr>
            </w:pPr>
          </w:p>
        </w:tc>
      </w:tr>
      <w:tr>
        <w:trPr>
          <w:trHeight w:val="135"/>
        </w:trPr>
        <w:tc>
          <w:tcPr>
            <w:tcW w:w="3360" w:type="dxa"/>
            <w:vAlign w:val="bottom"/>
          </w:tcPr>
          <w:p>
            <w:pPr>
              <w:ind w:left="60"/>
              <w:spacing w:after="0" w:line="135" w:lineRule="exact"/>
              <w:rPr>
                <w:sz w:val="20"/>
                <w:szCs w:val="20"/>
                <w:color w:val="auto"/>
              </w:rPr>
            </w:pPr>
            <w:r>
              <w:rPr>
                <w:rFonts w:ascii="Calibri" w:cs="Calibri" w:eastAsia="Calibri" w:hAnsi="Calibri"/>
                <w:sz w:val="13"/>
                <w:szCs w:val="13"/>
                <w:color w:val="auto"/>
              </w:rPr>
              <w:t>Shares issued through common share purchase agreement -</w:t>
            </w:r>
          </w:p>
        </w:tc>
        <w:tc>
          <w:tcPr>
            <w:tcW w:w="620" w:type="dxa"/>
            <w:vAlign w:val="bottom"/>
            <w:vMerge w:val="restart"/>
          </w:tcPr>
          <w:p>
            <w:pPr>
              <w:jc w:val="center"/>
              <w:spacing w:after="0"/>
              <w:rPr>
                <w:sz w:val="20"/>
                <w:szCs w:val="20"/>
                <w:color w:val="auto"/>
              </w:rPr>
            </w:pPr>
            <w:r>
              <w:rPr>
                <w:rFonts w:ascii="Calibri" w:cs="Calibri" w:eastAsia="Calibri" w:hAnsi="Calibri"/>
                <w:sz w:val="13"/>
                <w:szCs w:val="13"/>
                <w:color w:val="auto"/>
              </w:rPr>
              <w:t>7</w:t>
            </w:r>
          </w:p>
        </w:tc>
        <w:tc>
          <w:tcPr>
            <w:tcW w:w="940" w:type="dxa"/>
            <w:vAlign w:val="bottom"/>
            <w:gridSpan w:val="2"/>
            <w:vMerge w:val="restart"/>
          </w:tcPr>
          <w:p>
            <w:pPr>
              <w:jc w:val="right"/>
              <w:ind w:right="56"/>
              <w:spacing w:after="0"/>
              <w:rPr>
                <w:sz w:val="20"/>
                <w:szCs w:val="20"/>
                <w:color w:val="auto"/>
              </w:rPr>
            </w:pPr>
            <w:r>
              <w:rPr>
                <w:rFonts w:ascii="Calibri" w:cs="Calibri" w:eastAsia="Calibri" w:hAnsi="Calibri"/>
                <w:sz w:val="13"/>
                <w:szCs w:val="13"/>
                <w:color w:val="auto"/>
              </w:rPr>
              <w:t>638,545</w:t>
            </w:r>
          </w:p>
        </w:tc>
        <w:tc>
          <w:tcPr>
            <w:tcW w:w="780" w:type="dxa"/>
            <w:vAlign w:val="bottom"/>
            <w:vMerge w:val="restart"/>
          </w:tcPr>
          <w:p>
            <w:pPr>
              <w:jc w:val="right"/>
              <w:ind w:right="76"/>
              <w:spacing w:after="0"/>
              <w:rPr>
                <w:sz w:val="20"/>
                <w:szCs w:val="20"/>
                <w:color w:val="auto"/>
              </w:rPr>
            </w:pPr>
            <w:r>
              <w:rPr>
                <w:rFonts w:ascii="Calibri" w:cs="Calibri" w:eastAsia="Calibri" w:hAnsi="Calibri"/>
                <w:sz w:val="13"/>
                <w:szCs w:val="13"/>
                <w:color w:val="auto"/>
              </w:rPr>
              <w:t>5,349</w:t>
            </w:r>
          </w:p>
        </w:tc>
        <w:tc>
          <w:tcPr>
            <w:tcW w:w="920" w:type="dxa"/>
            <w:vAlign w:val="bottom"/>
            <w:vMerge w:val="restart"/>
          </w:tcPr>
          <w:p>
            <w:pPr>
              <w:jc w:val="right"/>
              <w:ind w:right="76"/>
              <w:spacing w:after="0"/>
              <w:rPr>
                <w:sz w:val="20"/>
                <w:szCs w:val="20"/>
                <w:color w:val="auto"/>
              </w:rPr>
            </w:pPr>
            <w:r>
              <w:rPr>
                <w:rFonts w:ascii="Calibri" w:cs="Calibri" w:eastAsia="Calibri" w:hAnsi="Calibri"/>
                <w:sz w:val="13"/>
                <w:szCs w:val="13"/>
                <w:color w:val="auto"/>
              </w:rPr>
              <w:t>4,599</w:t>
            </w:r>
          </w:p>
        </w:tc>
        <w:tc>
          <w:tcPr>
            <w:tcW w:w="820" w:type="dxa"/>
            <w:vAlign w:val="bottom"/>
            <w:vMerge w:val="restart"/>
          </w:tcPr>
          <w:p>
            <w:pPr>
              <w:jc w:val="right"/>
              <w:ind w:right="36"/>
              <w:spacing w:after="0"/>
              <w:rPr>
                <w:sz w:val="20"/>
                <w:szCs w:val="20"/>
                <w:color w:val="auto"/>
              </w:rPr>
            </w:pPr>
            <w:r>
              <w:rPr>
                <w:rFonts w:ascii="Calibri" w:cs="Calibri" w:eastAsia="Calibri" w:hAnsi="Calibri"/>
                <w:sz w:val="13"/>
                <w:szCs w:val="13"/>
                <w:color w:val="auto"/>
              </w:rPr>
              <w:t>—</w:t>
            </w:r>
          </w:p>
        </w:tc>
        <w:tc>
          <w:tcPr>
            <w:tcW w:w="800" w:type="dxa"/>
            <w:vAlign w:val="bottom"/>
            <w:vMerge w:val="restart"/>
          </w:tcPr>
          <w:p>
            <w:pPr>
              <w:jc w:val="right"/>
              <w:spacing w:after="0"/>
              <w:rPr>
                <w:sz w:val="20"/>
                <w:szCs w:val="20"/>
                <w:color w:val="auto"/>
              </w:rPr>
            </w:pPr>
            <w:r>
              <w:rPr>
                <w:rFonts w:ascii="Calibri" w:cs="Calibri" w:eastAsia="Calibri" w:hAnsi="Calibri"/>
                <w:sz w:val="13"/>
                <w:szCs w:val="13"/>
                <w:color w:val="auto"/>
              </w:rPr>
              <w:t>—</w:t>
            </w:r>
          </w:p>
        </w:tc>
        <w:tc>
          <w:tcPr>
            <w:tcW w:w="80" w:type="dxa"/>
            <w:vAlign w:val="bottom"/>
          </w:tcPr>
          <w:p>
            <w:pPr>
              <w:spacing w:after="0"/>
              <w:rPr>
                <w:sz w:val="11"/>
                <w:szCs w:val="11"/>
                <w:color w:val="auto"/>
              </w:rPr>
            </w:pPr>
          </w:p>
        </w:tc>
        <w:tc>
          <w:tcPr>
            <w:tcW w:w="840" w:type="dxa"/>
            <w:vAlign w:val="bottom"/>
            <w:vMerge w:val="restart"/>
          </w:tcPr>
          <w:p>
            <w:pPr>
              <w:jc w:val="right"/>
              <w:spacing w:after="0"/>
              <w:rPr>
                <w:sz w:val="20"/>
                <w:szCs w:val="20"/>
                <w:color w:val="auto"/>
              </w:rPr>
            </w:pPr>
            <w:r>
              <w:rPr>
                <w:rFonts w:ascii="Calibri" w:cs="Calibri" w:eastAsia="Calibri" w:hAnsi="Calibri"/>
                <w:sz w:val="13"/>
                <w:szCs w:val="13"/>
                <w:color w:val="auto"/>
              </w:rPr>
              <w:t>—</w:t>
            </w:r>
          </w:p>
        </w:tc>
        <w:tc>
          <w:tcPr>
            <w:tcW w:w="80" w:type="dxa"/>
            <w:vAlign w:val="bottom"/>
          </w:tcPr>
          <w:p>
            <w:pPr>
              <w:spacing w:after="0"/>
              <w:rPr>
                <w:sz w:val="11"/>
                <w:szCs w:val="11"/>
                <w:color w:val="auto"/>
              </w:rPr>
            </w:pPr>
          </w:p>
        </w:tc>
        <w:tc>
          <w:tcPr>
            <w:tcW w:w="1040" w:type="dxa"/>
            <w:vAlign w:val="bottom"/>
            <w:vMerge w:val="restart"/>
          </w:tcPr>
          <w:p>
            <w:pPr>
              <w:jc w:val="right"/>
              <w:spacing w:after="0"/>
              <w:rPr>
                <w:sz w:val="20"/>
                <w:szCs w:val="20"/>
                <w:color w:val="auto"/>
              </w:rPr>
            </w:pPr>
            <w:r>
              <w:rPr>
                <w:rFonts w:ascii="Calibri" w:cs="Calibri" w:eastAsia="Calibri" w:hAnsi="Calibri"/>
                <w:sz w:val="13"/>
                <w:szCs w:val="13"/>
                <w:color w:val="auto"/>
              </w:rPr>
              <w:t>—</w:t>
            </w:r>
          </w:p>
        </w:tc>
        <w:tc>
          <w:tcPr>
            <w:tcW w:w="980" w:type="dxa"/>
            <w:vAlign w:val="bottom"/>
            <w:gridSpan w:val="2"/>
            <w:vMerge w:val="restart"/>
          </w:tcPr>
          <w:p>
            <w:pPr>
              <w:jc w:val="right"/>
              <w:spacing w:after="0"/>
              <w:rPr>
                <w:sz w:val="20"/>
                <w:szCs w:val="20"/>
                <w:color w:val="auto"/>
              </w:rPr>
            </w:pPr>
            <w:r>
              <w:rPr>
                <w:rFonts w:ascii="Calibri" w:cs="Calibri" w:eastAsia="Calibri" w:hAnsi="Calibri"/>
                <w:sz w:val="13"/>
                <w:szCs w:val="13"/>
                <w:b w:val="1"/>
                <w:bCs w:val="1"/>
                <w:color w:val="auto"/>
              </w:rPr>
              <w:t>9,948</w:t>
            </w:r>
          </w:p>
        </w:tc>
        <w:tc>
          <w:tcPr>
            <w:tcW w:w="0" w:type="dxa"/>
            <w:vAlign w:val="bottom"/>
          </w:tcPr>
          <w:p>
            <w:pPr>
              <w:spacing w:after="0"/>
              <w:rPr>
                <w:sz w:val="1"/>
                <w:szCs w:val="1"/>
                <w:color w:val="auto"/>
              </w:rPr>
            </w:pPr>
          </w:p>
        </w:tc>
      </w:tr>
      <w:tr>
        <w:trPr>
          <w:trHeight w:val="155"/>
        </w:trPr>
        <w:tc>
          <w:tcPr>
            <w:tcW w:w="3360" w:type="dxa"/>
            <w:vAlign w:val="bottom"/>
          </w:tcPr>
          <w:p>
            <w:pPr>
              <w:ind w:left="60"/>
              <w:spacing w:after="0" w:line="155" w:lineRule="exact"/>
              <w:rPr>
                <w:sz w:val="20"/>
                <w:szCs w:val="20"/>
                <w:color w:val="auto"/>
              </w:rPr>
            </w:pPr>
            <w:r>
              <w:rPr>
                <w:rFonts w:ascii="Calibri" w:cs="Calibri" w:eastAsia="Calibri" w:hAnsi="Calibri"/>
                <w:sz w:val="13"/>
                <w:szCs w:val="13"/>
                <w:color w:val="auto"/>
              </w:rPr>
              <w:t>net of share issuance costs</w:t>
            </w:r>
          </w:p>
        </w:tc>
        <w:tc>
          <w:tcPr>
            <w:tcW w:w="620" w:type="dxa"/>
            <w:vAlign w:val="bottom"/>
            <w:vMerge w:val="continue"/>
          </w:tcPr>
          <w:p>
            <w:pPr>
              <w:spacing w:after="0"/>
              <w:rPr>
                <w:sz w:val="13"/>
                <w:szCs w:val="13"/>
                <w:color w:val="auto"/>
              </w:rPr>
            </w:pPr>
          </w:p>
        </w:tc>
        <w:tc>
          <w:tcPr>
            <w:tcW w:w="940" w:type="dxa"/>
            <w:vAlign w:val="bottom"/>
            <w:gridSpan w:val="2"/>
            <w:vMerge w:val="continue"/>
          </w:tcPr>
          <w:p>
            <w:pPr>
              <w:spacing w:after="0"/>
              <w:rPr>
                <w:sz w:val="13"/>
                <w:szCs w:val="13"/>
                <w:color w:val="auto"/>
              </w:rPr>
            </w:pPr>
          </w:p>
        </w:tc>
        <w:tc>
          <w:tcPr>
            <w:tcW w:w="780" w:type="dxa"/>
            <w:vAlign w:val="bottom"/>
            <w:vMerge w:val="continue"/>
          </w:tcPr>
          <w:p>
            <w:pPr>
              <w:spacing w:after="0"/>
              <w:rPr>
                <w:sz w:val="13"/>
                <w:szCs w:val="13"/>
                <w:color w:val="auto"/>
              </w:rPr>
            </w:pPr>
          </w:p>
        </w:tc>
        <w:tc>
          <w:tcPr>
            <w:tcW w:w="920" w:type="dxa"/>
            <w:vAlign w:val="bottom"/>
            <w:vMerge w:val="continue"/>
          </w:tcPr>
          <w:p>
            <w:pPr>
              <w:spacing w:after="0"/>
              <w:rPr>
                <w:sz w:val="13"/>
                <w:szCs w:val="13"/>
                <w:color w:val="auto"/>
              </w:rPr>
            </w:pPr>
          </w:p>
        </w:tc>
        <w:tc>
          <w:tcPr>
            <w:tcW w:w="820" w:type="dxa"/>
            <w:vAlign w:val="bottom"/>
            <w:vMerge w:val="continue"/>
          </w:tcPr>
          <w:p>
            <w:pPr>
              <w:spacing w:after="0"/>
              <w:rPr>
                <w:sz w:val="13"/>
                <w:szCs w:val="13"/>
                <w:color w:val="auto"/>
              </w:rPr>
            </w:pPr>
          </w:p>
        </w:tc>
        <w:tc>
          <w:tcPr>
            <w:tcW w:w="800" w:type="dxa"/>
            <w:vAlign w:val="bottom"/>
            <w:vMerge w:val="continue"/>
          </w:tcPr>
          <w:p>
            <w:pPr>
              <w:spacing w:after="0"/>
              <w:rPr>
                <w:sz w:val="13"/>
                <w:szCs w:val="13"/>
                <w:color w:val="auto"/>
              </w:rPr>
            </w:pPr>
          </w:p>
        </w:tc>
        <w:tc>
          <w:tcPr>
            <w:tcW w:w="80" w:type="dxa"/>
            <w:vAlign w:val="bottom"/>
          </w:tcPr>
          <w:p>
            <w:pPr>
              <w:spacing w:after="0"/>
              <w:rPr>
                <w:sz w:val="13"/>
                <w:szCs w:val="13"/>
                <w:color w:val="auto"/>
              </w:rPr>
            </w:pPr>
          </w:p>
        </w:tc>
        <w:tc>
          <w:tcPr>
            <w:tcW w:w="840" w:type="dxa"/>
            <w:vAlign w:val="bottom"/>
            <w:vMerge w:val="continue"/>
          </w:tcPr>
          <w:p>
            <w:pPr>
              <w:spacing w:after="0"/>
              <w:rPr>
                <w:sz w:val="13"/>
                <w:szCs w:val="13"/>
                <w:color w:val="auto"/>
              </w:rPr>
            </w:pPr>
          </w:p>
        </w:tc>
        <w:tc>
          <w:tcPr>
            <w:tcW w:w="80" w:type="dxa"/>
            <w:vAlign w:val="bottom"/>
          </w:tcPr>
          <w:p>
            <w:pPr>
              <w:spacing w:after="0"/>
              <w:rPr>
                <w:sz w:val="13"/>
                <w:szCs w:val="13"/>
                <w:color w:val="auto"/>
              </w:rPr>
            </w:pPr>
          </w:p>
        </w:tc>
        <w:tc>
          <w:tcPr>
            <w:tcW w:w="1040" w:type="dxa"/>
            <w:vAlign w:val="bottom"/>
            <w:vMerge w:val="continue"/>
          </w:tcPr>
          <w:p>
            <w:pPr>
              <w:spacing w:after="0"/>
              <w:rPr>
                <w:sz w:val="13"/>
                <w:szCs w:val="13"/>
                <w:color w:val="auto"/>
              </w:rPr>
            </w:pPr>
          </w:p>
        </w:tc>
        <w:tc>
          <w:tcPr>
            <w:tcW w:w="980" w:type="dxa"/>
            <w:vAlign w:val="bottom"/>
            <w:gridSpan w:val="2"/>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3360" w:type="dxa"/>
            <w:vAlign w:val="bottom"/>
          </w:tcPr>
          <w:p>
            <w:pPr>
              <w:ind w:left="60"/>
              <w:spacing w:after="0" w:line="148" w:lineRule="exact"/>
              <w:rPr>
                <w:sz w:val="20"/>
                <w:szCs w:val="20"/>
                <w:color w:val="auto"/>
              </w:rPr>
            </w:pPr>
            <w:r>
              <w:rPr>
                <w:rFonts w:ascii="Calibri" w:cs="Calibri" w:eastAsia="Calibri" w:hAnsi="Calibri"/>
                <w:sz w:val="13"/>
                <w:szCs w:val="13"/>
                <w:color w:val="auto"/>
              </w:rPr>
              <w:t>Issuance of common share as commitment fee for future</w:t>
            </w:r>
          </w:p>
        </w:tc>
        <w:tc>
          <w:tcPr>
            <w:tcW w:w="620" w:type="dxa"/>
            <w:vAlign w:val="bottom"/>
            <w:vMerge w:val="restart"/>
          </w:tcPr>
          <w:p>
            <w:pPr>
              <w:jc w:val="center"/>
              <w:spacing w:after="0"/>
              <w:rPr>
                <w:sz w:val="20"/>
                <w:szCs w:val="20"/>
                <w:color w:val="auto"/>
              </w:rPr>
            </w:pPr>
            <w:r>
              <w:rPr>
                <w:rFonts w:ascii="Calibri" w:cs="Calibri" w:eastAsia="Calibri" w:hAnsi="Calibri"/>
                <w:sz w:val="13"/>
                <w:szCs w:val="13"/>
                <w:color w:val="auto"/>
              </w:rPr>
              <w:t>7</w:t>
            </w:r>
          </w:p>
        </w:tc>
        <w:tc>
          <w:tcPr>
            <w:tcW w:w="940" w:type="dxa"/>
            <w:vAlign w:val="bottom"/>
            <w:gridSpan w:val="2"/>
            <w:vMerge w:val="restart"/>
          </w:tcPr>
          <w:p>
            <w:pPr>
              <w:jc w:val="right"/>
              <w:ind w:right="56"/>
              <w:spacing w:after="0"/>
              <w:rPr>
                <w:sz w:val="20"/>
                <w:szCs w:val="20"/>
                <w:color w:val="auto"/>
              </w:rPr>
            </w:pPr>
            <w:r>
              <w:rPr>
                <w:rFonts w:ascii="Calibri" w:cs="Calibri" w:eastAsia="Calibri" w:hAnsi="Calibri"/>
                <w:sz w:val="13"/>
                <w:szCs w:val="13"/>
                <w:color w:val="auto"/>
              </w:rPr>
              <w:t>66,812</w:t>
            </w:r>
          </w:p>
        </w:tc>
        <w:tc>
          <w:tcPr>
            <w:tcW w:w="780" w:type="dxa"/>
            <w:vAlign w:val="bottom"/>
            <w:vMerge w:val="restart"/>
          </w:tcPr>
          <w:p>
            <w:pPr>
              <w:jc w:val="right"/>
              <w:ind w:right="76"/>
              <w:spacing w:after="0"/>
              <w:rPr>
                <w:sz w:val="20"/>
                <w:szCs w:val="20"/>
                <w:color w:val="auto"/>
              </w:rPr>
            </w:pPr>
            <w:r>
              <w:rPr>
                <w:rFonts w:ascii="Calibri" w:cs="Calibri" w:eastAsia="Calibri" w:hAnsi="Calibri"/>
                <w:sz w:val="13"/>
                <w:szCs w:val="13"/>
                <w:color w:val="auto"/>
              </w:rPr>
              <w:t>—</w:t>
            </w:r>
          </w:p>
        </w:tc>
        <w:tc>
          <w:tcPr>
            <w:tcW w:w="920" w:type="dxa"/>
            <w:vAlign w:val="bottom"/>
            <w:vMerge w:val="restart"/>
          </w:tcPr>
          <w:p>
            <w:pPr>
              <w:jc w:val="right"/>
              <w:ind w:right="76"/>
              <w:spacing w:after="0"/>
              <w:rPr>
                <w:sz w:val="20"/>
                <w:szCs w:val="20"/>
                <w:color w:val="auto"/>
              </w:rPr>
            </w:pPr>
            <w:r>
              <w:rPr>
                <w:rFonts w:ascii="Calibri" w:cs="Calibri" w:eastAsia="Calibri" w:hAnsi="Calibri"/>
                <w:sz w:val="13"/>
                <w:szCs w:val="13"/>
                <w:color w:val="auto"/>
              </w:rPr>
              <w:t>—</w:t>
            </w:r>
          </w:p>
        </w:tc>
        <w:tc>
          <w:tcPr>
            <w:tcW w:w="820" w:type="dxa"/>
            <w:vAlign w:val="bottom"/>
            <w:vMerge w:val="restart"/>
          </w:tcPr>
          <w:p>
            <w:pPr>
              <w:jc w:val="right"/>
              <w:ind w:right="36"/>
              <w:spacing w:after="0"/>
              <w:rPr>
                <w:sz w:val="20"/>
                <w:szCs w:val="20"/>
                <w:color w:val="auto"/>
              </w:rPr>
            </w:pPr>
            <w:r>
              <w:rPr>
                <w:rFonts w:ascii="Calibri" w:cs="Calibri" w:eastAsia="Calibri" w:hAnsi="Calibri"/>
                <w:sz w:val="13"/>
                <w:szCs w:val="13"/>
                <w:color w:val="auto"/>
              </w:rPr>
              <w:t>—</w:t>
            </w:r>
          </w:p>
        </w:tc>
        <w:tc>
          <w:tcPr>
            <w:tcW w:w="800" w:type="dxa"/>
            <w:vAlign w:val="bottom"/>
            <w:vMerge w:val="restart"/>
          </w:tcPr>
          <w:p>
            <w:pPr>
              <w:jc w:val="right"/>
              <w:spacing w:after="0"/>
              <w:rPr>
                <w:sz w:val="20"/>
                <w:szCs w:val="20"/>
                <w:color w:val="auto"/>
              </w:rPr>
            </w:pPr>
            <w:r>
              <w:rPr>
                <w:rFonts w:ascii="Calibri" w:cs="Calibri" w:eastAsia="Calibri" w:hAnsi="Calibri"/>
                <w:sz w:val="13"/>
                <w:szCs w:val="13"/>
                <w:color w:val="auto"/>
              </w:rPr>
              <w:t>—</w:t>
            </w:r>
          </w:p>
        </w:tc>
        <w:tc>
          <w:tcPr>
            <w:tcW w:w="80" w:type="dxa"/>
            <w:vAlign w:val="bottom"/>
          </w:tcPr>
          <w:p>
            <w:pPr>
              <w:spacing w:after="0"/>
              <w:rPr>
                <w:sz w:val="12"/>
                <w:szCs w:val="12"/>
                <w:color w:val="auto"/>
              </w:rPr>
            </w:pPr>
          </w:p>
        </w:tc>
        <w:tc>
          <w:tcPr>
            <w:tcW w:w="840" w:type="dxa"/>
            <w:vAlign w:val="bottom"/>
            <w:vMerge w:val="restart"/>
          </w:tcPr>
          <w:p>
            <w:pPr>
              <w:jc w:val="right"/>
              <w:spacing w:after="0"/>
              <w:rPr>
                <w:sz w:val="20"/>
                <w:szCs w:val="20"/>
                <w:color w:val="auto"/>
              </w:rPr>
            </w:pPr>
            <w:r>
              <w:rPr>
                <w:rFonts w:ascii="Calibri" w:cs="Calibri" w:eastAsia="Calibri" w:hAnsi="Calibri"/>
                <w:sz w:val="13"/>
                <w:szCs w:val="13"/>
                <w:color w:val="auto"/>
              </w:rPr>
              <w:t>—</w:t>
            </w:r>
          </w:p>
        </w:tc>
        <w:tc>
          <w:tcPr>
            <w:tcW w:w="80" w:type="dxa"/>
            <w:vAlign w:val="bottom"/>
          </w:tcPr>
          <w:p>
            <w:pPr>
              <w:spacing w:after="0"/>
              <w:rPr>
                <w:sz w:val="12"/>
                <w:szCs w:val="12"/>
                <w:color w:val="auto"/>
              </w:rPr>
            </w:pPr>
          </w:p>
        </w:tc>
        <w:tc>
          <w:tcPr>
            <w:tcW w:w="1040" w:type="dxa"/>
            <w:vAlign w:val="bottom"/>
            <w:vMerge w:val="restart"/>
          </w:tcPr>
          <w:p>
            <w:pPr>
              <w:jc w:val="right"/>
              <w:spacing w:after="0"/>
              <w:rPr>
                <w:sz w:val="20"/>
                <w:szCs w:val="20"/>
                <w:color w:val="auto"/>
              </w:rPr>
            </w:pPr>
            <w:r>
              <w:rPr>
                <w:rFonts w:ascii="Calibri" w:cs="Calibri" w:eastAsia="Calibri" w:hAnsi="Calibri"/>
                <w:sz w:val="13"/>
                <w:szCs w:val="13"/>
                <w:color w:val="auto"/>
              </w:rPr>
              <w:t>—</w:t>
            </w:r>
          </w:p>
        </w:tc>
        <w:tc>
          <w:tcPr>
            <w:tcW w:w="80" w:type="dxa"/>
            <w:vAlign w:val="bottom"/>
          </w:tcPr>
          <w:p>
            <w:pPr>
              <w:spacing w:after="0"/>
              <w:rPr>
                <w:sz w:val="12"/>
                <w:szCs w:val="12"/>
                <w:color w:val="auto"/>
              </w:rPr>
            </w:pPr>
          </w:p>
        </w:tc>
        <w:tc>
          <w:tcPr>
            <w:tcW w:w="900" w:type="dxa"/>
            <w:vAlign w:val="bottom"/>
            <w:vMerge w:val="restart"/>
          </w:tcPr>
          <w:p>
            <w:pPr>
              <w:jc w:val="right"/>
              <w:spacing w:after="0"/>
              <w:rPr>
                <w:sz w:val="20"/>
                <w:szCs w:val="20"/>
                <w:color w:val="auto"/>
              </w:rPr>
            </w:pPr>
            <w:r>
              <w:rPr>
                <w:rFonts w:ascii="Calibri" w:cs="Calibri" w:eastAsia="Calibri" w:hAnsi="Calibri"/>
                <w:sz w:val="13"/>
                <w:szCs w:val="13"/>
                <w:b w:val="1"/>
                <w:bCs w:val="1"/>
                <w:color w:val="auto"/>
              </w:rPr>
              <w:t>—</w:t>
            </w:r>
          </w:p>
        </w:tc>
        <w:tc>
          <w:tcPr>
            <w:tcW w:w="0" w:type="dxa"/>
            <w:vAlign w:val="bottom"/>
          </w:tcPr>
          <w:p>
            <w:pPr>
              <w:spacing w:after="0"/>
              <w:rPr>
                <w:sz w:val="1"/>
                <w:szCs w:val="1"/>
                <w:color w:val="auto"/>
              </w:rPr>
            </w:pPr>
          </w:p>
        </w:tc>
      </w:tr>
      <w:tr>
        <w:trPr>
          <w:trHeight w:val="155"/>
        </w:trPr>
        <w:tc>
          <w:tcPr>
            <w:tcW w:w="3360" w:type="dxa"/>
            <w:vAlign w:val="bottom"/>
          </w:tcPr>
          <w:p>
            <w:pPr>
              <w:ind w:left="60"/>
              <w:spacing w:after="0" w:line="155" w:lineRule="exact"/>
              <w:rPr>
                <w:sz w:val="20"/>
                <w:szCs w:val="20"/>
                <w:color w:val="auto"/>
              </w:rPr>
            </w:pPr>
            <w:r>
              <w:rPr>
                <w:rFonts w:ascii="Calibri" w:cs="Calibri" w:eastAsia="Calibri" w:hAnsi="Calibri"/>
                <w:sz w:val="13"/>
                <w:szCs w:val="13"/>
                <w:color w:val="auto"/>
              </w:rPr>
              <w:t>fnancing</w:t>
            </w:r>
          </w:p>
        </w:tc>
        <w:tc>
          <w:tcPr>
            <w:tcW w:w="620" w:type="dxa"/>
            <w:vAlign w:val="bottom"/>
            <w:vMerge w:val="continue"/>
          </w:tcPr>
          <w:p>
            <w:pPr>
              <w:spacing w:after="0"/>
              <w:rPr>
                <w:sz w:val="13"/>
                <w:szCs w:val="13"/>
                <w:color w:val="auto"/>
              </w:rPr>
            </w:pPr>
          </w:p>
        </w:tc>
        <w:tc>
          <w:tcPr>
            <w:tcW w:w="940" w:type="dxa"/>
            <w:vAlign w:val="bottom"/>
            <w:gridSpan w:val="2"/>
            <w:vMerge w:val="continue"/>
          </w:tcPr>
          <w:p>
            <w:pPr>
              <w:spacing w:after="0"/>
              <w:rPr>
                <w:sz w:val="13"/>
                <w:szCs w:val="13"/>
                <w:color w:val="auto"/>
              </w:rPr>
            </w:pPr>
          </w:p>
        </w:tc>
        <w:tc>
          <w:tcPr>
            <w:tcW w:w="780" w:type="dxa"/>
            <w:vAlign w:val="bottom"/>
            <w:vMerge w:val="continue"/>
          </w:tcPr>
          <w:p>
            <w:pPr>
              <w:spacing w:after="0"/>
              <w:rPr>
                <w:sz w:val="13"/>
                <w:szCs w:val="13"/>
                <w:color w:val="auto"/>
              </w:rPr>
            </w:pPr>
          </w:p>
        </w:tc>
        <w:tc>
          <w:tcPr>
            <w:tcW w:w="920" w:type="dxa"/>
            <w:vAlign w:val="bottom"/>
            <w:vMerge w:val="continue"/>
          </w:tcPr>
          <w:p>
            <w:pPr>
              <w:spacing w:after="0"/>
              <w:rPr>
                <w:sz w:val="13"/>
                <w:szCs w:val="13"/>
                <w:color w:val="auto"/>
              </w:rPr>
            </w:pPr>
          </w:p>
        </w:tc>
        <w:tc>
          <w:tcPr>
            <w:tcW w:w="820" w:type="dxa"/>
            <w:vAlign w:val="bottom"/>
            <w:vMerge w:val="continue"/>
          </w:tcPr>
          <w:p>
            <w:pPr>
              <w:spacing w:after="0"/>
              <w:rPr>
                <w:sz w:val="13"/>
                <w:szCs w:val="13"/>
                <w:color w:val="auto"/>
              </w:rPr>
            </w:pPr>
          </w:p>
        </w:tc>
        <w:tc>
          <w:tcPr>
            <w:tcW w:w="800" w:type="dxa"/>
            <w:vAlign w:val="bottom"/>
            <w:vMerge w:val="continue"/>
          </w:tcPr>
          <w:p>
            <w:pPr>
              <w:spacing w:after="0"/>
              <w:rPr>
                <w:sz w:val="13"/>
                <w:szCs w:val="13"/>
                <w:color w:val="auto"/>
              </w:rPr>
            </w:pPr>
          </w:p>
        </w:tc>
        <w:tc>
          <w:tcPr>
            <w:tcW w:w="80" w:type="dxa"/>
            <w:vAlign w:val="bottom"/>
          </w:tcPr>
          <w:p>
            <w:pPr>
              <w:spacing w:after="0"/>
              <w:rPr>
                <w:sz w:val="13"/>
                <w:szCs w:val="13"/>
                <w:color w:val="auto"/>
              </w:rPr>
            </w:pPr>
          </w:p>
        </w:tc>
        <w:tc>
          <w:tcPr>
            <w:tcW w:w="840" w:type="dxa"/>
            <w:vAlign w:val="bottom"/>
            <w:vMerge w:val="continue"/>
          </w:tcPr>
          <w:p>
            <w:pPr>
              <w:spacing w:after="0"/>
              <w:rPr>
                <w:sz w:val="13"/>
                <w:szCs w:val="13"/>
                <w:color w:val="auto"/>
              </w:rPr>
            </w:pPr>
          </w:p>
        </w:tc>
        <w:tc>
          <w:tcPr>
            <w:tcW w:w="80" w:type="dxa"/>
            <w:vAlign w:val="bottom"/>
          </w:tcPr>
          <w:p>
            <w:pPr>
              <w:spacing w:after="0"/>
              <w:rPr>
                <w:sz w:val="13"/>
                <w:szCs w:val="13"/>
                <w:color w:val="auto"/>
              </w:rPr>
            </w:pPr>
          </w:p>
        </w:tc>
        <w:tc>
          <w:tcPr>
            <w:tcW w:w="1040" w:type="dxa"/>
            <w:vAlign w:val="bottom"/>
            <w:vMerge w:val="continue"/>
          </w:tcPr>
          <w:p>
            <w:pPr>
              <w:spacing w:after="0"/>
              <w:rPr>
                <w:sz w:val="13"/>
                <w:szCs w:val="13"/>
                <w:color w:val="auto"/>
              </w:rPr>
            </w:pPr>
          </w:p>
        </w:tc>
        <w:tc>
          <w:tcPr>
            <w:tcW w:w="80" w:type="dxa"/>
            <w:vAlign w:val="bottom"/>
          </w:tcPr>
          <w:p>
            <w:pPr>
              <w:spacing w:after="0"/>
              <w:rPr>
                <w:sz w:val="13"/>
                <w:szCs w:val="13"/>
                <w:color w:val="auto"/>
              </w:rPr>
            </w:pPr>
          </w:p>
        </w:tc>
        <w:tc>
          <w:tcPr>
            <w:tcW w:w="90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3360" w:type="dxa"/>
            <w:vAlign w:val="bottom"/>
          </w:tcPr>
          <w:p>
            <w:pPr>
              <w:ind w:left="60"/>
              <w:spacing w:after="0" w:line="148" w:lineRule="exact"/>
              <w:rPr>
                <w:sz w:val="20"/>
                <w:szCs w:val="20"/>
                <w:color w:val="auto"/>
              </w:rPr>
            </w:pPr>
            <w:r>
              <w:rPr>
                <w:rFonts w:ascii="Calibri" w:cs="Calibri" w:eastAsia="Calibri" w:hAnsi="Calibri"/>
                <w:sz w:val="13"/>
                <w:szCs w:val="13"/>
                <w:color w:val="auto"/>
              </w:rPr>
              <w:t>Shares issued through LPC purchase agreement - net of share</w:t>
            </w:r>
          </w:p>
        </w:tc>
        <w:tc>
          <w:tcPr>
            <w:tcW w:w="620" w:type="dxa"/>
            <w:vAlign w:val="bottom"/>
            <w:vMerge w:val="restart"/>
          </w:tcPr>
          <w:p>
            <w:pPr>
              <w:jc w:val="center"/>
              <w:spacing w:after="0"/>
              <w:rPr>
                <w:sz w:val="20"/>
                <w:szCs w:val="20"/>
                <w:color w:val="auto"/>
              </w:rPr>
            </w:pPr>
            <w:r>
              <w:rPr>
                <w:rFonts w:ascii="Calibri" w:cs="Calibri" w:eastAsia="Calibri" w:hAnsi="Calibri"/>
                <w:sz w:val="13"/>
                <w:szCs w:val="13"/>
                <w:color w:val="auto"/>
              </w:rPr>
              <w:t>7</w:t>
            </w:r>
          </w:p>
        </w:tc>
        <w:tc>
          <w:tcPr>
            <w:tcW w:w="940" w:type="dxa"/>
            <w:vAlign w:val="bottom"/>
            <w:gridSpan w:val="2"/>
            <w:vMerge w:val="restart"/>
          </w:tcPr>
          <w:p>
            <w:pPr>
              <w:jc w:val="right"/>
              <w:ind w:right="56"/>
              <w:spacing w:after="0"/>
              <w:rPr>
                <w:sz w:val="20"/>
                <w:szCs w:val="20"/>
                <w:color w:val="auto"/>
              </w:rPr>
            </w:pPr>
            <w:r>
              <w:rPr>
                <w:rFonts w:ascii="Calibri" w:cs="Calibri" w:eastAsia="Calibri" w:hAnsi="Calibri"/>
                <w:sz w:val="13"/>
                <w:szCs w:val="13"/>
                <w:color w:val="auto"/>
              </w:rPr>
              <w:t>50,658</w:t>
            </w:r>
          </w:p>
        </w:tc>
        <w:tc>
          <w:tcPr>
            <w:tcW w:w="780" w:type="dxa"/>
            <w:vAlign w:val="bottom"/>
            <w:vMerge w:val="restart"/>
          </w:tcPr>
          <w:p>
            <w:pPr>
              <w:jc w:val="right"/>
              <w:ind w:right="76"/>
              <w:spacing w:after="0"/>
              <w:rPr>
                <w:sz w:val="20"/>
                <w:szCs w:val="20"/>
                <w:color w:val="auto"/>
              </w:rPr>
            </w:pPr>
            <w:r>
              <w:rPr>
                <w:rFonts w:ascii="Calibri" w:cs="Calibri" w:eastAsia="Calibri" w:hAnsi="Calibri"/>
                <w:sz w:val="13"/>
                <w:szCs w:val="13"/>
                <w:color w:val="auto"/>
              </w:rPr>
              <w:t>234</w:t>
            </w:r>
          </w:p>
        </w:tc>
        <w:tc>
          <w:tcPr>
            <w:tcW w:w="920" w:type="dxa"/>
            <w:vAlign w:val="bottom"/>
            <w:vMerge w:val="restart"/>
          </w:tcPr>
          <w:p>
            <w:pPr>
              <w:jc w:val="right"/>
              <w:ind w:right="76"/>
              <w:spacing w:after="0"/>
              <w:rPr>
                <w:sz w:val="20"/>
                <w:szCs w:val="20"/>
                <w:color w:val="auto"/>
              </w:rPr>
            </w:pPr>
            <w:r>
              <w:rPr>
                <w:rFonts w:ascii="Calibri" w:cs="Calibri" w:eastAsia="Calibri" w:hAnsi="Calibri"/>
                <w:sz w:val="13"/>
                <w:szCs w:val="13"/>
                <w:color w:val="auto"/>
              </w:rPr>
              <w:t>—</w:t>
            </w:r>
          </w:p>
        </w:tc>
        <w:tc>
          <w:tcPr>
            <w:tcW w:w="820" w:type="dxa"/>
            <w:vAlign w:val="bottom"/>
            <w:vMerge w:val="restart"/>
          </w:tcPr>
          <w:p>
            <w:pPr>
              <w:jc w:val="right"/>
              <w:ind w:right="36"/>
              <w:spacing w:after="0"/>
              <w:rPr>
                <w:sz w:val="20"/>
                <w:szCs w:val="20"/>
                <w:color w:val="auto"/>
              </w:rPr>
            </w:pPr>
            <w:r>
              <w:rPr>
                <w:rFonts w:ascii="Calibri" w:cs="Calibri" w:eastAsia="Calibri" w:hAnsi="Calibri"/>
                <w:sz w:val="13"/>
                <w:szCs w:val="13"/>
                <w:color w:val="auto"/>
              </w:rPr>
              <w:t>—</w:t>
            </w:r>
          </w:p>
        </w:tc>
        <w:tc>
          <w:tcPr>
            <w:tcW w:w="800" w:type="dxa"/>
            <w:vAlign w:val="bottom"/>
            <w:vMerge w:val="restart"/>
          </w:tcPr>
          <w:p>
            <w:pPr>
              <w:jc w:val="right"/>
              <w:spacing w:after="0"/>
              <w:rPr>
                <w:sz w:val="20"/>
                <w:szCs w:val="20"/>
                <w:color w:val="auto"/>
              </w:rPr>
            </w:pPr>
            <w:r>
              <w:rPr>
                <w:rFonts w:ascii="Calibri" w:cs="Calibri" w:eastAsia="Calibri" w:hAnsi="Calibri"/>
                <w:sz w:val="13"/>
                <w:szCs w:val="13"/>
                <w:color w:val="auto"/>
              </w:rPr>
              <w:t>—</w:t>
            </w:r>
          </w:p>
        </w:tc>
        <w:tc>
          <w:tcPr>
            <w:tcW w:w="80" w:type="dxa"/>
            <w:vAlign w:val="bottom"/>
          </w:tcPr>
          <w:p>
            <w:pPr>
              <w:spacing w:after="0"/>
              <w:rPr>
                <w:sz w:val="12"/>
                <w:szCs w:val="12"/>
                <w:color w:val="auto"/>
              </w:rPr>
            </w:pPr>
          </w:p>
        </w:tc>
        <w:tc>
          <w:tcPr>
            <w:tcW w:w="840" w:type="dxa"/>
            <w:vAlign w:val="bottom"/>
            <w:vMerge w:val="restart"/>
          </w:tcPr>
          <w:p>
            <w:pPr>
              <w:jc w:val="right"/>
              <w:spacing w:after="0"/>
              <w:rPr>
                <w:sz w:val="20"/>
                <w:szCs w:val="20"/>
                <w:color w:val="auto"/>
              </w:rPr>
            </w:pPr>
            <w:r>
              <w:rPr>
                <w:rFonts w:ascii="Calibri" w:cs="Calibri" w:eastAsia="Calibri" w:hAnsi="Calibri"/>
                <w:sz w:val="13"/>
                <w:szCs w:val="13"/>
                <w:color w:val="auto"/>
              </w:rPr>
              <w:t>—</w:t>
            </w:r>
          </w:p>
        </w:tc>
        <w:tc>
          <w:tcPr>
            <w:tcW w:w="80" w:type="dxa"/>
            <w:vAlign w:val="bottom"/>
          </w:tcPr>
          <w:p>
            <w:pPr>
              <w:spacing w:after="0"/>
              <w:rPr>
                <w:sz w:val="12"/>
                <w:szCs w:val="12"/>
                <w:color w:val="auto"/>
              </w:rPr>
            </w:pPr>
          </w:p>
        </w:tc>
        <w:tc>
          <w:tcPr>
            <w:tcW w:w="1040" w:type="dxa"/>
            <w:vAlign w:val="bottom"/>
            <w:vMerge w:val="restart"/>
          </w:tcPr>
          <w:p>
            <w:pPr>
              <w:jc w:val="right"/>
              <w:spacing w:after="0"/>
              <w:rPr>
                <w:sz w:val="20"/>
                <w:szCs w:val="20"/>
                <w:color w:val="auto"/>
              </w:rPr>
            </w:pPr>
            <w:r>
              <w:rPr>
                <w:rFonts w:ascii="Calibri" w:cs="Calibri" w:eastAsia="Calibri" w:hAnsi="Calibri"/>
                <w:sz w:val="13"/>
                <w:szCs w:val="13"/>
                <w:color w:val="auto"/>
              </w:rPr>
              <w:t>—</w:t>
            </w:r>
          </w:p>
        </w:tc>
        <w:tc>
          <w:tcPr>
            <w:tcW w:w="980" w:type="dxa"/>
            <w:vAlign w:val="bottom"/>
            <w:gridSpan w:val="2"/>
            <w:vMerge w:val="restart"/>
          </w:tcPr>
          <w:p>
            <w:pPr>
              <w:jc w:val="right"/>
              <w:spacing w:after="0"/>
              <w:rPr>
                <w:sz w:val="20"/>
                <w:szCs w:val="20"/>
                <w:color w:val="auto"/>
              </w:rPr>
            </w:pPr>
            <w:r>
              <w:rPr>
                <w:rFonts w:ascii="Calibri" w:cs="Calibri" w:eastAsia="Calibri" w:hAnsi="Calibri"/>
                <w:sz w:val="13"/>
                <w:szCs w:val="13"/>
                <w:b w:val="1"/>
                <w:bCs w:val="1"/>
                <w:color w:val="auto"/>
              </w:rPr>
              <w:t>234</w:t>
            </w:r>
          </w:p>
        </w:tc>
        <w:tc>
          <w:tcPr>
            <w:tcW w:w="0" w:type="dxa"/>
            <w:vAlign w:val="bottom"/>
          </w:tcPr>
          <w:p>
            <w:pPr>
              <w:spacing w:after="0"/>
              <w:rPr>
                <w:sz w:val="1"/>
                <w:szCs w:val="1"/>
                <w:color w:val="auto"/>
              </w:rPr>
            </w:pPr>
          </w:p>
        </w:tc>
      </w:tr>
      <w:tr>
        <w:trPr>
          <w:trHeight w:val="155"/>
        </w:trPr>
        <w:tc>
          <w:tcPr>
            <w:tcW w:w="3360" w:type="dxa"/>
            <w:vAlign w:val="bottom"/>
          </w:tcPr>
          <w:p>
            <w:pPr>
              <w:ind w:left="60"/>
              <w:spacing w:after="0" w:line="155" w:lineRule="exact"/>
              <w:rPr>
                <w:sz w:val="20"/>
                <w:szCs w:val="20"/>
                <w:color w:val="auto"/>
              </w:rPr>
            </w:pPr>
            <w:r>
              <w:rPr>
                <w:rFonts w:ascii="Calibri" w:cs="Calibri" w:eastAsia="Calibri" w:hAnsi="Calibri"/>
                <w:sz w:val="13"/>
                <w:szCs w:val="13"/>
                <w:color w:val="auto"/>
              </w:rPr>
              <w:t>issuance costs</w:t>
            </w:r>
          </w:p>
        </w:tc>
        <w:tc>
          <w:tcPr>
            <w:tcW w:w="620" w:type="dxa"/>
            <w:vAlign w:val="bottom"/>
            <w:vMerge w:val="continue"/>
          </w:tcPr>
          <w:p>
            <w:pPr>
              <w:spacing w:after="0"/>
              <w:rPr>
                <w:sz w:val="13"/>
                <w:szCs w:val="13"/>
                <w:color w:val="auto"/>
              </w:rPr>
            </w:pPr>
          </w:p>
        </w:tc>
        <w:tc>
          <w:tcPr>
            <w:tcW w:w="940" w:type="dxa"/>
            <w:vAlign w:val="bottom"/>
            <w:gridSpan w:val="2"/>
            <w:vMerge w:val="continue"/>
          </w:tcPr>
          <w:p>
            <w:pPr>
              <w:spacing w:after="0"/>
              <w:rPr>
                <w:sz w:val="13"/>
                <w:szCs w:val="13"/>
                <w:color w:val="auto"/>
              </w:rPr>
            </w:pPr>
          </w:p>
        </w:tc>
        <w:tc>
          <w:tcPr>
            <w:tcW w:w="780" w:type="dxa"/>
            <w:vAlign w:val="bottom"/>
            <w:vMerge w:val="continue"/>
          </w:tcPr>
          <w:p>
            <w:pPr>
              <w:spacing w:after="0"/>
              <w:rPr>
                <w:sz w:val="13"/>
                <w:szCs w:val="13"/>
                <w:color w:val="auto"/>
              </w:rPr>
            </w:pPr>
          </w:p>
        </w:tc>
        <w:tc>
          <w:tcPr>
            <w:tcW w:w="920" w:type="dxa"/>
            <w:vAlign w:val="bottom"/>
            <w:vMerge w:val="continue"/>
          </w:tcPr>
          <w:p>
            <w:pPr>
              <w:spacing w:after="0"/>
              <w:rPr>
                <w:sz w:val="13"/>
                <w:szCs w:val="13"/>
                <w:color w:val="auto"/>
              </w:rPr>
            </w:pPr>
          </w:p>
        </w:tc>
        <w:tc>
          <w:tcPr>
            <w:tcW w:w="820" w:type="dxa"/>
            <w:vAlign w:val="bottom"/>
            <w:vMerge w:val="continue"/>
          </w:tcPr>
          <w:p>
            <w:pPr>
              <w:spacing w:after="0"/>
              <w:rPr>
                <w:sz w:val="13"/>
                <w:szCs w:val="13"/>
                <w:color w:val="auto"/>
              </w:rPr>
            </w:pPr>
          </w:p>
        </w:tc>
        <w:tc>
          <w:tcPr>
            <w:tcW w:w="800" w:type="dxa"/>
            <w:vAlign w:val="bottom"/>
            <w:vMerge w:val="continue"/>
          </w:tcPr>
          <w:p>
            <w:pPr>
              <w:spacing w:after="0"/>
              <w:rPr>
                <w:sz w:val="13"/>
                <w:szCs w:val="13"/>
                <w:color w:val="auto"/>
              </w:rPr>
            </w:pPr>
          </w:p>
        </w:tc>
        <w:tc>
          <w:tcPr>
            <w:tcW w:w="80" w:type="dxa"/>
            <w:vAlign w:val="bottom"/>
          </w:tcPr>
          <w:p>
            <w:pPr>
              <w:spacing w:after="0"/>
              <w:rPr>
                <w:sz w:val="13"/>
                <w:szCs w:val="13"/>
                <w:color w:val="auto"/>
              </w:rPr>
            </w:pPr>
          </w:p>
        </w:tc>
        <w:tc>
          <w:tcPr>
            <w:tcW w:w="840" w:type="dxa"/>
            <w:vAlign w:val="bottom"/>
            <w:vMerge w:val="continue"/>
          </w:tcPr>
          <w:p>
            <w:pPr>
              <w:spacing w:after="0"/>
              <w:rPr>
                <w:sz w:val="13"/>
                <w:szCs w:val="13"/>
                <w:color w:val="auto"/>
              </w:rPr>
            </w:pPr>
          </w:p>
        </w:tc>
        <w:tc>
          <w:tcPr>
            <w:tcW w:w="80" w:type="dxa"/>
            <w:vAlign w:val="bottom"/>
          </w:tcPr>
          <w:p>
            <w:pPr>
              <w:spacing w:after="0"/>
              <w:rPr>
                <w:sz w:val="13"/>
                <w:szCs w:val="13"/>
                <w:color w:val="auto"/>
              </w:rPr>
            </w:pPr>
          </w:p>
        </w:tc>
        <w:tc>
          <w:tcPr>
            <w:tcW w:w="1040" w:type="dxa"/>
            <w:vAlign w:val="bottom"/>
            <w:vMerge w:val="continue"/>
          </w:tcPr>
          <w:p>
            <w:pPr>
              <w:spacing w:after="0"/>
              <w:rPr>
                <w:sz w:val="13"/>
                <w:szCs w:val="13"/>
                <w:color w:val="auto"/>
              </w:rPr>
            </w:pPr>
          </w:p>
        </w:tc>
        <w:tc>
          <w:tcPr>
            <w:tcW w:w="980" w:type="dxa"/>
            <w:vAlign w:val="bottom"/>
            <w:gridSpan w:val="2"/>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80"/>
        </w:trPr>
        <w:tc>
          <w:tcPr>
            <w:tcW w:w="3360" w:type="dxa"/>
            <w:vAlign w:val="bottom"/>
          </w:tcPr>
          <w:p>
            <w:pPr>
              <w:ind w:left="60"/>
              <w:spacing w:after="0"/>
              <w:rPr>
                <w:sz w:val="20"/>
                <w:szCs w:val="20"/>
                <w:color w:val="auto"/>
              </w:rPr>
            </w:pPr>
            <w:r>
              <w:rPr>
                <w:rFonts w:ascii="Calibri" w:cs="Calibri" w:eastAsia="Calibri" w:hAnsi="Calibri"/>
                <w:sz w:val="13"/>
                <w:szCs w:val="13"/>
                <w:color w:val="auto"/>
              </w:rPr>
              <w:t>Optons expired</w:t>
            </w:r>
          </w:p>
        </w:tc>
        <w:tc>
          <w:tcPr>
            <w:tcW w:w="620" w:type="dxa"/>
            <w:vAlign w:val="bottom"/>
          </w:tcPr>
          <w:p>
            <w:pPr>
              <w:jc w:val="center"/>
              <w:spacing w:after="0"/>
              <w:rPr>
                <w:sz w:val="20"/>
                <w:szCs w:val="20"/>
                <w:color w:val="auto"/>
              </w:rPr>
            </w:pPr>
            <w:r>
              <w:rPr>
                <w:rFonts w:ascii="Calibri" w:cs="Calibri" w:eastAsia="Calibri" w:hAnsi="Calibri"/>
                <w:sz w:val="13"/>
                <w:szCs w:val="13"/>
                <w:color w:val="auto"/>
              </w:rPr>
              <w:t>7</w:t>
            </w:r>
          </w:p>
        </w:tc>
        <w:tc>
          <w:tcPr>
            <w:tcW w:w="100" w:type="dxa"/>
            <w:vAlign w:val="bottom"/>
          </w:tcPr>
          <w:p>
            <w:pPr>
              <w:spacing w:after="0"/>
              <w:rPr>
                <w:sz w:val="15"/>
                <w:szCs w:val="15"/>
                <w:color w:val="auto"/>
              </w:rPr>
            </w:pPr>
          </w:p>
        </w:tc>
        <w:tc>
          <w:tcPr>
            <w:tcW w:w="840" w:type="dxa"/>
            <w:vAlign w:val="bottom"/>
          </w:tcPr>
          <w:p>
            <w:pPr>
              <w:jc w:val="right"/>
              <w:ind w:right="56"/>
              <w:spacing w:after="0"/>
              <w:rPr>
                <w:sz w:val="20"/>
                <w:szCs w:val="20"/>
                <w:color w:val="auto"/>
              </w:rPr>
            </w:pPr>
            <w:r>
              <w:rPr>
                <w:rFonts w:ascii="Calibri" w:cs="Calibri" w:eastAsia="Calibri" w:hAnsi="Calibri"/>
                <w:sz w:val="13"/>
                <w:szCs w:val="13"/>
                <w:color w:val="auto"/>
              </w:rPr>
              <w:t>—</w:t>
            </w:r>
          </w:p>
        </w:tc>
        <w:tc>
          <w:tcPr>
            <w:tcW w:w="780" w:type="dxa"/>
            <w:vAlign w:val="bottom"/>
          </w:tcPr>
          <w:p>
            <w:pPr>
              <w:jc w:val="right"/>
              <w:ind w:right="76"/>
              <w:spacing w:after="0"/>
              <w:rPr>
                <w:sz w:val="20"/>
                <w:szCs w:val="20"/>
                <w:color w:val="auto"/>
              </w:rPr>
            </w:pPr>
            <w:r>
              <w:rPr>
                <w:rFonts w:ascii="Calibri" w:cs="Calibri" w:eastAsia="Calibri" w:hAnsi="Calibri"/>
                <w:sz w:val="13"/>
                <w:szCs w:val="13"/>
                <w:color w:val="auto"/>
              </w:rPr>
              <w:t>—</w:t>
            </w:r>
          </w:p>
        </w:tc>
        <w:tc>
          <w:tcPr>
            <w:tcW w:w="920" w:type="dxa"/>
            <w:vAlign w:val="bottom"/>
          </w:tcPr>
          <w:p>
            <w:pPr>
              <w:jc w:val="right"/>
              <w:ind w:right="76"/>
              <w:spacing w:after="0"/>
              <w:rPr>
                <w:sz w:val="20"/>
                <w:szCs w:val="20"/>
                <w:color w:val="auto"/>
              </w:rPr>
            </w:pPr>
            <w:r>
              <w:rPr>
                <w:rFonts w:ascii="Calibri" w:cs="Calibri" w:eastAsia="Calibri" w:hAnsi="Calibri"/>
                <w:sz w:val="13"/>
                <w:szCs w:val="13"/>
                <w:color w:val="auto"/>
              </w:rPr>
              <w:t>—</w:t>
            </w:r>
          </w:p>
        </w:tc>
        <w:tc>
          <w:tcPr>
            <w:tcW w:w="820" w:type="dxa"/>
            <w:vAlign w:val="bottom"/>
          </w:tcPr>
          <w:p>
            <w:pPr>
              <w:jc w:val="right"/>
              <w:ind w:right="36"/>
              <w:spacing w:after="0"/>
              <w:rPr>
                <w:sz w:val="20"/>
                <w:szCs w:val="20"/>
                <w:color w:val="auto"/>
              </w:rPr>
            </w:pPr>
            <w:r>
              <w:rPr>
                <w:rFonts w:ascii="Calibri" w:cs="Calibri" w:eastAsia="Calibri" w:hAnsi="Calibri"/>
                <w:sz w:val="13"/>
                <w:szCs w:val="13"/>
                <w:color w:val="auto"/>
              </w:rPr>
              <w:t>(467)</w:t>
            </w:r>
          </w:p>
        </w:tc>
        <w:tc>
          <w:tcPr>
            <w:tcW w:w="800" w:type="dxa"/>
            <w:vAlign w:val="bottom"/>
          </w:tcPr>
          <w:p>
            <w:pPr>
              <w:jc w:val="right"/>
              <w:spacing w:after="0"/>
              <w:rPr>
                <w:sz w:val="20"/>
                <w:szCs w:val="20"/>
                <w:color w:val="auto"/>
              </w:rPr>
            </w:pPr>
            <w:r>
              <w:rPr>
                <w:rFonts w:ascii="Calibri" w:cs="Calibri" w:eastAsia="Calibri" w:hAnsi="Calibri"/>
                <w:sz w:val="13"/>
                <w:szCs w:val="13"/>
                <w:color w:val="auto"/>
              </w:rPr>
              <w:t>467</w:t>
            </w:r>
          </w:p>
        </w:tc>
        <w:tc>
          <w:tcPr>
            <w:tcW w:w="8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Calibri" w:cs="Calibri" w:eastAsia="Calibri" w:hAnsi="Calibri"/>
                <w:sz w:val="13"/>
                <w:szCs w:val="13"/>
                <w:color w:val="auto"/>
              </w:rPr>
              <w:t>—</w:t>
            </w:r>
          </w:p>
        </w:tc>
        <w:tc>
          <w:tcPr>
            <w:tcW w:w="8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Calibri" w:cs="Calibri" w:eastAsia="Calibri" w:hAnsi="Calibri"/>
                <w:sz w:val="13"/>
                <w:szCs w:val="13"/>
                <w:color w:val="auto"/>
              </w:rPr>
              <w:t>—</w:t>
            </w:r>
          </w:p>
        </w:tc>
        <w:tc>
          <w:tcPr>
            <w:tcW w:w="80" w:type="dxa"/>
            <w:vAlign w:val="bottom"/>
          </w:tcPr>
          <w:p>
            <w:pPr>
              <w:spacing w:after="0"/>
              <w:rPr>
                <w:sz w:val="15"/>
                <w:szCs w:val="15"/>
                <w:color w:val="auto"/>
              </w:rPr>
            </w:pPr>
          </w:p>
        </w:tc>
        <w:tc>
          <w:tcPr>
            <w:tcW w:w="900" w:type="dxa"/>
            <w:vAlign w:val="bottom"/>
          </w:tcPr>
          <w:p>
            <w:pPr>
              <w:jc w:val="right"/>
              <w:spacing w:after="0"/>
              <w:rPr>
                <w:sz w:val="20"/>
                <w:szCs w:val="20"/>
                <w:color w:val="auto"/>
              </w:rPr>
            </w:pPr>
            <w:r>
              <w:rPr>
                <w:rFonts w:ascii="Calibri" w:cs="Calibri" w:eastAsia="Calibri" w:hAnsi="Calibri"/>
                <w:sz w:val="13"/>
                <w:szCs w:val="13"/>
                <w:b w:val="1"/>
                <w:bCs w:val="1"/>
                <w:color w:val="auto"/>
              </w:rPr>
              <w:t>—</w:t>
            </w:r>
          </w:p>
        </w:tc>
        <w:tc>
          <w:tcPr>
            <w:tcW w:w="0" w:type="dxa"/>
            <w:vAlign w:val="bottom"/>
          </w:tcPr>
          <w:p>
            <w:pPr>
              <w:spacing w:after="0"/>
              <w:rPr>
                <w:sz w:val="1"/>
                <w:szCs w:val="1"/>
                <w:color w:val="auto"/>
              </w:rPr>
            </w:pPr>
          </w:p>
        </w:tc>
      </w:tr>
      <w:tr>
        <w:trPr>
          <w:trHeight w:val="181"/>
        </w:trPr>
        <w:tc>
          <w:tcPr>
            <w:tcW w:w="3360" w:type="dxa"/>
            <w:vAlign w:val="bottom"/>
          </w:tcPr>
          <w:p>
            <w:pPr>
              <w:ind w:left="60"/>
              <w:spacing w:after="0"/>
              <w:rPr>
                <w:sz w:val="20"/>
                <w:szCs w:val="20"/>
                <w:color w:val="auto"/>
              </w:rPr>
            </w:pPr>
            <w:r>
              <w:rPr>
                <w:rFonts w:ascii="Calibri" w:cs="Calibri" w:eastAsia="Calibri" w:hAnsi="Calibri"/>
                <w:sz w:val="13"/>
                <w:szCs w:val="13"/>
                <w:color w:val="auto"/>
              </w:rPr>
              <w:t>Warrants expired</w:t>
            </w:r>
          </w:p>
        </w:tc>
        <w:tc>
          <w:tcPr>
            <w:tcW w:w="620" w:type="dxa"/>
            <w:vAlign w:val="bottom"/>
          </w:tcPr>
          <w:p>
            <w:pPr>
              <w:jc w:val="center"/>
              <w:spacing w:after="0"/>
              <w:rPr>
                <w:sz w:val="20"/>
                <w:szCs w:val="20"/>
                <w:color w:val="auto"/>
              </w:rPr>
            </w:pPr>
            <w:r>
              <w:rPr>
                <w:rFonts w:ascii="Calibri" w:cs="Calibri" w:eastAsia="Calibri" w:hAnsi="Calibri"/>
                <w:sz w:val="13"/>
                <w:szCs w:val="13"/>
                <w:color w:val="auto"/>
              </w:rPr>
              <w:t>7</w:t>
            </w:r>
          </w:p>
        </w:tc>
        <w:tc>
          <w:tcPr>
            <w:tcW w:w="100" w:type="dxa"/>
            <w:vAlign w:val="bottom"/>
          </w:tcPr>
          <w:p>
            <w:pPr>
              <w:spacing w:after="0"/>
              <w:rPr>
                <w:sz w:val="15"/>
                <w:szCs w:val="15"/>
                <w:color w:val="auto"/>
              </w:rPr>
            </w:pPr>
          </w:p>
        </w:tc>
        <w:tc>
          <w:tcPr>
            <w:tcW w:w="840" w:type="dxa"/>
            <w:vAlign w:val="bottom"/>
          </w:tcPr>
          <w:p>
            <w:pPr>
              <w:jc w:val="right"/>
              <w:ind w:right="56"/>
              <w:spacing w:after="0"/>
              <w:rPr>
                <w:sz w:val="20"/>
                <w:szCs w:val="20"/>
                <w:color w:val="auto"/>
              </w:rPr>
            </w:pPr>
            <w:r>
              <w:rPr>
                <w:rFonts w:ascii="Calibri" w:cs="Calibri" w:eastAsia="Calibri" w:hAnsi="Calibri"/>
                <w:sz w:val="13"/>
                <w:szCs w:val="13"/>
                <w:color w:val="auto"/>
              </w:rPr>
              <w:t>—</w:t>
            </w:r>
          </w:p>
        </w:tc>
        <w:tc>
          <w:tcPr>
            <w:tcW w:w="780" w:type="dxa"/>
            <w:vAlign w:val="bottom"/>
          </w:tcPr>
          <w:p>
            <w:pPr>
              <w:jc w:val="right"/>
              <w:ind w:right="76"/>
              <w:spacing w:after="0"/>
              <w:rPr>
                <w:sz w:val="20"/>
                <w:szCs w:val="20"/>
                <w:color w:val="auto"/>
              </w:rPr>
            </w:pPr>
            <w:r>
              <w:rPr>
                <w:rFonts w:ascii="Calibri" w:cs="Calibri" w:eastAsia="Calibri" w:hAnsi="Calibri"/>
                <w:sz w:val="13"/>
                <w:szCs w:val="13"/>
                <w:color w:val="auto"/>
              </w:rPr>
              <w:t>—</w:t>
            </w:r>
          </w:p>
        </w:tc>
        <w:tc>
          <w:tcPr>
            <w:tcW w:w="920" w:type="dxa"/>
            <w:vAlign w:val="bottom"/>
          </w:tcPr>
          <w:p>
            <w:pPr>
              <w:jc w:val="right"/>
              <w:ind w:right="76"/>
              <w:spacing w:after="0"/>
              <w:rPr>
                <w:sz w:val="20"/>
                <w:szCs w:val="20"/>
                <w:color w:val="auto"/>
              </w:rPr>
            </w:pPr>
            <w:r>
              <w:rPr>
                <w:rFonts w:ascii="Calibri" w:cs="Calibri" w:eastAsia="Calibri" w:hAnsi="Calibri"/>
                <w:sz w:val="13"/>
                <w:szCs w:val="13"/>
                <w:color w:val="auto"/>
              </w:rPr>
              <w:t>(1,156)</w:t>
            </w:r>
          </w:p>
        </w:tc>
        <w:tc>
          <w:tcPr>
            <w:tcW w:w="820" w:type="dxa"/>
            <w:vAlign w:val="bottom"/>
          </w:tcPr>
          <w:p>
            <w:pPr>
              <w:jc w:val="right"/>
              <w:ind w:right="36"/>
              <w:spacing w:after="0"/>
              <w:rPr>
                <w:sz w:val="20"/>
                <w:szCs w:val="20"/>
                <w:color w:val="auto"/>
              </w:rPr>
            </w:pPr>
            <w:r>
              <w:rPr>
                <w:rFonts w:ascii="Calibri" w:cs="Calibri" w:eastAsia="Calibri" w:hAnsi="Calibri"/>
                <w:sz w:val="13"/>
                <w:szCs w:val="13"/>
                <w:color w:val="auto"/>
              </w:rPr>
              <w:t>—</w:t>
            </w:r>
          </w:p>
        </w:tc>
        <w:tc>
          <w:tcPr>
            <w:tcW w:w="800" w:type="dxa"/>
            <w:vAlign w:val="bottom"/>
          </w:tcPr>
          <w:p>
            <w:pPr>
              <w:jc w:val="right"/>
              <w:spacing w:after="0"/>
              <w:rPr>
                <w:sz w:val="20"/>
                <w:szCs w:val="20"/>
                <w:color w:val="auto"/>
              </w:rPr>
            </w:pPr>
            <w:r>
              <w:rPr>
                <w:rFonts w:ascii="Calibri" w:cs="Calibri" w:eastAsia="Calibri" w:hAnsi="Calibri"/>
                <w:sz w:val="13"/>
                <w:szCs w:val="13"/>
                <w:color w:val="auto"/>
              </w:rPr>
              <w:t>1,156</w:t>
            </w:r>
          </w:p>
        </w:tc>
        <w:tc>
          <w:tcPr>
            <w:tcW w:w="8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Calibri" w:cs="Calibri" w:eastAsia="Calibri" w:hAnsi="Calibri"/>
                <w:sz w:val="13"/>
                <w:szCs w:val="13"/>
                <w:color w:val="auto"/>
              </w:rPr>
              <w:t>—</w:t>
            </w:r>
          </w:p>
        </w:tc>
        <w:tc>
          <w:tcPr>
            <w:tcW w:w="8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Calibri" w:cs="Calibri" w:eastAsia="Calibri" w:hAnsi="Calibri"/>
                <w:sz w:val="13"/>
                <w:szCs w:val="13"/>
                <w:color w:val="auto"/>
              </w:rPr>
              <w:t>—</w:t>
            </w:r>
          </w:p>
        </w:tc>
        <w:tc>
          <w:tcPr>
            <w:tcW w:w="80" w:type="dxa"/>
            <w:vAlign w:val="bottom"/>
          </w:tcPr>
          <w:p>
            <w:pPr>
              <w:spacing w:after="0"/>
              <w:rPr>
                <w:sz w:val="15"/>
                <w:szCs w:val="15"/>
                <w:color w:val="auto"/>
              </w:rPr>
            </w:pPr>
          </w:p>
        </w:tc>
        <w:tc>
          <w:tcPr>
            <w:tcW w:w="900" w:type="dxa"/>
            <w:vAlign w:val="bottom"/>
          </w:tcPr>
          <w:p>
            <w:pPr>
              <w:jc w:val="right"/>
              <w:spacing w:after="0"/>
              <w:rPr>
                <w:sz w:val="20"/>
                <w:szCs w:val="20"/>
                <w:color w:val="auto"/>
              </w:rPr>
            </w:pPr>
            <w:r>
              <w:rPr>
                <w:rFonts w:ascii="Calibri" w:cs="Calibri" w:eastAsia="Calibri" w:hAnsi="Calibri"/>
                <w:sz w:val="13"/>
                <w:szCs w:val="13"/>
                <w:b w:val="1"/>
                <w:bCs w:val="1"/>
                <w:color w:val="auto"/>
              </w:rPr>
              <w:t>—</w:t>
            </w:r>
          </w:p>
        </w:tc>
        <w:tc>
          <w:tcPr>
            <w:tcW w:w="0" w:type="dxa"/>
            <w:vAlign w:val="bottom"/>
          </w:tcPr>
          <w:p>
            <w:pPr>
              <w:spacing w:after="0"/>
              <w:rPr>
                <w:sz w:val="1"/>
                <w:szCs w:val="1"/>
                <w:color w:val="auto"/>
              </w:rPr>
            </w:pPr>
          </w:p>
        </w:tc>
      </w:tr>
      <w:tr>
        <w:trPr>
          <w:trHeight w:val="181"/>
        </w:trPr>
        <w:tc>
          <w:tcPr>
            <w:tcW w:w="3360" w:type="dxa"/>
            <w:vAlign w:val="bottom"/>
          </w:tcPr>
          <w:p>
            <w:pPr>
              <w:ind w:left="60"/>
              <w:spacing w:after="0"/>
              <w:rPr>
                <w:sz w:val="20"/>
                <w:szCs w:val="20"/>
                <w:color w:val="auto"/>
              </w:rPr>
            </w:pPr>
            <w:r>
              <w:rPr>
                <w:rFonts w:ascii="Calibri" w:cs="Calibri" w:eastAsia="Calibri" w:hAnsi="Calibri"/>
                <w:sz w:val="13"/>
                <w:szCs w:val="13"/>
                <w:color w:val="auto"/>
              </w:rPr>
              <w:t>Share-based compensaton</w:t>
            </w:r>
          </w:p>
        </w:tc>
        <w:tc>
          <w:tcPr>
            <w:tcW w:w="620" w:type="dxa"/>
            <w:vAlign w:val="bottom"/>
          </w:tcPr>
          <w:p>
            <w:pPr>
              <w:jc w:val="center"/>
              <w:spacing w:after="0"/>
              <w:rPr>
                <w:sz w:val="20"/>
                <w:szCs w:val="20"/>
                <w:color w:val="auto"/>
              </w:rPr>
            </w:pPr>
            <w:r>
              <w:rPr>
                <w:rFonts w:ascii="Calibri" w:cs="Calibri" w:eastAsia="Calibri" w:hAnsi="Calibri"/>
                <w:sz w:val="13"/>
                <w:szCs w:val="13"/>
                <w:color w:val="auto"/>
              </w:rPr>
              <w:t>7</w:t>
            </w:r>
          </w:p>
        </w:tc>
        <w:tc>
          <w:tcPr>
            <w:tcW w:w="100" w:type="dxa"/>
            <w:vAlign w:val="bottom"/>
          </w:tcPr>
          <w:p>
            <w:pPr>
              <w:spacing w:after="0"/>
              <w:rPr>
                <w:sz w:val="15"/>
                <w:szCs w:val="15"/>
                <w:color w:val="auto"/>
              </w:rPr>
            </w:pPr>
          </w:p>
        </w:tc>
        <w:tc>
          <w:tcPr>
            <w:tcW w:w="840" w:type="dxa"/>
            <w:vAlign w:val="bottom"/>
          </w:tcPr>
          <w:p>
            <w:pPr>
              <w:jc w:val="right"/>
              <w:ind w:right="56"/>
              <w:spacing w:after="0"/>
              <w:rPr>
                <w:sz w:val="20"/>
                <w:szCs w:val="20"/>
                <w:color w:val="auto"/>
              </w:rPr>
            </w:pPr>
            <w:r>
              <w:rPr>
                <w:rFonts w:ascii="Calibri" w:cs="Calibri" w:eastAsia="Calibri" w:hAnsi="Calibri"/>
                <w:sz w:val="13"/>
                <w:szCs w:val="13"/>
                <w:color w:val="auto"/>
              </w:rPr>
              <w:t>—</w:t>
            </w:r>
          </w:p>
        </w:tc>
        <w:tc>
          <w:tcPr>
            <w:tcW w:w="780" w:type="dxa"/>
            <w:vAlign w:val="bottom"/>
          </w:tcPr>
          <w:p>
            <w:pPr>
              <w:jc w:val="right"/>
              <w:ind w:right="76"/>
              <w:spacing w:after="0"/>
              <w:rPr>
                <w:sz w:val="20"/>
                <w:szCs w:val="20"/>
                <w:color w:val="auto"/>
              </w:rPr>
            </w:pPr>
            <w:r>
              <w:rPr>
                <w:rFonts w:ascii="Calibri" w:cs="Calibri" w:eastAsia="Calibri" w:hAnsi="Calibri"/>
                <w:sz w:val="13"/>
                <w:szCs w:val="13"/>
                <w:color w:val="auto"/>
              </w:rPr>
              <w:t>—</w:t>
            </w:r>
          </w:p>
        </w:tc>
        <w:tc>
          <w:tcPr>
            <w:tcW w:w="920" w:type="dxa"/>
            <w:vAlign w:val="bottom"/>
          </w:tcPr>
          <w:p>
            <w:pPr>
              <w:jc w:val="right"/>
              <w:ind w:right="76"/>
              <w:spacing w:after="0"/>
              <w:rPr>
                <w:sz w:val="20"/>
                <w:szCs w:val="20"/>
                <w:color w:val="auto"/>
              </w:rPr>
            </w:pPr>
            <w:r>
              <w:rPr>
                <w:rFonts w:ascii="Calibri" w:cs="Calibri" w:eastAsia="Calibri" w:hAnsi="Calibri"/>
                <w:sz w:val="13"/>
                <w:szCs w:val="13"/>
                <w:color w:val="auto"/>
              </w:rPr>
              <w:t>—</w:t>
            </w:r>
          </w:p>
        </w:tc>
        <w:tc>
          <w:tcPr>
            <w:tcW w:w="820" w:type="dxa"/>
            <w:vAlign w:val="bottom"/>
          </w:tcPr>
          <w:p>
            <w:pPr>
              <w:jc w:val="right"/>
              <w:ind w:right="36"/>
              <w:spacing w:after="0"/>
              <w:rPr>
                <w:sz w:val="20"/>
                <w:szCs w:val="20"/>
                <w:color w:val="auto"/>
              </w:rPr>
            </w:pPr>
            <w:r>
              <w:rPr>
                <w:rFonts w:ascii="Calibri" w:cs="Calibri" w:eastAsia="Calibri" w:hAnsi="Calibri"/>
                <w:sz w:val="13"/>
                <w:szCs w:val="13"/>
                <w:color w:val="auto"/>
              </w:rPr>
              <w:t>2,689</w:t>
            </w:r>
          </w:p>
        </w:tc>
        <w:tc>
          <w:tcPr>
            <w:tcW w:w="800" w:type="dxa"/>
            <w:vAlign w:val="bottom"/>
          </w:tcPr>
          <w:p>
            <w:pPr>
              <w:jc w:val="right"/>
              <w:spacing w:after="0"/>
              <w:rPr>
                <w:sz w:val="20"/>
                <w:szCs w:val="20"/>
                <w:color w:val="auto"/>
              </w:rPr>
            </w:pPr>
            <w:r>
              <w:rPr>
                <w:rFonts w:ascii="Calibri" w:cs="Calibri" w:eastAsia="Calibri" w:hAnsi="Calibri"/>
                <w:sz w:val="13"/>
                <w:szCs w:val="13"/>
                <w:color w:val="auto"/>
              </w:rPr>
              <w:t>—</w:t>
            </w:r>
          </w:p>
        </w:tc>
        <w:tc>
          <w:tcPr>
            <w:tcW w:w="8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Calibri" w:cs="Calibri" w:eastAsia="Calibri" w:hAnsi="Calibri"/>
                <w:sz w:val="13"/>
                <w:szCs w:val="13"/>
                <w:color w:val="auto"/>
              </w:rPr>
              <w:t>—</w:t>
            </w:r>
          </w:p>
        </w:tc>
        <w:tc>
          <w:tcPr>
            <w:tcW w:w="8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Calibri" w:cs="Calibri" w:eastAsia="Calibri" w:hAnsi="Calibri"/>
                <w:sz w:val="13"/>
                <w:szCs w:val="13"/>
                <w:color w:val="auto"/>
              </w:rPr>
              <w:t>—</w:t>
            </w:r>
          </w:p>
        </w:tc>
        <w:tc>
          <w:tcPr>
            <w:tcW w:w="980" w:type="dxa"/>
            <w:vAlign w:val="bottom"/>
            <w:gridSpan w:val="2"/>
          </w:tcPr>
          <w:p>
            <w:pPr>
              <w:jc w:val="right"/>
              <w:spacing w:after="0"/>
              <w:rPr>
                <w:sz w:val="20"/>
                <w:szCs w:val="20"/>
                <w:color w:val="auto"/>
              </w:rPr>
            </w:pPr>
            <w:r>
              <w:rPr>
                <w:rFonts w:ascii="Calibri" w:cs="Calibri" w:eastAsia="Calibri" w:hAnsi="Calibri"/>
                <w:sz w:val="13"/>
                <w:szCs w:val="13"/>
                <w:b w:val="1"/>
                <w:bCs w:val="1"/>
                <w:color w:val="auto"/>
              </w:rPr>
              <w:t>2,689</w:t>
            </w:r>
          </w:p>
        </w:tc>
        <w:tc>
          <w:tcPr>
            <w:tcW w:w="0" w:type="dxa"/>
            <w:vAlign w:val="bottom"/>
          </w:tcPr>
          <w:p>
            <w:pPr>
              <w:spacing w:after="0"/>
              <w:rPr>
                <w:sz w:val="1"/>
                <w:szCs w:val="1"/>
                <w:color w:val="auto"/>
              </w:rPr>
            </w:pPr>
          </w:p>
        </w:tc>
      </w:tr>
      <w:tr>
        <w:trPr>
          <w:trHeight w:val="181"/>
        </w:trPr>
        <w:tc>
          <w:tcPr>
            <w:tcW w:w="3360" w:type="dxa"/>
            <w:vAlign w:val="bottom"/>
          </w:tcPr>
          <w:p>
            <w:pPr>
              <w:ind w:left="60"/>
              <w:spacing w:after="0"/>
              <w:rPr>
                <w:sz w:val="20"/>
                <w:szCs w:val="20"/>
                <w:color w:val="auto"/>
              </w:rPr>
            </w:pPr>
            <w:r>
              <w:rPr>
                <w:rFonts w:ascii="Calibri" w:cs="Calibri" w:eastAsia="Calibri" w:hAnsi="Calibri"/>
                <w:sz w:val="13"/>
                <w:szCs w:val="13"/>
                <w:color w:val="auto"/>
              </w:rPr>
              <w:t>Unrealized loss on translaton of foreign operatons</w:t>
            </w:r>
          </w:p>
        </w:tc>
        <w:tc>
          <w:tcPr>
            <w:tcW w:w="620" w:type="dxa"/>
            <w:vAlign w:val="bottom"/>
          </w:tcPr>
          <w:p>
            <w:pPr>
              <w:jc w:val="center"/>
              <w:spacing w:after="0"/>
              <w:rPr>
                <w:sz w:val="20"/>
                <w:szCs w:val="20"/>
                <w:color w:val="auto"/>
              </w:rPr>
            </w:pPr>
            <w:r>
              <w:rPr>
                <w:rFonts w:ascii="Calibri" w:cs="Calibri" w:eastAsia="Calibri" w:hAnsi="Calibri"/>
                <w:sz w:val="13"/>
                <w:szCs w:val="13"/>
                <w:color w:val="auto"/>
              </w:rPr>
              <w:t>7</w:t>
            </w:r>
          </w:p>
        </w:tc>
        <w:tc>
          <w:tcPr>
            <w:tcW w:w="100" w:type="dxa"/>
            <w:vAlign w:val="bottom"/>
          </w:tcPr>
          <w:p>
            <w:pPr>
              <w:spacing w:after="0"/>
              <w:rPr>
                <w:sz w:val="15"/>
                <w:szCs w:val="15"/>
                <w:color w:val="auto"/>
              </w:rPr>
            </w:pPr>
          </w:p>
        </w:tc>
        <w:tc>
          <w:tcPr>
            <w:tcW w:w="840" w:type="dxa"/>
            <w:vAlign w:val="bottom"/>
          </w:tcPr>
          <w:p>
            <w:pPr>
              <w:jc w:val="right"/>
              <w:ind w:right="56"/>
              <w:spacing w:after="0"/>
              <w:rPr>
                <w:sz w:val="20"/>
                <w:szCs w:val="20"/>
                <w:color w:val="auto"/>
              </w:rPr>
            </w:pPr>
            <w:r>
              <w:rPr>
                <w:rFonts w:ascii="Calibri" w:cs="Calibri" w:eastAsia="Calibri" w:hAnsi="Calibri"/>
                <w:sz w:val="13"/>
                <w:szCs w:val="13"/>
                <w:color w:val="auto"/>
              </w:rPr>
              <w:t>—</w:t>
            </w:r>
          </w:p>
        </w:tc>
        <w:tc>
          <w:tcPr>
            <w:tcW w:w="780" w:type="dxa"/>
            <w:vAlign w:val="bottom"/>
          </w:tcPr>
          <w:p>
            <w:pPr>
              <w:jc w:val="right"/>
              <w:ind w:right="76"/>
              <w:spacing w:after="0"/>
              <w:rPr>
                <w:sz w:val="20"/>
                <w:szCs w:val="20"/>
                <w:color w:val="auto"/>
              </w:rPr>
            </w:pPr>
            <w:r>
              <w:rPr>
                <w:rFonts w:ascii="Calibri" w:cs="Calibri" w:eastAsia="Calibri" w:hAnsi="Calibri"/>
                <w:sz w:val="13"/>
                <w:szCs w:val="13"/>
                <w:color w:val="auto"/>
              </w:rPr>
              <w:t>—</w:t>
            </w:r>
          </w:p>
        </w:tc>
        <w:tc>
          <w:tcPr>
            <w:tcW w:w="920" w:type="dxa"/>
            <w:vAlign w:val="bottom"/>
          </w:tcPr>
          <w:p>
            <w:pPr>
              <w:jc w:val="right"/>
              <w:ind w:right="76"/>
              <w:spacing w:after="0"/>
              <w:rPr>
                <w:sz w:val="20"/>
                <w:szCs w:val="20"/>
                <w:color w:val="auto"/>
              </w:rPr>
            </w:pPr>
            <w:r>
              <w:rPr>
                <w:rFonts w:ascii="Calibri" w:cs="Calibri" w:eastAsia="Calibri" w:hAnsi="Calibri"/>
                <w:sz w:val="13"/>
                <w:szCs w:val="13"/>
                <w:color w:val="auto"/>
              </w:rPr>
              <w:t>—</w:t>
            </w:r>
          </w:p>
        </w:tc>
        <w:tc>
          <w:tcPr>
            <w:tcW w:w="820" w:type="dxa"/>
            <w:vAlign w:val="bottom"/>
          </w:tcPr>
          <w:p>
            <w:pPr>
              <w:jc w:val="right"/>
              <w:ind w:right="36"/>
              <w:spacing w:after="0"/>
              <w:rPr>
                <w:sz w:val="20"/>
                <w:szCs w:val="20"/>
                <w:color w:val="auto"/>
              </w:rPr>
            </w:pPr>
            <w:r>
              <w:rPr>
                <w:rFonts w:ascii="Calibri" w:cs="Calibri" w:eastAsia="Calibri" w:hAnsi="Calibri"/>
                <w:sz w:val="13"/>
                <w:szCs w:val="13"/>
                <w:color w:val="auto"/>
              </w:rPr>
              <w:t>—</w:t>
            </w:r>
          </w:p>
        </w:tc>
        <w:tc>
          <w:tcPr>
            <w:tcW w:w="800" w:type="dxa"/>
            <w:vAlign w:val="bottom"/>
          </w:tcPr>
          <w:p>
            <w:pPr>
              <w:jc w:val="right"/>
              <w:spacing w:after="0"/>
              <w:rPr>
                <w:sz w:val="20"/>
                <w:szCs w:val="20"/>
                <w:color w:val="auto"/>
              </w:rPr>
            </w:pPr>
            <w:r>
              <w:rPr>
                <w:rFonts w:ascii="Calibri" w:cs="Calibri" w:eastAsia="Calibri" w:hAnsi="Calibri"/>
                <w:sz w:val="13"/>
                <w:szCs w:val="13"/>
                <w:color w:val="auto"/>
              </w:rPr>
              <w:t>—</w:t>
            </w:r>
          </w:p>
        </w:tc>
        <w:tc>
          <w:tcPr>
            <w:tcW w:w="8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Calibri" w:cs="Calibri" w:eastAsia="Calibri" w:hAnsi="Calibri"/>
                <w:sz w:val="13"/>
                <w:szCs w:val="13"/>
                <w:color w:val="auto"/>
              </w:rPr>
              <w:t>—</w:t>
            </w:r>
          </w:p>
        </w:tc>
        <w:tc>
          <w:tcPr>
            <w:tcW w:w="1120" w:type="dxa"/>
            <w:vAlign w:val="bottom"/>
            <w:gridSpan w:val="2"/>
          </w:tcPr>
          <w:p>
            <w:pPr>
              <w:jc w:val="right"/>
              <w:spacing w:after="0"/>
              <w:rPr>
                <w:sz w:val="20"/>
                <w:szCs w:val="20"/>
                <w:color w:val="auto"/>
              </w:rPr>
            </w:pPr>
            <w:r>
              <w:rPr>
                <w:rFonts w:ascii="Calibri" w:cs="Calibri" w:eastAsia="Calibri" w:hAnsi="Calibri"/>
                <w:sz w:val="13"/>
                <w:szCs w:val="13"/>
                <w:color w:val="auto"/>
              </w:rPr>
              <w:t>(39)</w:t>
            </w:r>
          </w:p>
        </w:tc>
        <w:tc>
          <w:tcPr>
            <w:tcW w:w="980" w:type="dxa"/>
            <w:vAlign w:val="bottom"/>
            <w:gridSpan w:val="2"/>
          </w:tcPr>
          <w:p>
            <w:pPr>
              <w:jc w:val="right"/>
              <w:spacing w:after="0"/>
              <w:rPr>
                <w:sz w:val="20"/>
                <w:szCs w:val="20"/>
                <w:color w:val="auto"/>
              </w:rPr>
            </w:pPr>
            <w:r>
              <w:rPr>
                <w:rFonts w:ascii="Calibri" w:cs="Calibri" w:eastAsia="Calibri" w:hAnsi="Calibri"/>
                <w:sz w:val="13"/>
                <w:szCs w:val="13"/>
                <w:b w:val="1"/>
                <w:bCs w:val="1"/>
                <w:color w:val="auto"/>
              </w:rPr>
              <w:t>(39)</w:t>
            </w:r>
          </w:p>
        </w:tc>
        <w:tc>
          <w:tcPr>
            <w:tcW w:w="0" w:type="dxa"/>
            <w:vAlign w:val="bottom"/>
          </w:tcPr>
          <w:p>
            <w:pPr>
              <w:spacing w:after="0"/>
              <w:rPr>
                <w:sz w:val="1"/>
                <w:szCs w:val="1"/>
                <w:color w:val="auto"/>
              </w:rPr>
            </w:pPr>
          </w:p>
        </w:tc>
      </w:tr>
      <w:tr>
        <w:trPr>
          <w:trHeight w:val="181"/>
        </w:trPr>
        <w:tc>
          <w:tcPr>
            <w:tcW w:w="3360" w:type="dxa"/>
            <w:vAlign w:val="bottom"/>
          </w:tcPr>
          <w:p>
            <w:pPr>
              <w:ind w:left="80"/>
              <w:spacing w:after="0"/>
              <w:rPr>
                <w:sz w:val="20"/>
                <w:szCs w:val="20"/>
                <w:color w:val="auto"/>
              </w:rPr>
            </w:pPr>
            <w:r>
              <w:rPr>
                <w:rFonts w:ascii="Calibri" w:cs="Calibri" w:eastAsia="Calibri" w:hAnsi="Calibri"/>
                <w:sz w:val="13"/>
                <w:szCs w:val="13"/>
                <w:color w:val="auto"/>
              </w:rPr>
              <w:t>Net loss for the period</w:t>
            </w:r>
          </w:p>
        </w:tc>
        <w:tc>
          <w:tcPr>
            <w:tcW w:w="620" w:type="dxa"/>
            <w:vAlign w:val="bottom"/>
          </w:tcPr>
          <w:p>
            <w:pPr>
              <w:jc w:val="center"/>
              <w:spacing w:after="0"/>
              <w:rPr>
                <w:sz w:val="20"/>
                <w:szCs w:val="20"/>
                <w:color w:val="auto"/>
              </w:rPr>
            </w:pPr>
            <w:r>
              <w:rPr>
                <w:rFonts w:ascii="Calibri" w:cs="Calibri" w:eastAsia="Calibri" w:hAnsi="Calibri"/>
                <w:sz w:val="13"/>
                <w:szCs w:val="13"/>
                <w:color w:val="auto"/>
              </w:rPr>
              <w:t>7</w:t>
            </w:r>
          </w:p>
        </w:tc>
        <w:tc>
          <w:tcPr>
            <w:tcW w:w="100" w:type="dxa"/>
            <w:vAlign w:val="bottom"/>
          </w:tcPr>
          <w:p>
            <w:pPr>
              <w:spacing w:after="0"/>
              <w:rPr>
                <w:sz w:val="15"/>
                <w:szCs w:val="15"/>
                <w:color w:val="auto"/>
              </w:rPr>
            </w:pPr>
          </w:p>
        </w:tc>
        <w:tc>
          <w:tcPr>
            <w:tcW w:w="840" w:type="dxa"/>
            <w:vAlign w:val="bottom"/>
          </w:tcPr>
          <w:p>
            <w:pPr>
              <w:jc w:val="right"/>
              <w:ind w:right="56"/>
              <w:spacing w:after="0"/>
              <w:rPr>
                <w:sz w:val="20"/>
                <w:szCs w:val="20"/>
                <w:color w:val="auto"/>
              </w:rPr>
            </w:pPr>
            <w:r>
              <w:rPr>
                <w:rFonts w:ascii="Calibri" w:cs="Calibri" w:eastAsia="Calibri" w:hAnsi="Calibri"/>
                <w:sz w:val="13"/>
                <w:szCs w:val="13"/>
                <w:color w:val="auto"/>
              </w:rPr>
              <w:t>—</w:t>
            </w:r>
          </w:p>
        </w:tc>
        <w:tc>
          <w:tcPr>
            <w:tcW w:w="780" w:type="dxa"/>
            <w:vAlign w:val="bottom"/>
          </w:tcPr>
          <w:p>
            <w:pPr>
              <w:jc w:val="right"/>
              <w:ind w:right="76"/>
              <w:spacing w:after="0"/>
              <w:rPr>
                <w:sz w:val="20"/>
                <w:szCs w:val="20"/>
                <w:color w:val="auto"/>
              </w:rPr>
            </w:pPr>
            <w:r>
              <w:rPr>
                <w:rFonts w:ascii="Calibri" w:cs="Calibri" w:eastAsia="Calibri" w:hAnsi="Calibri"/>
                <w:sz w:val="13"/>
                <w:szCs w:val="13"/>
                <w:color w:val="auto"/>
              </w:rPr>
              <w:t>—</w:t>
            </w:r>
          </w:p>
        </w:tc>
        <w:tc>
          <w:tcPr>
            <w:tcW w:w="920" w:type="dxa"/>
            <w:vAlign w:val="bottom"/>
          </w:tcPr>
          <w:p>
            <w:pPr>
              <w:jc w:val="right"/>
              <w:ind w:right="76"/>
              <w:spacing w:after="0"/>
              <w:rPr>
                <w:sz w:val="20"/>
                <w:szCs w:val="20"/>
                <w:color w:val="auto"/>
              </w:rPr>
            </w:pPr>
            <w:r>
              <w:rPr>
                <w:rFonts w:ascii="Calibri" w:cs="Calibri" w:eastAsia="Calibri" w:hAnsi="Calibri"/>
                <w:sz w:val="13"/>
                <w:szCs w:val="13"/>
                <w:color w:val="auto"/>
              </w:rPr>
              <w:t>—</w:t>
            </w:r>
          </w:p>
        </w:tc>
        <w:tc>
          <w:tcPr>
            <w:tcW w:w="820" w:type="dxa"/>
            <w:vAlign w:val="bottom"/>
          </w:tcPr>
          <w:p>
            <w:pPr>
              <w:jc w:val="right"/>
              <w:ind w:right="36"/>
              <w:spacing w:after="0"/>
              <w:rPr>
                <w:sz w:val="20"/>
                <w:szCs w:val="20"/>
                <w:color w:val="auto"/>
              </w:rPr>
            </w:pPr>
            <w:r>
              <w:rPr>
                <w:rFonts w:ascii="Calibri" w:cs="Calibri" w:eastAsia="Calibri" w:hAnsi="Calibri"/>
                <w:sz w:val="13"/>
                <w:szCs w:val="13"/>
                <w:color w:val="auto"/>
              </w:rPr>
              <w:t>—</w:t>
            </w:r>
          </w:p>
        </w:tc>
        <w:tc>
          <w:tcPr>
            <w:tcW w:w="800" w:type="dxa"/>
            <w:vAlign w:val="bottom"/>
          </w:tcPr>
          <w:p>
            <w:pPr>
              <w:jc w:val="right"/>
              <w:spacing w:after="0"/>
              <w:rPr>
                <w:sz w:val="20"/>
                <w:szCs w:val="20"/>
                <w:color w:val="auto"/>
              </w:rPr>
            </w:pPr>
            <w:r>
              <w:rPr>
                <w:rFonts w:ascii="Calibri" w:cs="Calibri" w:eastAsia="Calibri" w:hAnsi="Calibri"/>
                <w:sz w:val="13"/>
                <w:szCs w:val="13"/>
                <w:color w:val="auto"/>
              </w:rPr>
              <w:t>—</w:t>
            </w:r>
          </w:p>
        </w:tc>
        <w:tc>
          <w:tcPr>
            <w:tcW w:w="920" w:type="dxa"/>
            <w:vAlign w:val="bottom"/>
            <w:gridSpan w:val="2"/>
          </w:tcPr>
          <w:p>
            <w:pPr>
              <w:jc w:val="right"/>
              <w:spacing w:after="0"/>
              <w:rPr>
                <w:sz w:val="20"/>
                <w:szCs w:val="20"/>
                <w:color w:val="auto"/>
              </w:rPr>
            </w:pPr>
            <w:r>
              <w:rPr>
                <w:rFonts w:ascii="Calibri" w:cs="Calibri" w:eastAsia="Calibri" w:hAnsi="Calibri"/>
                <w:sz w:val="13"/>
                <w:szCs w:val="13"/>
                <w:color w:val="auto"/>
              </w:rPr>
              <w:t>(26,404)</w:t>
            </w:r>
          </w:p>
        </w:tc>
        <w:tc>
          <w:tcPr>
            <w:tcW w:w="8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Calibri" w:cs="Calibri" w:eastAsia="Calibri" w:hAnsi="Calibri"/>
                <w:sz w:val="13"/>
                <w:szCs w:val="13"/>
                <w:color w:val="auto"/>
              </w:rPr>
              <w:t>—</w:t>
            </w:r>
          </w:p>
        </w:tc>
        <w:tc>
          <w:tcPr>
            <w:tcW w:w="980" w:type="dxa"/>
            <w:vAlign w:val="bottom"/>
            <w:gridSpan w:val="2"/>
          </w:tcPr>
          <w:p>
            <w:pPr>
              <w:jc w:val="right"/>
              <w:spacing w:after="0"/>
              <w:rPr>
                <w:sz w:val="20"/>
                <w:szCs w:val="20"/>
                <w:color w:val="auto"/>
              </w:rPr>
            </w:pPr>
            <w:r>
              <w:rPr>
                <w:rFonts w:ascii="Calibri" w:cs="Calibri" w:eastAsia="Calibri" w:hAnsi="Calibri"/>
                <w:sz w:val="13"/>
                <w:szCs w:val="13"/>
                <w:b w:val="1"/>
                <w:bCs w:val="1"/>
                <w:color w:val="auto"/>
              </w:rPr>
              <w:t>(26,404)</w:t>
            </w:r>
          </w:p>
        </w:tc>
        <w:tc>
          <w:tcPr>
            <w:tcW w:w="0" w:type="dxa"/>
            <w:vAlign w:val="bottom"/>
          </w:tcPr>
          <w:p>
            <w:pPr>
              <w:spacing w:after="0"/>
              <w:rPr>
                <w:sz w:val="1"/>
                <w:szCs w:val="1"/>
                <w:color w:val="auto"/>
              </w:rPr>
            </w:pPr>
          </w:p>
        </w:tc>
      </w:tr>
      <w:tr>
        <w:trPr>
          <w:trHeight w:val="41"/>
        </w:trPr>
        <w:tc>
          <w:tcPr>
            <w:tcW w:w="3360" w:type="dxa"/>
            <w:vAlign w:val="bottom"/>
            <w:tcBorders>
              <w:bottom w:val="single" w:sz="8" w:color="auto"/>
            </w:tcBorders>
          </w:tcPr>
          <w:p>
            <w:pPr>
              <w:spacing w:after="0"/>
              <w:rPr>
                <w:sz w:val="3"/>
                <w:szCs w:val="3"/>
                <w:color w:val="auto"/>
              </w:rPr>
            </w:pPr>
          </w:p>
        </w:tc>
        <w:tc>
          <w:tcPr>
            <w:tcW w:w="620" w:type="dxa"/>
            <w:vAlign w:val="bottom"/>
            <w:tcBorders>
              <w:bottom w:val="single" w:sz="8" w:color="auto"/>
            </w:tcBorders>
          </w:tcPr>
          <w:p>
            <w:pPr>
              <w:spacing w:after="0"/>
              <w:rPr>
                <w:sz w:val="3"/>
                <w:szCs w:val="3"/>
                <w:color w:val="auto"/>
              </w:rPr>
            </w:pPr>
          </w:p>
        </w:tc>
        <w:tc>
          <w:tcPr>
            <w:tcW w:w="940" w:type="dxa"/>
            <w:vAlign w:val="bottom"/>
            <w:tcBorders>
              <w:bottom w:val="single" w:sz="8" w:color="auto"/>
            </w:tcBorders>
            <w:gridSpan w:val="2"/>
          </w:tcPr>
          <w:p>
            <w:pPr>
              <w:spacing w:after="0"/>
              <w:rPr>
                <w:sz w:val="3"/>
                <w:szCs w:val="3"/>
                <w:color w:val="auto"/>
              </w:rPr>
            </w:pPr>
          </w:p>
        </w:tc>
        <w:tc>
          <w:tcPr>
            <w:tcW w:w="780" w:type="dxa"/>
            <w:vAlign w:val="bottom"/>
            <w:tcBorders>
              <w:bottom w:val="single" w:sz="8" w:color="auto"/>
            </w:tcBorders>
          </w:tcPr>
          <w:p>
            <w:pPr>
              <w:spacing w:after="0"/>
              <w:rPr>
                <w:sz w:val="3"/>
                <w:szCs w:val="3"/>
                <w:color w:val="auto"/>
              </w:rPr>
            </w:pPr>
          </w:p>
        </w:tc>
        <w:tc>
          <w:tcPr>
            <w:tcW w:w="920" w:type="dxa"/>
            <w:vAlign w:val="bottom"/>
            <w:tcBorders>
              <w:bottom w:val="single" w:sz="8" w:color="auto"/>
            </w:tcBorders>
          </w:tcPr>
          <w:p>
            <w:pPr>
              <w:spacing w:after="0"/>
              <w:rPr>
                <w:sz w:val="3"/>
                <w:szCs w:val="3"/>
                <w:color w:val="auto"/>
              </w:rPr>
            </w:pPr>
          </w:p>
        </w:tc>
        <w:tc>
          <w:tcPr>
            <w:tcW w:w="820" w:type="dxa"/>
            <w:vAlign w:val="bottom"/>
            <w:tcBorders>
              <w:bottom w:val="single" w:sz="8" w:color="auto"/>
            </w:tcBorders>
          </w:tcPr>
          <w:p>
            <w:pPr>
              <w:spacing w:after="0"/>
              <w:rPr>
                <w:sz w:val="3"/>
                <w:szCs w:val="3"/>
                <w:color w:val="auto"/>
              </w:rPr>
            </w:pPr>
          </w:p>
        </w:tc>
        <w:tc>
          <w:tcPr>
            <w:tcW w:w="800" w:type="dxa"/>
            <w:vAlign w:val="bottom"/>
            <w:tcBorders>
              <w:bottom w:val="single" w:sz="8" w:color="auto"/>
            </w:tcBorders>
          </w:tcPr>
          <w:p>
            <w:pPr>
              <w:spacing w:after="0"/>
              <w:rPr>
                <w:sz w:val="3"/>
                <w:szCs w:val="3"/>
                <w:color w:val="auto"/>
              </w:rPr>
            </w:pPr>
          </w:p>
        </w:tc>
        <w:tc>
          <w:tcPr>
            <w:tcW w:w="920" w:type="dxa"/>
            <w:vAlign w:val="bottom"/>
            <w:tcBorders>
              <w:bottom w:val="single" w:sz="8" w:color="auto"/>
            </w:tcBorders>
            <w:gridSpan w:val="2"/>
          </w:tcPr>
          <w:p>
            <w:pPr>
              <w:spacing w:after="0"/>
              <w:rPr>
                <w:sz w:val="3"/>
                <w:szCs w:val="3"/>
                <w:color w:val="auto"/>
              </w:rPr>
            </w:pPr>
          </w:p>
        </w:tc>
        <w:tc>
          <w:tcPr>
            <w:tcW w:w="1120" w:type="dxa"/>
            <w:vAlign w:val="bottom"/>
            <w:tcBorders>
              <w:bottom w:val="single" w:sz="8" w:color="auto"/>
            </w:tcBorders>
            <w:gridSpan w:val="2"/>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90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78"/>
        </w:trPr>
        <w:tc>
          <w:tcPr>
            <w:tcW w:w="3360" w:type="dxa"/>
            <w:vAlign w:val="bottom"/>
            <w:tcBorders>
              <w:bottom w:val="single" w:sz="8" w:color="DBDBDB"/>
            </w:tcBorders>
            <w:shd w:val="clear" w:color="auto" w:fill="DBDBDB"/>
          </w:tcPr>
          <w:p>
            <w:pPr>
              <w:ind w:left="60"/>
              <w:spacing w:after="0" w:line="147" w:lineRule="exact"/>
              <w:rPr>
                <w:sz w:val="20"/>
                <w:szCs w:val="20"/>
                <w:color w:val="auto"/>
              </w:rPr>
            </w:pPr>
            <w:r>
              <w:rPr>
                <w:rFonts w:ascii="Calibri" w:cs="Calibri" w:eastAsia="Calibri" w:hAnsi="Calibri"/>
                <w:sz w:val="13"/>
                <w:szCs w:val="13"/>
                <w:b w:val="1"/>
                <w:bCs w:val="1"/>
                <w:color w:val="auto"/>
              </w:rPr>
              <w:t>Balance at September 30, 2023</w:t>
            </w:r>
          </w:p>
        </w:tc>
        <w:tc>
          <w:tcPr>
            <w:tcW w:w="620" w:type="dxa"/>
            <w:vAlign w:val="bottom"/>
            <w:tcBorders>
              <w:bottom w:val="single" w:sz="8" w:color="DBDBDB"/>
            </w:tcBorders>
            <w:shd w:val="clear" w:color="auto" w:fill="DBDBDB"/>
          </w:tcPr>
          <w:p>
            <w:pPr>
              <w:spacing w:after="0"/>
              <w:rPr>
                <w:sz w:val="15"/>
                <w:szCs w:val="15"/>
                <w:color w:val="auto"/>
              </w:rPr>
            </w:pPr>
          </w:p>
        </w:tc>
        <w:tc>
          <w:tcPr>
            <w:tcW w:w="940" w:type="dxa"/>
            <w:vAlign w:val="bottom"/>
            <w:tcBorders>
              <w:bottom w:val="single" w:sz="8" w:color="DBDBDB"/>
            </w:tcBorders>
            <w:gridSpan w:val="2"/>
            <w:shd w:val="clear" w:color="auto" w:fill="DBDBDB"/>
          </w:tcPr>
          <w:p>
            <w:pPr>
              <w:jc w:val="right"/>
              <w:ind w:right="56"/>
              <w:spacing w:after="0" w:line="147" w:lineRule="exact"/>
              <w:rPr>
                <w:sz w:val="20"/>
                <w:szCs w:val="20"/>
                <w:color w:val="auto"/>
              </w:rPr>
            </w:pPr>
            <w:r>
              <w:rPr>
                <w:rFonts w:ascii="Calibri" w:cs="Calibri" w:eastAsia="Calibri" w:hAnsi="Calibri"/>
                <w:sz w:val="13"/>
                <w:szCs w:val="13"/>
                <w:b w:val="1"/>
                <w:bCs w:val="1"/>
                <w:color w:val="auto"/>
              </w:rPr>
              <w:t>6,891,552</w:t>
            </w:r>
          </w:p>
        </w:tc>
        <w:tc>
          <w:tcPr>
            <w:tcW w:w="780" w:type="dxa"/>
            <w:vAlign w:val="bottom"/>
            <w:tcBorders>
              <w:bottom w:val="single" w:sz="8" w:color="DBDBDB"/>
              <w:right w:val="single" w:sz="8" w:color="DBDBDB"/>
            </w:tcBorders>
            <w:shd w:val="clear" w:color="auto" w:fill="DBDBDB"/>
          </w:tcPr>
          <w:p>
            <w:pPr>
              <w:jc w:val="right"/>
              <w:ind w:right="76"/>
              <w:spacing w:after="0" w:line="147" w:lineRule="exact"/>
              <w:rPr>
                <w:sz w:val="20"/>
                <w:szCs w:val="20"/>
                <w:color w:val="auto"/>
              </w:rPr>
            </w:pPr>
            <w:r>
              <w:rPr>
                <w:rFonts w:ascii="Calibri" w:cs="Calibri" w:eastAsia="Calibri" w:hAnsi="Calibri"/>
                <w:sz w:val="13"/>
                <w:szCs w:val="13"/>
                <w:b w:val="1"/>
                <w:bCs w:val="1"/>
                <w:color w:val="auto"/>
              </w:rPr>
              <w:t>177,467</w:t>
            </w:r>
          </w:p>
        </w:tc>
        <w:tc>
          <w:tcPr>
            <w:tcW w:w="920" w:type="dxa"/>
            <w:vAlign w:val="bottom"/>
            <w:tcBorders>
              <w:bottom w:val="single" w:sz="8" w:color="DBDBDB"/>
            </w:tcBorders>
            <w:shd w:val="clear" w:color="auto" w:fill="DBDBDB"/>
          </w:tcPr>
          <w:p>
            <w:pPr>
              <w:jc w:val="right"/>
              <w:ind w:right="76"/>
              <w:spacing w:after="0" w:line="147" w:lineRule="exact"/>
              <w:rPr>
                <w:sz w:val="20"/>
                <w:szCs w:val="20"/>
                <w:color w:val="auto"/>
              </w:rPr>
            </w:pPr>
            <w:r>
              <w:rPr>
                <w:rFonts w:ascii="Calibri" w:cs="Calibri" w:eastAsia="Calibri" w:hAnsi="Calibri"/>
                <w:sz w:val="13"/>
                <w:szCs w:val="13"/>
                <w:b w:val="1"/>
                <w:bCs w:val="1"/>
                <w:color w:val="auto"/>
              </w:rPr>
              <w:t>14,316</w:t>
            </w:r>
          </w:p>
        </w:tc>
        <w:tc>
          <w:tcPr>
            <w:tcW w:w="820" w:type="dxa"/>
            <w:vAlign w:val="bottom"/>
            <w:tcBorders>
              <w:bottom w:val="single" w:sz="8" w:color="DBDBDB"/>
            </w:tcBorders>
            <w:shd w:val="clear" w:color="auto" w:fill="DBDBDB"/>
          </w:tcPr>
          <w:p>
            <w:pPr>
              <w:jc w:val="right"/>
              <w:ind w:right="36"/>
              <w:spacing w:after="0" w:line="147" w:lineRule="exact"/>
              <w:rPr>
                <w:sz w:val="20"/>
                <w:szCs w:val="20"/>
                <w:color w:val="auto"/>
              </w:rPr>
            </w:pPr>
            <w:r>
              <w:rPr>
                <w:rFonts w:ascii="Calibri" w:cs="Calibri" w:eastAsia="Calibri" w:hAnsi="Calibri"/>
                <w:sz w:val="13"/>
                <w:szCs w:val="13"/>
                <w:b w:val="1"/>
                <w:bCs w:val="1"/>
                <w:color w:val="auto"/>
              </w:rPr>
              <w:t>29,505</w:t>
            </w:r>
          </w:p>
        </w:tc>
        <w:tc>
          <w:tcPr>
            <w:tcW w:w="800" w:type="dxa"/>
            <w:vAlign w:val="bottom"/>
            <w:tcBorders>
              <w:bottom w:val="single" w:sz="8" w:color="DBDBDB"/>
            </w:tcBorders>
            <w:shd w:val="clear" w:color="auto" w:fill="DBDBDB"/>
          </w:tcPr>
          <w:p>
            <w:pPr>
              <w:jc w:val="right"/>
              <w:spacing w:after="0" w:line="147" w:lineRule="exact"/>
              <w:rPr>
                <w:sz w:val="20"/>
                <w:szCs w:val="20"/>
                <w:color w:val="auto"/>
              </w:rPr>
            </w:pPr>
            <w:r>
              <w:rPr>
                <w:rFonts w:ascii="Calibri" w:cs="Calibri" w:eastAsia="Calibri" w:hAnsi="Calibri"/>
                <w:sz w:val="13"/>
                <w:szCs w:val="13"/>
                <w:b w:val="1"/>
                <w:bCs w:val="1"/>
                <w:color w:val="auto"/>
              </w:rPr>
              <w:t>3,725</w:t>
            </w:r>
          </w:p>
        </w:tc>
        <w:tc>
          <w:tcPr>
            <w:tcW w:w="920" w:type="dxa"/>
            <w:vAlign w:val="bottom"/>
            <w:tcBorders>
              <w:bottom w:val="single" w:sz="8" w:color="DBDBDB"/>
            </w:tcBorders>
            <w:gridSpan w:val="2"/>
            <w:shd w:val="clear" w:color="auto" w:fill="DBDBDB"/>
          </w:tcPr>
          <w:p>
            <w:pPr>
              <w:jc w:val="right"/>
              <w:spacing w:after="0" w:line="147" w:lineRule="exact"/>
              <w:rPr>
                <w:sz w:val="20"/>
                <w:szCs w:val="20"/>
                <w:color w:val="auto"/>
              </w:rPr>
            </w:pPr>
            <w:r>
              <w:rPr>
                <w:rFonts w:ascii="Calibri" w:cs="Calibri" w:eastAsia="Calibri" w:hAnsi="Calibri"/>
                <w:sz w:val="13"/>
                <w:szCs w:val="13"/>
                <w:b w:val="1"/>
                <w:bCs w:val="1"/>
                <w:color w:val="auto"/>
              </w:rPr>
              <w:t>(174,555)</w:t>
            </w:r>
          </w:p>
        </w:tc>
        <w:tc>
          <w:tcPr>
            <w:tcW w:w="1120" w:type="dxa"/>
            <w:vAlign w:val="bottom"/>
            <w:tcBorders>
              <w:bottom w:val="single" w:sz="8" w:color="DBDBDB"/>
            </w:tcBorders>
            <w:gridSpan w:val="2"/>
            <w:shd w:val="clear" w:color="auto" w:fill="DBDBDB"/>
          </w:tcPr>
          <w:p>
            <w:pPr>
              <w:jc w:val="right"/>
              <w:spacing w:after="0" w:line="147" w:lineRule="exact"/>
              <w:rPr>
                <w:sz w:val="20"/>
                <w:szCs w:val="20"/>
                <w:color w:val="auto"/>
              </w:rPr>
            </w:pPr>
            <w:r>
              <w:rPr>
                <w:rFonts w:ascii="Calibri" w:cs="Calibri" w:eastAsia="Calibri" w:hAnsi="Calibri"/>
                <w:sz w:val="13"/>
                <w:szCs w:val="13"/>
                <w:b w:val="1"/>
                <w:bCs w:val="1"/>
                <w:color w:val="auto"/>
              </w:rPr>
              <w:t>(2,074)</w:t>
            </w:r>
          </w:p>
        </w:tc>
        <w:tc>
          <w:tcPr>
            <w:tcW w:w="980" w:type="dxa"/>
            <w:vAlign w:val="bottom"/>
            <w:tcBorders>
              <w:bottom w:val="single" w:sz="8" w:color="DBDBDB"/>
            </w:tcBorders>
            <w:gridSpan w:val="2"/>
            <w:shd w:val="clear" w:color="auto" w:fill="DBDBDB"/>
          </w:tcPr>
          <w:p>
            <w:pPr>
              <w:jc w:val="right"/>
              <w:spacing w:after="0" w:line="147" w:lineRule="exact"/>
              <w:rPr>
                <w:sz w:val="20"/>
                <w:szCs w:val="20"/>
                <w:color w:val="auto"/>
              </w:rPr>
            </w:pPr>
            <w:r>
              <w:rPr>
                <w:rFonts w:ascii="Calibri" w:cs="Calibri" w:eastAsia="Calibri" w:hAnsi="Calibri"/>
                <w:sz w:val="13"/>
                <w:szCs w:val="13"/>
                <w:b w:val="1"/>
                <w:bCs w:val="1"/>
                <w:color w:val="auto"/>
              </w:rPr>
              <w:t>48,384</w:t>
            </w:r>
          </w:p>
        </w:tc>
        <w:tc>
          <w:tcPr>
            <w:tcW w:w="0" w:type="dxa"/>
            <w:vAlign w:val="bottom"/>
          </w:tcPr>
          <w:p>
            <w:pPr>
              <w:spacing w:after="0"/>
              <w:rPr>
                <w:sz w:val="1"/>
                <w:szCs w:val="1"/>
                <w:color w:val="auto"/>
              </w:rPr>
            </w:pPr>
          </w:p>
        </w:tc>
      </w:tr>
      <w:tr>
        <w:trPr>
          <w:trHeight w:val="210"/>
        </w:trPr>
        <w:tc>
          <w:tcPr>
            <w:tcW w:w="3360" w:type="dxa"/>
            <w:vAlign w:val="bottom"/>
            <w:tcBorders>
              <w:top w:val="single" w:sz="8" w:color="auto"/>
              <w:bottom w:val="single" w:sz="8" w:color="auto"/>
            </w:tcBorders>
          </w:tcPr>
          <w:p>
            <w:pPr>
              <w:spacing w:after="0"/>
              <w:rPr>
                <w:sz w:val="18"/>
                <w:szCs w:val="18"/>
                <w:color w:val="auto"/>
              </w:rPr>
            </w:pPr>
          </w:p>
        </w:tc>
        <w:tc>
          <w:tcPr>
            <w:tcW w:w="620" w:type="dxa"/>
            <w:vAlign w:val="bottom"/>
            <w:tcBorders>
              <w:top w:val="single" w:sz="8" w:color="auto"/>
              <w:bottom w:val="single" w:sz="8" w:color="auto"/>
            </w:tcBorders>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840" w:type="dxa"/>
            <w:vAlign w:val="bottom"/>
            <w:tcBorders>
              <w:top w:val="single" w:sz="8" w:color="auto"/>
              <w:bottom w:val="single" w:sz="8" w:color="auto"/>
            </w:tcBorders>
          </w:tcPr>
          <w:p>
            <w:pPr>
              <w:spacing w:after="0"/>
              <w:rPr>
                <w:sz w:val="18"/>
                <w:szCs w:val="18"/>
                <w:color w:val="auto"/>
              </w:rPr>
            </w:pPr>
          </w:p>
        </w:tc>
        <w:tc>
          <w:tcPr>
            <w:tcW w:w="780" w:type="dxa"/>
            <w:vAlign w:val="bottom"/>
            <w:tcBorders>
              <w:top w:val="single" w:sz="8" w:color="auto"/>
              <w:bottom w:val="single" w:sz="8" w:color="auto"/>
            </w:tcBorders>
          </w:tcPr>
          <w:p>
            <w:pPr>
              <w:spacing w:after="0"/>
              <w:rPr>
                <w:sz w:val="18"/>
                <w:szCs w:val="18"/>
                <w:color w:val="auto"/>
              </w:rPr>
            </w:pPr>
          </w:p>
        </w:tc>
        <w:tc>
          <w:tcPr>
            <w:tcW w:w="920" w:type="dxa"/>
            <w:vAlign w:val="bottom"/>
            <w:tcBorders>
              <w:top w:val="single" w:sz="8" w:color="auto"/>
              <w:bottom w:val="single" w:sz="8" w:color="auto"/>
            </w:tcBorders>
          </w:tcPr>
          <w:p>
            <w:pPr>
              <w:spacing w:after="0"/>
              <w:rPr>
                <w:sz w:val="18"/>
                <w:szCs w:val="18"/>
                <w:color w:val="auto"/>
              </w:rPr>
            </w:pPr>
          </w:p>
        </w:tc>
        <w:tc>
          <w:tcPr>
            <w:tcW w:w="820" w:type="dxa"/>
            <w:vAlign w:val="bottom"/>
            <w:tcBorders>
              <w:top w:val="single" w:sz="8" w:color="auto"/>
              <w:bottom w:val="single" w:sz="8" w:color="auto"/>
            </w:tcBorders>
          </w:tcPr>
          <w:p>
            <w:pPr>
              <w:spacing w:after="0"/>
              <w:rPr>
                <w:sz w:val="18"/>
                <w:szCs w:val="18"/>
                <w:color w:val="auto"/>
              </w:rPr>
            </w:pPr>
          </w:p>
        </w:tc>
        <w:tc>
          <w:tcPr>
            <w:tcW w:w="800" w:type="dxa"/>
            <w:vAlign w:val="bottom"/>
            <w:tcBorders>
              <w:top w:val="single" w:sz="8" w:color="auto"/>
              <w:bottom w:val="single" w:sz="8" w:color="auto"/>
            </w:tcBorders>
          </w:tcPr>
          <w:p>
            <w:pPr>
              <w:spacing w:after="0"/>
              <w:rPr>
                <w:sz w:val="18"/>
                <w:szCs w:val="18"/>
                <w:color w:val="auto"/>
              </w:rPr>
            </w:pPr>
          </w:p>
        </w:tc>
        <w:tc>
          <w:tcPr>
            <w:tcW w:w="80" w:type="dxa"/>
            <w:vAlign w:val="bottom"/>
            <w:tcBorders>
              <w:top w:val="single" w:sz="8" w:color="auto"/>
              <w:bottom w:val="single" w:sz="8" w:color="auto"/>
            </w:tcBorders>
          </w:tcPr>
          <w:p>
            <w:pPr>
              <w:spacing w:after="0"/>
              <w:rPr>
                <w:sz w:val="18"/>
                <w:szCs w:val="18"/>
                <w:color w:val="auto"/>
              </w:rPr>
            </w:pPr>
          </w:p>
        </w:tc>
        <w:tc>
          <w:tcPr>
            <w:tcW w:w="840" w:type="dxa"/>
            <w:vAlign w:val="bottom"/>
            <w:tcBorders>
              <w:top w:val="single" w:sz="8" w:color="auto"/>
              <w:bottom w:val="single" w:sz="8" w:color="auto"/>
            </w:tcBorders>
          </w:tcPr>
          <w:p>
            <w:pPr>
              <w:spacing w:after="0"/>
              <w:rPr>
                <w:sz w:val="18"/>
                <w:szCs w:val="18"/>
                <w:color w:val="auto"/>
              </w:rPr>
            </w:pPr>
          </w:p>
        </w:tc>
        <w:tc>
          <w:tcPr>
            <w:tcW w:w="80" w:type="dxa"/>
            <w:vAlign w:val="bottom"/>
            <w:tcBorders>
              <w:top w:val="single" w:sz="8" w:color="auto"/>
              <w:bottom w:val="single" w:sz="8" w:color="auto"/>
            </w:tcBorders>
          </w:tcPr>
          <w:p>
            <w:pPr>
              <w:spacing w:after="0"/>
              <w:rPr>
                <w:sz w:val="18"/>
                <w:szCs w:val="18"/>
                <w:color w:val="auto"/>
              </w:rPr>
            </w:pPr>
          </w:p>
        </w:tc>
        <w:tc>
          <w:tcPr>
            <w:tcW w:w="1040" w:type="dxa"/>
            <w:vAlign w:val="bottom"/>
            <w:tcBorders>
              <w:top w:val="single" w:sz="8" w:color="auto"/>
              <w:bottom w:val="single" w:sz="8" w:color="auto"/>
            </w:tcBorders>
          </w:tcPr>
          <w:p>
            <w:pPr>
              <w:spacing w:after="0"/>
              <w:rPr>
                <w:sz w:val="18"/>
                <w:szCs w:val="18"/>
                <w:color w:val="auto"/>
              </w:rPr>
            </w:pPr>
          </w:p>
        </w:tc>
        <w:tc>
          <w:tcPr>
            <w:tcW w:w="80" w:type="dxa"/>
            <w:vAlign w:val="bottom"/>
            <w:tcBorders>
              <w:top w:val="single" w:sz="8" w:color="auto"/>
              <w:bottom w:val="single" w:sz="8" w:color="auto"/>
            </w:tcBorders>
          </w:tcPr>
          <w:p>
            <w:pPr>
              <w:spacing w:after="0"/>
              <w:rPr>
                <w:sz w:val="18"/>
                <w:szCs w:val="18"/>
                <w:color w:val="auto"/>
              </w:rPr>
            </w:pPr>
          </w:p>
        </w:tc>
        <w:tc>
          <w:tcPr>
            <w:tcW w:w="900" w:type="dxa"/>
            <w:vAlign w:val="bottom"/>
            <w:tcBorders>
              <w:top w:val="single" w:sz="8" w:color="auto"/>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78"/>
        </w:trPr>
        <w:tc>
          <w:tcPr>
            <w:tcW w:w="3360" w:type="dxa"/>
            <w:vAlign w:val="bottom"/>
            <w:tcBorders>
              <w:bottom w:val="single" w:sz="8" w:color="DBDBDB"/>
            </w:tcBorders>
            <w:shd w:val="clear" w:color="auto" w:fill="DBDBDB"/>
          </w:tcPr>
          <w:p>
            <w:pPr>
              <w:ind w:left="20"/>
              <w:spacing w:after="0" w:line="147" w:lineRule="exact"/>
              <w:rPr>
                <w:sz w:val="20"/>
                <w:szCs w:val="20"/>
                <w:color w:val="auto"/>
              </w:rPr>
            </w:pPr>
            <w:r>
              <w:rPr>
                <w:rFonts w:ascii="Calibri" w:cs="Calibri" w:eastAsia="Calibri" w:hAnsi="Calibri"/>
                <w:sz w:val="13"/>
                <w:szCs w:val="13"/>
                <w:b w:val="1"/>
                <w:bCs w:val="1"/>
                <w:color w:val="auto"/>
              </w:rPr>
              <w:t>Balance as at March 31, 2024</w:t>
            </w:r>
          </w:p>
        </w:tc>
        <w:tc>
          <w:tcPr>
            <w:tcW w:w="620" w:type="dxa"/>
            <w:vAlign w:val="bottom"/>
            <w:tcBorders>
              <w:bottom w:val="single" w:sz="8" w:color="DBDBDB"/>
            </w:tcBorders>
            <w:shd w:val="clear" w:color="auto" w:fill="DBDBDB"/>
          </w:tcPr>
          <w:p>
            <w:pPr>
              <w:spacing w:after="0"/>
              <w:rPr>
                <w:sz w:val="15"/>
                <w:szCs w:val="15"/>
                <w:color w:val="auto"/>
              </w:rPr>
            </w:pPr>
          </w:p>
        </w:tc>
        <w:tc>
          <w:tcPr>
            <w:tcW w:w="940" w:type="dxa"/>
            <w:vAlign w:val="bottom"/>
            <w:tcBorders>
              <w:bottom w:val="single" w:sz="8" w:color="DBDBDB"/>
            </w:tcBorders>
            <w:gridSpan w:val="2"/>
            <w:shd w:val="clear" w:color="auto" w:fill="DBDBDB"/>
          </w:tcPr>
          <w:p>
            <w:pPr>
              <w:jc w:val="right"/>
              <w:ind w:right="56"/>
              <w:spacing w:after="0" w:line="147" w:lineRule="exact"/>
              <w:rPr>
                <w:sz w:val="20"/>
                <w:szCs w:val="20"/>
                <w:color w:val="auto"/>
              </w:rPr>
            </w:pPr>
            <w:r>
              <w:rPr>
                <w:rFonts w:ascii="Calibri" w:cs="Calibri" w:eastAsia="Calibri" w:hAnsi="Calibri"/>
                <w:sz w:val="13"/>
                <w:szCs w:val="13"/>
                <w:b w:val="1"/>
                <w:bCs w:val="1"/>
                <w:color w:val="auto"/>
              </w:rPr>
              <w:t>20,001,403</w:t>
            </w:r>
          </w:p>
        </w:tc>
        <w:tc>
          <w:tcPr>
            <w:tcW w:w="780" w:type="dxa"/>
            <w:vAlign w:val="bottom"/>
            <w:tcBorders>
              <w:bottom w:val="single" w:sz="8" w:color="DBDBDB"/>
              <w:right w:val="single" w:sz="8" w:color="DBDBDB"/>
            </w:tcBorders>
            <w:shd w:val="clear" w:color="auto" w:fill="DBDBDB"/>
          </w:tcPr>
          <w:p>
            <w:pPr>
              <w:jc w:val="right"/>
              <w:ind w:right="56"/>
              <w:spacing w:after="0" w:line="147" w:lineRule="exact"/>
              <w:rPr>
                <w:sz w:val="20"/>
                <w:szCs w:val="20"/>
                <w:color w:val="auto"/>
              </w:rPr>
            </w:pPr>
            <w:r>
              <w:rPr>
                <w:rFonts w:ascii="Calibri" w:cs="Calibri" w:eastAsia="Calibri" w:hAnsi="Calibri"/>
                <w:sz w:val="13"/>
                <w:szCs w:val="13"/>
                <w:b w:val="1"/>
                <w:bCs w:val="1"/>
                <w:color w:val="auto"/>
              </w:rPr>
              <w:t>443,877</w:t>
            </w:r>
          </w:p>
        </w:tc>
        <w:tc>
          <w:tcPr>
            <w:tcW w:w="920" w:type="dxa"/>
            <w:vAlign w:val="bottom"/>
            <w:tcBorders>
              <w:bottom w:val="single" w:sz="8" w:color="DBDBDB"/>
            </w:tcBorders>
            <w:shd w:val="clear" w:color="auto" w:fill="DBDBDB"/>
          </w:tcPr>
          <w:p>
            <w:pPr>
              <w:jc w:val="right"/>
              <w:ind w:right="56"/>
              <w:spacing w:after="0" w:line="147" w:lineRule="exact"/>
              <w:rPr>
                <w:sz w:val="20"/>
                <w:szCs w:val="20"/>
                <w:color w:val="auto"/>
              </w:rPr>
            </w:pPr>
            <w:r>
              <w:rPr>
                <w:rFonts w:ascii="Calibri" w:cs="Calibri" w:eastAsia="Calibri" w:hAnsi="Calibri"/>
                <w:sz w:val="13"/>
                <w:szCs w:val="13"/>
                <w:b w:val="1"/>
                <w:bCs w:val="1"/>
                <w:color w:val="auto"/>
              </w:rPr>
              <w:t>25,639</w:t>
            </w:r>
          </w:p>
        </w:tc>
        <w:tc>
          <w:tcPr>
            <w:tcW w:w="820" w:type="dxa"/>
            <w:vAlign w:val="bottom"/>
            <w:tcBorders>
              <w:bottom w:val="single" w:sz="8" w:color="DBDBDB"/>
            </w:tcBorders>
            <w:shd w:val="clear" w:color="auto" w:fill="DBDBDB"/>
          </w:tcPr>
          <w:p>
            <w:pPr>
              <w:jc w:val="right"/>
              <w:ind w:right="36"/>
              <w:spacing w:after="0" w:line="147" w:lineRule="exact"/>
              <w:rPr>
                <w:sz w:val="20"/>
                <w:szCs w:val="20"/>
                <w:color w:val="auto"/>
              </w:rPr>
            </w:pPr>
            <w:r>
              <w:rPr>
                <w:rFonts w:ascii="Calibri" w:cs="Calibri" w:eastAsia="Calibri" w:hAnsi="Calibri"/>
                <w:sz w:val="13"/>
                <w:szCs w:val="13"/>
                <w:b w:val="1"/>
                <w:bCs w:val="1"/>
                <w:color w:val="auto"/>
              </w:rPr>
              <w:t>39,177</w:t>
            </w:r>
          </w:p>
        </w:tc>
        <w:tc>
          <w:tcPr>
            <w:tcW w:w="800" w:type="dxa"/>
            <w:vAlign w:val="bottom"/>
            <w:tcBorders>
              <w:bottom w:val="single" w:sz="8" w:color="DBDBDB"/>
            </w:tcBorders>
            <w:shd w:val="clear" w:color="auto" w:fill="DBDBDB"/>
          </w:tcPr>
          <w:p>
            <w:pPr>
              <w:jc w:val="right"/>
              <w:spacing w:after="0" w:line="147" w:lineRule="exact"/>
              <w:rPr>
                <w:sz w:val="20"/>
                <w:szCs w:val="20"/>
                <w:color w:val="auto"/>
              </w:rPr>
            </w:pPr>
            <w:r>
              <w:rPr>
                <w:rFonts w:ascii="Calibri" w:cs="Calibri" w:eastAsia="Calibri" w:hAnsi="Calibri"/>
                <w:sz w:val="13"/>
                <w:szCs w:val="13"/>
                <w:b w:val="1"/>
                <w:bCs w:val="1"/>
                <w:color w:val="auto"/>
              </w:rPr>
              <w:t>11,750</w:t>
            </w:r>
          </w:p>
        </w:tc>
        <w:tc>
          <w:tcPr>
            <w:tcW w:w="920" w:type="dxa"/>
            <w:vAlign w:val="bottom"/>
            <w:tcBorders>
              <w:bottom w:val="single" w:sz="8" w:color="DBDBDB"/>
            </w:tcBorders>
            <w:gridSpan w:val="2"/>
            <w:shd w:val="clear" w:color="auto" w:fill="DBDBDB"/>
          </w:tcPr>
          <w:p>
            <w:pPr>
              <w:jc w:val="right"/>
              <w:spacing w:after="0" w:line="147" w:lineRule="exact"/>
              <w:rPr>
                <w:sz w:val="20"/>
                <w:szCs w:val="20"/>
                <w:color w:val="auto"/>
              </w:rPr>
            </w:pPr>
            <w:r>
              <w:rPr>
                <w:rFonts w:ascii="Calibri" w:cs="Calibri" w:eastAsia="Calibri" w:hAnsi="Calibri"/>
                <w:sz w:val="13"/>
                <w:szCs w:val="13"/>
                <w:b w:val="1"/>
                <w:bCs w:val="1"/>
                <w:color w:val="auto"/>
              </w:rPr>
              <w:t>(226,231)</w:t>
            </w:r>
          </w:p>
        </w:tc>
        <w:tc>
          <w:tcPr>
            <w:tcW w:w="1120" w:type="dxa"/>
            <w:vAlign w:val="bottom"/>
            <w:tcBorders>
              <w:bottom w:val="single" w:sz="8" w:color="DBDBDB"/>
            </w:tcBorders>
            <w:gridSpan w:val="2"/>
            <w:shd w:val="clear" w:color="auto" w:fill="DBDBDB"/>
          </w:tcPr>
          <w:p>
            <w:pPr>
              <w:jc w:val="right"/>
              <w:spacing w:after="0" w:line="147" w:lineRule="exact"/>
              <w:rPr>
                <w:sz w:val="20"/>
                <w:szCs w:val="20"/>
                <w:color w:val="auto"/>
              </w:rPr>
            </w:pPr>
            <w:r>
              <w:rPr>
                <w:rFonts w:ascii="Calibri" w:cs="Calibri" w:eastAsia="Calibri" w:hAnsi="Calibri"/>
                <w:sz w:val="13"/>
                <w:szCs w:val="13"/>
                <w:b w:val="1"/>
                <w:bCs w:val="1"/>
                <w:color w:val="auto"/>
              </w:rPr>
              <w:t>(2,285)</w:t>
            </w:r>
          </w:p>
        </w:tc>
        <w:tc>
          <w:tcPr>
            <w:tcW w:w="980" w:type="dxa"/>
            <w:vAlign w:val="bottom"/>
            <w:tcBorders>
              <w:bottom w:val="single" w:sz="8" w:color="DBDBDB"/>
            </w:tcBorders>
            <w:gridSpan w:val="2"/>
            <w:shd w:val="clear" w:color="auto" w:fill="DBDBDB"/>
          </w:tcPr>
          <w:p>
            <w:pPr>
              <w:jc w:val="right"/>
              <w:spacing w:after="0" w:line="147" w:lineRule="exact"/>
              <w:rPr>
                <w:sz w:val="20"/>
                <w:szCs w:val="20"/>
                <w:color w:val="auto"/>
              </w:rPr>
            </w:pPr>
            <w:r>
              <w:rPr>
                <w:rFonts w:ascii="Calibri" w:cs="Calibri" w:eastAsia="Calibri" w:hAnsi="Calibri"/>
                <w:sz w:val="13"/>
                <w:szCs w:val="13"/>
                <w:b w:val="1"/>
                <w:bCs w:val="1"/>
                <w:color w:val="auto"/>
              </w:rPr>
              <w:t>291,927</w:t>
            </w:r>
          </w:p>
        </w:tc>
        <w:tc>
          <w:tcPr>
            <w:tcW w:w="0" w:type="dxa"/>
            <w:vAlign w:val="bottom"/>
          </w:tcPr>
          <w:p>
            <w:pPr>
              <w:spacing w:after="0"/>
              <w:rPr>
                <w:sz w:val="1"/>
                <w:szCs w:val="1"/>
                <w:color w:val="auto"/>
              </w:rPr>
            </w:pPr>
          </w:p>
        </w:tc>
      </w:tr>
      <w:tr>
        <w:trPr>
          <w:trHeight w:val="147"/>
        </w:trPr>
        <w:tc>
          <w:tcPr>
            <w:tcW w:w="3360" w:type="dxa"/>
            <w:vAlign w:val="bottom"/>
            <w:tcBorders>
              <w:top w:val="single" w:sz="8" w:color="auto"/>
            </w:tcBorders>
          </w:tcPr>
          <w:p>
            <w:pPr>
              <w:ind w:left="20"/>
              <w:spacing w:after="0" w:line="147" w:lineRule="exact"/>
              <w:rPr>
                <w:sz w:val="20"/>
                <w:szCs w:val="20"/>
                <w:color w:val="auto"/>
              </w:rPr>
            </w:pPr>
            <w:r>
              <w:rPr>
                <w:rFonts w:ascii="Calibri" w:cs="Calibri" w:eastAsia="Calibri" w:hAnsi="Calibri"/>
                <w:sz w:val="13"/>
                <w:szCs w:val="13"/>
                <w:color w:val="auto"/>
              </w:rPr>
              <w:t>Adjustment for fractonal shares upon share consolidaton</w:t>
            </w:r>
          </w:p>
        </w:tc>
        <w:tc>
          <w:tcPr>
            <w:tcW w:w="620" w:type="dxa"/>
            <w:vAlign w:val="bottom"/>
            <w:tcBorders>
              <w:top w:val="single" w:sz="8" w:color="auto"/>
            </w:tcBorders>
          </w:tcPr>
          <w:p>
            <w:pPr>
              <w:jc w:val="center"/>
              <w:spacing w:after="0" w:line="147" w:lineRule="exact"/>
              <w:rPr>
                <w:sz w:val="20"/>
                <w:szCs w:val="20"/>
                <w:color w:val="auto"/>
              </w:rPr>
            </w:pPr>
            <w:r>
              <w:rPr>
                <w:rFonts w:ascii="Calibri" w:cs="Calibri" w:eastAsia="Calibri" w:hAnsi="Calibri"/>
                <w:sz w:val="13"/>
                <w:szCs w:val="13"/>
                <w:color w:val="auto"/>
              </w:rPr>
              <w:t>7</w:t>
            </w:r>
          </w:p>
        </w:tc>
        <w:tc>
          <w:tcPr>
            <w:tcW w:w="940" w:type="dxa"/>
            <w:vAlign w:val="bottom"/>
            <w:tcBorders>
              <w:top w:val="single" w:sz="8" w:color="auto"/>
            </w:tcBorders>
            <w:gridSpan w:val="2"/>
          </w:tcPr>
          <w:p>
            <w:pPr>
              <w:jc w:val="right"/>
              <w:ind w:right="56"/>
              <w:spacing w:after="0" w:line="147" w:lineRule="exact"/>
              <w:rPr>
                <w:sz w:val="20"/>
                <w:szCs w:val="20"/>
                <w:color w:val="auto"/>
              </w:rPr>
            </w:pPr>
            <w:r>
              <w:rPr>
                <w:rFonts w:ascii="Calibri" w:cs="Calibri" w:eastAsia="Calibri" w:hAnsi="Calibri"/>
                <w:sz w:val="13"/>
                <w:szCs w:val="13"/>
                <w:color w:val="auto"/>
              </w:rPr>
              <w:t>3</w:t>
            </w:r>
          </w:p>
        </w:tc>
        <w:tc>
          <w:tcPr>
            <w:tcW w:w="780" w:type="dxa"/>
            <w:vAlign w:val="bottom"/>
            <w:tcBorders>
              <w:top w:val="single" w:sz="8" w:color="auto"/>
            </w:tcBorders>
          </w:tcPr>
          <w:p>
            <w:pPr>
              <w:jc w:val="right"/>
              <w:ind w:right="56"/>
              <w:spacing w:after="0" w:line="147" w:lineRule="exact"/>
              <w:rPr>
                <w:sz w:val="20"/>
                <w:szCs w:val="20"/>
                <w:color w:val="auto"/>
              </w:rPr>
            </w:pPr>
            <w:r>
              <w:rPr>
                <w:rFonts w:ascii="Calibri" w:cs="Calibri" w:eastAsia="Calibri" w:hAnsi="Calibri"/>
                <w:sz w:val="13"/>
                <w:szCs w:val="13"/>
                <w:color w:val="auto"/>
              </w:rPr>
              <w:t>—</w:t>
            </w:r>
          </w:p>
        </w:tc>
        <w:tc>
          <w:tcPr>
            <w:tcW w:w="920" w:type="dxa"/>
            <w:vAlign w:val="bottom"/>
            <w:tcBorders>
              <w:top w:val="single" w:sz="8" w:color="auto"/>
            </w:tcBorders>
          </w:tcPr>
          <w:p>
            <w:pPr>
              <w:jc w:val="right"/>
              <w:ind w:right="56"/>
              <w:spacing w:after="0" w:line="147" w:lineRule="exact"/>
              <w:rPr>
                <w:sz w:val="20"/>
                <w:szCs w:val="20"/>
                <w:color w:val="auto"/>
              </w:rPr>
            </w:pPr>
            <w:r>
              <w:rPr>
                <w:rFonts w:ascii="Calibri" w:cs="Calibri" w:eastAsia="Calibri" w:hAnsi="Calibri"/>
                <w:sz w:val="13"/>
                <w:szCs w:val="13"/>
                <w:color w:val="auto"/>
              </w:rPr>
              <w:t>—</w:t>
            </w:r>
          </w:p>
        </w:tc>
        <w:tc>
          <w:tcPr>
            <w:tcW w:w="820" w:type="dxa"/>
            <w:vAlign w:val="bottom"/>
            <w:tcBorders>
              <w:top w:val="single" w:sz="8" w:color="auto"/>
            </w:tcBorders>
          </w:tcPr>
          <w:p>
            <w:pPr>
              <w:jc w:val="right"/>
              <w:ind w:right="36"/>
              <w:spacing w:after="0" w:line="147" w:lineRule="exact"/>
              <w:rPr>
                <w:sz w:val="20"/>
                <w:szCs w:val="20"/>
                <w:color w:val="auto"/>
              </w:rPr>
            </w:pPr>
            <w:r>
              <w:rPr>
                <w:rFonts w:ascii="Calibri" w:cs="Calibri" w:eastAsia="Calibri" w:hAnsi="Calibri"/>
                <w:sz w:val="13"/>
                <w:szCs w:val="13"/>
                <w:color w:val="auto"/>
              </w:rPr>
              <w:t>—</w:t>
            </w:r>
          </w:p>
        </w:tc>
        <w:tc>
          <w:tcPr>
            <w:tcW w:w="800" w:type="dxa"/>
            <w:vAlign w:val="bottom"/>
            <w:tcBorders>
              <w:top w:val="single" w:sz="8" w:color="auto"/>
            </w:tcBorders>
          </w:tcPr>
          <w:p>
            <w:pPr>
              <w:jc w:val="right"/>
              <w:spacing w:after="0" w:line="147" w:lineRule="exact"/>
              <w:rPr>
                <w:sz w:val="20"/>
                <w:szCs w:val="20"/>
                <w:color w:val="auto"/>
              </w:rPr>
            </w:pPr>
            <w:r>
              <w:rPr>
                <w:rFonts w:ascii="Calibri" w:cs="Calibri" w:eastAsia="Calibri" w:hAnsi="Calibri"/>
                <w:sz w:val="13"/>
                <w:szCs w:val="13"/>
                <w:color w:val="auto"/>
              </w:rPr>
              <w:t>—</w:t>
            </w:r>
          </w:p>
        </w:tc>
        <w:tc>
          <w:tcPr>
            <w:tcW w:w="80" w:type="dxa"/>
            <w:vAlign w:val="bottom"/>
            <w:tcBorders>
              <w:top w:val="single" w:sz="8" w:color="auto"/>
            </w:tcBorders>
          </w:tcPr>
          <w:p>
            <w:pPr>
              <w:spacing w:after="0"/>
              <w:rPr>
                <w:sz w:val="12"/>
                <w:szCs w:val="12"/>
                <w:color w:val="auto"/>
              </w:rPr>
            </w:pPr>
          </w:p>
        </w:tc>
        <w:tc>
          <w:tcPr>
            <w:tcW w:w="840" w:type="dxa"/>
            <w:vAlign w:val="bottom"/>
            <w:tcBorders>
              <w:top w:val="single" w:sz="8" w:color="auto"/>
            </w:tcBorders>
          </w:tcPr>
          <w:p>
            <w:pPr>
              <w:jc w:val="right"/>
              <w:spacing w:after="0" w:line="147" w:lineRule="exact"/>
              <w:rPr>
                <w:sz w:val="20"/>
                <w:szCs w:val="20"/>
                <w:color w:val="auto"/>
              </w:rPr>
            </w:pPr>
            <w:r>
              <w:rPr>
                <w:rFonts w:ascii="Calibri" w:cs="Calibri" w:eastAsia="Calibri" w:hAnsi="Calibri"/>
                <w:sz w:val="13"/>
                <w:szCs w:val="13"/>
                <w:color w:val="auto"/>
              </w:rPr>
              <w:t>—</w:t>
            </w:r>
          </w:p>
        </w:tc>
        <w:tc>
          <w:tcPr>
            <w:tcW w:w="80" w:type="dxa"/>
            <w:vAlign w:val="bottom"/>
            <w:tcBorders>
              <w:top w:val="single" w:sz="8" w:color="auto"/>
            </w:tcBorders>
          </w:tcPr>
          <w:p>
            <w:pPr>
              <w:spacing w:after="0"/>
              <w:rPr>
                <w:sz w:val="12"/>
                <w:szCs w:val="12"/>
                <w:color w:val="auto"/>
              </w:rPr>
            </w:pPr>
          </w:p>
        </w:tc>
        <w:tc>
          <w:tcPr>
            <w:tcW w:w="1040" w:type="dxa"/>
            <w:vAlign w:val="bottom"/>
            <w:tcBorders>
              <w:top w:val="single" w:sz="8" w:color="auto"/>
            </w:tcBorders>
          </w:tcPr>
          <w:p>
            <w:pPr>
              <w:jc w:val="right"/>
              <w:spacing w:after="0" w:line="147" w:lineRule="exact"/>
              <w:rPr>
                <w:sz w:val="20"/>
                <w:szCs w:val="20"/>
                <w:color w:val="auto"/>
              </w:rPr>
            </w:pPr>
            <w:r>
              <w:rPr>
                <w:rFonts w:ascii="Calibri" w:cs="Calibri" w:eastAsia="Calibri" w:hAnsi="Calibri"/>
                <w:sz w:val="13"/>
                <w:szCs w:val="13"/>
                <w:color w:val="auto"/>
              </w:rPr>
              <w:t>—</w:t>
            </w:r>
          </w:p>
        </w:tc>
        <w:tc>
          <w:tcPr>
            <w:tcW w:w="80" w:type="dxa"/>
            <w:vAlign w:val="bottom"/>
            <w:tcBorders>
              <w:top w:val="single" w:sz="8" w:color="auto"/>
            </w:tcBorders>
          </w:tcPr>
          <w:p>
            <w:pPr>
              <w:spacing w:after="0"/>
              <w:rPr>
                <w:sz w:val="12"/>
                <w:szCs w:val="12"/>
                <w:color w:val="auto"/>
              </w:rPr>
            </w:pPr>
          </w:p>
        </w:tc>
        <w:tc>
          <w:tcPr>
            <w:tcW w:w="900" w:type="dxa"/>
            <w:vAlign w:val="bottom"/>
            <w:tcBorders>
              <w:top w:val="single" w:sz="8" w:color="auto"/>
            </w:tcBorders>
          </w:tcPr>
          <w:p>
            <w:pPr>
              <w:jc w:val="right"/>
              <w:spacing w:after="0" w:line="147" w:lineRule="exact"/>
              <w:rPr>
                <w:sz w:val="20"/>
                <w:szCs w:val="20"/>
                <w:color w:val="auto"/>
              </w:rPr>
            </w:pPr>
            <w:r>
              <w:rPr>
                <w:rFonts w:ascii="Calibri" w:cs="Calibri" w:eastAsia="Calibri" w:hAnsi="Calibri"/>
                <w:sz w:val="13"/>
                <w:szCs w:val="13"/>
                <w:color w:val="auto"/>
              </w:rPr>
              <w:t>—</w:t>
            </w:r>
          </w:p>
        </w:tc>
        <w:tc>
          <w:tcPr>
            <w:tcW w:w="0" w:type="dxa"/>
            <w:vAlign w:val="bottom"/>
          </w:tcPr>
          <w:p>
            <w:pPr>
              <w:spacing w:after="0"/>
              <w:rPr>
                <w:sz w:val="1"/>
                <w:szCs w:val="1"/>
                <w:color w:val="auto"/>
              </w:rPr>
            </w:pPr>
          </w:p>
        </w:tc>
      </w:tr>
      <w:tr>
        <w:trPr>
          <w:trHeight w:val="167"/>
        </w:trPr>
        <w:tc>
          <w:tcPr>
            <w:tcW w:w="3360" w:type="dxa"/>
            <w:vAlign w:val="bottom"/>
          </w:tcPr>
          <w:p>
            <w:pPr>
              <w:ind w:left="20"/>
              <w:spacing w:after="0"/>
              <w:rPr>
                <w:sz w:val="20"/>
                <w:szCs w:val="20"/>
                <w:color w:val="auto"/>
              </w:rPr>
            </w:pPr>
            <w:r>
              <w:rPr>
                <w:rFonts w:ascii="Calibri" w:cs="Calibri" w:eastAsia="Calibri" w:hAnsi="Calibri"/>
                <w:sz w:val="13"/>
                <w:szCs w:val="13"/>
                <w:color w:val="auto"/>
              </w:rPr>
              <w:t>Share issuance costs</w:t>
            </w:r>
          </w:p>
        </w:tc>
        <w:tc>
          <w:tcPr>
            <w:tcW w:w="620" w:type="dxa"/>
            <w:vAlign w:val="bottom"/>
          </w:tcPr>
          <w:p>
            <w:pPr>
              <w:jc w:val="center"/>
              <w:spacing w:after="0"/>
              <w:rPr>
                <w:sz w:val="20"/>
                <w:szCs w:val="20"/>
                <w:color w:val="auto"/>
              </w:rPr>
            </w:pPr>
            <w:r>
              <w:rPr>
                <w:rFonts w:ascii="Calibri" w:cs="Calibri" w:eastAsia="Calibri" w:hAnsi="Calibri"/>
                <w:sz w:val="13"/>
                <w:szCs w:val="13"/>
                <w:color w:val="auto"/>
              </w:rPr>
              <w:t>7</w:t>
            </w:r>
          </w:p>
        </w:tc>
        <w:tc>
          <w:tcPr>
            <w:tcW w:w="100" w:type="dxa"/>
            <w:vAlign w:val="bottom"/>
          </w:tcPr>
          <w:p>
            <w:pPr>
              <w:spacing w:after="0"/>
              <w:rPr>
                <w:sz w:val="14"/>
                <w:szCs w:val="14"/>
                <w:color w:val="auto"/>
              </w:rPr>
            </w:pPr>
          </w:p>
        </w:tc>
        <w:tc>
          <w:tcPr>
            <w:tcW w:w="840" w:type="dxa"/>
            <w:vAlign w:val="bottom"/>
          </w:tcPr>
          <w:p>
            <w:pPr>
              <w:jc w:val="right"/>
              <w:ind w:right="56"/>
              <w:spacing w:after="0"/>
              <w:rPr>
                <w:sz w:val="20"/>
                <w:szCs w:val="20"/>
                <w:color w:val="auto"/>
              </w:rPr>
            </w:pPr>
            <w:r>
              <w:rPr>
                <w:rFonts w:ascii="Calibri" w:cs="Calibri" w:eastAsia="Calibri" w:hAnsi="Calibri"/>
                <w:sz w:val="13"/>
                <w:szCs w:val="13"/>
                <w:color w:val="auto"/>
              </w:rPr>
              <w:t>—</w:t>
            </w:r>
          </w:p>
        </w:tc>
        <w:tc>
          <w:tcPr>
            <w:tcW w:w="780" w:type="dxa"/>
            <w:vAlign w:val="bottom"/>
          </w:tcPr>
          <w:p>
            <w:pPr>
              <w:jc w:val="right"/>
              <w:ind w:right="36"/>
              <w:spacing w:after="0"/>
              <w:rPr>
                <w:sz w:val="20"/>
                <w:szCs w:val="20"/>
                <w:color w:val="auto"/>
              </w:rPr>
            </w:pPr>
            <w:r>
              <w:rPr>
                <w:rFonts w:ascii="Calibri" w:cs="Calibri" w:eastAsia="Calibri" w:hAnsi="Calibri"/>
                <w:sz w:val="13"/>
                <w:szCs w:val="13"/>
                <w:color w:val="auto"/>
              </w:rPr>
              <w:t>(429)</w:t>
            </w:r>
          </w:p>
        </w:tc>
        <w:tc>
          <w:tcPr>
            <w:tcW w:w="920" w:type="dxa"/>
            <w:vAlign w:val="bottom"/>
          </w:tcPr>
          <w:p>
            <w:pPr>
              <w:jc w:val="right"/>
              <w:ind w:right="56"/>
              <w:spacing w:after="0"/>
              <w:rPr>
                <w:sz w:val="20"/>
                <w:szCs w:val="20"/>
                <w:color w:val="auto"/>
              </w:rPr>
            </w:pPr>
            <w:r>
              <w:rPr>
                <w:rFonts w:ascii="Calibri" w:cs="Calibri" w:eastAsia="Calibri" w:hAnsi="Calibri"/>
                <w:sz w:val="13"/>
                <w:szCs w:val="13"/>
                <w:color w:val="auto"/>
              </w:rPr>
              <w:t>—</w:t>
            </w:r>
          </w:p>
        </w:tc>
        <w:tc>
          <w:tcPr>
            <w:tcW w:w="820" w:type="dxa"/>
            <w:vAlign w:val="bottom"/>
          </w:tcPr>
          <w:p>
            <w:pPr>
              <w:jc w:val="right"/>
              <w:ind w:right="36"/>
              <w:spacing w:after="0"/>
              <w:rPr>
                <w:sz w:val="20"/>
                <w:szCs w:val="20"/>
                <w:color w:val="auto"/>
              </w:rPr>
            </w:pPr>
            <w:r>
              <w:rPr>
                <w:rFonts w:ascii="Calibri" w:cs="Calibri" w:eastAsia="Calibri" w:hAnsi="Calibri"/>
                <w:sz w:val="13"/>
                <w:szCs w:val="13"/>
                <w:b w:val="1"/>
                <w:bCs w:val="1"/>
                <w:color w:val="auto"/>
              </w:rPr>
              <w:t>—</w:t>
            </w:r>
          </w:p>
        </w:tc>
        <w:tc>
          <w:tcPr>
            <w:tcW w:w="800" w:type="dxa"/>
            <w:vAlign w:val="bottom"/>
          </w:tcPr>
          <w:p>
            <w:pPr>
              <w:jc w:val="right"/>
              <w:spacing w:after="0"/>
              <w:rPr>
                <w:sz w:val="20"/>
                <w:szCs w:val="20"/>
                <w:color w:val="auto"/>
              </w:rPr>
            </w:pPr>
            <w:r>
              <w:rPr>
                <w:rFonts w:ascii="Calibri" w:cs="Calibri" w:eastAsia="Calibri" w:hAnsi="Calibri"/>
                <w:sz w:val="13"/>
                <w:szCs w:val="13"/>
                <w:b w:val="1"/>
                <w:bCs w:val="1"/>
                <w:color w:val="auto"/>
              </w:rPr>
              <w:t>—</w:t>
            </w:r>
          </w:p>
        </w:tc>
        <w:tc>
          <w:tcPr>
            <w:tcW w:w="8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Calibri" w:cs="Calibri" w:eastAsia="Calibri" w:hAnsi="Calibri"/>
                <w:sz w:val="13"/>
                <w:szCs w:val="13"/>
                <w:b w:val="1"/>
                <w:bCs w:val="1"/>
                <w:color w:val="auto"/>
              </w:rPr>
              <w:t>—</w:t>
            </w:r>
          </w:p>
        </w:tc>
        <w:tc>
          <w:tcPr>
            <w:tcW w:w="80" w:type="dxa"/>
            <w:vAlign w:val="bottom"/>
          </w:tcPr>
          <w:p>
            <w:pPr>
              <w:spacing w:after="0"/>
              <w:rPr>
                <w:sz w:val="14"/>
                <w:szCs w:val="14"/>
                <w:color w:val="auto"/>
              </w:rPr>
            </w:pPr>
          </w:p>
        </w:tc>
        <w:tc>
          <w:tcPr>
            <w:tcW w:w="1040" w:type="dxa"/>
            <w:vAlign w:val="bottom"/>
          </w:tcPr>
          <w:p>
            <w:pPr>
              <w:jc w:val="right"/>
              <w:spacing w:after="0"/>
              <w:rPr>
                <w:sz w:val="20"/>
                <w:szCs w:val="20"/>
                <w:color w:val="auto"/>
              </w:rPr>
            </w:pPr>
            <w:r>
              <w:rPr>
                <w:rFonts w:ascii="Calibri" w:cs="Calibri" w:eastAsia="Calibri" w:hAnsi="Calibri"/>
                <w:sz w:val="13"/>
                <w:szCs w:val="13"/>
                <w:b w:val="1"/>
                <w:bCs w:val="1"/>
                <w:color w:val="auto"/>
              </w:rPr>
              <w:t>—</w:t>
            </w:r>
          </w:p>
        </w:tc>
        <w:tc>
          <w:tcPr>
            <w:tcW w:w="980" w:type="dxa"/>
            <w:vAlign w:val="bottom"/>
            <w:gridSpan w:val="2"/>
          </w:tcPr>
          <w:p>
            <w:pPr>
              <w:jc w:val="right"/>
              <w:spacing w:after="0"/>
              <w:rPr>
                <w:sz w:val="20"/>
                <w:szCs w:val="20"/>
                <w:color w:val="auto"/>
              </w:rPr>
            </w:pPr>
            <w:r>
              <w:rPr>
                <w:rFonts w:ascii="Calibri" w:cs="Calibri" w:eastAsia="Calibri" w:hAnsi="Calibri"/>
                <w:sz w:val="13"/>
                <w:szCs w:val="13"/>
                <w:b w:val="1"/>
                <w:bCs w:val="1"/>
                <w:color w:val="auto"/>
              </w:rPr>
              <w:t>(429)</w:t>
            </w:r>
          </w:p>
        </w:tc>
        <w:tc>
          <w:tcPr>
            <w:tcW w:w="0" w:type="dxa"/>
            <w:vAlign w:val="bottom"/>
          </w:tcPr>
          <w:p>
            <w:pPr>
              <w:spacing w:after="0"/>
              <w:rPr>
                <w:sz w:val="1"/>
                <w:szCs w:val="1"/>
                <w:color w:val="auto"/>
              </w:rPr>
            </w:pPr>
          </w:p>
        </w:tc>
      </w:tr>
      <w:tr>
        <w:trPr>
          <w:trHeight w:val="181"/>
        </w:trPr>
        <w:tc>
          <w:tcPr>
            <w:tcW w:w="3360" w:type="dxa"/>
            <w:vAlign w:val="bottom"/>
          </w:tcPr>
          <w:p>
            <w:pPr>
              <w:ind w:left="20"/>
              <w:spacing w:after="0"/>
              <w:rPr>
                <w:sz w:val="20"/>
                <w:szCs w:val="20"/>
                <w:color w:val="auto"/>
              </w:rPr>
            </w:pPr>
            <w:r>
              <w:rPr>
                <w:rFonts w:ascii="Calibri" w:cs="Calibri" w:eastAsia="Calibri" w:hAnsi="Calibri"/>
                <w:sz w:val="13"/>
                <w:szCs w:val="13"/>
                <w:color w:val="auto"/>
              </w:rPr>
              <w:t>Optons cancelled</w:t>
            </w:r>
          </w:p>
        </w:tc>
        <w:tc>
          <w:tcPr>
            <w:tcW w:w="620" w:type="dxa"/>
            <w:vAlign w:val="bottom"/>
          </w:tcPr>
          <w:p>
            <w:pPr>
              <w:jc w:val="center"/>
              <w:spacing w:after="0"/>
              <w:rPr>
                <w:sz w:val="20"/>
                <w:szCs w:val="20"/>
                <w:color w:val="auto"/>
              </w:rPr>
            </w:pPr>
            <w:r>
              <w:rPr>
                <w:rFonts w:ascii="Calibri" w:cs="Calibri" w:eastAsia="Calibri" w:hAnsi="Calibri"/>
                <w:sz w:val="13"/>
                <w:szCs w:val="13"/>
                <w:color w:val="auto"/>
              </w:rPr>
              <w:t>7</w:t>
            </w:r>
          </w:p>
        </w:tc>
        <w:tc>
          <w:tcPr>
            <w:tcW w:w="100" w:type="dxa"/>
            <w:vAlign w:val="bottom"/>
          </w:tcPr>
          <w:p>
            <w:pPr>
              <w:spacing w:after="0"/>
              <w:rPr>
                <w:sz w:val="15"/>
                <w:szCs w:val="15"/>
                <w:color w:val="auto"/>
              </w:rPr>
            </w:pPr>
          </w:p>
        </w:tc>
        <w:tc>
          <w:tcPr>
            <w:tcW w:w="840" w:type="dxa"/>
            <w:vAlign w:val="bottom"/>
          </w:tcPr>
          <w:p>
            <w:pPr>
              <w:jc w:val="right"/>
              <w:ind w:right="56"/>
              <w:spacing w:after="0"/>
              <w:rPr>
                <w:sz w:val="20"/>
                <w:szCs w:val="20"/>
                <w:color w:val="auto"/>
              </w:rPr>
            </w:pPr>
            <w:r>
              <w:rPr>
                <w:rFonts w:ascii="Calibri" w:cs="Calibri" w:eastAsia="Calibri" w:hAnsi="Calibri"/>
                <w:sz w:val="13"/>
                <w:szCs w:val="13"/>
                <w:color w:val="auto"/>
              </w:rPr>
              <w:t>—</w:t>
            </w:r>
          </w:p>
        </w:tc>
        <w:tc>
          <w:tcPr>
            <w:tcW w:w="780" w:type="dxa"/>
            <w:vAlign w:val="bottom"/>
          </w:tcPr>
          <w:p>
            <w:pPr>
              <w:jc w:val="right"/>
              <w:ind w:right="56"/>
              <w:spacing w:after="0"/>
              <w:rPr>
                <w:sz w:val="20"/>
                <w:szCs w:val="20"/>
                <w:color w:val="auto"/>
              </w:rPr>
            </w:pPr>
            <w:r>
              <w:rPr>
                <w:rFonts w:ascii="Calibri" w:cs="Calibri" w:eastAsia="Calibri" w:hAnsi="Calibri"/>
                <w:sz w:val="13"/>
                <w:szCs w:val="13"/>
                <w:color w:val="auto"/>
              </w:rPr>
              <w:t>—</w:t>
            </w:r>
          </w:p>
        </w:tc>
        <w:tc>
          <w:tcPr>
            <w:tcW w:w="920" w:type="dxa"/>
            <w:vAlign w:val="bottom"/>
          </w:tcPr>
          <w:p>
            <w:pPr>
              <w:jc w:val="right"/>
              <w:ind w:right="56"/>
              <w:spacing w:after="0"/>
              <w:rPr>
                <w:sz w:val="20"/>
                <w:szCs w:val="20"/>
                <w:color w:val="auto"/>
              </w:rPr>
            </w:pPr>
            <w:r>
              <w:rPr>
                <w:rFonts w:ascii="Calibri" w:cs="Calibri" w:eastAsia="Calibri" w:hAnsi="Calibri"/>
                <w:sz w:val="13"/>
                <w:szCs w:val="13"/>
                <w:color w:val="auto"/>
              </w:rPr>
              <w:t>—</w:t>
            </w:r>
          </w:p>
        </w:tc>
        <w:tc>
          <w:tcPr>
            <w:tcW w:w="820" w:type="dxa"/>
            <w:vAlign w:val="bottom"/>
          </w:tcPr>
          <w:p>
            <w:pPr>
              <w:jc w:val="right"/>
              <w:spacing w:after="0"/>
              <w:rPr>
                <w:sz w:val="20"/>
                <w:szCs w:val="20"/>
                <w:color w:val="auto"/>
              </w:rPr>
            </w:pPr>
            <w:r>
              <w:rPr>
                <w:rFonts w:ascii="Calibri" w:cs="Calibri" w:eastAsia="Calibri" w:hAnsi="Calibri"/>
                <w:sz w:val="13"/>
                <w:szCs w:val="13"/>
                <w:color w:val="auto"/>
              </w:rPr>
              <w:t>(32,041)</w:t>
            </w:r>
          </w:p>
        </w:tc>
        <w:tc>
          <w:tcPr>
            <w:tcW w:w="800" w:type="dxa"/>
            <w:vAlign w:val="bottom"/>
          </w:tcPr>
          <w:p>
            <w:pPr>
              <w:jc w:val="right"/>
              <w:spacing w:after="0"/>
              <w:rPr>
                <w:sz w:val="20"/>
                <w:szCs w:val="20"/>
                <w:color w:val="auto"/>
              </w:rPr>
            </w:pPr>
            <w:r>
              <w:rPr>
                <w:rFonts w:ascii="Calibri" w:cs="Calibri" w:eastAsia="Calibri" w:hAnsi="Calibri"/>
                <w:sz w:val="13"/>
                <w:szCs w:val="13"/>
                <w:color w:val="auto"/>
              </w:rPr>
              <w:t>32,041</w:t>
            </w:r>
          </w:p>
        </w:tc>
        <w:tc>
          <w:tcPr>
            <w:tcW w:w="8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Calibri" w:cs="Calibri" w:eastAsia="Calibri" w:hAnsi="Calibri"/>
                <w:sz w:val="13"/>
                <w:szCs w:val="13"/>
                <w:b w:val="1"/>
                <w:bCs w:val="1"/>
                <w:color w:val="auto"/>
              </w:rPr>
              <w:t>—</w:t>
            </w:r>
          </w:p>
        </w:tc>
        <w:tc>
          <w:tcPr>
            <w:tcW w:w="8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Calibri" w:cs="Calibri" w:eastAsia="Calibri" w:hAnsi="Calibri"/>
                <w:sz w:val="13"/>
                <w:szCs w:val="13"/>
                <w:b w:val="1"/>
                <w:bCs w:val="1"/>
                <w:color w:val="auto"/>
              </w:rPr>
              <w:t>—</w:t>
            </w:r>
          </w:p>
        </w:tc>
        <w:tc>
          <w:tcPr>
            <w:tcW w:w="80" w:type="dxa"/>
            <w:vAlign w:val="bottom"/>
          </w:tcPr>
          <w:p>
            <w:pPr>
              <w:spacing w:after="0"/>
              <w:rPr>
                <w:sz w:val="15"/>
                <w:szCs w:val="15"/>
                <w:color w:val="auto"/>
              </w:rPr>
            </w:pPr>
          </w:p>
        </w:tc>
        <w:tc>
          <w:tcPr>
            <w:tcW w:w="900" w:type="dxa"/>
            <w:vAlign w:val="bottom"/>
          </w:tcPr>
          <w:p>
            <w:pPr>
              <w:jc w:val="right"/>
              <w:spacing w:after="0"/>
              <w:rPr>
                <w:sz w:val="20"/>
                <w:szCs w:val="20"/>
                <w:color w:val="auto"/>
              </w:rPr>
            </w:pPr>
            <w:r>
              <w:rPr>
                <w:rFonts w:ascii="Calibri" w:cs="Calibri" w:eastAsia="Calibri" w:hAnsi="Calibri"/>
                <w:sz w:val="13"/>
                <w:szCs w:val="13"/>
                <w:b w:val="1"/>
                <w:bCs w:val="1"/>
                <w:color w:val="auto"/>
              </w:rPr>
              <w:t>—</w:t>
            </w:r>
          </w:p>
        </w:tc>
        <w:tc>
          <w:tcPr>
            <w:tcW w:w="0" w:type="dxa"/>
            <w:vAlign w:val="bottom"/>
          </w:tcPr>
          <w:p>
            <w:pPr>
              <w:spacing w:after="0"/>
              <w:rPr>
                <w:sz w:val="1"/>
                <w:szCs w:val="1"/>
                <w:color w:val="auto"/>
              </w:rPr>
            </w:pPr>
          </w:p>
        </w:tc>
      </w:tr>
      <w:tr>
        <w:trPr>
          <w:trHeight w:val="181"/>
        </w:trPr>
        <w:tc>
          <w:tcPr>
            <w:tcW w:w="3360" w:type="dxa"/>
            <w:vAlign w:val="bottom"/>
          </w:tcPr>
          <w:p>
            <w:pPr>
              <w:ind w:left="20"/>
              <w:spacing w:after="0"/>
              <w:rPr>
                <w:sz w:val="20"/>
                <w:szCs w:val="20"/>
                <w:color w:val="auto"/>
              </w:rPr>
            </w:pPr>
            <w:r>
              <w:rPr>
                <w:rFonts w:ascii="Calibri" w:cs="Calibri" w:eastAsia="Calibri" w:hAnsi="Calibri"/>
                <w:sz w:val="13"/>
                <w:szCs w:val="13"/>
                <w:color w:val="auto"/>
              </w:rPr>
              <w:t>Share-based compensaton</w:t>
            </w:r>
          </w:p>
        </w:tc>
        <w:tc>
          <w:tcPr>
            <w:tcW w:w="620" w:type="dxa"/>
            <w:vAlign w:val="bottom"/>
          </w:tcPr>
          <w:p>
            <w:pPr>
              <w:jc w:val="center"/>
              <w:spacing w:after="0"/>
              <w:rPr>
                <w:sz w:val="20"/>
                <w:szCs w:val="20"/>
                <w:color w:val="auto"/>
              </w:rPr>
            </w:pPr>
            <w:r>
              <w:rPr>
                <w:rFonts w:ascii="Calibri" w:cs="Calibri" w:eastAsia="Calibri" w:hAnsi="Calibri"/>
                <w:sz w:val="13"/>
                <w:szCs w:val="13"/>
                <w:color w:val="auto"/>
              </w:rPr>
              <w:t>7</w:t>
            </w:r>
          </w:p>
        </w:tc>
        <w:tc>
          <w:tcPr>
            <w:tcW w:w="100" w:type="dxa"/>
            <w:vAlign w:val="bottom"/>
          </w:tcPr>
          <w:p>
            <w:pPr>
              <w:spacing w:after="0"/>
              <w:rPr>
                <w:sz w:val="15"/>
                <w:szCs w:val="15"/>
                <w:color w:val="auto"/>
              </w:rPr>
            </w:pPr>
          </w:p>
        </w:tc>
        <w:tc>
          <w:tcPr>
            <w:tcW w:w="840" w:type="dxa"/>
            <w:vAlign w:val="bottom"/>
          </w:tcPr>
          <w:p>
            <w:pPr>
              <w:jc w:val="right"/>
              <w:ind w:right="56"/>
              <w:spacing w:after="0"/>
              <w:rPr>
                <w:sz w:val="20"/>
                <w:szCs w:val="20"/>
                <w:color w:val="auto"/>
              </w:rPr>
            </w:pPr>
            <w:r>
              <w:rPr>
                <w:rFonts w:ascii="Calibri" w:cs="Calibri" w:eastAsia="Calibri" w:hAnsi="Calibri"/>
                <w:sz w:val="13"/>
                <w:szCs w:val="13"/>
                <w:color w:val="auto"/>
              </w:rPr>
              <w:t>—</w:t>
            </w:r>
          </w:p>
        </w:tc>
        <w:tc>
          <w:tcPr>
            <w:tcW w:w="780" w:type="dxa"/>
            <w:vAlign w:val="bottom"/>
          </w:tcPr>
          <w:p>
            <w:pPr>
              <w:jc w:val="right"/>
              <w:ind w:right="56"/>
              <w:spacing w:after="0"/>
              <w:rPr>
                <w:sz w:val="20"/>
                <w:szCs w:val="20"/>
                <w:color w:val="auto"/>
              </w:rPr>
            </w:pPr>
            <w:r>
              <w:rPr>
                <w:rFonts w:ascii="Calibri" w:cs="Calibri" w:eastAsia="Calibri" w:hAnsi="Calibri"/>
                <w:sz w:val="13"/>
                <w:szCs w:val="13"/>
                <w:color w:val="auto"/>
              </w:rPr>
              <w:t>—</w:t>
            </w:r>
          </w:p>
        </w:tc>
        <w:tc>
          <w:tcPr>
            <w:tcW w:w="920" w:type="dxa"/>
            <w:vAlign w:val="bottom"/>
          </w:tcPr>
          <w:p>
            <w:pPr>
              <w:jc w:val="right"/>
              <w:ind w:right="56"/>
              <w:spacing w:after="0"/>
              <w:rPr>
                <w:sz w:val="20"/>
                <w:szCs w:val="20"/>
                <w:color w:val="auto"/>
              </w:rPr>
            </w:pPr>
            <w:r>
              <w:rPr>
                <w:rFonts w:ascii="Calibri" w:cs="Calibri" w:eastAsia="Calibri" w:hAnsi="Calibri"/>
                <w:sz w:val="13"/>
                <w:szCs w:val="13"/>
                <w:color w:val="auto"/>
              </w:rPr>
              <w:t>1,955</w:t>
            </w:r>
          </w:p>
        </w:tc>
        <w:tc>
          <w:tcPr>
            <w:tcW w:w="820" w:type="dxa"/>
            <w:vAlign w:val="bottom"/>
          </w:tcPr>
          <w:p>
            <w:pPr>
              <w:jc w:val="right"/>
              <w:ind w:right="36"/>
              <w:spacing w:after="0"/>
              <w:rPr>
                <w:sz w:val="20"/>
                <w:szCs w:val="20"/>
                <w:color w:val="auto"/>
              </w:rPr>
            </w:pPr>
            <w:r>
              <w:rPr>
                <w:rFonts w:ascii="Calibri" w:cs="Calibri" w:eastAsia="Calibri" w:hAnsi="Calibri"/>
                <w:sz w:val="13"/>
                <w:szCs w:val="13"/>
                <w:color w:val="auto"/>
              </w:rPr>
              <w:t>35,479</w:t>
            </w:r>
          </w:p>
        </w:tc>
        <w:tc>
          <w:tcPr>
            <w:tcW w:w="800" w:type="dxa"/>
            <w:vAlign w:val="bottom"/>
          </w:tcPr>
          <w:p>
            <w:pPr>
              <w:jc w:val="right"/>
              <w:spacing w:after="0"/>
              <w:rPr>
                <w:sz w:val="20"/>
                <w:szCs w:val="20"/>
                <w:color w:val="auto"/>
              </w:rPr>
            </w:pPr>
            <w:r>
              <w:rPr>
                <w:rFonts w:ascii="Calibri" w:cs="Calibri" w:eastAsia="Calibri" w:hAnsi="Calibri"/>
                <w:sz w:val="13"/>
                <w:szCs w:val="13"/>
                <w:color w:val="auto"/>
              </w:rPr>
              <w:t>—</w:t>
            </w:r>
          </w:p>
        </w:tc>
        <w:tc>
          <w:tcPr>
            <w:tcW w:w="8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Calibri" w:cs="Calibri" w:eastAsia="Calibri" w:hAnsi="Calibri"/>
                <w:sz w:val="13"/>
                <w:szCs w:val="13"/>
                <w:b w:val="1"/>
                <w:bCs w:val="1"/>
                <w:color w:val="auto"/>
              </w:rPr>
              <w:t>—</w:t>
            </w:r>
          </w:p>
        </w:tc>
        <w:tc>
          <w:tcPr>
            <w:tcW w:w="8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Calibri" w:cs="Calibri" w:eastAsia="Calibri" w:hAnsi="Calibri"/>
                <w:sz w:val="13"/>
                <w:szCs w:val="13"/>
                <w:b w:val="1"/>
                <w:bCs w:val="1"/>
                <w:color w:val="auto"/>
              </w:rPr>
              <w:t>—</w:t>
            </w:r>
          </w:p>
        </w:tc>
        <w:tc>
          <w:tcPr>
            <w:tcW w:w="980" w:type="dxa"/>
            <w:vAlign w:val="bottom"/>
            <w:gridSpan w:val="2"/>
          </w:tcPr>
          <w:p>
            <w:pPr>
              <w:jc w:val="right"/>
              <w:spacing w:after="0"/>
              <w:rPr>
                <w:sz w:val="20"/>
                <w:szCs w:val="20"/>
                <w:color w:val="auto"/>
              </w:rPr>
            </w:pPr>
            <w:r>
              <w:rPr>
                <w:rFonts w:ascii="Calibri" w:cs="Calibri" w:eastAsia="Calibri" w:hAnsi="Calibri"/>
                <w:sz w:val="13"/>
                <w:szCs w:val="13"/>
                <w:b w:val="1"/>
                <w:bCs w:val="1"/>
                <w:color w:val="auto"/>
              </w:rPr>
              <w:t>37,434</w:t>
            </w:r>
          </w:p>
        </w:tc>
        <w:tc>
          <w:tcPr>
            <w:tcW w:w="0" w:type="dxa"/>
            <w:vAlign w:val="bottom"/>
          </w:tcPr>
          <w:p>
            <w:pPr>
              <w:spacing w:after="0"/>
              <w:rPr>
                <w:sz w:val="1"/>
                <w:szCs w:val="1"/>
                <w:color w:val="auto"/>
              </w:rPr>
            </w:pPr>
          </w:p>
        </w:tc>
      </w:tr>
      <w:tr>
        <w:trPr>
          <w:trHeight w:val="181"/>
        </w:trPr>
        <w:tc>
          <w:tcPr>
            <w:tcW w:w="3360" w:type="dxa"/>
            <w:vAlign w:val="bottom"/>
          </w:tcPr>
          <w:p>
            <w:pPr>
              <w:ind w:left="20"/>
              <w:spacing w:after="0"/>
              <w:rPr>
                <w:sz w:val="20"/>
                <w:szCs w:val="20"/>
                <w:color w:val="auto"/>
              </w:rPr>
            </w:pPr>
            <w:r>
              <w:rPr>
                <w:rFonts w:ascii="Calibri" w:cs="Calibri" w:eastAsia="Calibri" w:hAnsi="Calibri"/>
                <w:sz w:val="13"/>
                <w:szCs w:val="13"/>
                <w:color w:val="auto"/>
              </w:rPr>
              <w:t>Unrealized loss on translaton of foreign operatons</w:t>
            </w:r>
          </w:p>
        </w:tc>
        <w:tc>
          <w:tcPr>
            <w:tcW w:w="620" w:type="dxa"/>
            <w:vAlign w:val="bottom"/>
          </w:tcPr>
          <w:p>
            <w:pPr>
              <w:jc w:val="center"/>
              <w:spacing w:after="0"/>
              <w:rPr>
                <w:sz w:val="20"/>
                <w:szCs w:val="20"/>
                <w:color w:val="auto"/>
              </w:rPr>
            </w:pPr>
            <w:r>
              <w:rPr>
                <w:rFonts w:ascii="Calibri" w:cs="Calibri" w:eastAsia="Calibri" w:hAnsi="Calibri"/>
                <w:sz w:val="13"/>
                <w:szCs w:val="13"/>
                <w:color w:val="auto"/>
              </w:rPr>
              <w:t>7</w:t>
            </w:r>
          </w:p>
        </w:tc>
        <w:tc>
          <w:tcPr>
            <w:tcW w:w="100" w:type="dxa"/>
            <w:vAlign w:val="bottom"/>
          </w:tcPr>
          <w:p>
            <w:pPr>
              <w:spacing w:after="0"/>
              <w:rPr>
                <w:sz w:val="15"/>
                <w:szCs w:val="15"/>
                <w:color w:val="auto"/>
              </w:rPr>
            </w:pPr>
          </w:p>
        </w:tc>
        <w:tc>
          <w:tcPr>
            <w:tcW w:w="840" w:type="dxa"/>
            <w:vAlign w:val="bottom"/>
          </w:tcPr>
          <w:p>
            <w:pPr>
              <w:jc w:val="right"/>
              <w:ind w:right="56"/>
              <w:spacing w:after="0"/>
              <w:rPr>
                <w:sz w:val="20"/>
                <w:szCs w:val="20"/>
                <w:color w:val="auto"/>
              </w:rPr>
            </w:pPr>
            <w:r>
              <w:rPr>
                <w:rFonts w:ascii="Calibri" w:cs="Calibri" w:eastAsia="Calibri" w:hAnsi="Calibri"/>
                <w:sz w:val="13"/>
                <w:szCs w:val="13"/>
                <w:color w:val="auto"/>
              </w:rPr>
              <w:t>—</w:t>
            </w:r>
          </w:p>
        </w:tc>
        <w:tc>
          <w:tcPr>
            <w:tcW w:w="780" w:type="dxa"/>
            <w:vAlign w:val="bottom"/>
          </w:tcPr>
          <w:p>
            <w:pPr>
              <w:jc w:val="right"/>
              <w:ind w:right="56"/>
              <w:spacing w:after="0"/>
              <w:rPr>
                <w:sz w:val="20"/>
                <w:szCs w:val="20"/>
                <w:color w:val="auto"/>
              </w:rPr>
            </w:pPr>
            <w:r>
              <w:rPr>
                <w:rFonts w:ascii="Calibri" w:cs="Calibri" w:eastAsia="Calibri" w:hAnsi="Calibri"/>
                <w:sz w:val="13"/>
                <w:szCs w:val="13"/>
                <w:color w:val="auto"/>
              </w:rPr>
              <w:t>—</w:t>
            </w:r>
          </w:p>
        </w:tc>
        <w:tc>
          <w:tcPr>
            <w:tcW w:w="920" w:type="dxa"/>
            <w:vAlign w:val="bottom"/>
          </w:tcPr>
          <w:p>
            <w:pPr>
              <w:jc w:val="right"/>
              <w:ind w:right="56"/>
              <w:spacing w:after="0"/>
              <w:rPr>
                <w:sz w:val="20"/>
                <w:szCs w:val="20"/>
                <w:color w:val="auto"/>
              </w:rPr>
            </w:pPr>
            <w:r>
              <w:rPr>
                <w:rFonts w:ascii="Calibri" w:cs="Calibri" w:eastAsia="Calibri" w:hAnsi="Calibri"/>
                <w:sz w:val="13"/>
                <w:szCs w:val="13"/>
                <w:color w:val="auto"/>
              </w:rPr>
              <w:t>—</w:t>
            </w:r>
          </w:p>
        </w:tc>
        <w:tc>
          <w:tcPr>
            <w:tcW w:w="820" w:type="dxa"/>
            <w:vAlign w:val="bottom"/>
          </w:tcPr>
          <w:p>
            <w:pPr>
              <w:jc w:val="right"/>
              <w:ind w:right="36"/>
              <w:spacing w:after="0"/>
              <w:rPr>
                <w:sz w:val="20"/>
                <w:szCs w:val="20"/>
                <w:color w:val="auto"/>
              </w:rPr>
            </w:pPr>
            <w:r>
              <w:rPr>
                <w:rFonts w:ascii="Calibri" w:cs="Calibri" w:eastAsia="Calibri" w:hAnsi="Calibri"/>
                <w:sz w:val="13"/>
                <w:szCs w:val="13"/>
                <w:color w:val="auto"/>
              </w:rPr>
              <w:t>—</w:t>
            </w:r>
          </w:p>
        </w:tc>
        <w:tc>
          <w:tcPr>
            <w:tcW w:w="800" w:type="dxa"/>
            <w:vAlign w:val="bottom"/>
          </w:tcPr>
          <w:p>
            <w:pPr>
              <w:jc w:val="right"/>
              <w:spacing w:after="0"/>
              <w:rPr>
                <w:sz w:val="20"/>
                <w:szCs w:val="20"/>
                <w:color w:val="auto"/>
              </w:rPr>
            </w:pPr>
            <w:r>
              <w:rPr>
                <w:rFonts w:ascii="Calibri" w:cs="Calibri" w:eastAsia="Calibri" w:hAnsi="Calibri"/>
                <w:sz w:val="13"/>
                <w:szCs w:val="13"/>
                <w:color w:val="auto"/>
              </w:rPr>
              <w:t>—</w:t>
            </w:r>
          </w:p>
        </w:tc>
        <w:tc>
          <w:tcPr>
            <w:tcW w:w="8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Calibri" w:cs="Calibri" w:eastAsia="Calibri" w:hAnsi="Calibri"/>
                <w:sz w:val="13"/>
                <w:szCs w:val="13"/>
                <w:b w:val="1"/>
                <w:bCs w:val="1"/>
                <w:color w:val="auto"/>
              </w:rPr>
              <w:t>—</w:t>
            </w:r>
          </w:p>
        </w:tc>
        <w:tc>
          <w:tcPr>
            <w:tcW w:w="1120" w:type="dxa"/>
            <w:vAlign w:val="bottom"/>
            <w:gridSpan w:val="2"/>
          </w:tcPr>
          <w:p>
            <w:pPr>
              <w:jc w:val="right"/>
              <w:spacing w:after="0"/>
              <w:rPr>
                <w:sz w:val="20"/>
                <w:szCs w:val="20"/>
                <w:color w:val="auto"/>
              </w:rPr>
            </w:pPr>
            <w:r>
              <w:rPr>
                <w:rFonts w:ascii="Calibri" w:cs="Calibri" w:eastAsia="Calibri" w:hAnsi="Calibri"/>
                <w:sz w:val="13"/>
                <w:szCs w:val="13"/>
                <w:color w:val="auto"/>
              </w:rPr>
              <w:t>(1,898)</w:t>
            </w:r>
          </w:p>
        </w:tc>
        <w:tc>
          <w:tcPr>
            <w:tcW w:w="980" w:type="dxa"/>
            <w:vAlign w:val="bottom"/>
            <w:gridSpan w:val="2"/>
          </w:tcPr>
          <w:p>
            <w:pPr>
              <w:jc w:val="right"/>
              <w:spacing w:after="0"/>
              <w:rPr>
                <w:sz w:val="20"/>
                <w:szCs w:val="20"/>
                <w:color w:val="auto"/>
              </w:rPr>
            </w:pPr>
            <w:r>
              <w:rPr>
                <w:rFonts w:ascii="Calibri" w:cs="Calibri" w:eastAsia="Calibri" w:hAnsi="Calibri"/>
                <w:sz w:val="13"/>
                <w:szCs w:val="13"/>
                <w:b w:val="1"/>
                <w:bCs w:val="1"/>
                <w:color w:val="auto"/>
              </w:rPr>
              <w:t>(1,898)</w:t>
            </w:r>
          </w:p>
        </w:tc>
        <w:tc>
          <w:tcPr>
            <w:tcW w:w="0" w:type="dxa"/>
            <w:vAlign w:val="bottom"/>
          </w:tcPr>
          <w:p>
            <w:pPr>
              <w:spacing w:after="0"/>
              <w:rPr>
                <w:sz w:val="1"/>
                <w:szCs w:val="1"/>
                <w:color w:val="auto"/>
              </w:rPr>
            </w:pPr>
          </w:p>
        </w:tc>
      </w:tr>
      <w:tr>
        <w:trPr>
          <w:trHeight w:val="181"/>
        </w:trPr>
        <w:tc>
          <w:tcPr>
            <w:tcW w:w="3360" w:type="dxa"/>
            <w:vAlign w:val="bottom"/>
          </w:tcPr>
          <w:p>
            <w:pPr>
              <w:ind w:left="20"/>
              <w:spacing w:after="0"/>
              <w:rPr>
                <w:sz w:val="20"/>
                <w:szCs w:val="20"/>
                <w:color w:val="auto"/>
              </w:rPr>
            </w:pPr>
            <w:r>
              <w:rPr>
                <w:rFonts w:ascii="Calibri" w:cs="Calibri" w:eastAsia="Calibri" w:hAnsi="Calibri"/>
                <w:sz w:val="13"/>
                <w:szCs w:val="13"/>
                <w:color w:val="auto"/>
              </w:rPr>
              <w:t>Net loss for the period</w:t>
            </w:r>
          </w:p>
        </w:tc>
        <w:tc>
          <w:tcPr>
            <w:tcW w:w="620" w:type="dxa"/>
            <w:vAlign w:val="bottom"/>
          </w:tcPr>
          <w:p>
            <w:pPr>
              <w:jc w:val="center"/>
              <w:spacing w:after="0"/>
              <w:rPr>
                <w:sz w:val="20"/>
                <w:szCs w:val="20"/>
                <w:color w:val="auto"/>
              </w:rPr>
            </w:pPr>
            <w:r>
              <w:rPr>
                <w:rFonts w:ascii="Calibri" w:cs="Calibri" w:eastAsia="Calibri" w:hAnsi="Calibri"/>
                <w:sz w:val="13"/>
                <w:szCs w:val="13"/>
                <w:color w:val="auto"/>
              </w:rPr>
              <w:t>7</w:t>
            </w:r>
          </w:p>
        </w:tc>
        <w:tc>
          <w:tcPr>
            <w:tcW w:w="100" w:type="dxa"/>
            <w:vAlign w:val="bottom"/>
          </w:tcPr>
          <w:p>
            <w:pPr>
              <w:spacing w:after="0"/>
              <w:rPr>
                <w:sz w:val="15"/>
                <w:szCs w:val="15"/>
                <w:color w:val="auto"/>
              </w:rPr>
            </w:pPr>
          </w:p>
        </w:tc>
        <w:tc>
          <w:tcPr>
            <w:tcW w:w="840" w:type="dxa"/>
            <w:vAlign w:val="bottom"/>
          </w:tcPr>
          <w:p>
            <w:pPr>
              <w:jc w:val="right"/>
              <w:ind w:right="56"/>
              <w:spacing w:after="0"/>
              <w:rPr>
                <w:sz w:val="20"/>
                <w:szCs w:val="20"/>
                <w:color w:val="auto"/>
              </w:rPr>
            </w:pPr>
            <w:r>
              <w:rPr>
                <w:rFonts w:ascii="Calibri" w:cs="Calibri" w:eastAsia="Calibri" w:hAnsi="Calibri"/>
                <w:sz w:val="13"/>
                <w:szCs w:val="13"/>
                <w:color w:val="auto"/>
              </w:rPr>
              <w:t>—</w:t>
            </w:r>
          </w:p>
        </w:tc>
        <w:tc>
          <w:tcPr>
            <w:tcW w:w="780" w:type="dxa"/>
            <w:vAlign w:val="bottom"/>
          </w:tcPr>
          <w:p>
            <w:pPr>
              <w:jc w:val="right"/>
              <w:ind w:right="56"/>
              <w:spacing w:after="0"/>
              <w:rPr>
                <w:sz w:val="20"/>
                <w:szCs w:val="20"/>
                <w:color w:val="auto"/>
              </w:rPr>
            </w:pPr>
            <w:r>
              <w:rPr>
                <w:rFonts w:ascii="Calibri" w:cs="Calibri" w:eastAsia="Calibri" w:hAnsi="Calibri"/>
                <w:sz w:val="13"/>
                <w:szCs w:val="13"/>
                <w:color w:val="auto"/>
              </w:rPr>
              <w:t>—</w:t>
            </w:r>
          </w:p>
        </w:tc>
        <w:tc>
          <w:tcPr>
            <w:tcW w:w="920" w:type="dxa"/>
            <w:vAlign w:val="bottom"/>
          </w:tcPr>
          <w:p>
            <w:pPr>
              <w:jc w:val="right"/>
              <w:ind w:right="56"/>
              <w:spacing w:after="0"/>
              <w:rPr>
                <w:sz w:val="20"/>
                <w:szCs w:val="20"/>
                <w:color w:val="auto"/>
              </w:rPr>
            </w:pPr>
            <w:r>
              <w:rPr>
                <w:rFonts w:ascii="Calibri" w:cs="Calibri" w:eastAsia="Calibri" w:hAnsi="Calibri"/>
                <w:sz w:val="13"/>
                <w:szCs w:val="13"/>
                <w:color w:val="auto"/>
              </w:rPr>
              <w:t>—</w:t>
            </w:r>
          </w:p>
        </w:tc>
        <w:tc>
          <w:tcPr>
            <w:tcW w:w="820" w:type="dxa"/>
            <w:vAlign w:val="bottom"/>
          </w:tcPr>
          <w:p>
            <w:pPr>
              <w:jc w:val="right"/>
              <w:ind w:right="36"/>
              <w:spacing w:after="0"/>
              <w:rPr>
                <w:sz w:val="20"/>
                <w:szCs w:val="20"/>
                <w:color w:val="auto"/>
              </w:rPr>
            </w:pPr>
            <w:r>
              <w:rPr>
                <w:rFonts w:ascii="Calibri" w:cs="Calibri" w:eastAsia="Calibri" w:hAnsi="Calibri"/>
                <w:sz w:val="13"/>
                <w:szCs w:val="13"/>
                <w:color w:val="auto"/>
              </w:rPr>
              <w:t>—</w:t>
            </w:r>
          </w:p>
        </w:tc>
        <w:tc>
          <w:tcPr>
            <w:tcW w:w="800" w:type="dxa"/>
            <w:vAlign w:val="bottom"/>
          </w:tcPr>
          <w:p>
            <w:pPr>
              <w:jc w:val="right"/>
              <w:spacing w:after="0"/>
              <w:rPr>
                <w:sz w:val="20"/>
                <w:szCs w:val="20"/>
                <w:color w:val="auto"/>
              </w:rPr>
            </w:pPr>
            <w:r>
              <w:rPr>
                <w:rFonts w:ascii="Calibri" w:cs="Calibri" w:eastAsia="Calibri" w:hAnsi="Calibri"/>
                <w:sz w:val="13"/>
                <w:szCs w:val="13"/>
                <w:color w:val="auto"/>
              </w:rPr>
              <w:t>—</w:t>
            </w:r>
          </w:p>
        </w:tc>
        <w:tc>
          <w:tcPr>
            <w:tcW w:w="920" w:type="dxa"/>
            <w:vAlign w:val="bottom"/>
            <w:gridSpan w:val="2"/>
          </w:tcPr>
          <w:p>
            <w:pPr>
              <w:jc w:val="right"/>
              <w:spacing w:after="0"/>
              <w:rPr>
                <w:sz w:val="20"/>
                <w:szCs w:val="20"/>
                <w:color w:val="auto"/>
              </w:rPr>
            </w:pPr>
            <w:r>
              <w:rPr>
                <w:rFonts w:ascii="Calibri" w:cs="Calibri" w:eastAsia="Calibri" w:hAnsi="Calibri"/>
                <w:sz w:val="13"/>
                <w:szCs w:val="13"/>
                <w:color w:val="auto"/>
              </w:rPr>
              <w:t>(72,016)</w:t>
            </w:r>
          </w:p>
        </w:tc>
        <w:tc>
          <w:tcPr>
            <w:tcW w:w="8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Calibri" w:cs="Calibri" w:eastAsia="Calibri" w:hAnsi="Calibri"/>
                <w:sz w:val="13"/>
                <w:szCs w:val="13"/>
                <w:b w:val="1"/>
                <w:bCs w:val="1"/>
                <w:color w:val="auto"/>
              </w:rPr>
              <w:t>—</w:t>
            </w:r>
          </w:p>
        </w:tc>
        <w:tc>
          <w:tcPr>
            <w:tcW w:w="980" w:type="dxa"/>
            <w:vAlign w:val="bottom"/>
            <w:gridSpan w:val="2"/>
          </w:tcPr>
          <w:p>
            <w:pPr>
              <w:jc w:val="right"/>
              <w:spacing w:after="0"/>
              <w:rPr>
                <w:sz w:val="20"/>
                <w:szCs w:val="20"/>
                <w:color w:val="auto"/>
              </w:rPr>
            </w:pPr>
            <w:r>
              <w:rPr>
                <w:rFonts w:ascii="Calibri" w:cs="Calibri" w:eastAsia="Calibri" w:hAnsi="Calibri"/>
                <w:sz w:val="13"/>
                <w:szCs w:val="13"/>
                <w:b w:val="1"/>
                <w:bCs w:val="1"/>
                <w:color w:val="auto"/>
              </w:rPr>
              <w:t>(72,016)</w:t>
            </w:r>
          </w:p>
        </w:tc>
        <w:tc>
          <w:tcPr>
            <w:tcW w:w="0" w:type="dxa"/>
            <w:vAlign w:val="bottom"/>
          </w:tcPr>
          <w:p>
            <w:pPr>
              <w:spacing w:after="0"/>
              <w:rPr>
                <w:sz w:val="1"/>
                <w:szCs w:val="1"/>
                <w:color w:val="auto"/>
              </w:rPr>
            </w:pPr>
          </w:p>
        </w:tc>
      </w:tr>
      <w:tr>
        <w:trPr>
          <w:trHeight w:val="41"/>
        </w:trPr>
        <w:tc>
          <w:tcPr>
            <w:tcW w:w="3360" w:type="dxa"/>
            <w:vAlign w:val="bottom"/>
            <w:tcBorders>
              <w:bottom w:val="single" w:sz="8" w:color="auto"/>
            </w:tcBorders>
          </w:tcPr>
          <w:p>
            <w:pPr>
              <w:spacing w:after="0"/>
              <w:rPr>
                <w:sz w:val="3"/>
                <w:szCs w:val="3"/>
                <w:color w:val="auto"/>
              </w:rPr>
            </w:pPr>
          </w:p>
        </w:tc>
        <w:tc>
          <w:tcPr>
            <w:tcW w:w="62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840" w:type="dxa"/>
            <w:vAlign w:val="bottom"/>
            <w:tcBorders>
              <w:bottom w:val="single" w:sz="8" w:color="auto"/>
            </w:tcBorders>
          </w:tcPr>
          <w:p>
            <w:pPr>
              <w:spacing w:after="0"/>
              <w:rPr>
                <w:sz w:val="3"/>
                <w:szCs w:val="3"/>
                <w:color w:val="auto"/>
              </w:rPr>
            </w:pPr>
          </w:p>
        </w:tc>
        <w:tc>
          <w:tcPr>
            <w:tcW w:w="780" w:type="dxa"/>
            <w:vAlign w:val="bottom"/>
            <w:tcBorders>
              <w:bottom w:val="single" w:sz="8" w:color="auto"/>
            </w:tcBorders>
          </w:tcPr>
          <w:p>
            <w:pPr>
              <w:spacing w:after="0"/>
              <w:rPr>
                <w:sz w:val="3"/>
                <w:szCs w:val="3"/>
                <w:color w:val="auto"/>
              </w:rPr>
            </w:pPr>
          </w:p>
        </w:tc>
        <w:tc>
          <w:tcPr>
            <w:tcW w:w="920" w:type="dxa"/>
            <w:vAlign w:val="bottom"/>
            <w:tcBorders>
              <w:bottom w:val="single" w:sz="8" w:color="auto"/>
            </w:tcBorders>
          </w:tcPr>
          <w:p>
            <w:pPr>
              <w:spacing w:after="0"/>
              <w:rPr>
                <w:sz w:val="3"/>
                <w:szCs w:val="3"/>
                <w:color w:val="auto"/>
              </w:rPr>
            </w:pPr>
          </w:p>
        </w:tc>
        <w:tc>
          <w:tcPr>
            <w:tcW w:w="820" w:type="dxa"/>
            <w:vAlign w:val="bottom"/>
            <w:tcBorders>
              <w:bottom w:val="single" w:sz="8" w:color="auto"/>
            </w:tcBorders>
          </w:tcPr>
          <w:p>
            <w:pPr>
              <w:spacing w:after="0"/>
              <w:rPr>
                <w:sz w:val="3"/>
                <w:szCs w:val="3"/>
                <w:color w:val="auto"/>
              </w:rPr>
            </w:pPr>
          </w:p>
        </w:tc>
        <w:tc>
          <w:tcPr>
            <w:tcW w:w="80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84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104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90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53"/>
        </w:trPr>
        <w:tc>
          <w:tcPr>
            <w:tcW w:w="3360" w:type="dxa"/>
            <w:vAlign w:val="bottom"/>
            <w:tcBorders>
              <w:bottom w:val="single" w:sz="8" w:color="D9D9D9"/>
            </w:tcBorders>
            <w:shd w:val="clear" w:color="auto" w:fill="D9D9D9"/>
          </w:tcPr>
          <w:p>
            <w:pPr>
              <w:ind w:left="20"/>
              <w:spacing w:after="0" w:line="147" w:lineRule="exact"/>
              <w:rPr>
                <w:sz w:val="20"/>
                <w:szCs w:val="20"/>
                <w:color w:val="auto"/>
              </w:rPr>
            </w:pPr>
            <w:r>
              <w:rPr>
                <w:rFonts w:ascii="Calibri" w:cs="Calibri" w:eastAsia="Calibri" w:hAnsi="Calibri"/>
                <w:sz w:val="13"/>
                <w:szCs w:val="13"/>
                <w:b w:val="1"/>
                <w:bCs w:val="1"/>
                <w:color w:val="auto"/>
              </w:rPr>
              <w:t>Balance as at September 30, 2024</w:t>
            </w:r>
          </w:p>
        </w:tc>
        <w:tc>
          <w:tcPr>
            <w:tcW w:w="620" w:type="dxa"/>
            <w:vAlign w:val="bottom"/>
            <w:tcBorders>
              <w:bottom w:val="single" w:sz="8" w:color="D9D9D9"/>
            </w:tcBorders>
            <w:shd w:val="clear" w:color="auto" w:fill="D9D9D9"/>
          </w:tcPr>
          <w:p>
            <w:pPr>
              <w:spacing w:after="0"/>
              <w:rPr>
                <w:sz w:val="13"/>
                <w:szCs w:val="13"/>
                <w:color w:val="auto"/>
              </w:rPr>
            </w:pPr>
          </w:p>
        </w:tc>
        <w:tc>
          <w:tcPr>
            <w:tcW w:w="100" w:type="dxa"/>
            <w:vAlign w:val="bottom"/>
            <w:tcBorders>
              <w:bottom w:val="single" w:sz="8" w:color="DBDBDB"/>
            </w:tcBorders>
            <w:shd w:val="clear" w:color="auto" w:fill="DBDBDB"/>
          </w:tcPr>
          <w:p>
            <w:pPr>
              <w:spacing w:after="0"/>
              <w:rPr>
                <w:sz w:val="13"/>
                <w:szCs w:val="13"/>
                <w:color w:val="auto"/>
              </w:rPr>
            </w:pPr>
          </w:p>
        </w:tc>
        <w:tc>
          <w:tcPr>
            <w:tcW w:w="840" w:type="dxa"/>
            <w:vAlign w:val="bottom"/>
            <w:tcBorders>
              <w:bottom w:val="single" w:sz="8" w:color="D9D9D9"/>
            </w:tcBorders>
            <w:shd w:val="clear" w:color="auto" w:fill="D9D9D9"/>
          </w:tcPr>
          <w:p>
            <w:pPr>
              <w:jc w:val="right"/>
              <w:ind w:right="56"/>
              <w:spacing w:after="0" w:line="147" w:lineRule="exact"/>
              <w:rPr>
                <w:sz w:val="20"/>
                <w:szCs w:val="20"/>
                <w:color w:val="auto"/>
              </w:rPr>
            </w:pPr>
            <w:r>
              <w:rPr>
                <w:rFonts w:ascii="Calibri" w:cs="Calibri" w:eastAsia="Calibri" w:hAnsi="Calibri"/>
                <w:sz w:val="13"/>
                <w:szCs w:val="13"/>
                <w:b w:val="1"/>
                <w:bCs w:val="1"/>
                <w:color w:val="auto"/>
              </w:rPr>
              <w:t>20,001,406</w:t>
            </w:r>
          </w:p>
        </w:tc>
        <w:tc>
          <w:tcPr>
            <w:tcW w:w="780" w:type="dxa"/>
            <w:vAlign w:val="bottom"/>
            <w:tcBorders>
              <w:bottom w:val="single" w:sz="8" w:color="D9D9D9"/>
              <w:right w:val="single" w:sz="8" w:color="DBDBDB"/>
            </w:tcBorders>
            <w:shd w:val="clear" w:color="auto" w:fill="D9D9D9"/>
          </w:tcPr>
          <w:p>
            <w:pPr>
              <w:jc w:val="right"/>
              <w:ind w:right="56"/>
              <w:spacing w:after="0" w:line="147" w:lineRule="exact"/>
              <w:rPr>
                <w:sz w:val="20"/>
                <w:szCs w:val="20"/>
                <w:color w:val="auto"/>
              </w:rPr>
            </w:pPr>
            <w:r>
              <w:rPr>
                <w:rFonts w:ascii="Calibri" w:cs="Calibri" w:eastAsia="Calibri" w:hAnsi="Calibri"/>
                <w:sz w:val="13"/>
                <w:szCs w:val="13"/>
                <w:b w:val="1"/>
                <w:bCs w:val="1"/>
                <w:color w:val="auto"/>
              </w:rPr>
              <w:t>443,448</w:t>
            </w:r>
          </w:p>
        </w:tc>
        <w:tc>
          <w:tcPr>
            <w:tcW w:w="920" w:type="dxa"/>
            <w:vAlign w:val="bottom"/>
            <w:tcBorders>
              <w:bottom w:val="single" w:sz="8" w:color="D9D9D9"/>
            </w:tcBorders>
            <w:shd w:val="clear" w:color="auto" w:fill="D9D9D9"/>
          </w:tcPr>
          <w:p>
            <w:pPr>
              <w:jc w:val="right"/>
              <w:ind w:right="56"/>
              <w:spacing w:after="0" w:line="147" w:lineRule="exact"/>
              <w:rPr>
                <w:sz w:val="20"/>
                <w:szCs w:val="20"/>
                <w:color w:val="auto"/>
              </w:rPr>
            </w:pPr>
            <w:r>
              <w:rPr>
                <w:rFonts w:ascii="Calibri" w:cs="Calibri" w:eastAsia="Calibri" w:hAnsi="Calibri"/>
                <w:sz w:val="13"/>
                <w:szCs w:val="13"/>
                <w:b w:val="1"/>
                <w:bCs w:val="1"/>
                <w:color w:val="auto"/>
              </w:rPr>
              <w:t>27,594</w:t>
            </w:r>
          </w:p>
        </w:tc>
        <w:tc>
          <w:tcPr>
            <w:tcW w:w="820" w:type="dxa"/>
            <w:vAlign w:val="bottom"/>
            <w:tcBorders>
              <w:bottom w:val="single" w:sz="8" w:color="D9D9D9"/>
            </w:tcBorders>
            <w:shd w:val="clear" w:color="auto" w:fill="D9D9D9"/>
          </w:tcPr>
          <w:p>
            <w:pPr>
              <w:jc w:val="right"/>
              <w:ind w:right="36"/>
              <w:spacing w:after="0" w:line="147" w:lineRule="exact"/>
              <w:rPr>
                <w:sz w:val="20"/>
                <w:szCs w:val="20"/>
                <w:color w:val="auto"/>
              </w:rPr>
            </w:pPr>
            <w:r>
              <w:rPr>
                <w:rFonts w:ascii="Calibri" w:cs="Calibri" w:eastAsia="Calibri" w:hAnsi="Calibri"/>
                <w:sz w:val="13"/>
                <w:szCs w:val="13"/>
                <w:b w:val="1"/>
                <w:bCs w:val="1"/>
                <w:color w:val="auto"/>
              </w:rPr>
              <w:t>42,615</w:t>
            </w:r>
          </w:p>
        </w:tc>
        <w:tc>
          <w:tcPr>
            <w:tcW w:w="800" w:type="dxa"/>
            <w:vAlign w:val="bottom"/>
            <w:tcBorders>
              <w:bottom w:val="single" w:sz="8" w:color="D9D9D9"/>
            </w:tcBorders>
            <w:shd w:val="clear" w:color="auto" w:fill="D9D9D9"/>
          </w:tcPr>
          <w:p>
            <w:pPr>
              <w:jc w:val="right"/>
              <w:spacing w:after="0" w:line="147" w:lineRule="exact"/>
              <w:rPr>
                <w:sz w:val="20"/>
                <w:szCs w:val="20"/>
                <w:color w:val="auto"/>
              </w:rPr>
            </w:pPr>
            <w:r>
              <w:rPr>
                <w:rFonts w:ascii="Calibri" w:cs="Calibri" w:eastAsia="Calibri" w:hAnsi="Calibri"/>
                <w:sz w:val="13"/>
                <w:szCs w:val="13"/>
                <w:b w:val="1"/>
                <w:bCs w:val="1"/>
                <w:color w:val="auto"/>
              </w:rPr>
              <w:t>43,791</w:t>
            </w:r>
          </w:p>
        </w:tc>
        <w:tc>
          <w:tcPr>
            <w:tcW w:w="80" w:type="dxa"/>
            <w:vAlign w:val="bottom"/>
            <w:tcBorders>
              <w:bottom w:val="single" w:sz="8" w:color="DBDBDB"/>
            </w:tcBorders>
            <w:shd w:val="clear" w:color="auto" w:fill="DBDBDB"/>
          </w:tcPr>
          <w:p>
            <w:pPr>
              <w:spacing w:after="0"/>
              <w:rPr>
                <w:sz w:val="13"/>
                <w:szCs w:val="13"/>
                <w:color w:val="auto"/>
              </w:rPr>
            </w:pPr>
          </w:p>
        </w:tc>
        <w:tc>
          <w:tcPr>
            <w:tcW w:w="840" w:type="dxa"/>
            <w:vAlign w:val="bottom"/>
            <w:tcBorders>
              <w:bottom w:val="single" w:sz="8" w:color="D9D9D9"/>
            </w:tcBorders>
            <w:shd w:val="clear" w:color="auto" w:fill="D9D9D9"/>
          </w:tcPr>
          <w:p>
            <w:pPr>
              <w:jc w:val="right"/>
              <w:spacing w:after="0" w:line="147" w:lineRule="exact"/>
              <w:rPr>
                <w:sz w:val="20"/>
                <w:szCs w:val="20"/>
                <w:color w:val="auto"/>
              </w:rPr>
            </w:pPr>
            <w:r>
              <w:rPr>
                <w:rFonts w:ascii="Calibri" w:cs="Calibri" w:eastAsia="Calibri" w:hAnsi="Calibri"/>
                <w:sz w:val="13"/>
                <w:szCs w:val="13"/>
                <w:b w:val="1"/>
                <w:bCs w:val="1"/>
                <w:color w:val="auto"/>
              </w:rPr>
              <w:t>(298,247)</w:t>
            </w:r>
          </w:p>
        </w:tc>
        <w:tc>
          <w:tcPr>
            <w:tcW w:w="80" w:type="dxa"/>
            <w:vAlign w:val="bottom"/>
            <w:tcBorders>
              <w:bottom w:val="single" w:sz="8" w:color="DBDBDB"/>
            </w:tcBorders>
            <w:shd w:val="clear" w:color="auto" w:fill="DBDBDB"/>
          </w:tcPr>
          <w:p>
            <w:pPr>
              <w:spacing w:after="0"/>
              <w:rPr>
                <w:sz w:val="13"/>
                <w:szCs w:val="13"/>
                <w:color w:val="auto"/>
              </w:rPr>
            </w:pPr>
          </w:p>
        </w:tc>
        <w:tc>
          <w:tcPr>
            <w:tcW w:w="1040" w:type="dxa"/>
            <w:vAlign w:val="bottom"/>
            <w:tcBorders>
              <w:bottom w:val="single" w:sz="8" w:color="D9D9D9"/>
            </w:tcBorders>
            <w:shd w:val="clear" w:color="auto" w:fill="D9D9D9"/>
          </w:tcPr>
          <w:p>
            <w:pPr>
              <w:jc w:val="right"/>
              <w:spacing w:after="0" w:line="147" w:lineRule="exact"/>
              <w:rPr>
                <w:sz w:val="20"/>
                <w:szCs w:val="20"/>
                <w:color w:val="auto"/>
              </w:rPr>
            </w:pPr>
            <w:r>
              <w:rPr>
                <w:rFonts w:ascii="Calibri" w:cs="Calibri" w:eastAsia="Calibri" w:hAnsi="Calibri"/>
                <w:sz w:val="13"/>
                <w:szCs w:val="13"/>
                <w:b w:val="1"/>
                <w:bCs w:val="1"/>
                <w:color w:val="auto"/>
              </w:rPr>
              <w:t>(4,183)</w:t>
            </w:r>
          </w:p>
        </w:tc>
        <w:tc>
          <w:tcPr>
            <w:tcW w:w="80" w:type="dxa"/>
            <w:vAlign w:val="bottom"/>
            <w:tcBorders>
              <w:bottom w:val="single" w:sz="8" w:color="DBDBDB"/>
            </w:tcBorders>
            <w:shd w:val="clear" w:color="auto" w:fill="DBDBDB"/>
          </w:tcPr>
          <w:p>
            <w:pPr>
              <w:spacing w:after="0"/>
              <w:rPr>
                <w:sz w:val="13"/>
                <w:szCs w:val="13"/>
                <w:color w:val="auto"/>
              </w:rPr>
            </w:pPr>
          </w:p>
        </w:tc>
        <w:tc>
          <w:tcPr>
            <w:tcW w:w="900" w:type="dxa"/>
            <w:vAlign w:val="bottom"/>
            <w:tcBorders>
              <w:bottom w:val="single" w:sz="8" w:color="D9D9D9"/>
            </w:tcBorders>
            <w:shd w:val="clear" w:color="auto" w:fill="D9D9D9"/>
          </w:tcPr>
          <w:p>
            <w:pPr>
              <w:jc w:val="right"/>
              <w:spacing w:after="0" w:line="147" w:lineRule="exact"/>
              <w:rPr>
                <w:sz w:val="20"/>
                <w:szCs w:val="20"/>
                <w:color w:val="auto"/>
              </w:rPr>
            </w:pPr>
            <w:r>
              <w:rPr>
                <w:rFonts w:ascii="Calibri" w:cs="Calibri" w:eastAsia="Calibri" w:hAnsi="Calibri"/>
                <w:sz w:val="13"/>
                <w:szCs w:val="13"/>
                <w:b w:val="1"/>
                <w:bCs w:val="1"/>
                <w:color w:val="auto"/>
              </w:rPr>
              <w:t>255,018</w:t>
            </w:r>
          </w:p>
        </w:tc>
        <w:tc>
          <w:tcPr>
            <w:tcW w:w="0" w:type="dxa"/>
            <w:vAlign w:val="bottom"/>
          </w:tcPr>
          <w:p>
            <w:pPr>
              <w:spacing w:after="0"/>
              <w:rPr>
                <w:sz w:val="1"/>
                <w:szCs w:val="1"/>
                <w:color w:val="auto"/>
              </w:rPr>
            </w:pPr>
          </w:p>
        </w:tc>
      </w:tr>
      <w:tr>
        <w:trPr>
          <w:trHeight w:val="20"/>
        </w:trPr>
        <w:tc>
          <w:tcPr>
            <w:tcW w:w="336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780" w:type="dxa"/>
            <w:vAlign w:val="bottom"/>
            <w:tcBorders>
              <w:right w:val="single" w:sz="8" w:color="auto"/>
            </w:tcBorders>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32" w:lineRule="exact"/>
        <w:rPr>
          <w:sz w:val="20"/>
          <w:szCs w:val="20"/>
          <w:color w:val="auto"/>
        </w:rPr>
      </w:pPr>
    </w:p>
    <w:p>
      <w:pPr>
        <w:spacing w:after="0"/>
        <w:rPr>
          <w:sz w:val="20"/>
          <w:szCs w:val="20"/>
          <w:color w:val="auto"/>
        </w:rPr>
      </w:pPr>
      <w:r>
        <w:rPr>
          <w:rFonts w:ascii="Calibri" w:cs="Calibri" w:eastAsia="Calibri" w:hAnsi="Calibri"/>
          <w:sz w:val="16"/>
          <w:szCs w:val="16"/>
          <w:i w:val="1"/>
          <w:iCs w:val="1"/>
          <w:color w:val="auto"/>
        </w:rPr>
        <w:t>The accompanying notes are an integral part of these condensed interim consolidated fnancial statements.</w:t>
      </w:r>
    </w:p>
    <w:p>
      <w:pPr>
        <w:sectPr>
          <w:pgSz w:w="11900" w:h="16838" w:orient="portrait"/>
          <w:cols w:equalWidth="0" w:num="1">
            <w:col w:w="11260"/>
          </w:cols>
          <w:pgMar w:left="320" w:top="209" w:right="319" w:bottom="1440" w:gutter="0" w:footer="0" w:header="0"/>
        </w:sectPr>
      </w:pPr>
    </w:p>
    <w:bookmarkStart w:id="8" w:name="page9"/>
    <w:bookmarkEnd w:id="8"/>
    <w:p>
      <w:pPr>
        <w:ind w:left="60"/>
        <w:spacing w:after="0"/>
        <w:rPr>
          <w:sz w:val="20"/>
          <w:szCs w:val="20"/>
          <w:color w:val="auto"/>
        </w:rPr>
      </w:pPr>
      <w:r>
        <w:rPr>
          <w:rFonts w:ascii="Calibri" w:cs="Calibri" w:eastAsia="Calibri" w:hAnsi="Calibri"/>
          <w:sz w:val="19"/>
          <w:szCs w:val="19"/>
          <w:b w:val="1"/>
          <w:bCs w:val="1"/>
          <w:color w:val="auto"/>
        </w:rPr>
        <w:t>CYBIN INC.</w:t>
      </w:r>
    </w:p>
    <w:p>
      <w:pPr>
        <w:ind w:left="60"/>
        <w:spacing w:after="0" w:line="237" w:lineRule="auto"/>
        <w:rPr>
          <w:sz w:val="20"/>
          <w:szCs w:val="20"/>
          <w:color w:val="auto"/>
        </w:rPr>
      </w:pPr>
      <w:r>
        <w:rPr>
          <w:rFonts w:ascii="Calibri" w:cs="Calibri" w:eastAsia="Calibri" w:hAnsi="Calibri"/>
          <w:sz w:val="19"/>
          <w:szCs w:val="19"/>
          <w:b w:val="1"/>
          <w:bCs w:val="1"/>
          <w:color w:val="auto"/>
        </w:rPr>
        <w:t>CONDENSED INTERIM CONSOLIDATED STATEMENT OF CASH FLOWS</w:t>
      </w:r>
    </w:p>
    <w:p>
      <w:pPr>
        <w:spacing w:after="0" w:line="3" w:lineRule="exact"/>
        <w:rPr>
          <w:sz w:val="20"/>
          <w:szCs w:val="20"/>
          <w:color w:val="auto"/>
        </w:rPr>
      </w:pPr>
    </w:p>
    <w:p>
      <w:pPr>
        <w:ind w:left="60"/>
        <w:spacing w:after="0"/>
        <w:rPr>
          <w:sz w:val="20"/>
          <w:szCs w:val="20"/>
          <w:color w:val="auto"/>
        </w:rPr>
      </w:pPr>
      <w:r>
        <w:rPr>
          <w:rFonts w:ascii="Calibri" w:cs="Calibri" w:eastAsia="Calibri" w:hAnsi="Calibri"/>
          <w:sz w:val="16"/>
          <w:szCs w:val="16"/>
          <w:b w:val="1"/>
          <w:bCs w:val="1"/>
          <w:color w:val="auto"/>
        </w:rPr>
        <w:t>(All amounts expressed in thousands of Canadian dollars)</w:t>
      </w:r>
    </w:p>
    <w:p>
      <w:pPr>
        <w:ind w:left="60"/>
        <w:spacing w:after="0" w:line="237" w:lineRule="auto"/>
        <w:rPr>
          <w:sz w:val="20"/>
          <w:szCs w:val="20"/>
          <w:color w:val="auto"/>
        </w:rPr>
      </w:pPr>
      <w:r>
        <w:rPr>
          <w:rFonts w:ascii="Calibri" w:cs="Calibri" w:eastAsia="Calibri" w:hAnsi="Calibri"/>
          <w:sz w:val="16"/>
          <w:szCs w:val="16"/>
          <w:b w:val="1"/>
          <w:bCs w:val="1"/>
          <w:color w:val="auto"/>
        </w:rPr>
        <w:t>(Unaudited)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43815</wp:posOffset>
            </wp:positionV>
            <wp:extent cx="7146925" cy="762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46925" cy="76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ind w:left="8720"/>
        <w:spacing w:after="0"/>
        <w:rPr>
          <w:sz w:val="20"/>
          <w:szCs w:val="20"/>
          <w:color w:val="auto"/>
        </w:rPr>
      </w:pPr>
      <w:r>
        <w:rPr>
          <w:rFonts w:ascii="Calibri" w:cs="Calibri" w:eastAsia="Calibri" w:hAnsi="Calibri"/>
          <w:sz w:val="15"/>
          <w:szCs w:val="15"/>
          <w:b w:val="1"/>
          <w:bCs w:val="1"/>
          <w:color w:val="auto"/>
        </w:rPr>
        <w:t>For the six months ended September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23495</wp:posOffset>
            </wp:positionV>
            <wp:extent cx="7146925" cy="762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46925" cy="7620"/>
                    </a:xfrm>
                    <a:prstGeom prst="rect">
                      <a:avLst/>
                    </a:prstGeom>
                    <a:noFill/>
                  </pic:spPr>
                </pic:pic>
              </a:graphicData>
            </a:graphic>
          </wp:anchor>
        </w:drawing>
      </w:r>
    </w:p>
    <w:p>
      <w:pPr>
        <w:spacing w:after="0" w:line="14" w:lineRule="exact"/>
        <w:rPr>
          <w:sz w:val="20"/>
          <w:szCs w:val="20"/>
          <w:color w:val="auto"/>
        </w:rPr>
      </w:pPr>
    </w:p>
    <w:tbl>
      <w:tblPr>
        <w:tblLayout w:type="fixed"/>
        <w:tblInd w:w="0" w:type="dxa"/>
        <w:tblCellMar>
          <w:top w:w="0" w:type="dxa"/>
          <w:left w:w="0" w:type="dxa"/>
          <w:bottom w:w="0" w:type="dxa"/>
          <w:right w:w="0" w:type="dxa"/>
        </w:tblCellMar>
      </w:tblPr>
      <w:tr>
        <w:trPr>
          <w:trHeight w:val="183"/>
        </w:trPr>
        <w:tc>
          <w:tcPr>
            <w:tcW w:w="5480" w:type="dxa"/>
            <w:vAlign w:val="bottom"/>
          </w:tcPr>
          <w:p>
            <w:pPr>
              <w:spacing w:after="0"/>
              <w:rPr>
                <w:sz w:val="15"/>
                <w:szCs w:val="15"/>
                <w:color w:val="auto"/>
              </w:rPr>
            </w:pPr>
          </w:p>
        </w:tc>
        <w:tc>
          <w:tcPr>
            <w:tcW w:w="3380" w:type="dxa"/>
            <w:vAlign w:val="bottom"/>
          </w:tcPr>
          <w:p>
            <w:pPr>
              <w:ind w:left="2500"/>
              <w:spacing w:after="0"/>
              <w:rPr>
                <w:sz w:val="20"/>
                <w:szCs w:val="20"/>
                <w:color w:val="auto"/>
              </w:rPr>
            </w:pPr>
            <w:r>
              <w:rPr>
                <w:rFonts w:ascii="Calibri" w:cs="Calibri" w:eastAsia="Calibri" w:hAnsi="Calibri"/>
                <w:sz w:val="15"/>
                <w:szCs w:val="15"/>
                <w:b w:val="1"/>
                <w:bCs w:val="1"/>
                <w:color w:val="auto"/>
              </w:rPr>
              <w:t>Notes</w:t>
            </w:r>
          </w:p>
        </w:tc>
        <w:tc>
          <w:tcPr>
            <w:tcW w:w="1460" w:type="dxa"/>
            <w:vAlign w:val="bottom"/>
            <w:vMerge w:val="restart"/>
          </w:tcPr>
          <w:p>
            <w:pPr>
              <w:jc w:val="right"/>
              <w:ind w:right="367"/>
              <w:spacing w:after="0"/>
              <w:rPr>
                <w:sz w:val="20"/>
                <w:szCs w:val="20"/>
                <w:color w:val="auto"/>
              </w:rPr>
            </w:pPr>
            <w:r>
              <w:rPr>
                <w:rFonts w:ascii="Calibri" w:cs="Calibri" w:eastAsia="Calibri" w:hAnsi="Calibri"/>
                <w:sz w:val="15"/>
                <w:szCs w:val="15"/>
                <w:b w:val="1"/>
                <w:bCs w:val="1"/>
                <w:color w:val="auto"/>
              </w:rPr>
              <w:t>2024</w:t>
            </w:r>
          </w:p>
        </w:tc>
        <w:tc>
          <w:tcPr>
            <w:tcW w:w="940" w:type="dxa"/>
            <w:vAlign w:val="bottom"/>
            <w:vMerge w:val="restart"/>
          </w:tcPr>
          <w:p>
            <w:pPr>
              <w:jc w:val="right"/>
              <w:spacing w:after="0"/>
              <w:rPr>
                <w:sz w:val="20"/>
                <w:szCs w:val="20"/>
                <w:color w:val="auto"/>
              </w:rPr>
            </w:pPr>
            <w:r>
              <w:rPr>
                <w:rFonts w:ascii="Calibri" w:cs="Calibri" w:eastAsia="Calibri" w:hAnsi="Calibri"/>
                <w:sz w:val="15"/>
                <w:szCs w:val="15"/>
                <w:b w:val="1"/>
                <w:bCs w:val="1"/>
                <w:color w:val="auto"/>
              </w:rPr>
              <w:t>2023</w:t>
            </w:r>
          </w:p>
        </w:tc>
        <w:tc>
          <w:tcPr>
            <w:tcW w:w="0" w:type="dxa"/>
            <w:vAlign w:val="bottom"/>
          </w:tcPr>
          <w:p>
            <w:pPr>
              <w:spacing w:after="0"/>
              <w:rPr>
                <w:sz w:val="1"/>
                <w:szCs w:val="1"/>
                <w:color w:val="auto"/>
              </w:rPr>
            </w:pPr>
          </w:p>
        </w:tc>
      </w:tr>
      <w:tr>
        <w:trPr>
          <w:trHeight w:val="48"/>
        </w:trPr>
        <w:tc>
          <w:tcPr>
            <w:tcW w:w="5480" w:type="dxa"/>
            <w:vAlign w:val="bottom"/>
          </w:tcPr>
          <w:p>
            <w:pPr>
              <w:spacing w:after="0"/>
              <w:rPr>
                <w:sz w:val="4"/>
                <w:szCs w:val="4"/>
                <w:color w:val="auto"/>
              </w:rPr>
            </w:pPr>
          </w:p>
        </w:tc>
        <w:tc>
          <w:tcPr>
            <w:tcW w:w="3380" w:type="dxa"/>
            <w:vAlign w:val="bottom"/>
          </w:tcPr>
          <w:p>
            <w:pPr>
              <w:spacing w:after="0"/>
              <w:rPr>
                <w:sz w:val="4"/>
                <w:szCs w:val="4"/>
                <w:color w:val="auto"/>
              </w:rPr>
            </w:pPr>
          </w:p>
        </w:tc>
        <w:tc>
          <w:tcPr>
            <w:tcW w:w="1460" w:type="dxa"/>
            <w:vAlign w:val="bottom"/>
            <w:vMerge w:val="continue"/>
          </w:tcPr>
          <w:p>
            <w:pPr>
              <w:spacing w:after="0"/>
              <w:rPr>
                <w:sz w:val="4"/>
                <w:szCs w:val="4"/>
                <w:color w:val="auto"/>
              </w:rPr>
            </w:pPr>
          </w:p>
        </w:tc>
        <w:tc>
          <w:tcPr>
            <w:tcW w:w="9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61"/>
        </w:trPr>
        <w:tc>
          <w:tcPr>
            <w:tcW w:w="5480" w:type="dxa"/>
            <w:vAlign w:val="bottom"/>
            <w:tcBorders>
              <w:bottom w:val="single" w:sz="8" w:color="auto"/>
            </w:tcBorders>
          </w:tcPr>
          <w:p>
            <w:pPr>
              <w:spacing w:after="0"/>
              <w:rPr>
                <w:sz w:val="5"/>
                <w:szCs w:val="5"/>
                <w:color w:val="auto"/>
              </w:rPr>
            </w:pPr>
          </w:p>
        </w:tc>
        <w:tc>
          <w:tcPr>
            <w:tcW w:w="3380" w:type="dxa"/>
            <w:vAlign w:val="bottom"/>
            <w:tcBorders>
              <w:bottom w:val="single" w:sz="8" w:color="auto"/>
            </w:tcBorders>
          </w:tcPr>
          <w:p>
            <w:pPr>
              <w:spacing w:after="0"/>
              <w:rPr>
                <w:sz w:val="5"/>
                <w:szCs w:val="5"/>
                <w:color w:val="auto"/>
              </w:rPr>
            </w:pPr>
          </w:p>
        </w:tc>
        <w:tc>
          <w:tcPr>
            <w:tcW w:w="1460" w:type="dxa"/>
            <w:vAlign w:val="bottom"/>
            <w:tcBorders>
              <w:bottom w:val="single" w:sz="8" w:color="auto"/>
            </w:tcBorders>
          </w:tcPr>
          <w:p>
            <w:pPr>
              <w:spacing w:after="0"/>
              <w:rPr>
                <w:sz w:val="5"/>
                <w:szCs w:val="5"/>
                <w:color w:val="auto"/>
              </w:rPr>
            </w:pPr>
          </w:p>
        </w:tc>
        <w:tc>
          <w:tcPr>
            <w:tcW w:w="94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34"/>
        </w:trPr>
        <w:tc>
          <w:tcPr>
            <w:tcW w:w="5480" w:type="dxa"/>
            <w:vAlign w:val="bottom"/>
          </w:tcPr>
          <w:p>
            <w:pPr>
              <w:ind w:left="60"/>
              <w:spacing w:after="0"/>
              <w:rPr>
                <w:sz w:val="20"/>
                <w:szCs w:val="20"/>
                <w:color w:val="auto"/>
              </w:rPr>
            </w:pPr>
            <w:r>
              <w:rPr>
                <w:rFonts w:ascii="Calibri" w:cs="Calibri" w:eastAsia="Calibri" w:hAnsi="Calibri"/>
                <w:sz w:val="15"/>
                <w:szCs w:val="15"/>
                <w:b w:val="1"/>
                <w:bCs w:val="1"/>
                <w:color w:val="auto"/>
              </w:rPr>
              <w:t>OPERATING ACTIVITIES</w:t>
            </w:r>
          </w:p>
        </w:tc>
        <w:tc>
          <w:tcPr>
            <w:tcW w:w="338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3"/>
        </w:trPr>
        <w:tc>
          <w:tcPr>
            <w:tcW w:w="5480" w:type="dxa"/>
            <w:vAlign w:val="bottom"/>
          </w:tcPr>
          <w:p>
            <w:pPr>
              <w:ind w:left="60"/>
              <w:spacing w:after="0"/>
              <w:rPr>
                <w:sz w:val="20"/>
                <w:szCs w:val="20"/>
                <w:color w:val="auto"/>
              </w:rPr>
            </w:pPr>
            <w:r>
              <w:rPr>
                <w:rFonts w:ascii="Calibri" w:cs="Calibri" w:eastAsia="Calibri" w:hAnsi="Calibri"/>
                <w:sz w:val="15"/>
                <w:szCs w:val="15"/>
                <w:b w:val="1"/>
                <w:bCs w:val="1"/>
                <w:color w:val="auto"/>
              </w:rPr>
              <w:t>Net loss for the period</w:t>
            </w:r>
          </w:p>
        </w:tc>
        <w:tc>
          <w:tcPr>
            <w:tcW w:w="3380" w:type="dxa"/>
            <w:vAlign w:val="bottom"/>
          </w:tcPr>
          <w:p>
            <w:pPr>
              <w:spacing w:after="0"/>
              <w:rPr>
                <w:sz w:val="16"/>
                <w:szCs w:val="16"/>
                <w:color w:val="auto"/>
              </w:rPr>
            </w:pPr>
          </w:p>
        </w:tc>
        <w:tc>
          <w:tcPr>
            <w:tcW w:w="1460" w:type="dxa"/>
            <w:vAlign w:val="bottom"/>
          </w:tcPr>
          <w:p>
            <w:pPr>
              <w:jc w:val="right"/>
              <w:ind w:right="347"/>
              <w:spacing w:after="0"/>
              <w:rPr>
                <w:sz w:val="20"/>
                <w:szCs w:val="20"/>
                <w:color w:val="auto"/>
              </w:rPr>
            </w:pPr>
            <w:r>
              <w:rPr>
                <w:rFonts w:ascii="Calibri" w:cs="Calibri" w:eastAsia="Calibri" w:hAnsi="Calibri"/>
                <w:sz w:val="15"/>
                <w:szCs w:val="15"/>
                <w:b w:val="1"/>
                <w:bCs w:val="1"/>
                <w:color w:val="auto"/>
              </w:rPr>
              <w:t>(72,016)</w:t>
            </w:r>
          </w:p>
        </w:tc>
        <w:tc>
          <w:tcPr>
            <w:tcW w:w="940" w:type="dxa"/>
            <w:vAlign w:val="bottom"/>
          </w:tcPr>
          <w:p>
            <w:pPr>
              <w:jc w:val="right"/>
              <w:spacing w:after="0"/>
              <w:rPr>
                <w:sz w:val="20"/>
                <w:szCs w:val="20"/>
                <w:color w:val="auto"/>
              </w:rPr>
            </w:pPr>
            <w:r>
              <w:rPr>
                <w:rFonts w:ascii="Calibri" w:cs="Calibri" w:eastAsia="Calibri" w:hAnsi="Calibri"/>
                <w:sz w:val="15"/>
                <w:szCs w:val="15"/>
                <w:color w:val="auto"/>
              </w:rPr>
              <w:t>(26,404)</w:t>
            </w:r>
          </w:p>
        </w:tc>
        <w:tc>
          <w:tcPr>
            <w:tcW w:w="0" w:type="dxa"/>
            <w:vAlign w:val="bottom"/>
          </w:tcPr>
          <w:p>
            <w:pPr>
              <w:spacing w:after="0"/>
              <w:rPr>
                <w:sz w:val="1"/>
                <w:szCs w:val="1"/>
                <w:color w:val="auto"/>
              </w:rPr>
            </w:pPr>
          </w:p>
        </w:tc>
      </w:tr>
      <w:tr>
        <w:trPr>
          <w:trHeight w:val="193"/>
        </w:trPr>
        <w:tc>
          <w:tcPr>
            <w:tcW w:w="5480" w:type="dxa"/>
            <w:vAlign w:val="bottom"/>
          </w:tcPr>
          <w:p>
            <w:pPr>
              <w:ind w:left="160"/>
              <w:spacing w:after="0"/>
              <w:rPr>
                <w:sz w:val="20"/>
                <w:szCs w:val="20"/>
                <w:color w:val="auto"/>
              </w:rPr>
            </w:pPr>
            <w:r>
              <w:rPr>
                <w:rFonts w:ascii="Calibri" w:cs="Calibri" w:eastAsia="Calibri" w:hAnsi="Calibri"/>
                <w:sz w:val="15"/>
                <w:szCs w:val="15"/>
                <w:b w:val="1"/>
                <w:bCs w:val="1"/>
                <w:color w:val="auto"/>
              </w:rPr>
              <w:t>Adjustments for items not afectng cash:</w:t>
            </w:r>
          </w:p>
        </w:tc>
        <w:tc>
          <w:tcPr>
            <w:tcW w:w="3380" w:type="dxa"/>
            <w:vAlign w:val="bottom"/>
          </w:tcPr>
          <w:p>
            <w:pPr>
              <w:spacing w:after="0"/>
              <w:rPr>
                <w:sz w:val="16"/>
                <w:szCs w:val="16"/>
                <w:color w:val="auto"/>
              </w:rPr>
            </w:pPr>
          </w:p>
        </w:tc>
        <w:tc>
          <w:tcPr>
            <w:tcW w:w="146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3"/>
        </w:trPr>
        <w:tc>
          <w:tcPr>
            <w:tcW w:w="5480" w:type="dxa"/>
            <w:vAlign w:val="bottom"/>
            <w:vMerge w:val="restart"/>
          </w:tcPr>
          <w:p>
            <w:pPr>
              <w:ind w:left="340"/>
              <w:spacing w:after="0"/>
              <w:rPr>
                <w:sz w:val="20"/>
                <w:szCs w:val="20"/>
                <w:color w:val="auto"/>
              </w:rPr>
            </w:pPr>
            <w:r>
              <w:rPr>
                <w:rFonts w:ascii="Calibri" w:cs="Calibri" w:eastAsia="Calibri" w:hAnsi="Calibri"/>
                <w:sz w:val="15"/>
                <w:szCs w:val="15"/>
                <w:color w:val="auto"/>
              </w:rPr>
              <w:t>Depreciaton and amortzaton</w:t>
            </w:r>
          </w:p>
        </w:tc>
        <w:tc>
          <w:tcPr>
            <w:tcW w:w="3380" w:type="dxa"/>
            <w:vAlign w:val="bottom"/>
          </w:tcPr>
          <w:p>
            <w:pPr>
              <w:jc w:val="center"/>
              <w:ind w:left="1907"/>
              <w:spacing w:after="0"/>
              <w:rPr>
                <w:sz w:val="20"/>
                <w:szCs w:val="20"/>
                <w:color w:val="auto"/>
              </w:rPr>
            </w:pPr>
            <w:r>
              <w:rPr>
                <w:rFonts w:ascii="Calibri" w:cs="Calibri" w:eastAsia="Calibri" w:hAnsi="Calibri"/>
                <w:sz w:val="15"/>
                <w:szCs w:val="15"/>
                <w:i w:val="1"/>
                <w:iCs w:val="1"/>
                <w:color w:val="auto"/>
                <w:w w:val="96"/>
              </w:rPr>
              <w:t>3, 4, 5</w:t>
            </w:r>
          </w:p>
        </w:tc>
        <w:tc>
          <w:tcPr>
            <w:tcW w:w="1460" w:type="dxa"/>
            <w:vAlign w:val="bottom"/>
            <w:vMerge w:val="restart"/>
          </w:tcPr>
          <w:p>
            <w:pPr>
              <w:jc w:val="right"/>
              <w:ind w:right="367"/>
              <w:spacing w:after="0"/>
              <w:rPr>
                <w:sz w:val="20"/>
                <w:szCs w:val="20"/>
                <w:color w:val="auto"/>
              </w:rPr>
            </w:pPr>
            <w:r>
              <w:rPr>
                <w:rFonts w:ascii="Calibri" w:cs="Calibri" w:eastAsia="Calibri" w:hAnsi="Calibri"/>
                <w:sz w:val="15"/>
                <w:szCs w:val="15"/>
                <w:b w:val="1"/>
                <w:bCs w:val="1"/>
                <w:color w:val="auto"/>
              </w:rPr>
              <w:t>281</w:t>
            </w:r>
          </w:p>
        </w:tc>
        <w:tc>
          <w:tcPr>
            <w:tcW w:w="940" w:type="dxa"/>
            <w:vAlign w:val="bottom"/>
            <w:vMerge w:val="restart"/>
          </w:tcPr>
          <w:p>
            <w:pPr>
              <w:jc w:val="right"/>
              <w:spacing w:after="0"/>
              <w:rPr>
                <w:sz w:val="20"/>
                <w:szCs w:val="20"/>
                <w:color w:val="auto"/>
              </w:rPr>
            </w:pPr>
            <w:r>
              <w:rPr>
                <w:rFonts w:ascii="Calibri" w:cs="Calibri" w:eastAsia="Calibri" w:hAnsi="Calibri"/>
                <w:sz w:val="15"/>
                <w:szCs w:val="15"/>
                <w:color w:val="auto"/>
              </w:rPr>
              <w:t>140</w:t>
            </w:r>
          </w:p>
        </w:tc>
        <w:tc>
          <w:tcPr>
            <w:tcW w:w="0" w:type="dxa"/>
            <w:vAlign w:val="bottom"/>
          </w:tcPr>
          <w:p>
            <w:pPr>
              <w:spacing w:after="0"/>
              <w:rPr>
                <w:sz w:val="1"/>
                <w:szCs w:val="1"/>
                <w:color w:val="auto"/>
              </w:rPr>
            </w:pPr>
          </w:p>
        </w:tc>
      </w:tr>
      <w:tr>
        <w:trPr>
          <w:trHeight w:val="73"/>
        </w:trPr>
        <w:tc>
          <w:tcPr>
            <w:tcW w:w="5480" w:type="dxa"/>
            <w:vAlign w:val="bottom"/>
            <w:vMerge w:val="continue"/>
          </w:tcPr>
          <w:p>
            <w:pPr>
              <w:spacing w:after="0"/>
              <w:rPr>
                <w:sz w:val="6"/>
                <w:szCs w:val="6"/>
                <w:color w:val="auto"/>
              </w:rPr>
            </w:pPr>
          </w:p>
        </w:tc>
        <w:tc>
          <w:tcPr>
            <w:tcW w:w="3380" w:type="dxa"/>
            <w:vAlign w:val="bottom"/>
          </w:tcPr>
          <w:p>
            <w:pPr>
              <w:spacing w:after="0"/>
              <w:rPr>
                <w:sz w:val="6"/>
                <w:szCs w:val="6"/>
                <w:color w:val="auto"/>
              </w:rPr>
            </w:pPr>
          </w:p>
        </w:tc>
        <w:tc>
          <w:tcPr>
            <w:tcW w:w="1460" w:type="dxa"/>
            <w:vAlign w:val="bottom"/>
            <w:vMerge w:val="continue"/>
          </w:tcPr>
          <w:p>
            <w:pPr>
              <w:spacing w:after="0"/>
              <w:rPr>
                <w:sz w:val="6"/>
                <w:szCs w:val="6"/>
                <w:color w:val="auto"/>
              </w:rPr>
            </w:pPr>
          </w:p>
        </w:tc>
        <w:tc>
          <w:tcPr>
            <w:tcW w:w="94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48"/>
        </w:trPr>
        <w:tc>
          <w:tcPr>
            <w:tcW w:w="5480" w:type="dxa"/>
            <w:vAlign w:val="bottom"/>
          </w:tcPr>
          <w:p>
            <w:pPr>
              <w:spacing w:after="0"/>
              <w:rPr>
                <w:sz w:val="4"/>
                <w:szCs w:val="4"/>
                <w:color w:val="auto"/>
              </w:rPr>
            </w:pPr>
          </w:p>
        </w:tc>
        <w:tc>
          <w:tcPr>
            <w:tcW w:w="3380" w:type="dxa"/>
            <w:vAlign w:val="bottom"/>
          </w:tcPr>
          <w:p>
            <w:pPr>
              <w:spacing w:after="0"/>
              <w:rPr>
                <w:sz w:val="4"/>
                <w:szCs w:val="4"/>
                <w:color w:val="auto"/>
              </w:rPr>
            </w:pPr>
          </w:p>
        </w:tc>
        <w:tc>
          <w:tcPr>
            <w:tcW w:w="1460" w:type="dxa"/>
            <w:vAlign w:val="bottom"/>
            <w:vMerge w:val="continue"/>
          </w:tcPr>
          <w:p>
            <w:pPr>
              <w:spacing w:after="0"/>
              <w:rPr>
                <w:sz w:val="4"/>
                <w:szCs w:val="4"/>
                <w:color w:val="auto"/>
              </w:rPr>
            </w:pPr>
          </w:p>
        </w:tc>
        <w:tc>
          <w:tcPr>
            <w:tcW w:w="9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93"/>
        </w:trPr>
        <w:tc>
          <w:tcPr>
            <w:tcW w:w="5480" w:type="dxa"/>
            <w:vAlign w:val="bottom"/>
            <w:vMerge w:val="restart"/>
          </w:tcPr>
          <w:p>
            <w:pPr>
              <w:ind w:left="340"/>
              <w:spacing w:after="0"/>
              <w:rPr>
                <w:sz w:val="20"/>
                <w:szCs w:val="20"/>
                <w:color w:val="auto"/>
              </w:rPr>
            </w:pPr>
            <w:r>
              <w:rPr>
                <w:rFonts w:ascii="Calibri" w:cs="Calibri" w:eastAsia="Calibri" w:hAnsi="Calibri"/>
                <w:sz w:val="15"/>
                <w:szCs w:val="15"/>
                <w:color w:val="auto"/>
              </w:rPr>
              <w:t>Share-based compensaton</w:t>
            </w:r>
          </w:p>
        </w:tc>
        <w:tc>
          <w:tcPr>
            <w:tcW w:w="3380" w:type="dxa"/>
            <w:vAlign w:val="bottom"/>
          </w:tcPr>
          <w:p>
            <w:pPr>
              <w:jc w:val="center"/>
              <w:ind w:left="1907"/>
              <w:spacing w:after="0"/>
              <w:rPr>
                <w:sz w:val="20"/>
                <w:szCs w:val="20"/>
                <w:color w:val="auto"/>
              </w:rPr>
            </w:pPr>
            <w:r>
              <w:rPr>
                <w:rFonts w:ascii="Calibri" w:cs="Calibri" w:eastAsia="Calibri" w:hAnsi="Calibri"/>
                <w:sz w:val="15"/>
                <w:szCs w:val="15"/>
                <w:i w:val="1"/>
                <w:iCs w:val="1"/>
                <w:color w:val="auto"/>
              </w:rPr>
              <w:t>7</w:t>
            </w:r>
          </w:p>
        </w:tc>
        <w:tc>
          <w:tcPr>
            <w:tcW w:w="1460" w:type="dxa"/>
            <w:vAlign w:val="bottom"/>
            <w:vMerge w:val="restart"/>
          </w:tcPr>
          <w:p>
            <w:pPr>
              <w:jc w:val="right"/>
              <w:ind w:right="367"/>
              <w:spacing w:after="0"/>
              <w:rPr>
                <w:sz w:val="20"/>
                <w:szCs w:val="20"/>
                <w:color w:val="auto"/>
              </w:rPr>
            </w:pPr>
            <w:r>
              <w:rPr>
                <w:rFonts w:ascii="Calibri" w:cs="Calibri" w:eastAsia="Calibri" w:hAnsi="Calibri"/>
                <w:sz w:val="15"/>
                <w:szCs w:val="15"/>
                <w:b w:val="1"/>
                <w:bCs w:val="1"/>
                <w:color w:val="auto"/>
              </w:rPr>
              <w:t>37,434</w:t>
            </w:r>
          </w:p>
        </w:tc>
        <w:tc>
          <w:tcPr>
            <w:tcW w:w="940" w:type="dxa"/>
            <w:vAlign w:val="bottom"/>
            <w:vMerge w:val="restart"/>
          </w:tcPr>
          <w:p>
            <w:pPr>
              <w:jc w:val="right"/>
              <w:spacing w:after="0"/>
              <w:rPr>
                <w:sz w:val="20"/>
                <w:szCs w:val="20"/>
                <w:color w:val="auto"/>
              </w:rPr>
            </w:pPr>
            <w:r>
              <w:rPr>
                <w:rFonts w:ascii="Calibri" w:cs="Calibri" w:eastAsia="Calibri" w:hAnsi="Calibri"/>
                <w:sz w:val="15"/>
                <w:szCs w:val="15"/>
                <w:color w:val="auto"/>
              </w:rPr>
              <w:t>2,689</w:t>
            </w:r>
          </w:p>
        </w:tc>
        <w:tc>
          <w:tcPr>
            <w:tcW w:w="0" w:type="dxa"/>
            <w:vAlign w:val="bottom"/>
          </w:tcPr>
          <w:p>
            <w:pPr>
              <w:spacing w:after="0"/>
              <w:rPr>
                <w:sz w:val="1"/>
                <w:szCs w:val="1"/>
                <w:color w:val="auto"/>
              </w:rPr>
            </w:pPr>
          </w:p>
        </w:tc>
      </w:tr>
      <w:tr>
        <w:trPr>
          <w:trHeight w:val="73"/>
        </w:trPr>
        <w:tc>
          <w:tcPr>
            <w:tcW w:w="5480" w:type="dxa"/>
            <w:vAlign w:val="bottom"/>
            <w:vMerge w:val="continue"/>
          </w:tcPr>
          <w:p>
            <w:pPr>
              <w:spacing w:after="0"/>
              <w:rPr>
                <w:sz w:val="6"/>
                <w:szCs w:val="6"/>
                <w:color w:val="auto"/>
              </w:rPr>
            </w:pPr>
          </w:p>
        </w:tc>
        <w:tc>
          <w:tcPr>
            <w:tcW w:w="3380" w:type="dxa"/>
            <w:vAlign w:val="bottom"/>
          </w:tcPr>
          <w:p>
            <w:pPr>
              <w:spacing w:after="0"/>
              <w:rPr>
                <w:sz w:val="6"/>
                <w:szCs w:val="6"/>
                <w:color w:val="auto"/>
              </w:rPr>
            </w:pPr>
          </w:p>
        </w:tc>
        <w:tc>
          <w:tcPr>
            <w:tcW w:w="1460" w:type="dxa"/>
            <w:vAlign w:val="bottom"/>
            <w:vMerge w:val="continue"/>
          </w:tcPr>
          <w:p>
            <w:pPr>
              <w:spacing w:after="0"/>
              <w:rPr>
                <w:sz w:val="6"/>
                <w:szCs w:val="6"/>
                <w:color w:val="auto"/>
              </w:rPr>
            </w:pPr>
          </w:p>
        </w:tc>
        <w:tc>
          <w:tcPr>
            <w:tcW w:w="94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48"/>
        </w:trPr>
        <w:tc>
          <w:tcPr>
            <w:tcW w:w="5480" w:type="dxa"/>
            <w:vAlign w:val="bottom"/>
          </w:tcPr>
          <w:p>
            <w:pPr>
              <w:spacing w:after="0"/>
              <w:rPr>
                <w:sz w:val="4"/>
                <w:szCs w:val="4"/>
                <w:color w:val="auto"/>
              </w:rPr>
            </w:pPr>
          </w:p>
        </w:tc>
        <w:tc>
          <w:tcPr>
            <w:tcW w:w="3380" w:type="dxa"/>
            <w:vAlign w:val="bottom"/>
          </w:tcPr>
          <w:p>
            <w:pPr>
              <w:spacing w:after="0"/>
              <w:rPr>
                <w:sz w:val="4"/>
                <w:szCs w:val="4"/>
                <w:color w:val="auto"/>
              </w:rPr>
            </w:pPr>
          </w:p>
        </w:tc>
        <w:tc>
          <w:tcPr>
            <w:tcW w:w="1460" w:type="dxa"/>
            <w:vAlign w:val="bottom"/>
            <w:vMerge w:val="continue"/>
          </w:tcPr>
          <w:p>
            <w:pPr>
              <w:spacing w:after="0"/>
              <w:rPr>
                <w:sz w:val="4"/>
                <w:szCs w:val="4"/>
                <w:color w:val="auto"/>
              </w:rPr>
            </w:pPr>
          </w:p>
        </w:tc>
        <w:tc>
          <w:tcPr>
            <w:tcW w:w="9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93"/>
        </w:trPr>
        <w:tc>
          <w:tcPr>
            <w:tcW w:w="5480" w:type="dxa"/>
            <w:vAlign w:val="bottom"/>
          </w:tcPr>
          <w:p>
            <w:pPr>
              <w:ind w:left="380"/>
              <w:spacing w:after="0"/>
              <w:rPr>
                <w:sz w:val="20"/>
                <w:szCs w:val="20"/>
                <w:color w:val="auto"/>
              </w:rPr>
            </w:pPr>
            <w:r>
              <w:rPr>
                <w:rFonts w:ascii="Calibri" w:cs="Calibri" w:eastAsia="Calibri" w:hAnsi="Calibri"/>
                <w:sz w:val="15"/>
                <w:szCs w:val="15"/>
                <w:color w:val="auto"/>
              </w:rPr>
              <w:t>Lease interest</w:t>
            </w:r>
          </w:p>
        </w:tc>
        <w:tc>
          <w:tcPr>
            <w:tcW w:w="3380" w:type="dxa"/>
            <w:vAlign w:val="bottom"/>
          </w:tcPr>
          <w:p>
            <w:pPr>
              <w:jc w:val="center"/>
              <w:ind w:left="1907"/>
              <w:spacing w:after="0"/>
              <w:rPr>
                <w:sz w:val="20"/>
                <w:szCs w:val="20"/>
                <w:color w:val="auto"/>
              </w:rPr>
            </w:pPr>
            <w:r>
              <w:rPr>
                <w:rFonts w:ascii="Calibri" w:cs="Calibri" w:eastAsia="Calibri" w:hAnsi="Calibri"/>
                <w:sz w:val="15"/>
                <w:szCs w:val="15"/>
                <w:i w:val="1"/>
                <w:iCs w:val="1"/>
                <w:color w:val="auto"/>
              </w:rPr>
              <w:t>5</w:t>
            </w:r>
          </w:p>
        </w:tc>
        <w:tc>
          <w:tcPr>
            <w:tcW w:w="1460" w:type="dxa"/>
            <w:vAlign w:val="bottom"/>
          </w:tcPr>
          <w:p>
            <w:pPr>
              <w:jc w:val="right"/>
              <w:ind w:right="367"/>
              <w:spacing w:after="0"/>
              <w:rPr>
                <w:sz w:val="20"/>
                <w:szCs w:val="20"/>
                <w:color w:val="auto"/>
              </w:rPr>
            </w:pPr>
            <w:r>
              <w:rPr>
                <w:rFonts w:ascii="Calibri" w:cs="Calibri" w:eastAsia="Calibri" w:hAnsi="Calibri"/>
                <w:sz w:val="15"/>
                <w:szCs w:val="15"/>
                <w:b w:val="1"/>
                <w:bCs w:val="1"/>
                <w:color w:val="auto"/>
              </w:rPr>
              <w:t>6</w:t>
            </w:r>
          </w:p>
        </w:tc>
        <w:tc>
          <w:tcPr>
            <w:tcW w:w="940" w:type="dxa"/>
            <w:vAlign w:val="bottom"/>
          </w:tcPr>
          <w:p>
            <w:pPr>
              <w:jc w:val="right"/>
              <w:spacing w:after="0"/>
              <w:rPr>
                <w:sz w:val="20"/>
                <w:szCs w:val="20"/>
                <w:color w:val="auto"/>
              </w:rPr>
            </w:pPr>
            <w:r>
              <w:rPr>
                <w:rFonts w:ascii="Calibri" w:cs="Calibri" w:eastAsia="Calibri" w:hAnsi="Calibri"/>
                <w:sz w:val="15"/>
                <w:szCs w:val="15"/>
                <w:color w:val="auto"/>
              </w:rPr>
              <w:t>—</w:t>
            </w:r>
          </w:p>
        </w:tc>
        <w:tc>
          <w:tcPr>
            <w:tcW w:w="0" w:type="dxa"/>
            <w:vAlign w:val="bottom"/>
          </w:tcPr>
          <w:p>
            <w:pPr>
              <w:spacing w:after="0"/>
              <w:rPr>
                <w:sz w:val="1"/>
                <w:szCs w:val="1"/>
                <w:color w:val="auto"/>
              </w:rPr>
            </w:pPr>
          </w:p>
        </w:tc>
      </w:tr>
      <w:tr>
        <w:trPr>
          <w:trHeight w:val="266"/>
        </w:trPr>
        <w:tc>
          <w:tcPr>
            <w:tcW w:w="5480" w:type="dxa"/>
            <w:vAlign w:val="bottom"/>
          </w:tcPr>
          <w:p>
            <w:pPr>
              <w:ind w:left="380"/>
              <w:spacing w:after="0"/>
              <w:rPr>
                <w:sz w:val="20"/>
                <w:szCs w:val="20"/>
                <w:color w:val="auto"/>
              </w:rPr>
            </w:pPr>
            <w:r>
              <w:rPr>
                <w:rFonts w:ascii="Calibri" w:cs="Calibri" w:eastAsia="Calibri" w:hAnsi="Calibri"/>
                <w:sz w:val="15"/>
                <w:szCs w:val="15"/>
                <w:color w:val="auto"/>
              </w:rPr>
              <w:t>Unrealized foreign currency translaton gain</w:t>
            </w:r>
          </w:p>
        </w:tc>
        <w:tc>
          <w:tcPr>
            <w:tcW w:w="3380" w:type="dxa"/>
            <w:vAlign w:val="bottom"/>
          </w:tcPr>
          <w:p>
            <w:pPr>
              <w:spacing w:after="0"/>
              <w:rPr>
                <w:sz w:val="23"/>
                <w:szCs w:val="23"/>
                <w:color w:val="auto"/>
              </w:rPr>
            </w:pPr>
          </w:p>
        </w:tc>
        <w:tc>
          <w:tcPr>
            <w:tcW w:w="1460" w:type="dxa"/>
            <w:vAlign w:val="bottom"/>
          </w:tcPr>
          <w:p>
            <w:pPr>
              <w:jc w:val="right"/>
              <w:ind w:right="347"/>
              <w:spacing w:after="0"/>
              <w:rPr>
                <w:sz w:val="20"/>
                <w:szCs w:val="20"/>
                <w:color w:val="auto"/>
              </w:rPr>
            </w:pPr>
            <w:r>
              <w:rPr>
                <w:rFonts w:ascii="Calibri" w:cs="Calibri" w:eastAsia="Calibri" w:hAnsi="Calibri"/>
                <w:sz w:val="15"/>
                <w:szCs w:val="15"/>
                <w:b w:val="1"/>
                <w:bCs w:val="1"/>
                <w:color w:val="auto"/>
              </w:rPr>
              <w:t>(1,336)</w:t>
            </w:r>
          </w:p>
        </w:tc>
        <w:tc>
          <w:tcPr>
            <w:tcW w:w="940" w:type="dxa"/>
            <w:vAlign w:val="bottom"/>
          </w:tcPr>
          <w:p>
            <w:pPr>
              <w:jc w:val="right"/>
              <w:spacing w:after="0"/>
              <w:rPr>
                <w:sz w:val="20"/>
                <w:szCs w:val="20"/>
                <w:color w:val="auto"/>
              </w:rPr>
            </w:pPr>
            <w:r>
              <w:rPr>
                <w:rFonts w:ascii="Calibri" w:cs="Calibri" w:eastAsia="Calibri" w:hAnsi="Calibri"/>
                <w:sz w:val="15"/>
                <w:szCs w:val="15"/>
                <w:color w:val="auto"/>
              </w:rPr>
              <w:t>(95)</w:t>
            </w:r>
          </w:p>
        </w:tc>
        <w:tc>
          <w:tcPr>
            <w:tcW w:w="0" w:type="dxa"/>
            <w:vAlign w:val="bottom"/>
          </w:tcPr>
          <w:p>
            <w:pPr>
              <w:spacing w:after="0"/>
              <w:rPr>
                <w:sz w:val="1"/>
                <w:szCs w:val="1"/>
                <w:color w:val="auto"/>
              </w:rPr>
            </w:pPr>
          </w:p>
        </w:tc>
      </w:tr>
      <w:tr>
        <w:trPr>
          <w:trHeight w:val="24"/>
        </w:trPr>
        <w:tc>
          <w:tcPr>
            <w:tcW w:w="5480" w:type="dxa"/>
            <w:vAlign w:val="bottom"/>
            <w:tcBorders>
              <w:bottom w:val="single" w:sz="8" w:color="auto"/>
            </w:tcBorders>
          </w:tcPr>
          <w:p>
            <w:pPr>
              <w:spacing w:after="0"/>
              <w:rPr>
                <w:sz w:val="2"/>
                <w:szCs w:val="2"/>
                <w:color w:val="auto"/>
              </w:rPr>
            </w:pPr>
          </w:p>
        </w:tc>
        <w:tc>
          <w:tcPr>
            <w:tcW w:w="338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65"/>
        </w:trPr>
        <w:tc>
          <w:tcPr>
            <w:tcW w:w="5480" w:type="dxa"/>
            <w:vAlign w:val="bottom"/>
          </w:tcPr>
          <w:p>
            <w:pPr>
              <w:spacing w:after="0"/>
              <w:rPr>
                <w:sz w:val="14"/>
                <w:szCs w:val="14"/>
                <w:color w:val="auto"/>
              </w:rPr>
            </w:pPr>
          </w:p>
        </w:tc>
        <w:tc>
          <w:tcPr>
            <w:tcW w:w="3380" w:type="dxa"/>
            <w:vAlign w:val="bottom"/>
          </w:tcPr>
          <w:p>
            <w:pPr>
              <w:spacing w:after="0"/>
              <w:rPr>
                <w:sz w:val="14"/>
                <w:szCs w:val="14"/>
                <w:color w:val="auto"/>
              </w:rPr>
            </w:pPr>
          </w:p>
        </w:tc>
        <w:tc>
          <w:tcPr>
            <w:tcW w:w="1460" w:type="dxa"/>
            <w:vAlign w:val="bottom"/>
          </w:tcPr>
          <w:p>
            <w:pPr>
              <w:jc w:val="right"/>
              <w:ind w:right="347"/>
              <w:spacing w:after="0" w:line="165" w:lineRule="exact"/>
              <w:rPr>
                <w:sz w:val="20"/>
                <w:szCs w:val="20"/>
                <w:color w:val="auto"/>
              </w:rPr>
            </w:pPr>
            <w:r>
              <w:rPr>
                <w:rFonts w:ascii="Calibri" w:cs="Calibri" w:eastAsia="Calibri" w:hAnsi="Calibri"/>
                <w:sz w:val="15"/>
                <w:szCs w:val="15"/>
                <w:b w:val="1"/>
                <w:bCs w:val="1"/>
                <w:color w:val="auto"/>
              </w:rPr>
              <w:t>(35,631)</w:t>
            </w:r>
          </w:p>
        </w:tc>
        <w:tc>
          <w:tcPr>
            <w:tcW w:w="940" w:type="dxa"/>
            <w:vAlign w:val="bottom"/>
          </w:tcPr>
          <w:p>
            <w:pPr>
              <w:jc w:val="right"/>
              <w:spacing w:after="0" w:line="165" w:lineRule="exact"/>
              <w:rPr>
                <w:sz w:val="20"/>
                <w:szCs w:val="20"/>
                <w:color w:val="auto"/>
              </w:rPr>
            </w:pPr>
            <w:r>
              <w:rPr>
                <w:rFonts w:ascii="Calibri" w:cs="Calibri" w:eastAsia="Calibri" w:hAnsi="Calibri"/>
                <w:sz w:val="15"/>
                <w:szCs w:val="15"/>
                <w:color w:val="auto"/>
              </w:rPr>
              <w:t>(23,670)</w:t>
            </w:r>
          </w:p>
        </w:tc>
        <w:tc>
          <w:tcPr>
            <w:tcW w:w="0" w:type="dxa"/>
            <w:vAlign w:val="bottom"/>
          </w:tcPr>
          <w:p>
            <w:pPr>
              <w:spacing w:after="0"/>
              <w:rPr>
                <w:sz w:val="1"/>
                <w:szCs w:val="1"/>
                <w:color w:val="auto"/>
              </w:rPr>
            </w:pPr>
          </w:p>
        </w:tc>
      </w:tr>
      <w:tr>
        <w:trPr>
          <w:trHeight w:val="190"/>
        </w:trPr>
        <w:tc>
          <w:tcPr>
            <w:tcW w:w="5480" w:type="dxa"/>
            <w:vAlign w:val="bottom"/>
          </w:tcPr>
          <w:p>
            <w:pPr>
              <w:ind w:left="160"/>
              <w:spacing w:after="0"/>
              <w:rPr>
                <w:sz w:val="20"/>
                <w:szCs w:val="20"/>
                <w:color w:val="auto"/>
              </w:rPr>
            </w:pPr>
            <w:r>
              <w:rPr>
                <w:rFonts w:ascii="Calibri" w:cs="Calibri" w:eastAsia="Calibri" w:hAnsi="Calibri"/>
                <w:sz w:val="15"/>
                <w:szCs w:val="15"/>
                <w:b w:val="1"/>
                <w:bCs w:val="1"/>
                <w:color w:val="auto"/>
              </w:rPr>
              <w:t>Net changes in non-cash working capital items:</w:t>
            </w:r>
          </w:p>
        </w:tc>
        <w:tc>
          <w:tcPr>
            <w:tcW w:w="3380" w:type="dxa"/>
            <w:vAlign w:val="bottom"/>
          </w:tcPr>
          <w:p>
            <w:pPr>
              <w:spacing w:after="0"/>
              <w:rPr>
                <w:sz w:val="16"/>
                <w:szCs w:val="16"/>
                <w:color w:val="auto"/>
              </w:rPr>
            </w:pPr>
          </w:p>
        </w:tc>
        <w:tc>
          <w:tcPr>
            <w:tcW w:w="146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66"/>
        </w:trPr>
        <w:tc>
          <w:tcPr>
            <w:tcW w:w="5480" w:type="dxa"/>
            <w:vAlign w:val="bottom"/>
          </w:tcPr>
          <w:p>
            <w:pPr>
              <w:ind w:left="340"/>
              <w:spacing w:after="0"/>
              <w:rPr>
                <w:sz w:val="20"/>
                <w:szCs w:val="20"/>
                <w:color w:val="auto"/>
              </w:rPr>
            </w:pPr>
            <w:r>
              <w:rPr>
                <w:rFonts w:ascii="Calibri" w:cs="Calibri" w:eastAsia="Calibri" w:hAnsi="Calibri"/>
                <w:sz w:val="15"/>
                <w:szCs w:val="15"/>
                <w:color w:val="auto"/>
              </w:rPr>
              <w:t>Accounts receivable</w:t>
            </w:r>
          </w:p>
        </w:tc>
        <w:tc>
          <w:tcPr>
            <w:tcW w:w="3380" w:type="dxa"/>
            <w:vAlign w:val="bottom"/>
          </w:tcPr>
          <w:p>
            <w:pPr>
              <w:spacing w:after="0"/>
              <w:rPr>
                <w:sz w:val="23"/>
                <w:szCs w:val="23"/>
                <w:color w:val="auto"/>
              </w:rPr>
            </w:pPr>
          </w:p>
        </w:tc>
        <w:tc>
          <w:tcPr>
            <w:tcW w:w="1460" w:type="dxa"/>
            <w:vAlign w:val="bottom"/>
            <w:vMerge w:val="restart"/>
          </w:tcPr>
          <w:p>
            <w:pPr>
              <w:jc w:val="right"/>
              <w:ind w:right="347"/>
              <w:spacing w:after="0"/>
              <w:rPr>
                <w:sz w:val="20"/>
                <w:szCs w:val="20"/>
                <w:color w:val="auto"/>
              </w:rPr>
            </w:pPr>
            <w:r>
              <w:rPr>
                <w:rFonts w:ascii="Calibri" w:cs="Calibri" w:eastAsia="Calibri" w:hAnsi="Calibri"/>
                <w:sz w:val="15"/>
                <w:szCs w:val="15"/>
                <w:b w:val="1"/>
                <w:bCs w:val="1"/>
                <w:color w:val="auto"/>
              </w:rPr>
              <w:t>(1,029)</w:t>
            </w:r>
          </w:p>
        </w:tc>
        <w:tc>
          <w:tcPr>
            <w:tcW w:w="940" w:type="dxa"/>
            <w:vAlign w:val="bottom"/>
            <w:vMerge w:val="restart"/>
          </w:tcPr>
          <w:p>
            <w:pPr>
              <w:jc w:val="right"/>
              <w:spacing w:after="0"/>
              <w:rPr>
                <w:sz w:val="20"/>
                <w:szCs w:val="20"/>
                <w:color w:val="auto"/>
              </w:rPr>
            </w:pPr>
            <w:r>
              <w:rPr>
                <w:rFonts w:ascii="Calibri" w:cs="Calibri" w:eastAsia="Calibri" w:hAnsi="Calibri"/>
                <w:sz w:val="15"/>
                <w:szCs w:val="15"/>
                <w:color w:val="auto"/>
              </w:rPr>
              <w:t>(632)</w:t>
            </w:r>
          </w:p>
        </w:tc>
        <w:tc>
          <w:tcPr>
            <w:tcW w:w="0" w:type="dxa"/>
            <w:vAlign w:val="bottom"/>
          </w:tcPr>
          <w:p>
            <w:pPr>
              <w:spacing w:after="0"/>
              <w:rPr>
                <w:sz w:val="1"/>
                <w:szCs w:val="1"/>
                <w:color w:val="auto"/>
              </w:rPr>
            </w:pPr>
          </w:p>
        </w:tc>
      </w:tr>
      <w:tr>
        <w:trPr>
          <w:trHeight w:val="48"/>
        </w:trPr>
        <w:tc>
          <w:tcPr>
            <w:tcW w:w="5480" w:type="dxa"/>
            <w:vAlign w:val="bottom"/>
          </w:tcPr>
          <w:p>
            <w:pPr>
              <w:spacing w:after="0"/>
              <w:rPr>
                <w:sz w:val="4"/>
                <w:szCs w:val="4"/>
                <w:color w:val="auto"/>
              </w:rPr>
            </w:pPr>
          </w:p>
        </w:tc>
        <w:tc>
          <w:tcPr>
            <w:tcW w:w="3380" w:type="dxa"/>
            <w:vAlign w:val="bottom"/>
          </w:tcPr>
          <w:p>
            <w:pPr>
              <w:spacing w:after="0"/>
              <w:rPr>
                <w:sz w:val="4"/>
                <w:szCs w:val="4"/>
                <w:color w:val="auto"/>
              </w:rPr>
            </w:pPr>
          </w:p>
        </w:tc>
        <w:tc>
          <w:tcPr>
            <w:tcW w:w="1460" w:type="dxa"/>
            <w:vAlign w:val="bottom"/>
            <w:vMerge w:val="continue"/>
          </w:tcPr>
          <w:p>
            <w:pPr>
              <w:spacing w:after="0"/>
              <w:rPr>
                <w:sz w:val="4"/>
                <w:szCs w:val="4"/>
                <w:color w:val="auto"/>
              </w:rPr>
            </w:pPr>
          </w:p>
        </w:tc>
        <w:tc>
          <w:tcPr>
            <w:tcW w:w="9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66"/>
        </w:trPr>
        <w:tc>
          <w:tcPr>
            <w:tcW w:w="5480" w:type="dxa"/>
            <w:vAlign w:val="bottom"/>
          </w:tcPr>
          <w:p>
            <w:pPr>
              <w:ind w:left="340"/>
              <w:spacing w:after="0"/>
              <w:rPr>
                <w:sz w:val="20"/>
                <w:szCs w:val="20"/>
                <w:color w:val="auto"/>
              </w:rPr>
            </w:pPr>
            <w:r>
              <w:rPr>
                <w:rFonts w:ascii="Calibri" w:cs="Calibri" w:eastAsia="Calibri" w:hAnsi="Calibri"/>
                <w:sz w:val="15"/>
                <w:szCs w:val="15"/>
                <w:color w:val="auto"/>
              </w:rPr>
              <w:t>Prepaid expenses</w:t>
            </w:r>
          </w:p>
        </w:tc>
        <w:tc>
          <w:tcPr>
            <w:tcW w:w="3380" w:type="dxa"/>
            <w:vAlign w:val="bottom"/>
          </w:tcPr>
          <w:p>
            <w:pPr>
              <w:spacing w:after="0"/>
              <w:rPr>
                <w:sz w:val="23"/>
                <w:szCs w:val="23"/>
                <w:color w:val="auto"/>
              </w:rPr>
            </w:pPr>
          </w:p>
        </w:tc>
        <w:tc>
          <w:tcPr>
            <w:tcW w:w="1460" w:type="dxa"/>
            <w:vAlign w:val="bottom"/>
            <w:vMerge w:val="restart"/>
          </w:tcPr>
          <w:p>
            <w:pPr>
              <w:jc w:val="right"/>
              <w:ind w:right="347"/>
              <w:spacing w:after="0"/>
              <w:rPr>
                <w:sz w:val="20"/>
                <w:szCs w:val="20"/>
                <w:color w:val="auto"/>
              </w:rPr>
            </w:pPr>
            <w:r>
              <w:rPr>
                <w:rFonts w:ascii="Calibri" w:cs="Calibri" w:eastAsia="Calibri" w:hAnsi="Calibri"/>
                <w:sz w:val="15"/>
                <w:szCs w:val="15"/>
                <w:b w:val="1"/>
                <w:bCs w:val="1"/>
                <w:color w:val="auto"/>
              </w:rPr>
              <w:t>(14,410)</w:t>
            </w:r>
          </w:p>
        </w:tc>
        <w:tc>
          <w:tcPr>
            <w:tcW w:w="940" w:type="dxa"/>
            <w:vAlign w:val="bottom"/>
            <w:vMerge w:val="restart"/>
          </w:tcPr>
          <w:p>
            <w:pPr>
              <w:jc w:val="right"/>
              <w:spacing w:after="0"/>
              <w:rPr>
                <w:sz w:val="20"/>
                <w:szCs w:val="20"/>
                <w:color w:val="auto"/>
              </w:rPr>
            </w:pPr>
            <w:r>
              <w:rPr>
                <w:rFonts w:ascii="Calibri" w:cs="Calibri" w:eastAsia="Calibri" w:hAnsi="Calibri"/>
                <w:sz w:val="15"/>
                <w:szCs w:val="15"/>
                <w:color w:val="auto"/>
              </w:rPr>
              <w:t>(1,332)</w:t>
            </w:r>
          </w:p>
        </w:tc>
        <w:tc>
          <w:tcPr>
            <w:tcW w:w="0" w:type="dxa"/>
            <w:vAlign w:val="bottom"/>
          </w:tcPr>
          <w:p>
            <w:pPr>
              <w:spacing w:after="0"/>
              <w:rPr>
                <w:sz w:val="1"/>
                <w:szCs w:val="1"/>
                <w:color w:val="auto"/>
              </w:rPr>
            </w:pPr>
          </w:p>
        </w:tc>
      </w:tr>
      <w:tr>
        <w:trPr>
          <w:trHeight w:val="48"/>
        </w:trPr>
        <w:tc>
          <w:tcPr>
            <w:tcW w:w="5480" w:type="dxa"/>
            <w:vAlign w:val="bottom"/>
          </w:tcPr>
          <w:p>
            <w:pPr>
              <w:spacing w:after="0"/>
              <w:rPr>
                <w:sz w:val="4"/>
                <w:szCs w:val="4"/>
                <w:color w:val="auto"/>
              </w:rPr>
            </w:pPr>
          </w:p>
        </w:tc>
        <w:tc>
          <w:tcPr>
            <w:tcW w:w="3380" w:type="dxa"/>
            <w:vAlign w:val="bottom"/>
          </w:tcPr>
          <w:p>
            <w:pPr>
              <w:spacing w:after="0"/>
              <w:rPr>
                <w:sz w:val="4"/>
                <w:szCs w:val="4"/>
                <w:color w:val="auto"/>
              </w:rPr>
            </w:pPr>
          </w:p>
        </w:tc>
        <w:tc>
          <w:tcPr>
            <w:tcW w:w="1460" w:type="dxa"/>
            <w:vAlign w:val="bottom"/>
            <w:vMerge w:val="continue"/>
          </w:tcPr>
          <w:p>
            <w:pPr>
              <w:spacing w:after="0"/>
              <w:rPr>
                <w:sz w:val="4"/>
                <w:szCs w:val="4"/>
                <w:color w:val="auto"/>
              </w:rPr>
            </w:pPr>
          </w:p>
        </w:tc>
        <w:tc>
          <w:tcPr>
            <w:tcW w:w="9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90"/>
        </w:trPr>
        <w:tc>
          <w:tcPr>
            <w:tcW w:w="5480" w:type="dxa"/>
            <w:vAlign w:val="bottom"/>
          </w:tcPr>
          <w:p>
            <w:pPr>
              <w:ind w:left="340"/>
              <w:spacing w:after="0"/>
              <w:rPr>
                <w:sz w:val="20"/>
                <w:szCs w:val="20"/>
                <w:color w:val="auto"/>
              </w:rPr>
            </w:pPr>
            <w:r>
              <w:rPr>
                <w:rFonts w:ascii="Calibri" w:cs="Calibri" w:eastAsia="Calibri" w:hAnsi="Calibri"/>
                <w:sz w:val="15"/>
                <w:szCs w:val="15"/>
                <w:color w:val="auto"/>
              </w:rPr>
              <w:t>Other current assets</w:t>
            </w:r>
          </w:p>
        </w:tc>
        <w:tc>
          <w:tcPr>
            <w:tcW w:w="3380" w:type="dxa"/>
            <w:vAlign w:val="bottom"/>
          </w:tcPr>
          <w:p>
            <w:pPr>
              <w:spacing w:after="0"/>
              <w:rPr>
                <w:sz w:val="24"/>
                <w:szCs w:val="24"/>
                <w:color w:val="auto"/>
              </w:rPr>
            </w:pPr>
          </w:p>
        </w:tc>
        <w:tc>
          <w:tcPr>
            <w:tcW w:w="1460" w:type="dxa"/>
            <w:vAlign w:val="bottom"/>
          </w:tcPr>
          <w:p>
            <w:pPr>
              <w:jc w:val="right"/>
              <w:ind w:right="367"/>
              <w:spacing w:after="0"/>
              <w:rPr>
                <w:sz w:val="20"/>
                <w:szCs w:val="20"/>
                <w:color w:val="auto"/>
              </w:rPr>
            </w:pPr>
            <w:r>
              <w:rPr>
                <w:rFonts w:ascii="Calibri" w:cs="Calibri" w:eastAsia="Calibri" w:hAnsi="Calibri"/>
                <w:sz w:val="15"/>
                <w:szCs w:val="15"/>
                <w:b w:val="1"/>
                <w:bCs w:val="1"/>
                <w:color w:val="auto"/>
              </w:rPr>
              <w:t>572</w:t>
            </w:r>
          </w:p>
        </w:tc>
        <w:tc>
          <w:tcPr>
            <w:tcW w:w="940" w:type="dxa"/>
            <w:vAlign w:val="bottom"/>
          </w:tcPr>
          <w:p>
            <w:pPr>
              <w:jc w:val="right"/>
              <w:spacing w:after="0"/>
              <w:rPr>
                <w:sz w:val="20"/>
                <w:szCs w:val="20"/>
                <w:color w:val="auto"/>
              </w:rPr>
            </w:pPr>
            <w:r>
              <w:rPr>
                <w:rFonts w:ascii="Calibri" w:cs="Calibri" w:eastAsia="Calibri" w:hAnsi="Calibri"/>
                <w:sz w:val="15"/>
                <w:szCs w:val="15"/>
                <w:color w:val="auto"/>
              </w:rPr>
              <w:t>(105)</w:t>
            </w:r>
          </w:p>
        </w:tc>
        <w:tc>
          <w:tcPr>
            <w:tcW w:w="0" w:type="dxa"/>
            <w:vAlign w:val="bottom"/>
          </w:tcPr>
          <w:p>
            <w:pPr>
              <w:spacing w:after="0"/>
              <w:rPr>
                <w:sz w:val="1"/>
                <w:szCs w:val="1"/>
                <w:color w:val="auto"/>
              </w:rPr>
            </w:pPr>
          </w:p>
        </w:tc>
      </w:tr>
      <w:tr>
        <w:trPr>
          <w:trHeight w:val="266"/>
        </w:trPr>
        <w:tc>
          <w:tcPr>
            <w:tcW w:w="5480" w:type="dxa"/>
            <w:vAlign w:val="bottom"/>
          </w:tcPr>
          <w:p>
            <w:pPr>
              <w:ind w:left="340"/>
              <w:spacing w:after="0"/>
              <w:rPr>
                <w:sz w:val="20"/>
                <w:szCs w:val="20"/>
                <w:color w:val="auto"/>
              </w:rPr>
            </w:pPr>
            <w:r>
              <w:rPr>
                <w:rFonts w:ascii="Calibri" w:cs="Calibri" w:eastAsia="Calibri" w:hAnsi="Calibri"/>
                <w:sz w:val="15"/>
                <w:szCs w:val="15"/>
                <w:color w:val="auto"/>
              </w:rPr>
              <w:t>Accounts payable and accrued liabilites</w:t>
            </w:r>
          </w:p>
        </w:tc>
        <w:tc>
          <w:tcPr>
            <w:tcW w:w="3380" w:type="dxa"/>
            <w:vAlign w:val="bottom"/>
          </w:tcPr>
          <w:p>
            <w:pPr>
              <w:spacing w:after="0"/>
              <w:rPr>
                <w:sz w:val="23"/>
                <w:szCs w:val="23"/>
                <w:color w:val="auto"/>
              </w:rPr>
            </w:pPr>
          </w:p>
        </w:tc>
        <w:tc>
          <w:tcPr>
            <w:tcW w:w="1460" w:type="dxa"/>
            <w:vAlign w:val="bottom"/>
            <w:vMerge w:val="restart"/>
          </w:tcPr>
          <w:p>
            <w:pPr>
              <w:jc w:val="right"/>
              <w:ind w:right="347"/>
              <w:spacing w:after="0"/>
              <w:rPr>
                <w:sz w:val="20"/>
                <w:szCs w:val="20"/>
                <w:color w:val="auto"/>
              </w:rPr>
            </w:pPr>
            <w:r>
              <w:rPr>
                <w:rFonts w:ascii="Calibri" w:cs="Calibri" w:eastAsia="Calibri" w:hAnsi="Calibri"/>
                <w:sz w:val="15"/>
                <w:szCs w:val="15"/>
                <w:b w:val="1"/>
                <w:bCs w:val="1"/>
                <w:color w:val="auto"/>
              </w:rPr>
              <w:t>(2,565)</w:t>
            </w:r>
          </w:p>
        </w:tc>
        <w:tc>
          <w:tcPr>
            <w:tcW w:w="940" w:type="dxa"/>
            <w:vAlign w:val="bottom"/>
            <w:vMerge w:val="restart"/>
          </w:tcPr>
          <w:p>
            <w:pPr>
              <w:jc w:val="right"/>
              <w:spacing w:after="0"/>
              <w:rPr>
                <w:sz w:val="20"/>
                <w:szCs w:val="20"/>
                <w:color w:val="auto"/>
              </w:rPr>
            </w:pPr>
            <w:r>
              <w:rPr>
                <w:rFonts w:ascii="Calibri" w:cs="Calibri" w:eastAsia="Calibri" w:hAnsi="Calibri"/>
                <w:sz w:val="15"/>
                <w:szCs w:val="15"/>
                <w:color w:val="auto"/>
              </w:rPr>
              <w:t>3,580</w:t>
            </w:r>
          </w:p>
        </w:tc>
        <w:tc>
          <w:tcPr>
            <w:tcW w:w="0" w:type="dxa"/>
            <w:vAlign w:val="bottom"/>
          </w:tcPr>
          <w:p>
            <w:pPr>
              <w:spacing w:after="0"/>
              <w:rPr>
                <w:sz w:val="1"/>
                <w:szCs w:val="1"/>
                <w:color w:val="auto"/>
              </w:rPr>
            </w:pPr>
          </w:p>
        </w:tc>
      </w:tr>
      <w:tr>
        <w:trPr>
          <w:trHeight w:val="48"/>
        </w:trPr>
        <w:tc>
          <w:tcPr>
            <w:tcW w:w="5480" w:type="dxa"/>
            <w:vAlign w:val="bottom"/>
          </w:tcPr>
          <w:p>
            <w:pPr>
              <w:spacing w:after="0"/>
              <w:rPr>
                <w:sz w:val="4"/>
                <w:szCs w:val="4"/>
                <w:color w:val="auto"/>
              </w:rPr>
            </w:pPr>
          </w:p>
        </w:tc>
        <w:tc>
          <w:tcPr>
            <w:tcW w:w="3380" w:type="dxa"/>
            <w:vAlign w:val="bottom"/>
          </w:tcPr>
          <w:p>
            <w:pPr>
              <w:spacing w:after="0"/>
              <w:rPr>
                <w:sz w:val="4"/>
                <w:szCs w:val="4"/>
                <w:color w:val="auto"/>
              </w:rPr>
            </w:pPr>
          </w:p>
        </w:tc>
        <w:tc>
          <w:tcPr>
            <w:tcW w:w="1460" w:type="dxa"/>
            <w:vAlign w:val="bottom"/>
            <w:vMerge w:val="continue"/>
          </w:tcPr>
          <w:p>
            <w:pPr>
              <w:spacing w:after="0"/>
              <w:rPr>
                <w:sz w:val="4"/>
                <w:szCs w:val="4"/>
                <w:color w:val="auto"/>
              </w:rPr>
            </w:pPr>
          </w:p>
        </w:tc>
        <w:tc>
          <w:tcPr>
            <w:tcW w:w="9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4"/>
        </w:trPr>
        <w:tc>
          <w:tcPr>
            <w:tcW w:w="5480" w:type="dxa"/>
            <w:vAlign w:val="bottom"/>
            <w:tcBorders>
              <w:bottom w:val="single" w:sz="8" w:color="auto"/>
            </w:tcBorders>
          </w:tcPr>
          <w:p>
            <w:pPr>
              <w:spacing w:after="0"/>
              <w:rPr>
                <w:sz w:val="2"/>
                <w:szCs w:val="2"/>
                <w:color w:val="auto"/>
              </w:rPr>
            </w:pPr>
          </w:p>
        </w:tc>
        <w:tc>
          <w:tcPr>
            <w:tcW w:w="338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65"/>
        </w:trPr>
        <w:tc>
          <w:tcPr>
            <w:tcW w:w="5480" w:type="dxa"/>
            <w:vAlign w:val="bottom"/>
          </w:tcPr>
          <w:p>
            <w:pPr>
              <w:ind w:left="60"/>
              <w:spacing w:after="0" w:line="165" w:lineRule="exact"/>
              <w:rPr>
                <w:sz w:val="20"/>
                <w:szCs w:val="20"/>
                <w:color w:val="auto"/>
              </w:rPr>
            </w:pPr>
            <w:r>
              <w:rPr>
                <w:rFonts w:ascii="Calibri" w:cs="Calibri" w:eastAsia="Calibri" w:hAnsi="Calibri"/>
                <w:sz w:val="15"/>
                <w:szCs w:val="15"/>
                <w:b w:val="1"/>
                <w:bCs w:val="1"/>
                <w:color w:val="auto"/>
              </w:rPr>
              <w:t>Net cash fows used in operatng actvites</w:t>
            </w:r>
          </w:p>
        </w:tc>
        <w:tc>
          <w:tcPr>
            <w:tcW w:w="3380" w:type="dxa"/>
            <w:vAlign w:val="bottom"/>
          </w:tcPr>
          <w:p>
            <w:pPr>
              <w:spacing w:after="0"/>
              <w:rPr>
                <w:sz w:val="14"/>
                <w:szCs w:val="14"/>
                <w:color w:val="auto"/>
              </w:rPr>
            </w:pPr>
          </w:p>
        </w:tc>
        <w:tc>
          <w:tcPr>
            <w:tcW w:w="1460" w:type="dxa"/>
            <w:vAlign w:val="bottom"/>
          </w:tcPr>
          <w:p>
            <w:pPr>
              <w:jc w:val="right"/>
              <w:ind w:right="347"/>
              <w:spacing w:after="0" w:line="165" w:lineRule="exact"/>
              <w:rPr>
                <w:sz w:val="20"/>
                <w:szCs w:val="20"/>
                <w:color w:val="auto"/>
              </w:rPr>
            </w:pPr>
            <w:r>
              <w:rPr>
                <w:rFonts w:ascii="Calibri" w:cs="Calibri" w:eastAsia="Calibri" w:hAnsi="Calibri"/>
                <w:sz w:val="15"/>
                <w:szCs w:val="15"/>
                <w:b w:val="1"/>
                <w:bCs w:val="1"/>
                <w:color w:val="auto"/>
              </w:rPr>
              <w:t>(53,063)</w:t>
            </w:r>
          </w:p>
        </w:tc>
        <w:tc>
          <w:tcPr>
            <w:tcW w:w="940" w:type="dxa"/>
            <w:vAlign w:val="bottom"/>
          </w:tcPr>
          <w:p>
            <w:pPr>
              <w:jc w:val="right"/>
              <w:spacing w:after="0" w:line="165" w:lineRule="exact"/>
              <w:rPr>
                <w:sz w:val="20"/>
                <w:szCs w:val="20"/>
                <w:color w:val="auto"/>
              </w:rPr>
            </w:pPr>
            <w:r>
              <w:rPr>
                <w:rFonts w:ascii="Calibri" w:cs="Calibri" w:eastAsia="Calibri" w:hAnsi="Calibri"/>
                <w:sz w:val="15"/>
                <w:szCs w:val="15"/>
                <w:color w:val="auto"/>
              </w:rPr>
              <w:t>(22,159)</w:t>
            </w:r>
          </w:p>
        </w:tc>
        <w:tc>
          <w:tcPr>
            <w:tcW w:w="0" w:type="dxa"/>
            <w:vAlign w:val="bottom"/>
          </w:tcPr>
          <w:p>
            <w:pPr>
              <w:spacing w:after="0"/>
              <w:rPr>
                <w:sz w:val="1"/>
                <w:szCs w:val="1"/>
                <w:color w:val="auto"/>
              </w:rPr>
            </w:pPr>
          </w:p>
        </w:tc>
      </w:tr>
      <w:tr>
        <w:trPr>
          <w:trHeight w:val="21"/>
        </w:trPr>
        <w:tc>
          <w:tcPr>
            <w:tcW w:w="5480" w:type="dxa"/>
            <w:vAlign w:val="bottom"/>
            <w:tcBorders>
              <w:bottom w:val="single" w:sz="8" w:color="auto"/>
            </w:tcBorders>
          </w:tcPr>
          <w:p>
            <w:pPr>
              <w:spacing w:after="0" w:line="20" w:lineRule="exact"/>
              <w:rPr>
                <w:sz w:val="1"/>
                <w:szCs w:val="1"/>
                <w:color w:val="auto"/>
              </w:rPr>
            </w:pPr>
          </w:p>
        </w:tc>
        <w:tc>
          <w:tcPr>
            <w:tcW w:w="338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34"/>
        </w:trPr>
        <w:tc>
          <w:tcPr>
            <w:tcW w:w="5480" w:type="dxa"/>
            <w:vAlign w:val="bottom"/>
          </w:tcPr>
          <w:p>
            <w:pPr>
              <w:ind w:left="60"/>
              <w:spacing w:after="0"/>
              <w:rPr>
                <w:sz w:val="20"/>
                <w:szCs w:val="20"/>
                <w:color w:val="auto"/>
              </w:rPr>
            </w:pPr>
            <w:r>
              <w:rPr>
                <w:rFonts w:ascii="Calibri" w:cs="Calibri" w:eastAsia="Calibri" w:hAnsi="Calibri"/>
                <w:sz w:val="15"/>
                <w:szCs w:val="15"/>
                <w:b w:val="1"/>
                <w:bCs w:val="1"/>
                <w:color w:val="auto"/>
              </w:rPr>
              <w:t>INVESTING ACTIVITIES</w:t>
            </w:r>
          </w:p>
        </w:tc>
        <w:tc>
          <w:tcPr>
            <w:tcW w:w="338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3"/>
        </w:trPr>
        <w:tc>
          <w:tcPr>
            <w:tcW w:w="5480" w:type="dxa"/>
            <w:vAlign w:val="bottom"/>
          </w:tcPr>
          <w:p>
            <w:pPr>
              <w:ind w:left="340"/>
              <w:spacing w:after="0"/>
              <w:rPr>
                <w:sz w:val="20"/>
                <w:szCs w:val="20"/>
                <w:color w:val="auto"/>
              </w:rPr>
            </w:pPr>
            <w:r>
              <w:rPr>
                <w:rFonts w:ascii="Calibri" w:cs="Calibri" w:eastAsia="Calibri" w:hAnsi="Calibri"/>
                <w:sz w:val="15"/>
                <w:szCs w:val="15"/>
                <w:color w:val="auto"/>
              </w:rPr>
              <w:t>Purchase of equipment and intangible assets</w:t>
            </w:r>
          </w:p>
        </w:tc>
        <w:tc>
          <w:tcPr>
            <w:tcW w:w="3380" w:type="dxa"/>
            <w:vAlign w:val="bottom"/>
          </w:tcPr>
          <w:p>
            <w:pPr>
              <w:jc w:val="center"/>
              <w:ind w:left="1887"/>
              <w:spacing w:after="0"/>
              <w:rPr>
                <w:sz w:val="20"/>
                <w:szCs w:val="20"/>
                <w:color w:val="auto"/>
              </w:rPr>
            </w:pPr>
            <w:r>
              <w:rPr>
                <w:rFonts w:ascii="Calibri" w:cs="Calibri" w:eastAsia="Calibri" w:hAnsi="Calibri"/>
                <w:sz w:val="15"/>
                <w:szCs w:val="15"/>
                <w:i w:val="1"/>
                <w:iCs w:val="1"/>
                <w:color w:val="auto"/>
                <w:w w:val="98"/>
              </w:rPr>
              <w:t>3, 4</w:t>
            </w:r>
          </w:p>
        </w:tc>
        <w:tc>
          <w:tcPr>
            <w:tcW w:w="1460" w:type="dxa"/>
            <w:vAlign w:val="bottom"/>
          </w:tcPr>
          <w:p>
            <w:pPr>
              <w:jc w:val="right"/>
              <w:ind w:right="347"/>
              <w:spacing w:after="0"/>
              <w:rPr>
                <w:sz w:val="20"/>
                <w:szCs w:val="20"/>
                <w:color w:val="auto"/>
              </w:rPr>
            </w:pPr>
            <w:r>
              <w:rPr>
                <w:rFonts w:ascii="Calibri" w:cs="Calibri" w:eastAsia="Calibri" w:hAnsi="Calibri"/>
                <w:sz w:val="15"/>
                <w:szCs w:val="15"/>
                <w:b w:val="1"/>
                <w:bCs w:val="1"/>
                <w:color w:val="auto"/>
              </w:rPr>
              <w:t>(579)</w:t>
            </w:r>
          </w:p>
        </w:tc>
        <w:tc>
          <w:tcPr>
            <w:tcW w:w="940" w:type="dxa"/>
            <w:vAlign w:val="bottom"/>
          </w:tcPr>
          <w:p>
            <w:pPr>
              <w:jc w:val="right"/>
              <w:spacing w:after="0"/>
              <w:rPr>
                <w:sz w:val="20"/>
                <w:szCs w:val="20"/>
                <w:color w:val="auto"/>
              </w:rPr>
            </w:pPr>
            <w:r>
              <w:rPr>
                <w:rFonts w:ascii="Calibri" w:cs="Calibri" w:eastAsia="Calibri" w:hAnsi="Calibri"/>
                <w:sz w:val="15"/>
                <w:szCs w:val="15"/>
                <w:color w:val="auto"/>
              </w:rPr>
              <w:t>(323)</w:t>
            </w:r>
          </w:p>
        </w:tc>
        <w:tc>
          <w:tcPr>
            <w:tcW w:w="0" w:type="dxa"/>
            <w:vAlign w:val="bottom"/>
          </w:tcPr>
          <w:p>
            <w:pPr>
              <w:spacing w:after="0"/>
              <w:rPr>
                <w:sz w:val="1"/>
                <w:szCs w:val="1"/>
                <w:color w:val="auto"/>
              </w:rPr>
            </w:pPr>
          </w:p>
        </w:tc>
      </w:tr>
      <w:tr>
        <w:trPr>
          <w:trHeight w:val="24"/>
        </w:trPr>
        <w:tc>
          <w:tcPr>
            <w:tcW w:w="5480" w:type="dxa"/>
            <w:vAlign w:val="bottom"/>
            <w:tcBorders>
              <w:bottom w:val="single" w:sz="8" w:color="auto"/>
            </w:tcBorders>
          </w:tcPr>
          <w:p>
            <w:pPr>
              <w:spacing w:after="0"/>
              <w:rPr>
                <w:sz w:val="2"/>
                <w:szCs w:val="2"/>
                <w:color w:val="auto"/>
              </w:rPr>
            </w:pPr>
          </w:p>
        </w:tc>
        <w:tc>
          <w:tcPr>
            <w:tcW w:w="338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65"/>
        </w:trPr>
        <w:tc>
          <w:tcPr>
            <w:tcW w:w="5480" w:type="dxa"/>
            <w:vAlign w:val="bottom"/>
          </w:tcPr>
          <w:p>
            <w:pPr>
              <w:ind w:left="60"/>
              <w:spacing w:after="0" w:line="165" w:lineRule="exact"/>
              <w:rPr>
                <w:sz w:val="20"/>
                <w:szCs w:val="20"/>
                <w:color w:val="auto"/>
              </w:rPr>
            </w:pPr>
            <w:r>
              <w:rPr>
                <w:rFonts w:ascii="Calibri" w:cs="Calibri" w:eastAsia="Calibri" w:hAnsi="Calibri"/>
                <w:sz w:val="15"/>
                <w:szCs w:val="15"/>
                <w:b w:val="1"/>
                <w:bCs w:val="1"/>
                <w:color w:val="auto"/>
              </w:rPr>
              <w:t>Net cash fows used in investng actvites</w:t>
            </w:r>
          </w:p>
        </w:tc>
        <w:tc>
          <w:tcPr>
            <w:tcW w:w="3380" w:type="dxa"/>
            <w:vAlign w:val="bottom"/>
          </w:tcPr>
          <w:p>
            <w:pPr>
              <w:spacing w:after="0"/>
              <w:rPr>
                <w:sz w:val="14"/>
                <w:szCs w:val="14"/>
                <w:color w:val="auto"/>
              </w:rPr>
            </w:pPr>
          </w:p>
        </w:tc>
        <w:tc>
          <w:tcPr>
            <w:tcW w:w="1460" w:type="dxa"/>
            <w:vAlign w:val="bottom"/>
          </w:tcPr>
          <w:p>
            <w:pPr>
              <w:jc w:val="right"/>
              <w:ind w:right="347"/>
              <w:spacing w:after="0" w:line="165" w:lineRule="exact"/>
              <w:rPr>
                <w:sz w:val="20"/>
                <w:szCs w:val="20"/>
                <w:color w:val="auto"/>
              </w:rPr>
            </w:pPr>
            <w:r>
              <w:rPr>
                <w:rFonts w:ascii="Calibri" w:cs="Calibri" w:eastAsia="Calibri" w:hAnsi="Calibri"/>
                <w:sz w:val="15"/>
                <w:szCs w:val="15"/>
                <w:b w:val="1"/>
                <w:bCs w:val="1"/>
                <w:color w:val="auto"/>
              </w:rPr>
              <w:t>(579)</w:t>
            </w:r>
          </w:p>
        </w:tc>
        <w:tc>
          <w:tcPr>
            <w:tcW w:w="940" w:type="dxa"/>
            <w:vAlign w:val="bottom"/>
          </w:tcPr>
          <w:p>
            <w:pPr>
              <w:jc w:val="right"/>
              <w:spacing w:after="0" w:line="165" w:lineRule="exact"/>
              <w:rPr>
                <w:sz w:val="20"/>
                <w:szCs w:val="20"/>
                <w:color w:val="auto"/>
              </w:rPr>
            </w:pPr>
            <w:r>
              <w:rPr>
                <w:rFonts w:ascii="Calibri" w:cs="Calibri" w:eastAsia="Calibri" w:hAnsi="Calibri"/>
                <w:sz w:val="15"/>
                <w:szCs w:val="15"/>
                <w:color w:val="auto"/>
              </w:rPr>
              <w:t>(323)</w:t>
            </w:r>
          </w:p>
        </w:tc>
        <w:tc>
          <w:tcPr>
            <w:tcW w:w="0" w:type="dxa"/>
            <w:vAlign w:val="bottom"/>
          </w:tcPr>
          <w:p>
            <w:pPr>
              <w:spacing w:after="0"/>
              <w:rPr>
                <w:sz w:val="1"/>
                <w:szCs w:val="1"/>
                <w:color w:val="auto"/>
              </w:rPr>
            </w:pPr>
          </w:p>
        </w:tc>
      </w:tr>
      <w:tr>
        <w:trPr>
          <w:trHeight w:val="21"/>
        </w:trPr>
        <w:tc>
          <w:tcPr>
            <w:tcW w:w="5480" w:type="dxa"/>
            <w:vAlign w:val="bottom"/>
            <w:tcBorders>
              <w:bottom w:val="single" w:sz="8" w:color="auto"/>
            </w:tcBorders>
          </w:tcPr>
          <w:p>
            <w:pPr>
              <w:spacing w:after="0" w:line="20" w:lineRule="exact"/>
              <w:rPr>
                <w:sz w:val="1"/>
                <w:szCs w:val="1"/>
                <w:color w:val="auto"/>
              </w:rPr>
            </w:pPr>
          </w:p>
        </w:tc>
        <w:tc>
          <w:tcPr>
            <w:tcW w:w="338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34"/>
        </w:trPr>
        <w:tc>
          <w:tcPr>
            <w:tcW w:w="5480" w:type="dxa"/>
            <w:vAlign w:val="bottom"/>
          </w:tcPr>
          <w:p>
            <w:pPr>
              <w:ind w:left="60"/>
              <w:spacing w:after="0"/>
              <w:rPr>
                <w:sz w:val="20"/>
                <w:szCs w:val="20"/>
                <w:color w:val="auto"/>
              </w:rPr>
            </w:pPr>
            <w:r>
              <w:rPr>
                <w:rFonts w:ascii="Calibri" w:cs="Calibri" w:eastAsia="Calibri" w:hAnsi="Calibri"/>
                <w:sz w:val="15"/>
                <w:szCs w:val="15"/>
                <w:b w:val="1"/>
                <w:bCs w:val="1"/>
                <w:color w:val="auto"/>
              </w:rPr>
              <w:t>FINANCING ACTIVITIES</w:t>
            </w:r>
          </w:p>
        </w:tc>
        <w:tc>
          <w:tcPr>
            <w:tcW w:w="338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3"/>
        </w:trPr>
        <w:tc>
          <w:tcPr>
            <w:tcW w:w="5480" w:type="dxa"/>
            <w:vAlign w:val="bottom"/>
          </w:tcPr>
          <w:p>
            <w:pPr>
              <w:ind w:left="340"/>
              <w:spacing w:after="0"/>
              <w:rPr>
                <w:sz w:val="20"/>
                <w:szCs w:val="20"/>
                <w:color w:val="auto"/>
              </w:rPr>
            </w:pPr>
            <w:r>
              <w:rPr>
                <w:rFonts w:ascii="Calibri" w:cs="Calibri" w:eastAsia="Calibri" w:hAnsi="Calibri"/>
                <w:sz w:val="15"/>
                <w:szCs w:val="15"/>
                <w:color w:val="auto"/>
              </w:rPr>
              <w:t>Proceeds on issuance of common shares, net</w:t>
            </w:r>
          </w:p>
        </w:tc>
        <w:tc>
          <w:tcPr>
            <w:tcW w:w="3380" w:type="dxa"/>
            <w:vAlign w:val="bottom"/>
          </w:tcPr>
          <w:p>
            <w:pPr>
              <w:spacing w:after="0"/>
              <w:rPr>
                <w:sz w:val="16"/>
                <w:szCs w:val="16"/>
                <w:color w:val="auto"/>
              </w:rPr>
            </w:pPr>
          </w:p>
        </w:tc>
        <w:tc>
          <w:tcPr>
            <w:tcW w:w="1460" w:type="dxa"/>
            <w:vAlign w:val="bottom"/>
          </w:tcPr>
          <w:p>
            <w:pPr>
              <w:jc w:val="right"/>
              <w:ind w:right="367"/>
              <w:spacing w:after="0"/>
              <w:rPr>
                <w:sz w:val="20"/>
                <w:szCs w:val="20"/>
                <w:color w:val="auto"/>
              </w:rPr>
            </w:pPr>
            <w:r>
              <w:rPr>
                <w:rFonts w:ascii="Calibri" w:cs="Calibri" w:eastAsia="Calibri" w:hAnsi="Calibri"/>
                <w:sz w:val="15"/>
                <w:szCs w:val="15"/>
                <w:b w:val="1"/>
                <w:bCs w:val="1"/>
                <w:color w:val="auto"/>
              </w:rPr>
              <w:t>—</w:t>
            </w:r>
          </w:p>
        </w:tc>
        <w:tc>
          <w:tcPr>
            <w:tcW w:w="940" w:type="dxa"/>
            <w:vAlign w:val="bottom"/>
          </w:tcPr>
          <w:p>
            <w:pPr>
              <w:jc w:val="right"/>
              <w:spacing w:after="0"/>
              <w:rPr>
                <w:sz w:val="20"/>
                <w:szCs w:val="20"/>
                <w:color w:val="auto"/>
              </w:rPr>
            </w:pPr>
            <w:r>
              <w:rPr>
                <w:rFonts w:ascii="Calibri" w:cs="Calibri" w:eastAsia="Calibri" w:hAnsi="Calibri"/>
                <w:sz w:val="15"/>
                <w:szCs w:val="15"/>
                <w:color w:val="auto"/>
              </w:rPr>
              <w:t>23,904</w:t>
            </w:r>
          </w:p>
        </w:tc>
        <w:tc>
          <w:tcPr>
            <w:tcW w:w="0" w:type="dxa"/>
            <w:vAlign w:val="bottom"/>
          </w:tcPr>
          <w:p>
            <w:pPr>
              <w:spacing w:after="0"/>
              <w:rPr>
                <w:sz w:val="1"/>
                <w:szCs w:val="1"/>
                <w:color w:val="auto"/>
              </w:rPr>
            </w:pPr>
          </w:p>
        </w:tc>
      </w:tr>
      <w:tr>
        <w:trPr>
          <w:trHeight w:val="193"/>
        </w:trPr>
        <w:tc>
          <w:tcPr>
            <w:tcW w:w="5480" w:type="dxa"/>
            <w:vAlign w:val="bottom"/>
          </w:tcPr>
          <w:p>
            <w:pPr>
              <w:ind w:left="340"/>
              <w:spacing w:after="0"/>
              <w:rPr>
                <w:sz w:val="20"/>
                <w:szCs w:val="20"/>
                <w:color w:val="auto"/>
              </w:rPr>
            </w:pPr>
            <w:r>
              <w:rPr>
                <w:rFonts w:ascii="Calibri" w:cs="Calibri" w:eastAsia="Calibri" w:hAnsi="Calibri"/>
                <w:sz w:val="15"/>
                <w:szCs w:val="15"/>
                <w:color w:val="auto"/>
              </w:rPr>
              <w:t>Share issuance costs</w:t>
            </w:r>
          </w:p>
        </w:tc>
        <w:tc>
          <w:tcPr>
            <w:tcW w:w="3380" w:type="dxa"/>
            <w:vAlign w:val="bottom"/>
          </w:tcPr>
          <w:p>
            <w:pPr>
              <w:jc w:val="center"/>
              <w:ind w:left="1907"/>
              <w:spacing w:after="0"/>
              <w:rPr>
                <w:sz w:val="20"/>
                <w:szCs w:val="20"/>
                <w:color w:val="auto"/>
              </w:rPr>
            </w:pPr>
            <w:r>
              <w:rPr>
                <w:rFonts w:ascii="Calibri" w:cs="Calibri" w:eastAsia="Calibri" w:hAnsi="Calibri"/>
                <w:sz w:val="15"/>
                <w:szCs w:val="15"/>
                <w:i w:val="1"/>
                <w:iCs w:val="1"/>
                <w:color w:val="auto"/>
              </w:rPr>
              <w:t>7</w:t>
            </w:r>
          </w:p>
        </w:tc>
        <w:tc>
          <w:tcPr>
            <w:tcW w:w="1460" w:type="dxa"/>
            <w:vAlign w:val="bottom"/>
          </w:tcPr>
          <w:p>
            <w:pPr>
              <w:jc w:val="right"/>
              <w:ind w:right="347"/>
              <w:spacing w:after="0"/>
              <w:rPr>
                <w:sz w:val="20"/>
                <w:szCs w:val="20"/>
                <w:color w:val="auto"/>
              </w:rPr>
            </w:pPr>
            <w:r>
              <w:rPr>
                <w:rFonts w:ascii="Calibri" w:cs="Calibri" w:eastAsia="Calibri" w:hAnsi="Calibri"/>
                <w:sz w:val="15"/>
                <w:szCs w:val="15"/>
                <w:b w:val="1"/>
                <w:bCs w:val="1"/>
                <w:color w:val="auto"/>
              </w:rPr>
              <w:t>(429)</w:t>
            </w:r>
          </w:p>
        </w:tc>
        <w:tc>
          <w:tcPr>
            <w:tcW w:w="940" w:type="dxa"/>
            <w:vAlign w:val="bottom"/>
          </w:tcPr>
          <w:p>
            <w:pPr>
              <w:jc w:val="right"/>
              <w:spacing w:after="0"/>
              <w:rPr>
                <w:sz w:val="20"/>
                <w:szCs w:val="20"/>
                <w:color w:val="auto"/>
              </w:rPr>
            </w:pPr>
            <w:r>
              <w:rPr>
                <w:rFonts w:ascii="Calibri" w:cs="Calibri" w:eastAsia="Calibri" w:hAnsi="Calibri"/>
                <w:sz w:val="15"/>
                <w:szCs w:val="15"/>
                <w:color w:val="auto"/>
              </w:rPr>
              <w:t>—</w:t>
            </w:r>
          </w:p>
        </w:tc>
        <w:tc>
          <w:tcPr>
            <w:tcW w:w="0" w:type="dxa"/>
            <w:vAlign w:val="bottom"/>
          </w:tcPr>
          <w:p>
            <w:pPr>
              <w:spacing w:after="0"/>
              <w:rPr>
                <w:sz w:val="1"/>
                <w:szCs w:val="1"/>
                <w:color w:val="auto"/>
              </w:rPr>
            </w:pPr>
          </w:p>
        </w:tc>
      </w:tr>
      <w:tr>
        <w:trPr>
          <w:trHeight w:val="193"/>
        </w:trPr>
        <w:tc>
          <w:tcPr>
            <w:tcW w:w="5480" w:type="dxa"/>
            <w:vAlign w:val="bottom"/>
          </w:tcPr>
          <w:p>
            <w:pPr>
              <w:ind w:left="340"/>
              <w:spacing w:after="0"/>
              <w:rPr>
                <w:sz w:val="20"/>
                <w:szCs w:val="20"/>
                <w:color w:val="auto"/>
              </w:rPr>
            </w:pPr>
            <w:r>
              <w:rPr>
                <w:rFonts w:ascii="Calibri" w:cs="Calibri" w:eastAsia="Calibri" w:hAnsi="Calibri"/>
                <w:sz w:val="15"/>
                <w:szCs w:val="15"/>
                <w:color w:val="auto"/>
              </w:rPr>
              <w:t>Lease payments</w:t>
            </w:r>
          </w:p>
        </w:tc>
        <w:tc>
          <w:tcPr>
            <w:tcW w:w="3380" w:type="dxa"/>
            <w:vAlign w:val="bottom"/>
          </w:tcPr>
          <w:p>
            <w:pPr>
              <w:jc w:val="center"/>
              <w:ind w:left="1907"/>
              <w:spacing w:after="0"/>
              <w:rPr>
                <w:sz w:val="20"/>
                <w:szCs w:val="20"/>
                <w:color w:val="auto"/>
              </w:rPr>
            </w:pPr>
            <w:r>
              <w:rPr>
                <w:rFonts w:ascii="Calibri" w:cs="Calibri" w:eastAsia="Calibri" w:hAnsi="Calibri"/>
                <w:sz w:val="15"/>
                <w:szCs w:val="15"/>
                <w:i w:val="1"/>
                <w:iCs w:val="1"/>
                <w:color w:val="auto"/>
              </w:rPr>
              <w:t>5</w:t>
            </w:r>
          </w:p>
        </w:tc>
        <w:tc>
          <w:tcPr>
            <w:tcW w:w="1460" w:type="dxa"/>
            <w:vAlign w:val="bottom"/>
          </w:tcPr>
          <w:p>
            <w:pPr>
              <w:jc w:val="right"/>
              <w:ind w:right="347"/>
              <w:spacing w:after="0"/>
              <w:rPr>
                <w:sz w:val="20"/>
                <w:szCs w:val="20"/>
                <w:color w:val="auto"/>
              </w:rPr>
            </w:pPr>
            <w:r>
              <w:rPr>
                <w:rFonts w:ascii="Calibri" w:cs="Calibri" w:eastAsia="Calibri" w:hAnsi="Calibri"/>
                <w:sz w:val="15"/>
                <w:szCs w:val="15"/>
                <w:b w:val="1"/>
                <w:bCs w:val="1"/>
                <w:color w:val="auto"/>
              </w:rPr>
              <w:t>(176)</w:t>
            </w:r>
          </w:p>
        </w:tc>
        <w:tc>
          <w:tcPr>
            <w:tcW w:w="940" w:type="dxa"/>
            <w:vAlign w:val="bottom"/>
          </w:tcPr>
          <w:p>
            <w:pPr>
              <w:jc w:val="right"/>
              <w:spacing w:after="0"/>
              <w:rPr>
                <w:sz w:val="20"/>
                <w:szCs w:val="20"/>
                <w:color w:val="auto"/>
              </w:rPr>
            </w:pPr>
            <w:r>
              <w:rPr>
                <w:rFonts w:ascii="Calibri" w:cs="Calibri" w:eastAsia="Calibri" w:hAnsi="Calibri"/>
                <w:sz w:val="15"/>
                <w:szCs w:val="15"/>
                <w:color w:val="auto"/>
              </w:rPr>
              <w:t>—</w:t>
            </w:r>
          </w:p>
        </w:tc>
        <w:tc>
          <w:tcPr>
            <w:tcW w:w="0" w:type="dxa"/>
            <w:vAlign w:val="bottom"/>
          </w:tcPr>
          <w:p>
            <w:pPr>
              <w:spacing w:after="0"/>
              <w:rPr>
                <w:sz w:val="1"/>
                <w:szCs w:val="1"/>
                <w:color w:val="auto"/>
              </w:rPr>
            </w:pPr>
          </w:p>
        </w:tc>
      </w:tr>
      <w:tr>
        <w:trPr>
          <w:trHeight w:val="24"/>
        </w:trPr>
        <w:tc>
          <w:tcPr>
            <w:tcW w:w="5480" w:type="dxa"/>
            <w:vAlign w:val="bottom"/>
            <w:tcBorders>
              <w:bottom w:val="single" w:sz="8" w:color="auto"/>
            </w:tcBorders>
          </w:tcPr>
          <w:p>
            <w:pPr>
              <w:spacing w:after="0"/>
              <w:rPr>
                <w:sz w:val="2"/>
                <w:szCs w:val="2"/>
                <w:color w:val="auto"/>
              </w:rPr>
            </w:pPr>
          </w:p>
        </w:tc>
        <w:tc>
          <w:tcPr>
            <w:tcW w:w="338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65"/>
        </w:trPr>
        <w:tc>
          <w:tcPr>
            <w:tcW w:w="5480" w:type="dxa"/>
            <w:vAlign w:val="bottom"/>
          </w:tcPr>
          <w:p>
            <w:pPr>
              <w:ind w:left="60"/>
              <w:spacing w:after="0" w:line="165" w:lineRule="exact"/>
              <w:rPr>
                <w:sz w:val="20"/>
                <w:szCs w:val="20"/>
                <w:color w:val="auto"/>
              </w:rPr>
            </w:pPr>
            <w:r>
              <w:rPr>
                <w:rFonts w:ascii="Calibri" w:cs="Calibri" w:eastAsia="Calibri" w:hAnsi="Calibri"/>
                <w:sz w:val="15"/>
                <w:szCs w:val="15"/>
                <w:b w:val="1"/>
                <w:bCs w:val="1"/>
                <w:color w:val="auto"/>
              </w:rPr>
              <w:t>Net cash fows used in fnancing actvites</w:t>
            </w:r>
          </w:p>
        </w:tc>
        <w:tc>
          <w:tcPr>
            <w:tcW w:w="3380" w:type="dxa"/>
            <w:vAlign w:val="bottom"/>
          </w:tcPr>
          <w:p>
            <w:pPr>
              <w:spacing w:after="0"/>
              <w:rPr>
                <w:sz w:val="14"/>
                <w:szCs w:val="14"/>
                <w:color w:val="auto"/>
              </w:rPr>
            </w:pPr>
          </w:p>
        </w:tc>
        <w:tc>
          <w:tcPr>
            <w:tcW w:w="1460" w:type="dxa"/>
            <w:vAlign w:val="bottom"/>
          </w:tcPr>
          <w:p>
            <w:pPr>
              <w:jc w:val="right"/>
              <w:ind w:right="347"/>
              <w:spacing w:after="0" w:line="165" w:lineRule="exact"/>
              <w:rPr>
                <w:sz w:val="20"/>
                <w:szCs w:val="20"/>
                <w:color w:val="auto"/>
              </w:rPr>
            </w:pPr>
            <w:r>
              <w:rPr>
                <w:rFonts w:ascii="Calibri" w:cs="Calibri" w:eastAsia="Calibri" w:hAnsi="Calibri"/>
                <w:sz w:val="15"/>
                <w:szCs w:val="15"/>
                <w:b w:val="1"/>
                <w:bCs w:val="1"/>
                <w:color w:val="auto"/>
              </w:rPr>
              <w:t>(605)</w:t>
            </w:r>
          </w:p>
        </w:tc>
        <w:tc>
          <w:tcPr>
            <w:tcW w:w="940" w:type="dxa"/>
            <w:vAlign w:val="bottom"/>
          </w:tcPr>
          <w:p>
            <w:pPr>
              <w:jc w:val="right"/>
              <w:spacing w:after="0" w:line="165" w:lineRule="exact"/>
              <w:rPr>
                <w:sz w:val="20"/>
                <w:szCs w:val="20"/>
                <w:color w:val="auto"/>
              </w:rPr>
            </w:pPr>
            <w:r>
              <w:rPr>
                <w:rFonts w:ascii="Calibri" w:cs="Calibri" w:eastAsia="Calibri" w:hAnsi="Calibri"/>
                <w:sz w:val="15"/>
                <w:szCs w:val="15"/>
                <w:color w:val="auto"/>
              </w:rPr>
              <w:t>23,904</w:t>
            </w:r>
          </w:p>
        </w:tc>
        <w:tc>
          <w:tcPr>
            <w:tcW w:w="0" w:type="dxa"/>
            <w:vAlign w:val="bottom"/>
          </w:tcPr>
          <w:p>
            <w:pPr>
              <w:spacing w:after="0"/>
              <w:rPr>
                <w:sz w:val="1"/>
                <w:szCs w:val="1"/>
                <w:color w:val="auto"/>
              </w:rPr>
            </w:pPr>
          </w:p>
        </w:tc>
      </w:tr>
      <w:tr>
        <w:trPr>
          <w:trHeight w:val="21"/>
        </w:trPr>
        <w:tc>
          <w:tcPr>
            <w:tcW w:w="5480" w:type="dxa"/>
            <w:vAlign w:val="bottom"/>
            <w:tcBorders>
              <w:bottom w:val="single" w:sz="8" w:color="auto"/>
            </w:tcBorders>
          </w:tcPr>
          <w:p>
            <w:pPr>
              <w:spacing w:after="0" w:line="20" w:lineRule="exact"/>
              <w:rPr>
                <w:sz w:val="1"/>
                <w:szCs w:val="1"/>
                <w:color w:val="auto"/>
              </w:rPr>
            </w:pPr>
          </w:p>
        </w:tc>
        <w:tc>
          <w:tcPr>
            <w:tcW w:w="338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65"/>
        </w:trPr>
        <w:tc>
          <w:tcPr>
            <w:tcW w:w="5480" w:type="dxa"/>
            <w:vAlign w:val="bottom"/>
          </w:tcPr>
          <w:p>
            <w:pPr>
              <w:ind w:left="60"/>
              <w:spacing w:after="0" w:line="165" w:lineRule="exact"/>
              <w:rPr>
                <w:sz w:val="20"/>
                <w:szCs w:val="20"/>
                <w:color w:val="auto"/>
              </w:rPr>
            </w:pPr>
            <w:r>
              <w:rPr>
                <w:rFonts w:ascii="Calibri" w:cs="Calibri" w:eastAsia="Calibri" w:hAnsi="Calibri"/>
                <w:sz w:val="15"/>
                <w:szCs w:val="15"/>
                <w:b w:val="1"/>
                <w:bCs w:val="1"/>
                <w:color w:val="auto"/>
              </w:rPr>
              <w:t>Efects of exchange rate changes on cash</w:t>
            </w:r>
          </w:p>
        </w:tc>
        <w:tc>
          <w:tcPr>
            <w:tcW w:w="3380" w:type="dxa"/>
            <w:vAlign w:val="bottom"/>
          </w:tcPr>
          <w:p>
            <w:pPr>
              <w:spacing w:after="0"/>
              <w:rPr>
                <w:sz w:val="14"/>
                <w:szCs w:val="14"/>
                <w:color w:val="auto"/>
              </w:rPr>
            </w:pPr>
          </w:p>
        </w:tc>
        <w:tc>
          <w:tcPr>
            <w:tcW w:w="1460" w:type="dxa"/>
            <w:vAlign w:val="bottom"/>
          </w:tcPr>
          <w:p>
            <w:pPr>
              <w:jc w:val="right"/>
              <w:ind w:right="347"/>
              <w:spacing w:after="0" w:line="165" w:lineRule="exact"/>
              <w:rPr>
                <w:sz w:val="20"/>
                <w:szCs w:val="20"/>
                <w:color w:val="auto"/>
              </w:rPr>
            </w:pPr>
            <w:r>
              <w:rPr>
                <w:rFonts w:ascii="Calibri" w:cs="Calibri" w:eastAsia="Calibri" w:hAnsi="Calibri"/>
                <w:sz w:val="15"/>
                <w:szCs w:val="15"/>
                <w:b w:val="1"/>
                <w:bCs w:val="1"/>
                <w:color w:val="auto"/>
              </w:rPr>
              <w:t>(427)</w:t>
            </w:r>
          </w:p>
        </w:tc>
        <w:tc>
          <w:tcPr>
            <w:tcW w:w="940" w:type="dxa"/>
            <w:vAlign w:val="bottom"/>
          </w:tcPr>
          <w:p>
            <w:pPr>
              <w:jc w:val="right"/>
              <w:spacing w:after="0" w:line="165" w:lineRule="exact"/>
              <w:rPr>
                <w:sz w:val="20"/>
                <w:szCs w:val="20"/>
                <w:color w:val="auto"/>
              </w:rPr>
            </w:pPr>
            <w:r>
              <w:rPr>
                <w:rFonts w:ascii="Calibri" w:cs="Calibri" w:eastAsia="Calibri" w:hAnsi="Calibri"/>
                <w:sz w:val="15"/>
                <w:szCs w:val="15"/>
                <w:color w:val="auto"/>
              </w:rPr>
              <w:t>63</w:t>
            </w:r>
          </w:p>
        </w:tc>
        <w:tc>
          <w:tcPr>
            <w:tcW w:w="0" w:type="dxa"/>
            <w:vAlign w:val="bottom"/>
          </w:tcPr>
          <w:p>
            <w:pPr>
              <w:spacing w:after="0"/>
              <w:rPr>
                <w:sz w:val="1"/>
                <w:szCs w:val="1"/>
                <w:color w:val="auto"/>
              </w:rPr>
            </w:pPr>
          </w:p>
        </w:tc>
      </w:tr>
      <w:tr>
        <w:trPr>
          <w:trHeight w:val="21"/>
        </w:trPr>
        <w:tc>
          <w:tcPr>
            <w:tcW w:w="5480" w:type="dxa"/>
            <w:vAlign w:val="bottom"/>
            <w:tcBorders>
              <w:bottom w:val="single" w:sz="8" w:color="auto"/>
            </w:tcBorders>
          </w:tcPr>
          <w:p>
            <w:pPr>
              <w:spacing w:after="0" w:line="20" w:lineRule="exact"/>
              <w:rPr>
                <w:sz w:val="1"/>
                <w:szCs w:val="1"/>
                <w:color w:val="auto"/>
              </w:rPr>
            </w:pPr>
          </w:p>
        </w:tc>
        <w:tc>
          <w:tcPr>
            <w:tcW w:w="338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63"/>
        </w:trPr>
        <w:tc>
          <w:tcPr>
            <w:tcW w:w="5480" w:type="dxa"/>
            <w:vAlign w:val="bottom"/>
          </w:tcPr>
          <w:p>
            <w:pPr>
              <w:ind w:left="60"/>
              <w:spacing w:after="0"/>
              <w:rPr>
                <w:sz w:val="20"/>
                <w:szCs w:val="20"/>
                <w:color w:val="auto"/>
              </w:rPr>
            </w:pPr>
            <w:r>
              <w:rPr>
                <w:rFonts w:ascii="Calibri" w:cs="Calibri" w:eastAsia="Calibri" w:hAnsi="Calibri"/>
                <w:sz w:val="15"/>
                <w:szCs w:val="15"/>
                <w:b w:val="1"/>
                <w:bCs w:val="1"/>
                <w:color w:val="auto"/>
              </w:rPr>
              <w:t>Net decrease in cash</w:t>
            </w:r>
          </w:p>
        </w:tc>
        <w:tc>
          <w:tcPr>
            <w:tcW w:w="3380" w:type="dxa"/>
            <w:vAlign w:val="bottom"/>
          </w:tcPr>
          <w:p>
            <w:pPr>
              <w:spacing w:after="0"/>
              <w:rPr>
                <w:sz w:val="24"/>
                <w:szCs w:val="24"/>
                <w:color w:val="auto"/>
              </w:rPr>
            </w:pPr>
          </w:p>
        </w:tc>
        <w:tc>
          <w:tcPr>
            <w:tcW w:w="1460" w:type="dxa"/>
            <w:vAlign w:val="bottom"/>
          </w:tcPr>
          <w:p>
            <w:pPr>
              <w:jc w:val="right"/>
              <w:ind w:right="347"/>
              <w:spacing w:after="0"/>
              <w:rPr>
                <w:sz w:val="20"/>
                <w:szCs w:val="20"/>
                <w:color w:val="auto"/>
              </w:rPr>
            </w:pPr>
            <w:r>
              <w:rPr>
                <w:rFonts w:ascii="Calibri" w:cs="Calibri" w:eastAsia="Calibri" w:hAnsi="Calibri"/>
                <w:sz w:val="15"/>
                <w:szCs w:val="15"/>
                <w:b w:val="1"/>
                <w:bCs w:val="1"/>
                <w:color w:val="auto"/>
              </w:rPr>
              <w:t>(54,674)</w:t>
            </w:r>
          </w:p>
        </w:tc>
        <w:tc>
          <w:tcPr>
            <w:tcW w:w="940" w:type="dxa"/>
            <w:vAlign w:val="bottom"/>
          </w:tcPr>
          <w:p>
            <w:pPr>
              <w:jc w:val="right"/>
              <w:spacing w:after="0"/>
              <w:rPr>
                <w:sz w:val="20"/>
                <w:szCs w:val="20"/>
                <w:color w:val="auto"/>
              </w:rPr>
            </w:pPr>
            <w:r>
              <w:rPr>
                <w:rFonts w:ascii="Calibri" w:cs="Calibri" w:eastAsia="Calibri" w:hAnsi="Calibri"/>
                <w:sz w:val="15"/>
                <w:szCs w:val="15"/>
                <w:color w:val="auto"/>
              </w:rPr>
              <w:t>1,485</w:t>
            </w:r>
          </w:p>
        </w:tc>
        <w:tc>
          <w:tcPr>
            <w:tcW w:w="0" w:type="dxa"/>
            <w:vAlign w:val="bottom"/>
          </w:tcPr>
          <w:p>
            <w:pPr>
              <w:spacing w:after="0"/>
              <w:rPr>
                <w:sz w:val="1"/>
                <w:szCs w:val="1"/>
                <w:color w:val="auto"/>
              </w:rPr>
            </w:pPr>
          </w:p>
        </w:tc>
      </w:tr>
      <w:tr>
        <w:trPr>
          <w:trHeight w:val="193"/>
        </w:trPr>
        <w:tc>
          <w:tcPr>
            <w:tcW w:w="5480" w:type="dxa"/>
            <w:vAlign w:val="bottom"/>
          </w:tcPr>
          <w:p>
            <w:pPr>
              <w:ind w:left="60"/>
              <w:spacing w:after="0"/>
              <w:rPr>
                <w:sz w:val="20"/>
                <w:szCs w:val="20"/>
                <w:color w:val="auto"/>
              </w:rPr>
            </w:pPr>
            <w:r>
              <w:rPr>
                <w:rFonts w:ascii="Calibri" w:cs="Calibri" w:eastAsia="Calibri" w:hAnsi="Calibri"/>
                <w:sz w:val="15"/>
                <w:szCs w:val="15"/>
                <w:b w:val="1"/>
                <w:bCs w:val="1"/>
                <w:color w:val="auto"/>
              </w:rPr>
              <w:t>Cash, beginning of period</w:t>
            </w:r>
          </w:p>
        </w:tc>
        <w:tc>
          <w:tcPr>
            <w:tcW w:w="3380" w:type="dxa"/>
            <w:vAlign w:val="bottom"/>
          </w:tcPr>
          <w:p>
            <w:pPr>
              <w:spacing w:after="0"/>
              <w:rPr>
                <w:sz w:val="16"/>
                <w:szCs w:val="16"/>
                <w:color w:val="auto"/>
              </w:rPr>
            </w:pPr>
          </w:p>
        </w:tc>
        <w:tc>
          <w:tcPr>
            <w:tcW w:w="1460" w:type="dxa"/>
            <w:vAlign w:val="bottom"/>
          </w:tcPr>
          <w:p>
            <w:pPr>
              <w:jc w:val="right"/>
              <w:ind w:right="367"/>
              <w:spacing w:after="0"/>
              <w:rPr>
                <w:sz w:val="20"/>
                <w:szCs w:val="20"/>
                <w:color w:val="auto"/>
              </w:rPr>
            </w:pPr>
            <w:r>
              <w:rPr>
                <w:rFonts w:ascii="Calibri" w:cs="Calibri" w:eastAsia="Calibri" w:hAnsi="Calibri"/>
                <w:sz w:val="15"/>
                <w:szCs w:val="15"/>
                <w:b w:val="1"/>
                <w:bCs w:val="1"/>
                <w:color w:val="auto"/>
              </w:rPr>
              <w:t>208,992</w:t>
            </w:r>
          </w:p>
        </w:tc>
        <w:tc>
          <w:tcPr>
            <w:tcW w:w="940" w:type="dxa"/>
            <w:vAlign w:val="bottom"/>
          </w:tcPr>
          <w:p>
            <w:pPr>
              <w:jc w:val="right"/>
              <w:spacing w:after="0"/>
              <w:rPr>
                <w:sz w:val="20"/>
                <w:szCs w:val="20"/>
                <w:color w:val="auto"/>
              </w:rPr>
            </w:pPr>
            <w:r>
              <w:rPr>
                <w:rFonts w:ascii="Calibri" w:cs="Calibri" w:eastAsia="Calibri" w:hAnsi="Calibri"/>
                <w:sz w:val="15"/>
                <w:szCs w:val="15"/>
                <w:color w:val="auto"/>
              </w:rPr>
              <w:t>16,633</w:t>
            </w:r>
          </w:p>
        </w:tc>
        <w:tc>
          <w:tcPr>
            <w:tcW w:w="0" w:type="dxa"/>
            <w:vAlign w:val="bottom"/>
          </w:tcPr>
          <w:p>
            <w:pPr>
              <w:spacing w:after="0"/>
              <w:rPr>
                <w:sz w:val="1"/>
                <w:szCs w:val="1"/>
                <w:color w:val="auto"/>
              </w:rPr>
            </w:pPr>
          </w:p>
        </w:tc>
      </w:tr>
      <w:tr>
        <w:trPr>
          <w:trHeight w:val="24"/>
        </w:trPr>
        <w:tc>
          <w:tcPr>
            <w:tcW w:w="5480" w:type="dxa"/>
            <w:vAlign w:val="bottom"/>
            <w:tcBorders>
              <w:bottom w:val="single" w:sz="8" w:color="auto"/>
            </w:tcBorders>
          </w:tcPr>
          <w:p>
            <w:pPr>
              <w:spacing w:after="0"/>
              <w:rPr>
                <w:sz w:val="2"/>
                <w:szCs w:val="2"/>
                <w:color w:val="auto"/>
              </w:rPr>
            </w:pPr>
          </w:p>
        </w:tc>
        <w:tc>
          <w:tcPr>
            <w:tcW w:w="338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65"/>
        </w:trPr>
        <w:tc>
          <w:tcPr>
            <w:tcW w:w="5480" w:type="dxa"/>
            <w:vAlign w:val="bottom"/>
          </w:tcPr>
          <w:p>
            <w:pPr>
              <w:ind w:left="60"/>
              <w:spacing w:after="0" w:line="165" w:lineRule="exact"/>
              <w:rPr>
                <w:sz w:val="20"/>
                <w:szCs w:val="20"/>
                <w:color w:val="auto"/>
              </w:rPr>
            </w:pPr>
            <w:r>
              <w:rPr>
                <w:rFonts w:ascii="Calibri" w:cs="Calibri" w:eastAsia="Calibri" w:hAnsi="Calibri"/>
                <w:sz w:val="15"/>
                <w:szCs w:val="15"/>
                <w:b w:val="1"/>
                <w:bCs w:val="1"/>
                <w:color w:val="auto"/>
              </w:rPr>
              <w:t>Cash, end of period</w:t>
            </w:r>
          </w:p>
        </w:tc>
        <w:tc>
          <w:tcPr>
            <w:tcW w:w="3380" w:type="dxa"/>
            <w:vAlign w:val="bottom"/>
          </w:tcPr>
          <w:p>
            <w:pPr>
              <w:spacing w:after="0"/>
              <w:rPr>
                <w:sz w:val="14"/>
                <w:szCs w:val="14"/>
                <w:color w:val="auto"/>
              </w:rPr>
            </w:pPr>
          </w:p>
        </w:tc>
        <w:tc>
          <w:tcPr>
            <w:tcW w:w="1460" w:type="dxa"/>
            <w:vAlign w:val="bottom"/>
          </w:tcPr>
          <w:p>
            <w:pPr>
              <w:jc w:val="right"/>
              <w:ind w:right="367"/>
              <w:spacing w:after="0" w:line="165" w:lineRule="exact"/>
              <w:rPr>
                <w:sz w:val="20"/>
                <w:szCs w:val="20"/>
                <w:color w:val="auto"/>
              </w:rPr>
            </w:pPr>
            <w:r>
              <w:rPr>
                <w:rFonts w:ascii="Calibri" w:cs="Calibri" w:eastAsia="Calibri" w:hAnsi="Calibri"/>
                <w:sz w:val="15"/>
                <w:szCs w:val="15"/>
                <w:b w:val="1"/>
                <w:bCs w:val="1"/>
                <w:color w:val="auto"/>
              </w:rPr>
              <w:t>154,318</w:t>
            </w:r>
          </w:p>
        </w:tc>
        <w:tc>
          <w:tcPr>
            <w:tcW w:w="940" w:type="dxa"/>
            <w:vAlign w:val="bottom"/>
          </w:tcPr>
          <w:p>
            <w:pPr>
              <w:jc w:val="right"/>
              <w:spacing w:after="0" w:line="165" w:lineRule="exact"/>
              <w:rPr>
                <w:sz w:val="20"/>
                <w:szCs w:val="20"/>
                <w:color w:val="auto"/>
              </w:rPr>
            </w:pPr>
            <w:r>
              <w:rPr>
                <w:rFonts w:ascii="Calibri" w:cs="Calibri" w:eastAsia="Calibri" w:hAnsi="Calibri"/>
                <w:sz w:val="15"/>
                <w:szCs w:val="15"/>
                <w:color w:val="auto"/>
              </w:rPr>
              <w:t>18,118</w:t>
            </w:r>
          </w:p>
        </w:tc>
        <w:tc>
          <w:tcPr>
            <w:tcW w:w="0" w:type="dxa"/>
            <w:vAlign w:val="bottom"/>
          </w:tcPr>
          <w:p>
            <w:pPr>
              <w:spacing w:after="0"/>
              <w:rPr>
                <w:sz w:val="1"/>
                <w:szCs w:val="1"/>
                <w:color w:val="auto"/>
              </w:rPr>
            </w:pPr>
          </w:p>
        </w:tc>
      </w:tr>
      <w:tr>
        <w:trPr>
          <w:trHeight w:val="21"/>
        </w:trPr>
        <w:tc>
          <w:tcPr>
            <w:tcW w:w="5480" w:type="dxa"/>
            <w:vAlign w:val="bottom"/>
            <w:tcBorders>
              <w:bottom w:val="single" w:sz="8" w:color="auto"/>
            </w:tcBorders>
          </w:tcPr>
          <w:p>
            <w:pPr>
              <w:spacing w:after="0" w:line="20" w:lineRule="exact"/>
              <w:rPr>
                <w:sz w:val="1"/>
                <w:szCs w:val="1"/>
                <w:color w:val="auto"/>
              </w:rPr>
            </w:pPr>
          </w:p>
        </w:tc>
        <w:tc>
          <w:tcPr>
            <w:tcW w:w="338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32" w:lineRule="exact"/>
        <w:rPr>
          <w:sz w:val="20"/>
          <w:szCs w:val="20"/>
          <w:color w:val="auto"/>
        </w:rPr>
      </w:pPr>
    </w:p>
    <w:p>
      <w:pPr>
        <w:spacing w:after="0"/>
        <w:rPr>
          <w:sz w:val="20"/>
          <w:szCs w:val="20"/>
          <w:color w:val="auto"/>
        </w:rPr>
      </w:pPr>
      <w:r>
        <w:rPr>
          <w:rFonts w:ascii="Calibri" w:cs="Calibri" w:eastAsia="Calibri" w:hAnsi="Calibri"/>
          <w:sz w:val="16"/>
          <w:szCs w:val="16"/>
          <w:i w:val="1"/>
          <w:iCs w:val="1"/>
          <w:color w:val="auto"/>
        </w:rPr>
        <w:t>The accompanying notes are an integral part of these condensed interim consolidated fnancial statements.</w:t>
      </w:r>
    </w:p>
    <w:p>
      <w:pPr>
        <w:sectPr>
          <w:pgSz w:w="11900" w:h="16838" w:orient="portrait"/>
          <w:cols w:equalWidth="0" w:num="1">
            <w:col w:w="11260"/>
          </w:cols>
          <w:pgMar w:left="320" w:top="209" w:right="319" w:bottom="1440" w:gutter="0" w:footer="0" w:header="0"/>
        </w:sectPr>
      </w:pPr>
    </w:p>
    <w:bookmarkStart w:id="9" w:name="page10"/>
    <w:bookmarkEnd w:id="9"/>
    <w:p>
      <w:pPr>
        <w:ind w:left="60"/>
        <w:spacing w:after="0"/>
        <w:rPr>
          <w:sz w:val="20"/>
          <w:szCs w:val="20"/>
          <w:color w:val="auto"/>
        </w:rPr>
      </w:pPr>
      <w:r>
        <w:rPr>
          <w:rFonts w:ascii="Calibri" w:cs="Calibri" w:eastAsia="Calibri" w:hAnsi="Calibri"/>
          <w:sz w:val="19"/>
          <w:szCs w:val="19"/>
          <w:b w:val="1"/>
          <w:bCs w:val="1"/>
          <w:color w:val="auto"/>
        </w:rPr>
        <w:t>CYBIN INC.</w:t>
      </w:r>
    </w:p>
    <w:p>
      <w:pPr>
        <w:ind w:left="60"/>
        <w:spacing w:after="0" w:line="237" w:lineRule="auto"/>
        <w:rPr>
          <w:sz w:val="20"/>
          <w:szCs w:val="20"/>
          <w:color w:val="auto"/>
        </w:rPr>
      </w:pPr>
      <w:r>
        <w:rPr>
          <w:rFonts w:ascii="Calibri" w:cs="Calibri" w:eastAsia="Calibri" w:hAnsi="Calibri"/>
          <w:sz w:val="19"/>
          <w:szCs w:val="19"/>
          <w:b w:val="1"/>
          <w:bCs w:val="1"/>
          <w:color w:val="auto"/>
        </w:rPr>
        <w:t>NOTES TO THE CONDENSED INTERIM CONSOLIDATED FINANCIAL STATEMENTS</w:t>
      </w:r>
    </w:p>
    <w:p>
      <w:pPr>
        <w:ind w:left="60"/>
        <w:spacing w:after="0" w:line="238" w:lineRule="auto"/>
        <w:rPr>
          <w:sz w:val="20"/>
          <w:szCs w:val="20"/>
          <w:color w:val="auto"/>
        </w:rPr>
      </w:pPr>
      <w:r>
        <w:rPr>
          <w:rFonts w:ascii="Calibri" w:cs="Calibri" w:eastAsia="Calibri" w:hAnsi="Calibri"/>
          <w:sz w:val="19"/>
          <w:szCs w:val="19"/>
          <w:b w:val="1"/>
          <w:bCs w:val="1"/>
          <w:color w:val="auto"/>
        </w:rPr>
        <w:t>September 30, 2024</w:t>
      </w:r>
    </w:p>
    <w:p>
      <w:pPr>
        <w:spacing w:after="0" w:line="3" w:lineRule="exact"/>
        <w:rPr>
          <w:sz w:val="20"/>
          <w:szCs w:val="20"/>
          <w:color w:val="auto"/>
        </w:rPr>
      </w:pPr>
    </w:p>
    <w:p>
      <w:pPr>
        <w:ind w:left="60" w:right="200"/>
        <w:spacing w:after="0" w:line="234" w:lineRule="auto"/>
        <w:rPr>
          <w:sz w:val="20"/>
          <w:szCs w:val="20"/>
          <w:color w:val="auto"/>
        </w:rPr>
      </w:pPr>
      <w:r>
        <w:rPr>
          <w:rFonts w:ascii="Calibri" w:cs="Calibri" w:eastAsia="Calibri" w:hAnsi="Calibri"/>
          <w:sz w:val="18"/>
          <w:szCs w:val="18"/>
          <w:b w:val="1"/>
          <w:bCs w:val="1"/>
          <w:color w:val="auto"/>
        </w:rPr>
        <w:t>(All amounts expressed in thousands of Canadian dollars, except share and per share amounts, and those otherwise stated in US dollars, Euros and Great Britain pounds which are in thousands.)</w:t>
      </w:r>
    </w:p>
    <w:p>
      <w:pPr>
        <w:ind w:left="60"/>
        <w:spacing w:after="0" w:line="224" w:lineRule="auto"/>
        <w:rPr>
          <w:sz w:val="20"/>
          <w:szCs w:val="20"/>
          <w:color w:val="auto"/>
        </w:rPr>
      </w:pPr>
      <w:r>
        <w:rPr>
          <w:rFonts w:ascii="Calibri" w:cs="Calibri" w:eastAsia="Calibri" w:hAnsi="Calibri"/>
          <w:sz w:val="18"/>
          <w:szCs w:val="18"/>
          <w:b w:val="1"/>
          <w:bCs w:val="1"/>
          <w:color w:val="auto"/>
        </w:rPr>
        <w:t>(Unaudited)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48895</wp:posOffset>
            </wp:positionV>
            <wp:extent cx="7146925" cy="762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46925" cy="76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spacing w:after="0"/>
        <w:tabs>
          <w:tab w:leader="none" w:pos="240" w:val="left"/>
        </w:tabs>
        <w:rPr>
          <w:sz w:val="20"/>
          <w:szCs w:val="20"/>
          <w:color w:val="auto"/>
        </w:rPr>
      </w:pPr>
      <w:r>
        <w:rPr>
          <w:rFonts w:ascii="Calibri" w:cs="Calibri" w:eastAsia="Calibri" w:hAnsi="Calibri"/>
          <w:sz w:val="16"/>
          <w:szCs w:val="16"/>
          <w:b w:val="1"/>
          <w:bCs w:val="1"/>
          <w:color w:val="2D5F91"/>
        </w:rPr>
        <w:t>1.</w:t>
      </w:r>
      <w:r>
        <w:rPr>
          <w:sz w:val="20"/>
          <w:szCs w:val="20"/>
          <w:color w:val="auto"/>
        </w:rPr>
        <w:tab/>
      </w:r>
      <w:r>
        <w:rPr>
          <w:rFonts w:ascii="Calibri" w:cs="Calibri" w:eastAsia="Calibri" w:hAnsi="Calibri"/>
          <w:sz w:val="15"/>
          <w:szCs w:val="15"/>
          <w:b w:val="1"/>
          <w:bCs w:val="1"/>
          <w:color w:val="2D5F91"/>
        </w:rPr>
        <w:t>CORPORATE INFORMATION</w:t>
      </w:r>
    </w:p>
    <w:p>
      <w:pPr>
        <w:spacing w:after="0" w:line="242" w:lineRule="exact"/>
        <w:rPr>
          <w:sz w:val="20"/>
          <w:szCs w:val="20"/>
          <w:color w:val="auto"/>
        </w:rPr>
      </w:pPr>
    </w:p>
    <w:p>
      <w:pPr>
        <w:jc w:val="both"/>
        <w:ind w:left="280"/>
        <w:spacing w:after="0" w:line="276" w:lineRule="auto"/>
        <w:rPr>
          <w:sz w:val="20"/>
          <w:szCs w:val="20"/>
          <w:color w:val="auto"/>
        </w:rPr>
      </w:pPr>
      <w:r>
        <w:rPr>
          <w:rFonts w:ascii="Calibri" w:cs="Calibri" w:eastAsia="Calibri" w:hAnsi="Calibri"/>
          <w:sz w:val="16"/>
          <w:szCs w:val="16"/>
          <w:color w:val="auto"/>
        </w:rPr>
        <w:t>Cybin Inc. (“Cybin”), was incorporated under the Business Corporatons Act (Britsh Columbia) on October 13, 2016. These consolidated fnancial statements include the accounts of Cybin’s seven subsidiaries (together with Cybin, the “Company”): Cybin Corp., Natures Journey Inc. (“Journey”), Serenity Life Sciences Inc. (“Serenity”), Cybin US Holdings Inc. (“Cybin US”), Adelia Therapeutcs Inc. (“Adelia”) Cybin IRL Limited (“Cybin IRL”) and Cybin UK Ltd. Cybin’s head ofce, principal address and registered address and records ofce is 100 King Street West, Suite 5600, Toronto, Ontario M5X 1C9.</w:t>
      </w:r>
    </w:p>
    <w:p>
      <w:pPr>
        <w:spacing w:after="0" w:line="165" w:lineRule="exact"/>
        <w:rPr>
          <w:sz w:val="20"/>
          <w:szCs w:val="20"/>
          <w:color w:val="auto"/>
        </w:rPr>
      </w:pPr>
    </w:p>
    <w:p>
      <w:pPr>
        <w:jc w:val="both"/>
        <w:ind w:left="280"/>
        <w:spacing w:after="0" w:line="271" w:lineRule="auto"/>
        <w:rPr>
          <w:sz w:val="20"/>
          <w:szCs w:val="20"/>
          <w:color w:val="auto"/>
        </w:rPr>
      </w:pPr>
      <w:r>
        <w:rPr>
          <w:rFonts w:ascii="Calibri" w:cs="Calibri" w:eastAsia="Calibri" w:hAnsi="Calibri"/>
          <w:sz w:val="16"/>
          <w:szCs w:val="16"/>
          <w:color w:val="auto"/>
        </w:rPr>
        <w:t>The Company is a clinical-stage neuropsychiatric company focused on advancing therapies, delivery mechanisms, novel compounds and protocols as potental treatments for various psychiatric and neurological conditons. The Company is developing technologies and delivery systems aimed at improving the pharmacokinetcs of its proprietary molecules while retaining the therapeutc beneft. These new molecules and delivery systems are expected to be studied through clinical trials to confrm safety and efcacy.</w:t>
      </w:r>
    </w:p>
    <w:p>
      <w:pPr>
        <w:spacing w:after="0" w:line="218" w:lineRule="exact"/>
        <w:rPr>
          <w:sz w:val="20"/>
          <w:szCs w:val="20"/>
          <w:color w:val="auto"/>
        </w:rPr>
      </w:pPr>
    </w:p>
    <w:p>
      <w:pPr>
        <w:jc w:val="both"/>
        <w:ind w:left="280" w:right="20"/>
        <w:spacing w:after="0" w:line="279" w:lineRule="auto"/>
        <w:rPr>
          <w:sz w:val="20"/>
          <w:szCs w:val="20"/>
          <w:color w:val="auto"/>
        </w:rPr>
      </w:pPr>
      <w:r>
        <w:rPr>
          <w:rFonts w:ascii="Calibri" w:cs="Calibri" w:eastAsia="Calibri" w:hAnsi="Calibri"/>
          <w:sz w:val="16"/>
          <w:szCs w:val="16"/>
          <w:color w:val="auto"/>
        </w:rPr>
        <w:t>These condensed interim consolidated fnancial statements as at, and for the three and six months ended, September 30, 2024 were approved and authorized for issue by the board of directors on November 12, 2024.</w:t>
      </w:r>
    </w:p>
    <w:p>
      <w:pPr>
        <w:spacing w:after="0" w:line="148" w:lineRule="exact"/>
        <w:rPr>
          <w:sz w:val="20"/>
          <w:szCs w:val="20"/>
          <w:color w:val="auto"/>
        </w:rPr>
      </w:pPr>
    </w:p>
    <w:p>
      <w:pPr>
        <w:ind w:left="280"/>
        <w:spacing w:after="0"/>
        <w:rPr>
          <w:sz w:val="20"/>
          <w:szCs w:val="20"/>
          <w:color w:val="auto"/>
        </w:rPr>
      </w:pPr>
      <w:r>
        <w:rPr>
          <w:rFonts w:ascii="Calibri" w:cs="Calibri" w:eastAsia="Calibri" w:hAnsi="Calibri"/>
          <w:sz w:val="16"/>
          <w:szCs w:val="16"/>
          <w:b w:val="1"/>
          <w:bCs w:val="1"/>
          <w:i w:val="1"/>
          <w:iCs w:val="1"/>
          <w:u w:val="single" w:color="auto"/>
          <w:color w:val="auto"/>
        </w:rPr>
        <w:t>Stock exchange listngs</w:t>
      </w:r>
    </w:p>
    <w:p>
      <w:pPr>
        <w:spacing w:after="0" w:line="194" w:lineRule="exact"/>
        <w:rPr>
          <w:sz w:val="20"/>
          <w:szCs w:val="20"/>
          <w:color w:val="auto"/>
        </w:rPr>
      </w:pPr>
    </w:p>
    <w:p>
      <w:pPr>
        <w:jc w:val="both"/>
        <w:ind w:left="280"/>
        <w:spacing w:after="0" w:line="279" w:lineRule="auto"/>
        <w:rPr>
          <w:sz w:val="20"/>
          <w:szCs w:val="20"/>
          <w:color w:val="auto"/>
        </w:rPr>
      </w:pPr>
      <w:r>
        <w:rPr>
          <w:rFonts w:ascii="Calibri" w:cs="Calibri" w:eastAsia="Calibri" w:hAnsi="Calibri"/>
          <w:sz w:val="16"/>
          <w:szCs w:val="16"/>
          <w:color w:val="auto"/>
        </w:rPr>
        <w:t>Cybin’s common shares (the “Common Shares”) are listed for trading on Cboe Canada Inc.(“Cboe") and NYSE American LLC under the symbol “CYBN” and on the Frankfurt Stock Exchange under the symbol “R7E1”.</w:t>
      </w:r>
    </w:p>
    <w:p>
      <w:pPr>
        <w:spacing w:after="0" w:line="184" w:lineRule="exact"/>
        <w:rPr>
          <w:sz w:val="20"/>
          <w:szCs w:val="20"/>
          <w:color w:val="auto"/>
        </w:rPr>
      </w:pPr>
    </w:p>
    <w:p>
      <w:pPr>
        <w:ind w:left="280"/>
        <w:spacing w:after="0"/>
        <w:rPr>
          <w:sz w:val="20"/>
          <w:szCs w:val="20"/>
          <w:color w:val="auto"/>
        </w:rPr>
      </w:pPr>
      <w:r>
        <w:rPr>
          <w:rFonts w:ascii="Calibri" w:cs="Calibri" w:eastAsia="Calibri" w:hAnsi="Calibri"/>
          <w:sz w:val="16"/>
          <w:szCs w:val="16"/>
          <w:b w:val="1"/>
          <w:bCs w:val="1"/>
          <w:i w:val="1"/>
          <w:iCs w:val="1"/>
          <w:u w:val="single" w:color="auto"/>
          <w:color w:val="auto"/>
        </w:rPr>
        <w:t>Share consolidaton</w:t>
      </w:r>
    </w:p>
    <w:p>
      <w:pPr>
        <w:spacing w:after="0" w:line="240" w:lineRule="exact"/>
        <w:rPr>
          <w:sz w:val="20"/>
          <w:szCs w:val="20"/>
          <w:color w:val="auto"/>
        </w:rPr>
      </w:pPr>
    </w:p>
    <w:p>
      <w:pPr>
        <w:ind w:left="280"/>
        <w:spacing w:after="0"/>
        <w:rPr>
          <w:sz w:val="20"/>
          <w:szCs w:val="20"/>
          <w:color w:val="auto"/>
        </w:rPr>
      </w:pPr>
      <w:r>
        <w:rPr>
          <w:rFonts w:ascii="Calibri" w:cs="Calibri" w:eastAsia="Calibri" w:hAnsi="Calibri"/>
          <w:sz w:val="16"/>
          <w:szCs w:val="16"/>
          <w:color w:val="auto"/>
        </w:rPr>
        <w:t>On September 19, 2024, the Company consolidated its outstanding Common Shares on the basis of one new Common Share for every 38 existng Common Shares. As a</w:t>
      </w:r>
    </w:p>
    <w:p>
      <w:pPr>
        <w:spacing w:after="0" w:line="73" w:lineRule="exact"/>
        <w:rPr>
          <w:sz w:val="20"/>
          <w:szCs w:val="20"/>
          <w:color w:val="auto"/>
        </w:rPr>
      </w:pPr>
    </w:p>
    <w:p>
      <w:pPr>
        <w:jc w:val="both"/>
        <w:ind w:left="280"/>
        <w:spacing w:after="0" w:line="249" w:lineRule="auto"/>
        <w:rPr>
          <w:sz w:val="20"/>
          <w:szCs w:val="20"/>
          <w:color w:val="auto"/>
        </w:rPr>
      </w:pPr>
      <w:r>
        <w:rPr>
          <w:rFonts w:ascii="Calibri" w:cs="Calibri" w:eastAsia="Calibri" w:hAnsi="Calibri"/>
          <w:sz w:val="16"/>
          <w:szCs w:val="16"/>
          <w:color w:val="auto"/>
        </w:rPr>
        <w:t>result, the number of Common Shares, warrants, optons and earnings per share presented in these condensed interim consolidated fnancial statements have been restated retrospectvely for all the periods to refect this consolidaton.</w:t>
      </w:r>
    </w:p>
    <w:p>
      <w:pPr>
        <w:spacing w:after="0" w:line="378" w:lineRule="exact"/>
        <w:rPr>
          <w:sz w:val="20"/>
          <w:szCs w:val="20"/>
          <w:color w:val="auto"/>
        </w:rPr>
      </w:pPr>
    </w:p>
    <w:p>
      <w:pPr>
        <w:spacing w:after="0"/>
        <w:tabs>
          <w:tab w:leader="none" w:pos="240" w:val="left"/>
        </w:tabs>
        <w:rPr>
          <w:sz w:val="20"/>
          <w:szCs w:val="20"/>
          <w:color w:val="auto"/>
        </w:rPr>
      </w:pPr>
      <w:r>
        <w:rPr>
          <w:rFonts w:ascii="Calibri" w:cs="Calibri" w:eastAsia="Calibri" w:hAnsi="Calibri"/>
          <w:sz w:val="16"/>
          <w:szCs w:val="16"/>
          <w:b w:val="1"/>
          <w:bCs w:val="1"/>
          <w:color w:val="2D5F91"/>
        </w:rPr>
        <w:t>2.</w:t>
      </w:r>
      <w:r>
        <w:rPr>
          <w:sz w:val="20"/>
          <w:szCs w:val="20"/>
          <w:color w:val="auto"/>
        </w:rPr>
        <w:tab/>
      </w:r>
      <w:r>
        <w:rPr>
          <w:rFonts w:ascii="Calibri" w:cs="Calibri" w:eastAsia="Calibri" w:hAnsi="Calibri"/>
          <w:sz w:val="15"/>
          <w:szCs w:val="15"/>
          <w:b w:val="1"/>
          <w:bCs w:val="1"/>
          <w:color w:val="2D5F91"/>
        </w:rPr>
        <w:t>MATERIAL ACCOUNTING POLICY INFORMATION AND BASIS OF PREPARATION</w:t>
      </w:r>
    </w:p>
    <w:p>
      <w:pPr>
        <w:spacing w:after="0" w:line="228" w:lineRule="exact"/>
        <w:rPr>
          <w:sz w:val="20"/>
          <w:szCs w:val="20"/>
          <w:color w:val="auto"/>
        </w:rPr>
      </w:pPr>
    </w:p>
    <w:p>
      <w:pPr>
        <w:ind w:left="280"/>
        <w:spacing w:after="0"/>
        <w:rPr>
          <w:sz w:val="20"/>
          <w:szCs w:val="20"/>
          <w:color w:val="auto"/>
        </w:rPr>
      </w:pPr>
      <w:r>
        <w:rPr>
          <w:rFonts w:ascii="Calibri" w:cs="Calibri" w:eastAsia="Calibri" w:hAnsi="Calibri"/>
          <w:sz w:val="16"/>
          <w:szCs w:val="16"/>
          <w:b w:val="1"/>
          <w:bCs w:val="1"/>
          <w:i w:val="1"/>
          <w:iCs w:val="1"/>
          <w:u w:val="single" w:color="auto"/>
          <w:color w:val="auto"/>
        </w:rPr>
        <w:t>Statement of compliance</w:t>
      </w:r>
    </w:p>
    <w:p>
      <w:pPr>
        <w:spacing w:after="0" w:line="218" w:lineRule="exact"/>
        <w:rPr>
          <w:sz w:val="20"/>
          <w:szCs w:val="20"/>
          <w:color w:val="auto"/>
        </w:rPr>
      </w:pPr>
    </w:p>
    <w:p>
      <w:pPr>
        <w:jc w:val="both"/>
        <w:ind w:left="280" w:right="20"/>
        <w:spacing w:after="0" w:line="243" w:lineRule="auto"/>
        <w:rPr>
          <w:sz w:val="20"/>
          <w:szCs w:val="20"/>
          <w:color w:val="auto"/>
        </w:rPr>
      </w:pPr>
      <w:r>
        <w:rPr>
          <w:rFonts w:ascii="Calibri" w:cs="Calibri" w:eastAsia="Calibri" w:hAnsi="Calibri"/>
          <w:sz w:val="16"/>
          <w:szCs w:val="16"/>
          <w:color w:val="auto"/>
        </w:rPr>
        <w:t>These condensed interim consolidated fnancial statements for the three and six months ended September 30, 2024 have been prepared in accordance with Internatonal Accountng Standard 34 “Interim Financial Reportng”. Accordingly, certain informaton and footnote disclosure normally included in annual fnancial statements prepared in accordance with Internatonal Financial Reportng Standards (“IFRS”) have been omited or condensed.</w:t>
      </w:r>
    </w:p>
    <w:p>
      <w:pPr>
        <w:spacing w:after="0" w:line="229" w:lineRule="exact"/>
        <w:rPr>
          <w:sz w:val="20"/>
          <w:szCs w:val="20"/>
          <w:color w:val="auto"/>
        </w:rPr>
      </w:pPr>
    </w:p>
    <w:p>
      <w:pPr>
        <w:jc w:val="both"/>
        <w:ind w:left="280"/>
        <w:spacing w:after="0" w:line="237" w:lineRule="auto"/>
        <w:rPr>
          <w:sz w:val="20"/>
          <w:szCs w:val="20"/>
          <w:color w:val="auto"/>
        </w:rPr>
      </w:pPr>
      <w:r>
        <w:rPr>
          <w:rFonts w:ascii="Calibri" w:cs="Calibri" w:eastAsia="Calibri" w:hAnsi="Calibri"/>
          <w:sz w:val="16"/>
          <w:szCs w:val="16"/>
          <w:color w:val="auto"/>
        </w:rPr>
        <w:t>The accountng policies adopted in the preparaton of the condensed interim consolidated fnancial statements are consistent with those set out in note 2 “Signifcant accountng policies and basis of preparaton” of the Company’s annual consolidated fnancial statements for the year ended March 31, 2024.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Calibri" w:cs="Calibri" w:eastAsia="Calibri" w:hAnsi="Calibri"/>
          <w:sz w:val="16"/>
          <w:szCs w:val="16"/>
          <w:b w:val="1"/>
          <w:bCs w:val="1"/>
          <w:color w:val="auto"/>
        </w:rPr>
        <w:t>Page 7 of 23</w:t>
      </w:r>
    </w:p>
    <w:p>
      <w:pPr>
        <w:sectPr>
          <w:pgSz w:w="11900" w:h="16838" w:orient="portrait"/>
          <w:cols w:equalWidth="0" w:num="1">
            <w:col w:w="11260"/>
          </w:cols>
          <w:pgMar w:left="320" w:top="209" w:right="319" w:bottom="1440" w:gutter="0" w:footer="0" w:header="0"/>
        </w:sectPr>
      </w:pPr>
    </w:p>
    <w:bookmarkStart w:id="10" w:name="page11"/>
    <w:bookmarkEnd w:id="10"/>
    <w:p>
      <w:pPr>
        <w:spacing w:after="0"/>
        <w:rPr>
          <w:sz w:val="20"/>
          <w:szCs w:val="20"/>
          <w:color w:val="auto"/>
        </w:rPr>
      </w:pPr>
      <w:r>
        <w:rPr>
          <w:rFonts w:ascii="Calibri" w:cs="Calibri" w:eastAsia="Calibri" w:hAnsi="Calibri"/>
          <w:sz w:val="19"/>
          <w:szCs w:val="19"/>
          <w:b w:val="1"/>
          <w:bCs w:val="1"/>
          <w:color w:val="auto"/>
        </w:rPr>
        <w:t>CYBIN INC.</w:t>
      </w:r>
    </w:p>
    <w:p>
      <w:pPr>
        <w:spacing w:after="0" w:line="237" w:lineRule="auto"/>
        <w:rPr>
          <w:sz w:val="20"/>
          <w:szCs w:val="20"/>
          <w:color w:val="auto"/>
        </w:rPr>
      </w:pPr>
      <w:r>
        <w:rPr>
          <w:rFonts w:ascii="Calibri" w:cs="Calibri" w:eastAsia="Calibri" w:hAnsi="Calibri"/>
          <w:sz w:val="19"/>
          <w:szCs w:val="19"/>
          <w:b w:val="1"/>
          <w:bCs w:val="1"/>
          <w:color w:val="auto"/>
        </w:rPr>
        <w:t>NOTES TO THE CONDENSED INTERIM CONSOLIDATED FINANCIAL STATEMENTS</w:t>
      </w:r>
    </w:p>
    <w:p>
      <w:pPr>
        <w:spacing w:after="0" w:line="238" w:lineRule="auto"/>
        <w:rPr>
          <w:sz w:val="20"/>
          <w:szCs w:val="20"/>
          <w:color w:val="auto"/>
        </w:rPr>
      </w:pPr>
      <w:r>
        <w:rPr>
          <w:rFonts w:ascii="Calibri" w:cs="Calibri" w:eastAsia="Calibri" w:hAnsi="Calibri"/>
          <w:sz w:val="19"/>
          <w:szCs w:val="19"/>
          <w:b w:val="1"/>
          <w:bCs w:val="1"/>
          <w:color w:val="auto"/>
        </w:rPr>
        <w:t>September 30, 2024</w:t>
      </w:r>
    </w:p>
    <w:p>
      <w:pPr>
        <w:spacing w:after="0" w:line="3" w:lineRule="exact"/>
        <w:rPr>
          <w:sz w:val="20"/>
          <w:szCs w:val="20"/>
          <w:color w:val="auto"/>
        </w:rPr>
      </w:pPr>
    </w:p>
    <w:p>
      <w:pPr>
        <w:ind w:right="200"/>
        <w:spacing w:after="0" w:line="234" w:lineRule="auto"/>
        <w:rPr>
          <w:sz w:val="20"/>
          <w:szCs w:val="20"/>
          <w:color w:val="auto"/>
        </w:rPr>
      </w:pPr>
      <w:r>
        <w:rPr>
          <w:rFonts w:ascii="Calibri" w:cs="Calibri" w:eastAsia="Calibri" w:hAnsi="Calibri"/>
          <w:sz w:val="18"/>
          <w:szCs w:val="18"/>
          <w:b w:val="1"/>
          <w:bCs w:val="1"/>
          <w:color w:val="auto"/>
        </w:rPr>
        <w:t>(All amounts expressed in thousands of Canadian dollars, except share and per share amounts, and those otherwise stated in US dollars, Euros and Great Britain pounds which are in thousands.)</w:t>
      </w:r>
    </w:p>
    <w:p>
      <w:pPr>
        <w:spacing w:after="0" w:line="224" w:lineRule="auto"/>
        <w:rPr>
          <w:sz w:val="20"/>
          <w:szCs w:val="20"/>
          <w:color w:val="auto"/>
        </w:rPr>
      </w:pPr>
      <w:r>
        <w:rPr>
          <w:rFonts w:ascii="Calibri" w:cs="Calibri" w:eastAsia="Calibri" w:hAnsi="Calibri"/>
          <w:sz w:val="18"/>
          <w:szCs w:val="18"/>
          <w:b w:val="1"/>
          <w:bCs w:val="1"/>
          <w:color w:val="auto"/>
        </w:rPr>
        <w:t>(Unaudited)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-39370</wp:posOffset>
            </wp:positionH>
            <wp:positionV relativeFrom="paragraph">
              <wp:posOffset>48895</wp:posOffset>
            </wp:positionV>
            <wp:extent cx="7146925" cy="762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46925" cy="76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Calibri" w:cs="Calibri" w:eastAsia="Calibri" w:hAnsi="Calibri"/>
          <w:sz w:val="16"/>
          <w:szCs w:val="16"/>
          <w:color w:val="auto"/>
        </w:rPr>
        <w:t>These condensed interim consolidated fnancial statements should be read in conjuncton with the consolidated fnancial statements for the year ended March 31, 2024.</w:t>
      </w:r>
    </w:p>
    <w:p>
      <w:pPr>
        <w:spacing w:after="0" w:line="228" w:lineRule="exact"/>
        <w:rPr>
          <w:sz w:val="20"/>
          <w:szCs w:val="20"/>
          <w:color w:val="auto"/>
        </w:rPr>
      </w:pPr>
    </w:p>
    <w:p>
      <w:pPr>
        <w:ind w:left="220"/>
        <w:spacing w:after="0"/>
        <w:rPr>
          <w:sz w:val="20"/>
          <w:szCs w:val="20"/>
          <w:color w:val="auto"/>
        </w:rPr>
      </w:pPr>
      <w:r>
        <w:rPr>
          <w:rFonts w:ascii="Calibri" w:cs="Calibri" w:eastAsia="Calibri" w:hAnsi="Calibri"/>
          <w:sz w:val="16"/>
          <w:szCs w:val="16"/>
          <w:b w:val="1"/>
          <w:bCs w:val="1"/>
          <w:i w:val="1"/>
          <w:iCs w:val="1"/>
          <w:u w:val="single" w:color="auto"/>
          <w:color w:val="auto"/>
        </w:rPr>
        <w:t>Basis of measurement</w:t>
      </w:r>
    </w:p>
    <w:p>
      <w:pPr>
        <w:spacing w:after="0" w:line="242" w:lineRule="exact"/>
        <w:rPr>
          <w:sz w:val="20"/>
          <w:szCs w:val="20"/>
          <w:color w:val="auto"/>
        </w:rPr>
      </w:pPr>
    </w:p>
    <w:p>
      <w:pPr>
        <w:ind w:left="220" w:right="20"/>
        <w:spacing w:after="0" w:line="249" w:lineRule="auto"/>
        <w:rPr>
          <w:sz w:val="20"/>
          <w:szCs w:val="20"/>
          <w:color w:val="auto"/>
        </w:rPr>
      </w:pPr>
      <w:r>
        <w:rPr>
          <w:rFonts w:ascii="Calibri" w:cs="Calibri" w:eastAsia="Calibri" w:hAnsi="Calibri"/>
          <w:sz w:val="16"/>
          <w:szCs w:val="16"/>
          <w:color w:val="auto"/>
        </w:rPr>
        <w:t>These condensed interim consolidated fnancial statements have been prepared on a going concern basis, under the historical cost conventon, except for certain fnancial instruments classifed at fair value upon inital recogniton.</w:t>
      </w:r>
    </w:p>
    <w:p>
      <w:pPr>
        <w:spacing w:after="0" w:line="221" w:lineRule="exact"/>
        <w:rPr>
          <w:sz w:val="20"/>
          <w:szCs w:val="20"/>
          <w:color w:val="auto"/>
        </w:rPr>
      </w:pPr>
    </w:p>
    <w:p>
      <w:pPr>
        <w:ind w:left="220"/>
        <w:spacing w:after="0"/>
        <w:rPr>
          <w:sz w:val="20"/>
          <w:szCs w:val="20"/>
          <w:color w:val="auto"/>
        </w:rPr>
      </w:pPr>
      <w:r>
        <w:rPr>
          <w:rFonts w:ascii="Calibri" w:cs="Calibri" w:eastAsia="Calibri" w:hAnsi="Calibri"/>
          <w:sz w:val="16"/>
          <w:szCs w:val="16"/>
          <w:b w:val="1"/>
          <w:bCs w:val="1"/>
          <w:i w:val="1"/>
          <w:iCs w:val="1"/>
          <w:u w:val="single" w:color="auto"/>
          <w:color w:val="auto"/>
        </w:rPr>
        <w:t>Functonal and presentaton currency</w:t>
      </w:r>
    </w:p>
    <w:p>
      <w:pPr>
        <w:spacing w:after="0" w:line="194" w:lineRule="exact"/>
        <w:rPr>
          <w:sz w:val="20"/>
          <w:szCs w:val="20"/>
          <w:color w:val="auto"/>
        </w:rPr>
      </w:pPr>
    </w:p>
    <w:p>
      <w:pPr>
        <w:ind w:left="220" w:right="20"/>
        <w:spacing w:after="0" w:line="249" w:lineRule="auto"/>
        <w:rPr>
          <w:sz w:val="20"/>
          <w:szCs w:val="20"/>
          <w:color w:val="auto"/>
        </w:rPr>
      </w:pPr>
      <w:r>
        <w:rPr>
          <w:rFonts w:ascii="Calibri" w:cs="Calibri" w:eastAsia="Calibri" w:hAnsi="Calibri"/>
          <w:sz w:val="16"/>
          <w:szCs w:val="16"/>
          <w:color w:val="auto"/>
        </w:rPr>
        <w:t>The functonal currency of a company is the currency of the primary economic environment in which the company operates. The presentaton currency for a company is the currency in which the company chooses to present its fnancial statements.</w:t>
      </w:r>
    </w:p>
    <w:p>
      <w:pPr>
        <w:spacing w:after="0" w:line="175" w:lineRule="exact"/>
        <w:rPr>
          <w:sz w:val="20"/>
          <w:szCs w:val="20"/>
          <w:color w:val="auto"/>
        </w:rPr>
      </w:pPr>
    </w:p>
    <w:p>
      <w:pPr>
        <w:ind w:left="220"/>
        <w:spacing w:after="0" w:line="249" w:lineRule="auto"/>
        <w:rPr>
          <w:sz w:val="20"/>
          <w:szCs w:val="20"/>
          <w:color w:val="auto"/>
        </w:rPr>
      </w:pPr>
      <w:r>
        <w:rPr>
          <w:rFonts w:ascii="Calibri" w:cs="Calibri" w:eastAsia="Calibri" w:hAnsi="Calibri"/>
          <w:sz w:val="16"/>
          <w:szCs w:val="16"/>
          <w:color w:val="auto"/>
        </w:rPr>
        <w:t>These condensed interim consolidated fnancial statements are presented in Canadian dollars, the Company’s presentaton currency. The subsidiaries’ functonal currencies are as follows:</w:t>
      </w:r>
    </w:p>
    <w:p>
      <w:pPr>
        <w:spacing w:after="0" w:line="185" w:lineRule="exact"/>
        <w:rPr>
          <w:sz w:val="20"/>
          <w:szCs w:val="20"/>
          <w:color w:val="auto"/>
        </w:rPr>
      </w:pPr>
    </w:p>
    <w:tbl>
      <w:tblPr>
        <w:tblLayout w:type="fixed"/>
        <w:tblInd w:w="220" w:type="dxa"/>
        <w:tblCellMar>
          <w:top w:w="0" w:type="dxa"/>
          <w:left w:w="0" w:type="dxa"/>
          <w:bottom w:w="0" w:type="dxa"/>
          <w:right w:w="0" w:type="dxa"/>
        </w:tblCellMar>
      </w:tblPr>
      <w:tr>
        <w:trPr>
          <w:trHeight w:val="195"/>
        </w:trPr>
        <w:tc>
          <w:tcPr>
            <w:tcW w:w="2460" w:type="dxa"/>
            <w:vAlign w:val="bottom"/>
          </w:tcPr>
          <w:p>
            <w:pPr>
              <w:ind w:left="20"/>
              <w:spacing w:after="0"/>
              <w:rPr>
                <w:sz w:val="20"/>
                <w:szCs w:val="20"/>
                <w:color w:val="auto"/>
              </w:rPr>
            </w:pPr>
            <w:r>
              <w:rPr>
                <w:rFonts w:ascii="Calibri" w:cs="Calibri" w:eastAsia="Calibri" w:hAnsi="Calibri"/>
                <w:sz w:val="16"/>
                <w:szCs w:val="16"/>
                <w:b w:val="1"/>
                <w:bCs w:val="1"/>
                <w:color w:val="auto"/>
              </w:rPr>
              <w:t>Entty</w:t>
            </w:r>
          </w:p>
        </w:tc>
        <w:tc>
          <w:tcPr>
            <w:tcW w:w="3820" w:type="dxa"/>
            <w:vAlign w:val="bottom"/>
          </w:tcPr>
          <w:p>
            <w:pPr>
              <w:ind w:left="1620"/>
              <w:spacing w:after="0"/>
              <w:rPr>
                <w:sz w:val="20"/>
                <w:szCs w:val="20"/>
                <w:color w:val="auto"/>
              </w:rPr>
            </w:pPr>
            <w:r>
              <w:rPr>
                <w:rFonts w:ascii="Calibri" w:cs="Calibri" w:eastAsia="Calibri" w:hAnsi="Calibri"/>
                <w:sz w:val="16"/>
                <w:szCs w:val="16"/>
                <w:b w:val="1"/>
                <w:bCs w:val="1"/>
                <w:color w:val="auto"/>
              </w:rPr>
              <w:t>Currency</w:t>
            </w:r>
          </w:p>
        </w:tc>
        <w:tc>
          <w:tcPr>
            <w:tcW w:w="4260" w:type="dxa"/>
            <w:vAlign w:val="bottom"/>
          </w:tcPr>
          <w:p>
            <w:pPr>
              <w:ind w:left="860"/>
              <w:spacing w:after="0"/>
              <w:rPr>
                <w:sz w:val="20"/>
                <w:szCs w:val="20"/>
                <w:color w:val="auto"/>
              </w:rPr>
            </w:pPr>
            <w:r>
              <w:rPr>
                <w:rFonts w:ascii="Calibri" w:cs="Calibri" w:eastAsia="Calibri" w:hAnsi="Calibri"/>
                <w:sz w:val="16"/>
                <w:szCs w:val="16"/>
                <w:b w:val="1"/>
                <w:bCs w:val="1"/>
                <w:color w:val="auto"/>
              </w:rPr>
              <w:t>Ownership</w:t>
            </w:r>
          </w:p>
        </w:tc>
      </w:tr>
      <w:tr>
        <w:trPr>
          <w:trHeight w:val="20"/>
        </w:trPr>
        <w:tc>
          <w:tcPr>
            <w:tcW w:w="2460" w:type="dxa"/>
            <w:vAlign w:val="bottom"/>
            <w:tcBorders>
              <w:bottom w:val="single" w:sz="8" w:color="auto"/>
            </w:tcBorders>
          </w:tcPr>
          <w:p>
            <w:pPr>
              <w:spacing w:after="0" w:line="20" w:lineRule="exact"/>
              <w:rPr>
                <w:sz w:val="1"/>
                <w:szCs w:val="1"/>
                <w:color w:val="auto"/>
              </w:rPr>
            </w:pPr>
          </w:p>
        </w:tc>
        <w:tc>
          <w:tcPr>
            <w:tcW w:w="3820" w:type="dxa"/>
            <w:vAlign w:val="bottom"/>
            <w:tcBorders>
              <w:bottom w:val="single" w:sz="8" w:color="auto"/>
            </w:tcBorders>
          </w:tcPr>
          <w:p>
            <w:pPr>
              <w:spacing w:after="0" w:line="20" w:lineRule="exact"/>
              <w:rPr>
                <w:sz w:val="1"/>
                <w:szCs w:val="1"/>
                <w:color w:val="auto"/>
              </w:rPr>
            </w:pPr>
          </w:p>
        </w:tc>
        <w:tc>
          <w:tcPr>
            <w:tcW w:w="4260" w:type="dxa"/>
            <w:vAlign w:val="bottom"/>
            <w:tcBorders>
              <w:bottom w:val="single" w:sz="8" w:color="auto"/>
            </w:tcBorders>
          </w:tcPr>
          <w:p>
            <w:pPr>
              <w:spacing w:after="0" w:line="20" w:lineRule="exact"/>
              <w:rPr>
                <w:sz w:val="1"/>
                <w:szCs w:val="1"/>
                <w:color w:val="auto"/>
              </w:rPr>
            </w:pPr>
          </w:p>
        </w:tc>
      </w:tr>
      <w:tr>
        <w:trPr>
          <w:trHeight w:val="185"/>
        </w:trPr>
        <w:tc>
          <w:tcPr>
            <w:tcW w:w="2460" w:type="dxa"/>
            <w:vAlign w:val="bottom"/>
          </w:tcPr>
          <w:p>
            <w:pPr>
              <w:ind w:left="20"/>
              <w:spacing w:after="0" w:line="185" w:lineRule="exact"/>
              <w:rPr>
                <w:sz w:val="20"/>
                <w:szCs w:val="20"/>
                <w:color w:val="auto"/>
              </w:rPr>
            </w:pPr>
            <w:r>
              <w:rPr>
                <w:rFonts w:ascii="Calibri" w:cs="Calibri" w:eastAsia="Calibri" w:hAnsi="Calibri"/>
                <w:sz w:val="16"/>
                <w:szCs w:val="16"/>
                <w:color w:val="auto"/>
              </w:rPr>
              <w:t>Cybin Corp.</w:t>
            </w:r>
          </w:p>
        </w:tc>
        <w:tc>
          <w:tcPr>
            <w:tcW w:w="3820" w:type="dxa"/>
            <w:vAlign w:val="bottom"/>
          </w:tcPr>
          <w:p>
            <w:pPr>
              <w:ind w:left="1620"/>
              <w:spacing w:after="0" w:line="185" w:lineRule="exact"/>
              <w:rPr>
                <w:sz w:val="20"/>
                <w:szCs w:val="20"/>
                <w:color w:val="auto"/>
              </w:rPr>
            </w:pPr>
            <w:r>
              <w:rPr>
                <w:rFonts w:ascii="Calibri" w:cs="Calibri" w:eastAsia="Calibri" w:hAnsi="Calibri"/>
                <w:sz w:val="16"/>
                <w:szCs w:val="16"/>
                <w:color w:val="auto"/>
              </w:rPr>
              <w:t>Canadian dollars</w:t>
            </w:r>
          </w:p>
        </w:tc>
        <w:tc>
          <w:tcPr>
            <w:tcW w:w="4260" w:type="dxa"/>
            <w:vAlign w:val="bottom"/>
          </w:tcPr>
          <w:p>
            <w:pPr>
              <w:ind w:left="860"/>
              <w:spacing w:after="0" w:line="185" w:lineRule="exact"/>
              <w:rPr>
                <w:sz w:val="20"/>
                <w:szCs w:val="20"/>
                <w:color w:val="auto"/>
              </w:rPr>
            </w:pPr>
            <w:r>
              <w:rPr>
                <w:rFonts w:ascii="Calibri" w:cs="Calibri" w:eastAsia="Calibri" w:hAnsi="Calibri"/>
                <w:sz w:val="16"/>
                <w:szCs w:val="16"/>
                <w:color w:val="auto"/>
              </w:rPr>
              <w:t>100%</w:t>
            </w:r>
          </w:p>
        </w:tc>
      </w:tr>
      <w:tr>
        <w:trPr>
          <w:trHeight w:val="198"/>
        </w:trPr>
        <w:tc>
          <w:tcPr>
            <w:tcW w:w="2460" w:type="dxa"/>
            <w:vAlign w:val="bottom"/>
          </w:tcPr>
          <w:p>
            <w:pPr>
              <w:ind w:left="20"/>
              <w:spacing w:after="0"/>
              <w:rPr>
                <w:sz w:val="20"/>
                <w:szCs w:val="20"/>
                <w:color w:val="auto"/>
              </w:rPr>
            </w:pPr>
            <w:r>
              <w:rPr>
                <w:rFonts w:ascii="Calibri" w:cs="Calibri" w:eastAsia="Calibri" w:hAnsi="Calibri"/>
                <w:sz w:val="16"/>
                <w:szCs w:val="16"/>
                <w:color w:val="auto"/>
              </w:rPr>
              <w:t>Journey</w:t>
            </w:r>
          </w:p>
        </w:tc>
        <w:tc>
          <w:tcPr>
            <w:tcW w:w="3820" w:type="dxa"/>
            <w:vAlign w:val="bottom"/>
          </w:tcPr>
          <w:p>
            <w:pPr>
              <w:ind w:left="1620"/>
              <w:spacing w:after="0"/>
              <w:rPr>
                <w:sz w:val="20"/>
                <w:szCs w:val="20"/>
                <w:color w:val="auto"/>
              </w:rPr>
            </w:pPr>
            <w:r>
              <w:rPr>
                <w:rFonts w:ascii="Calibri" w:cs="Calibri" w:eastAsia="Calibri" w:hAnsi="Calibri"/>
                <w:sz w:val="16"/>
                <w:szCs w:val="16"/>
                <w:color w:val="auto"/>
              </w:rPr>
              <w:t>Canadian dollars</w:t>
            </w:r>
          </w:p>
        </w:tc>
        <w:tc>
          <w:tcPr>
            <w:tcW w:w="4260" w:type="dxa"/>
            <w:vAlign w:val="bottom"/>
          </w:tcPr>
          <w:p>
            <w:pPr>
              <w:ind w:left="860"/>
              <w:spacing w:after="0"/>
              <w:rPr>
                <w:sz w:val="20"/>
                <w:szCs w:val="20"/>
                <w:color w:val="auto"/>
              </w:rPr>
            </w:pPr>
            <w:r>
              <w:rPr>
                <w:rFonts w:ascii="Calibri" w:cs="Calibri" w:eastAsia="Calibri" w:hAnsi="Calibri"/>
                <w:sz w:val="16"/>
                <w:szCs w:val="16"/>
                <w:color w:val="auto"/>
              </w:rPr>
              <w:t>100%</w:t>
            </w:r>
          </w:p>
        </w:tc>
      </w:tr>
      <w:tr>
        <w:trPr>
          <w:trHeight w:val="206"/>
        </w:trPr>
        <w:tc>
          <w:tcPr>
            <w:tcW w:w="2460" w:type="dxa"/>
            <w:vAlign w:val="bottom"/>
          </w:tcPr>
          <w:p>
            <w:pPr>
              <w:ind w:left="20"/>
              <w:spacing w:after="0"/>
              <w:rPr>
                <w:sz w:val="20"/>
                <w:szCs w:val="20"/>
                <w:color w:val="auto"/>
              </w:rPr>
            </w:pPr>
            <w:r>
              <w:rPr>
                <w:rFonts w:ascii="Calibri" w:cs="Calibri" w:eastAsia="Calibri" w:hAnsi="Calibri"/>
                <w:sz w:val="16"/>
                <w:szCs w:val="16"/>
                <w:color w:val="auto"/>
              </w:rPr>
              <w:t>Serenity</w:t>
            </w:r>
          </w:p>
        </w:tc>
        <w:tc>
          <w:tcPr>
            <w:tcW w:w="3820" w:type="dxa"/>
            <w:vAlign w:val="bottom"/>
          </w:tcPr>
          <w:p>
            <w:pPr>
              <w:ind w:left="1620"/>
              <w:spacing w:after="0"/>
              <w:rPr>
                <w:sz w:val="20"/>
                <w:szCs w:val="20"/>
                <w:color w:val="auto"/>
              </w:rPr>
            </w:pPr>
            <w:r>
              <w:rPr>
                <w:rFonts w:ascii="Calibri" w:cs="Calibri" w:eastAsia="Calibri" w:hAnsi="Calibri"/>
                <w:sz w:val="16"/>
                <w:szCs w:val="16"/>
                <w:color w:val="auto"/>
              </w:rPr>
              <w:t>Canadian dollars</w:t>
            </w:r>
          </w:p>
        </w:tc>
        <w:tc>
          <w:tcPr>
            <w:tcW w:w="4260" w:type="dxa"/>
            <w:vAlign w:val="bottom"/>
          </w:tcPr>
          <w:p>
            <w:pPr>
              <w:ind w:left="860"/>
              <w:spacing w:after="0"/>
              <w:rPr>
                <w:sz w:val="20"/>
                <w:szCs w:val="20"/>
                <w:color w:val="auto"/>
              </w:rPr>
            </w:pPr>
            <w:r>
              <w:rPr>
                <w:rFonts w:ascii="Calibri" w:cs="Calibri" w:eastAsia="Calibri" w:hAnsi="Calibri"/>
                <w:sz w:val="16"/>
                <w:szCs w:val="16"/>
                <w:color w:val="auto"/>
              </w:rPr>
              <w:t>100%</w:t>
            </w:r>
          </w:p>
        </w:tc>
      </w:tr>
      <w:tr>
        <w:trPr>
          <w:trHeight w:val="309"/>
        </w:trPr>
        <w:tc>
          <w:tcPr>
            <w:tcW w:w="2460" w:type="dxa"/>
            <w:vAlign w:val="bottom"/>
          </w:tcPr>
          <w:p>
            <w:pPr>
              <w:ind w:left="20"/>
              <w:spacing w:after="0"/>
              <w:rPr>
                <w:sz w:val="20"/>
                <w:szCs w:val="20"/>
                <w:color w:val="auto"/>
              </w:rPr>
            </w:pPr>
            <w:r>
              <w:rPr>
                <w:rFonts w:ascii="Calibri" w:cs="Calibri" w:eastAsia="Calibri" w:hAnsi="Calibri"/>
                <w:sz w:val="16"/>
                <w:szCs w:val="16"/>
                <w:color w:val="auto"/>
              </w:rPr>
              <w:t>Cybin US</w:t>
            </w:r>
            <w:r>
              <w:rPr>
                <w:rFonts w:ascii="Calibri" w:cs="Calibri" w:eastAsia="Calibri" w:hAnsi="Calibri"/>
                <w:sz w:val="20"/>
                <w:szCs w:val="20"/>
                <w:color w:val="auto"/>
                <w:vertAlign w:val="superscript"/>
              </w:rPr>
              <w:t>1</w:t>
            </w:r>
          </w:p>
        </w:tc>
        <w:tc>
          <w:tcPr>
            <w:tcW w:w="3820" w:type="dxa"/>
            <w:vAlign w:val="bottom"/>
          </w:tcPr>
          <w:p>
            <w:pPr>
              <w:ind w:left="1620"/>
              <w:spacing w:after="0"/>
              <w:rPr>
                <w:sz w:val="20"/>
                <w:szCs w:val="20"/>
                <w:color w:val="auto"/>
              </w:rPr>
            </w:pPr>
            <w:r>
              <w:rPr>
                <w:rFonts w:ascii="Calibri" w:cs="Calibri" w:eastAsia="Calibri" w:hAnsi="Calibri"/>
                <w:sz w:val="16"/>
                <w:szCs w:val="16"/>
                <w:color w:val="auto"/>
              </w:rPr>
              <w:t>Canadian dollars</w:t>
            </w:r>
          </w:p>
        </w:tc>
        <w:tc>
          <w:tcPr>
            <w:tcW w:w="4260" w:type="dxa"/>
            <w:vAlign w:val="bottom"/>
          </w:tcPr>
          <w:p>
            <w:pPr>
              <w:ind w:left="860"/>
              <w:spacing w:after="0"/>
              <w:rPr>
                <w:sz w:val="20"/>
                <w:szCs w:val="20"/>
                <w:color w:val="auto"/>
              </w:rPr>
            </w:pPr>
            <w:r>
              <w:rPr>
                <w:rFonts w:ascii="Calibri" w:cs="Calibri" w:eastAsia="Calibri" w:hAnsi="Calibri"/>
                <w:sz w:val="16"/>
                <w:szCs w:val="16"/>
                <w:color w:val="auto"/>
              </w:rPr>
              <w:t>100%</w:t>
            </w:r>
          </w:p>
        </w:tc>
      </w:tr>
      <w:tr>
        <w:trPr>
          <w:trHeight w:val="211"/>
        </w:trPr>
        <w:tc>
          <w:tcPr>
            <w:tcW w:w="2460" w:type="dxa"/>
            <w:vAlign w:val="bottom"/>
          </w:tcPr>
          <w:p>
            <w:pPr>
              <w:ind w:left="20"/>
              <w:spacing w:after="0"/>
              <w:rPr>
                <w:sz w:val="20"/>
                <w:szCs w:val="20"/>
                <w:color w:val="auto"/>
              </w:rPr>
            </w:pPr>
            <w:r>
              <w:rPr>
                <w:rFonts w:ascii="Calibri" w:cs="Calibri" w:eastAsia="Calibri" w:hAnsi="Calibri"/>
                <w:sz w:val="16"/>
                <w:szCs w:val="16"/>
                <w:color w:val="auto"/>
              </w:rPr>
              <w:t>Adelia</w:t>
            </w:r>
          </w:p>
        </w:tc>
        <w:tc>
          <w:tcPr>
            <w:tcW w:w="3820" w:type="dxa"/>
            <w:vAlign w:val="bottom"/>
          </w:tcPr>
          <w:p>
            <w:pPr>
              <w:ind w:left="1620"/>
              <w:spacing w:after="0"/>
              <w:rPr>
                <w:sz w:val="20"/>
                <w:szCs w:val="20"/>
                <w:color w:val="auto"/>
              </w:rPr>
            </w:pPr>
            <w:r>
              <w:rPr>
                <w:rFonts w:ascii="Calibri" w:cs="Calibri" w:eastAsia="Calibri" w:hAnsi="Calibri"/>
                <w:sz w:val="16"/>
                <w:szCs w:val="16"/>
                <w:color w:val="auto"/>
              </w:rPr>
              <w:t>U.S. dollars</w:t>
            </w:r>
          </w:p>
        </w:tc>
        <w:tc>
          <w:tcPr>
            <w:tcW w:w="4260" w:type="dxa"/>
            <w:vAlign w:val="bottom"/>
          </w:tcPr>
          <w:p>
            <w:pPr>
              <w:ind w:left="860"/>
              <w:spacing w:after="0"/>
              <w:rPr>
                <w:sz w:val="20"/>
                <w:szCs w:val="20"/>
                <w:color w:val="auto"/>
              </w:rPr>
            </w:pPr>
            <w:r>
              <w:rPr>
                <w:rFonts w:ascii="Calibri" w:cs="Calibri" w:eastAsia="Calibri" w:hAnsi="Calibri"/>
                <w:sz w:val="16"/>
                <w:szCs w:val="16"/>
                <w:color w:val="auto"/>
              </w:rPr>
              <w:t>100%</w:t>
            </w:r>
          </w:p>
        </w:tc>
      </w:tr>
      <w:tr>
        <w:trPr>
          <w:trHeight w:val="206"/>
        </w:trPr>
        <w:tc>
          <w:tcPr>
            <w:tcW w:w="2460" w:type="dxa"/>
            <w:vAlign w:val="bottom"/>
          </w:tcPr>
          <w:p>
            <w:pPr>
              <w:ind w:left="20"/>
              <w:spacing w:after="0"/>
              <w:rPr>
                <w:sz w:val="20"/>
                <w:szCs w:val="20"/>
                <w:color w:val="auto"/>
              </w:rPr>
            </w:pPr>
            <w:r>
              <w:rPr>
                <w:rFonts w:ascii="Calibri" w:cs="Calibri" w:eastAsia="Calibri" w:hAnsi="Calibri"/>
                <w:sz w:val="16"/>
                <w:szCs w:val="16"/>
                <w:color w:val="auto"/>
              </w:rPr>
              <w:t>Cybin IRL</w:t>
            </w:r>
          </w:p>
        </w:tc>
        <w:tc>
          <w:tcPr>
            <w:tcW w:w="3820" w:type="dxa"/>
            <w:vAlign w:val="bottom"/>
          </w:tcPr>
          <w:p>
            <w:pPr>
              <w:ind w:left="1620"/>
              <w:spacing w:after="0"/>
              <w:rPr>
                <w:sz w:val="20"/>
                <w:szCs w:val="20"/>
                <w:color w:val="auto"/>
              </w:rPr>
            </w:pPr>
            <w:r>
              <w:rPr>
                <w:rFonts w:ascii="Calibri" w:cs="Calibri" w:eastAsia="Calibri" w:hAnsi="Calibri"/>
                <w:sz w:val="16"/>
                <w:szCs w:val="16"/>
                <w:color w:val="auto"/>
              </w:rPr>
              <w:t>U.S. dollars</w:t>
            </w:r>
          </w:p>
        </w:tc>
        <w:tc>
          <w:tcPr>
            <w:tcW w:w="4260" w:type="dxa"/>
            <w:vAlign w:val="bottom"/>
          </w:tcPr>
          <w:p>
            <w:pPr>
              <w:ind w:left="860"/>
              <w:spacing w:after="0"/>
              <w:rPr>
                <w:sz w:val="20"/>
                <w:szCs w:val="20"/>
                <w:color w:val="auto"/>
              </w:rPr>
            </w:pPr>
            <w:r>
              <w:rPr>
                <w:rFonts w:ascii="Calibri" w:cs="Calibri" w:eastAsia="Calibri" w:hAnsi="Calibri"/>
                <w:sz w:val="16"/>
                <w:szCs w:val="16"/>
                <w:color w:val="auto"/>
              </w:rPr>
              <w:t>100%</w:t>
            </w:r>
          </w:p>
        </w:tc>
      </w:tr>
      <w:tr>
        <w:trPr>
          <w:trHeight w:val="309"/>
        </w:trPr>
        <w:tc>
          <w:tcPr>
            <w:tcW w:w="2460" w:type="dxa"/>
            <w:vAlign w:val="bottom"/>
          </w:tcPr>
          <w:p>
            <w:pPr>
              <w:ind w:left="20"/>
              <w:spacing w:after="0"/>
              <w:rPr>
                <w:sz w:val="20"/>
                <w:szCs w:val="20"/>
                <w:color w:val="auto"/>
              </w:rPr>
            </w:pPr>
            <w:r>
              <w:rPr>
                <w:rFonts w:ascii="Calibri" w:cs="Calibri" w:eastAsia="Calibri" w:hAnsi="Calibri"/>
                <w:sz w:val="16"/>
                <w:szCs w:val="16"/>
                <w:color w:val="auto"/>
              </w:rPr>
              <w:t>Cybin UK Ltd</w:t>
            </w:r>
            <w:r>
              <w:rPr>
                <w:rFonts w:ascii="Calibri" w:cs="Calibri" w:eastAsia="Calibri" w:hAnsi="Calibri"/>
                <w:sz w:val="20"/>
                <w:szCs w:val="20"/>
                <w:color w:val="auto"/>
                <w:vertAlign w:val="superscript"/>
              </w:rPr>
              <w:t>.</w:t>
            </w:r>
          </w:p>
        </w:tc>
        <w:tc>
          <w:tcPr>
            <w:tcW w:w="3820" w:type="dxa"/>
            <w:vAlign w:val="bottom"/>
          </w:tcPr>
          <w:p>
            <w:pPr>
              <w:ind w:left="1620"/>
              <w:spacing w:after="0"/>
              <w:rPr>
                <w:sz w:val="20"/>
                <w:szCs w:val="20"/>
                <w:color w:val="auto"/>
              </w:rPr>
            </w:pPr>
            <w:r>
              <w:rPr>
                <w:rFonts w:ascii="Calibri" w:cs="Calibri" w:eastAsia="Calibri" w:hAnsi="Calibri"/>
                <w:sz w:val="16"/>
                <w:szCs w:val="16"/>
                <w:color w:val="auto"/>
              </w:rPr>
              <w:t>Great Britain pounds</w:t>
            </w:r>
          </w:p>
        </w:tc>
        <w:tc>
          <w:tcPr>
            <w:tcW w:w="4260" w:type="dxa"/>
            <w:vAlign w:val="bottom"/>
          </w:tcPr>
          <w:p>
            <w:pPr>
              <w:ind w:left="860"/>
              <w:spacing w:after="0"/>
              <w:rPr>
                <w:sz w:val="20"/>
                <w:szCs w:val="20"/>
                <w:color w:val="auto"/>
              </w:rPr>
            </w:pPr>
            <w:r>
              <w:rPr>
                <w:rFonts w:ascii="Calibri" w:cs="Calibri" w:eastAsia="Calibri" w:hAnsi="Calibri"/>
                <w:sz w:val="16"/>
                <w:szCs w:val="16"/>
                <w:color w:val="auto"/>
              </w:rPr>
              <w:t>100%</w:t>
            </w:r>
          </w:p>
        </w:tc>
      </w:tr>
    </w:tbl>
    <w:p>
      <w:pPr>
        <w:spacing w:after="0" w:line="43" w:lineRule="exact"/>
        <w:rPr>
          <w:sz w:val="20"/>
          <w:szCs w:val="20"/>
          <w:color w:val="auto"/>
        </w:rPr>
      </w:pPr>
    </w:p>
    <w:p>
      <w:pPr>
        <w:ind w:left="300" w:hanging="73"/>
        <w:spacing w:after="0"/>
        <w:tabs>
          <w:tab w:leader="none" w:pos="300" w:val="left"/>
        </w:tabs>
        <w:numPr>
          <w:ilvl w:val="0"/>
          <w:numId w:val="1"/>
        </w:numPr>
        <w:rPr>
          <w:rFonts w:ascii="Calibri" w:cs="Calibri" w:eastAsia="Calibri" w:hAnsi="Calibri"/>
          <w:sz w:val="17"/>
          <w:szCs w:val="17"/>
          <w:color w:val="auto"/>
          <w:vertAlign w:val="superscript"/>
        </w:rPr>
      </w:pPr>
      <w:r>
        <w:rPr>
          <w:rFonts w:ascii="Calibri" w:cs="Calibri" w:eastAsia="Calibri" w:hAnsi="Calibri"/>
          <w:sz w:val="13"/>
          <w:szCs w:val="13"/>
          <w:color w:val="auto"/>
        </w:rPr>
        <w:t>For accountng purposes, Cybin US is a wholly-owned subsidiary of Cybin. Certain former Adelia Shareholders hold Class B Shares (defned below) in Cybin US.</w:t>
      </w:r>
    </w:p>
    <w:p>
      <w:pPr>
        <w:spacing w:after="0" w:line="190" w:lineRule="exact"/>
        <w:rPr>
          <w:sz w:val="20"/>
          <w:szCs w:val="20"/>
          <w:color w:val="auto"/>
        </w:rPr>
      </w:pPr>
    </w:p>
    <w:p>
      <w:pPr>
        <w:ind w:left="220"/>
        <w:spacing w:after="0"/>
        <w:rPr>
          <w:sz w:val="20"/>
          <w:szCs w:val="20"/>
          <w:color w:val="auto"/>
        </w:rPr>
      </w:pPr>
      <w:r>
        <w:rPr>
          <w:rFonts w:ascii="Calibri" w:cs="Calibri" w:eastAsia="Calibri" w:hAnsi="Calibri"/>
          <w:sz w:val="15"/>
          <w:szCs w:val="15"/>
          <w:color w:val="auto"/>
        </w:rPr>
        <w:t>The Company acquired Small Pharma Inc. and its subsidiary Small Pharma Ltd. on October 23, 2023. On April 1, 2024, Small Pharma Inc. was amalgamated with Cybin Corp.</w:t>
      </w:r>
    </w:p>
    <w:p>
      <w:pPr>
        <w:spacing w:after="0" w:line="20" w:lineRule="exact"/>
        <w:rPr>
          <w:sz w:val="20"/>
          <w:szCs w:val="20"/>
          <w:color w:val="auto"/>
        </w:rPr>
      </w:pPr>
    </w:p>
    <w:p>
      <w:pPr>
        <w:ind w:left="220"/>
        <w:spacing w:after="0"/>
        <w:rPr>
          <w:sz w:val="20"/>
          <w:szCs w:val="20"/>
          <w:color w:val="auto"/>
        </w:rPr>
      </w:pPr>
      <w:r>
        <w:rPr>
          <w:rFonts w:ascii="Calibri" w:cs="Calibri" w:eastAsia="Calibri" w:hAnsi="Calibri"/>
          <w:sz w:val="16"/>
          <w:szCs w:val="16"/>
          <w:color w:val="auto"/>
        </w:rPr>
        <w:t>and contnued as Cybin Corp. and efectve on December 16, 2023, Small Pharma Ltd.'s name was changed to Cybin UK Ltd.</w:t>
      </w:r>
    </w:p>
    <w:p>
      <w:pPr>
        <w:spacing w:after="0" w:line="204" w:lineRule="exact"/>
        <w:rPr>
          <w:sz w:val="20"/>
          <w:szCs w:val="20"/>
          <w:color w:val="auto"/>
        </w:rPr>
      </w:pPr>
    </w:p>
    <w:p>
      <w:pPr>
        <w:ind w:left="220"/>
        <w:spacing w:after="0"/>
        <w:rPr>
          <w:sz w:val="20"/>
          <w:szCs w:val="20"/>
          <w:color w:val="auto"/>
        </w:rPr>
      </w:pPr>
      <w:r>
        <w:rPr>
          <w:rFonts w:ascii="Calibri" w:cs="Calibri" w:eastAsia="Calibri" w:hAnsi="Calibri"/>
          <w:sz w:val="16"/>
          <w:szCs w:val="16"/>
          <w:b w:val="1"/>
          <w:bCs w:val="1"/>
          <w:i w:val="1"/>
          <w:iCs w:val="1"/>
          <w:u w:val="single" w:color="auto"/>
          <w:color w:val="auto"/>
        </w:rPr>
        <w:t>Share Consolidaton</w:t>
      </w:r>
    </w:p>
    <w:p>
      <w:pPr>
        <w:spacing w:after="0" w:line="158" w:lineRule="exact"/>
        <w:rPr>
          <w:sz w:val="20"/>
          <w:szCs w:val="20"/>
          <w:color w:val="auto"/>
        </w:rPr>
      </w:pPr>
    </w:p>
    <w:p>
      <w:pPr>
        <w:jc w:val="both"/>
        <w:ind w:left="220" w:right="20"/>
        <w:spacing w:after="0" w:line="256" w:lineRule="auto"/>
        <w:rPr>
          <w:sz w:val="20"/>
          <w:szCs w:val="20"/>
          <w:color w:val="auto"/>
        </w:rPr>
      </w:pPr>
      <w:r>
        <w:rPr>
          <w:rFonts w:ascii="Calibri" w:cs="Calibri" w:eastAsia="Calibri" w:hAnsi="Calibri"/>
          <w:sz w:val="16"/>
          <w:szCs w:val="16"/>
          <w:color w:val="auto"/>
        </w:rPr>
        <w:t>On September 19, 2024, the Company consolidated its outstanding Common Shares on the basis of one new Common Share for every 38 existng Common Shares. IAS 33 Earnings Per Share requires retrospectve adjustment to the number of shares and earnings per share in such cases even if such a transacton occurred afer the reportng period. As a result, the number of Common Shares, warrants, optons and earnings per share presented in these condensed interim consolidated fnancial statements have been restated retrospectvely for all the periods to refect this consolidaton.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jc w:val="center"/>
        <w:ind w:right="60"/>
        <w:spacing w:after="0"/>
        <w:rPr>
          <w:sz w:val="20"/>
          <w:szCs w:val="20"/>
          <w:color w:val="auto"/>
        </w:rPr>
      </w:pPr>
      <w:r>
        <w:rPr>
          <w:rFonts w:ascii="Calibri" w:cs="Calibri" w:eastAsia="Calibri" w:hAnsi="Calibri"/>
          <w:sz w:val="16"/>
          <w:szCs w:val="16"/>
          <w:b w:val="1"/>
          <w:bCs w:val="1"/>
          <w:color w:val="auto"/>
        </w:rPr>
        <w:t>Page 8 of 23</w:t>
      </w:r>
    </w:p>
    <w:p>
      <w:pPr>
        <w:sectPr>
          <w:pgSz w:w="11900" w:h="16838" w:orient="portrait"/>
          <w:cols w:equalWidth="0" w:num="1">
            <w:col w:w="11200"/>
          </w:cols>
          <w:pgMar w:left="380" w:top="209" w:right="319" w:bottom="1440" w:gutter="0" w:footer="0" w:header="0"/>
        </w:sectPr>
      </w:pPr>
    </w:p>
    <w:bookmarkStart w:id="11" w:name="page12"/>
    <w:bookmarkEnd w:id="11"/>
    <w:p>
      <w:pPr>
        <w:ind w:left="60"/>
        <w:spacing w:after="0"/>
        <w:rPr>
          <w:sz w:val="20"/>
          <w:szCs w:val="20"/>
          <w:color w:val="auto"/>
        </w:rPr>
      </w:pPr>
      <w:r>
        <w:rPr>
          <w:rFonts w:ascii="Calibri" w:cs="Calibri" w:eastAsia="Calibri" w:hAnsi="Calibri"/>
          <w:sz w:val="19"/>
          <w:szCs w:val="19"/>
          <w:b w:val="1"/>
          <w:bCs w:val="1"/>
          <w:color w:val="auto"/>
        </w:rPr>
        <w:t>CYBIN INC.</w:t>
      </w:r>
    </w:p>
    <w:p>
      <w:pPr>
        <w:ind w:left="60"/>
        <w:spacing w:after="0" w:line="237" w:lineRule="auto"/>
        <w:rPr>
          <w:sz w:val="20"/>
          <w:szCs w:val="20"/>
          <w:color w:val="auto"/>
        </w:rPr>
      </w:pPr>
      <w:r>
        <w:rPr>
          <w:rFonts w:ascii="Calibri" w:cs="Calibri" w:eastAsia="Calibri" w:hAnsi="Calibri"/>
          <w:sz w:val="19"/>
          <w:szCs w:val="19"/>
          <w:b w:val="1"/>
          <w:bCs w:val="1"/>
          <w:color w:val="auto"/>
        </w:rPr>
        <w:t>NOTES TO THE CONDENSED INTERIM CONSOLIDATED FINANCIAL STATEMENTS</w:t>
      </w:r>
    </w:p>
    <w:p>
      <w:pPr>
        <w:ind w:left="60"/>
        <w:spacing w:after="0" w:line="238" w:lineRule="auto"/>
        <w:rPr>
          <w:sz w:val="20"/>
          <w:szCs w:val="20"/>
          <w:color w:val="auto"/>
        </w:rPr>
      </w:pPr>
      <w:r>
        <w:rPr>
          <w:rFonts w:ascii="Calibri" w:cs="Calibri" w:eastAsia="Calibri" w:hAnsi="Calibri"/>
          <w:sz w:val="19"/>
          <w:szCs w:val="19"/>
          <w:b w:val="1"/>
          <w:bCs w:val="1"/>
          <w:color w:val="auto"/>
        </w:rPr>
        <w:t>September 30, 2024</w:t>
      </w:r>
    </w:p>
    <w:p>
      <w:pPr>
        <w:spacing w:after="0" w:line="3" w:lineRule="exact"/>
        <w:rPr>
          <w:sz w:val="20"/>
          <w:szCs w:val="20"/>
          <w:color w:val="auto"/>
        </w:rPr>
      </w:pPr>
    </w:p>
    <w:p>
      <w:pPr>
        <w:ind w:left="60" w:right="200"/>
        <w:spacing w:after="0" w:line="234" w:lineRule="auto"/>
        <w:rPr>
          <w:sz w:val="20"/>
          <w:szCs w:val="20"/>
          <w:color w:val="auto"/>
        </w:rPr>
      </w:pPr>
      <w:r>
        <w:rPr>
          <w:rFonts w:ascii="Calibri" w:cs="Calibri" w:eastAsia="Calibri" w:hAnsi="Calibri"/>
          <w:sz w:val="18"/>
          <w:szCs w:val="18"/>
          <w:b w:val="1"/>
          <w:bCs w:val="1"/>
          <w:color w:val="auto"/>
        </w:rPr>
        <w:t>(All amounts expressed in thousands of Canadian dollars, except share and per share amounts, and those otherwise stated in US dollars, Euros and Great Britain pounds which are in thousands.)</w:t>
      </w:r>
    </w:p>
    <w:p>
      <w:pPr>
        <w:ind w:left="60"/>
        <w:spacing w:after="0" w:line="224" w:lineRule="auto"/>
        <w:rPr>
          <w:sz w:val="20"/>
          <w:szCs w:val="20"/>
          <w:color w:val="auto"/>
        </w:rPr>
      </w:pPr>
      <w:r>
        <w:rPr>
          <w:rFonts w:ascii="Calibri" w:cs="Calibri" w:eastAsia="Calibri" w:hAnsi="Calibri"/>
          <w:sz w:val="18"/>
          <w:szCs w:val="18"/>
          <w:b w:val="1"/>
          <w:bCs w:val="1"/>
          <w:color w:val="auto"/>
        </w:rPr>
        <w:t>(Unaudited)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48895</wp:posOffset>
            </wp:positionV>
            <wp:extent cx="7146925" cy="762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46925" cy="76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ind w:left="280"/>
        <w:spacing w:after="0"/>
        <w:rPr>
          <w:sz w:val="20"/>
          <w:szCs w:val="20"/>
          <w:color w:val="auto"/>
        </w:rPr>
      </w:pPr>
      <w:r>
        <w:rPr>
          <w:rFonts w:ascii="Calibri" w:cs="Calibri" w:eastAsia="Calibri" w:hAnsi="Calibri"/>
          <w:sz w:val="16"/>
          <w:szCs w:val="16"/>
          <w:b w:val="1"/>
          <w:bCs w:val="1"/>
          <w:i w:val="1"/>
          <w:iCs w:val="1"/>
          <w:u w:val="single" w:color="auto"/>
          <w:color w:val="auto"/>
        </w:rPr>
        <w:t>Material accountng policy informaton</w:t>
      </w:r>
    </w:p>
    <w:p>
      <w:pPr>
        <w:spacing w:after="0" w:line="182" w:lineRule="exact"/>
        <w:rPr>
          <w:sz w:val="20"/>
          <w:szCs w:val="20"/>
          <w:color w:val="auto"/>
        </w:rPr>
      </w:pPr>
    </w:p>
    <w:p>
      <w:pPr>
        <w:jc w:val="both"/>
        <w:ind w:left="280" w:right="20"/>
        <w:spacing w:after="0" w:line="264" w:lineRule="auto"/>
        <w:rPr>
          <w:sz w:val="20"/>
          <w:szCs w:val="20"/>
          <w:color w:val="auto"/>
        </w:rPr>
      </w:pPr>
      <w:r>
        <w:rPr>
          <w:rFonts w:ascii="Calibri" w:cs="Calibri" w:eastAsia="Calibri" w:hAnsi="Calibri"/>
          <w:sz w:val="16"/>
          <w:szCs w:val="16"/>
          <w:color w:val="auto"/>
        </w:rPr>
        <w:t>These condensed interim consolidated fnancial statements have been prepared using the same accountng policies and methods as those used in the Company’s annual consolidated fnancial statements for the year ended March 31, 2024.</w:t>
      </w:r>
    </w:p>
    <w:p>
      <w:pPr>
        <w:spacing w:after="0" w:line="172" w:lineRule="exact"/>
        <w:rPr>
          <w:sz w:val="20"/>
          <w:szCs w:val="20"/>
          <w:color w:val="auto"/>
        </w:rPr>
      </w:pPr>
    </w:p>
    <w:p>
      <w:pPr>
        <w:ind w:left="280"/>
        <w:spacing w:after="0"/>
        <w:rPr>
          <w:sz w:val="20"/>
          <w:szCs w:val="20"/>
          <w:color w:val="auto"/>
        </w:rPr>
      </w:pPr>
      <w:r>
        <w:rPr>
          <w:rFonts w:ascii="Calibri" w:cs="Calibri" w:eastAsia="Calibri" w:hAnsi="Calibri"/>
          <w:sz w:val="16"/>
          <w:szCs w:val="16"/>
          <w:b w:val="1"/>
          <w:bCs w:val="1"/>
          <w:i w:val="1"/>
          <w:iCs w:val="1"/>
          <w:u w:val="single" w:color="auto"/>
          <w:color w:val="auto"/>
        </w:rPr>
        <w:t>Use of signifcant estmates and assumptons</w:t>
      </w:r>
    </w:p>
    <w:p>
      <w:pPr>
        <w:spacing w:after="0" w:line="194" w:lineRule="exact"/>
        <w:rPr>
          <w:sz w:val="20"/>
          <w:szCs w:val="20"/>
          <w:color w:val="auto"/>
        </w:rPr>
      </w:pPr>
    </w:p>
    <w:p>
      <w:pPr>
        <w:jc w:val="both"/>
        <w:ind w:left="280" w:right="20"/>
        <w:spacing w:after="0" w:line="273" w:lineRule="auto"/>
        <w:rPr>
          <w:sz w:val="20"/>
          <w:szCs w:val="20"/>
          <w:color w:val="auto"/>
        </w:rPr>
      </w:pPr>
      <w:r>
        <w:rPr>
          <w:rFonts w:ascii="Calibri" w:cs="Calibri" w:eastAsia="Calibri" w:hAnsi="Calibri"/>
          <w:sz w:val="16"/>
          <w:szCs w:val="16"/>
          <w:color w:val="auto"/>
        </w:rPr>
        <w:t>The preparaton of fnancial statements in accordance with IAS 34 requires the use of certain signifcant estmates and assumptons. It also requires management to exercise judgment when applying the Company’s accountng policies. The critcal accountng estmates and judgments have been set out in note 3 of the Company’s annual consolidated fnancial statements for the year ended March 31, 2024.</w:t>
      </w:r>
    </w:p>
    <w:p>
      <w:pPr>
        <w:spacing w:after="0" w:line="226" w:lineRule="exact"/>
        <w:rPr>
          <w:sz w:val="20"/>
          <w:szCs w:val="20"/>
          <w:color w:val="auto"/>
        </w:rPr>
      </w:pPr>
    </w:p>
    <w:p>
      <w:pPr>
        <w:ind w:left="280"/>
        <w:spacing w:after="0"/>
        <w:rPr>
          <w:sz w:val="20"/>
          <w:szCs w:val="20"/>
          <w:color w:val="auto"/>
        </w:rPr>
      </w:pPr>
      <w:r>
        <w:rPr>
          <w:rFonts w:ascii="Calibri" w:cs="Calibri" w:eastAsia="Calibri" w:hAnsi="Calibri"/>
          <w:sz w:val="16"/>
          <w:szCs w:val="16"/>
          <w:b w:val="1"/>
          <w:bCs w:val="1"/>
          <w:i w:val="1"/>
          <w:iCs w:val="1"/>
          <w:u w:val="single" w:color="auto"/>
          <w:color w:val="auto"/>
        </w:rPr>
        <w:t>New standards and interpretatons not yet adopted</w:t>
      </w:r>
    </w:p>
    <w:p>
      <w:pPr>
        <w:spacing w:after="0" w:line="170" w:lineRule="exact"/>
        <w:rPr>
          <w:sz w:val="20"/>
          <w:szCs w:val="20"/>
          <w:color w:val="auto"/>
        </w:rPr>
      </w:pPr>
    </w:p>
    <w:p>
      <w:pPr>
        <w:jc w:val="both"/>
        <w:ind w:left="280"/>
        <w:spacing w:after="0" w:line="273" w:lineRule="auto"/>
        <w:rPr>
          <w:sz w:val="20"/>
          <w:szCs w:val="20"/>
          <w:color w:val="auto"/>
        </w:rPr>
      </w:pPr>
      <w:r>
        <w:rPr>
          <w:rFonts w:ascii="Calibri" w:cs="Calibri" w:eastAsia="Calibri" w:hAnsi="Calibri"/>
          <w:sz w:val="16"/>
          <w:szCs w:val="16"/>
          <w:color w:val="auto"/>
        </w:rPr>
        <w:t>A number of new standards, amendments to standards and interpretatons are not yet efectve as at September 30, 2024, and have not been applied in preparing these condensed interim consolidated fnancial statements. Management has determined that none of these will have a signifcant efect on the condensed interim consolidated fnancial statements of the Company.</w:t>
      </w:r>
    </w:p>
    <w:p>
      <w:pPr>
        <w:spacing w:after="0" w:line="371"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4300" w:type="dxa"/>
            <w:vAlign w:val="bottom"/>
            <w:gridSpan w:val="2"/>
          </w:tcPr>
          <w:p>
            <w:pPr>
              <w:spacing w:after="0"/>
              <w:rPr>
                <w:sz w:val="20"/>
                <w:szCs w:val="20"/>
                <w:color w:val="auto"/>
              </w:rPr>
            </w:pPr>
            <w:r>
              <w:rPr>
                <w:rFonts w:ascii="Calibri" w:cs="Calibri" w:eastAsia="Calibri" w:hAnsi="Calibri"/>
                <w:sz w:val="16"/>
                <w:szCs w:val="16"/>
                <w:b w:val="1"/>
                <w:bCs w:val="1"/>
                <w:color w:val="2D5F91"/>
              </w:rPr>
              <w:t>3.  EQUIPMENT</w:t>
            </w:r>
          </w:p>
        </w:tc>
        <w:tc>
          <w:tcPr>
            <w:tcW w:w="2780" w:type="dxa"/>
            <w:vAlign w:val="bottom"/>
          </w:tcPr>
          <w:p>
            <w:pPr>
              <w:spacing w:after="0"/>
              <w:rPr>
                <w:sz w:val="16"/>
                <w:szCs w:val="16"/>
                <w:color w:val="auto"/>
              </w:rPr>
            </w:pPr>
          </w:p>
        </w:tc>
        <w:tc>
          <w:tcPr>
            <w:tcW w:w="2620" w:type="dxa"/>
            <w:vAlign w:val="bottom"/>
          </w:tcPr>
          <w:p>
            <w:pPr>
              <w:spacing w:after="0"/>
              <w:rPr>
                <w:sz w:val="16"/>
                <w:szCs w:val="16"/>
                <w:color w:val="auto"/>
              </w:rPr>
            </w:pPr>
          </w:p>
        </w:tc>
        <w:tc>
          <w:tcPr>
            <w:tcW w:w="1120" w:type="dxa"/>
            <w:vAlign w:val="bottom"/>
          </w:tcPr>
          <w:p>
            <w:pPr>
              <w:spacing w:after="0"/>
              <w:rPr>
                <w:sz w:val="16"/>
                <w:szCs w:val="16"/>
                <w:color w:val="auto"/>
              </w:rPr>
            </w:pPr>
          </w:p>
        </w:tc>
      </w:tr>
      <w:tr>
        <w:trPr>
          <w:trHeight w:val="399"/>
        </w:trPr>
        <w:tc>
          <w:tcPr>
            <w:tcW w:w="280" w:type="dxa"/>
            <w:vAlign w:val="bottom"/>
          </w:tcPr>
          <w:p>
            <w:pPr>
              <w:spacing w:after="0"/>
              <w:rPr>
                <w:sz w:val="24"/>
                <w:szCs w:val="24"/>
                <w:color w:val="auto"/>
              </w:rPr>
            </w:pPr>
          </w:p>
        </w:tc>
        <w:tc>
          <w:tcPr>
            <w:tcW w:w="4020" w:type="dxa"/>
            <w:vAlign w:val="bottom"/>
          </w:tcPr>
          <w:p>
            <w:pPr>
              <w:spacing w:after="0"/>
              <w:rPr>
                <w:sz w:val="24"/>
                <w:szCs w:val="24"/>
                <w:color w:val="auto"/>
              </w:rPr>
            </w:pPr>
          </w:p>
        </w:tc>
        <w:tc>
          <w:tcPr>
            <w:tcW w:w="2780" w:type="dxa"/>
            <w:vAlign w:val="bottom"/>
          </w:tcPr>
          <w:p>
            <w:pPr>
              <w:jc w:val="right"/>
              <w:ind w:right="399"/>
              <w:spacing w:after="0"/>
              <w:rPr>
                <w:sz w:val="20"/>
                <w:szCs w:val="20"/>
                <w:color w:val="auto"/>
              </w:rPr>
            </w:pPr>
            <w:r>
              <w:rPr>
                <w:rFonts w:ascii="Calibri" w:cs="Calibri" w:eastAsia="Calibri" w:hAnsi="Calibri"/>
                <w:sz w:val="16"/>
                <w:szCs w:val="16"/>
                <w:b w:val="1"/>
                <w:bCs w:val="1"/>
                <w:color w:val="auto"/>
              </w:rPr>
              <w:t>Lab Equipment</w:t>
            </w:r>
          </w:p>
        </w:tc>
        <w:tc>
          <w:tcPr>
            <w:tcW w:w="2620" w:type="dxa"/>
            <w:vAlign w:val="bottom"/>
          </w:tcPr>
          <w:p>
            <w:pPr>
              <w:jc w:val="right"/>
              <w:ind w:right="659"/>
              <w:spacing w:after="0"/>
              <w:rPr>
                <w:sz w:val="20"/>
                <w:szCs w:val="20"/>
                <w:color w:val="auto"/>
              </w:rPr>
            </w:pPr>
            <w:r>
              <w:rPr>
                <w:rFonts w:ascii="Calibri" w:cs="Calibri" w:eastAsia="Calibri" w:hAnsi="Calibri"/>
                <w:sz w:val="16"/>
                <w:szCs w:val="16"/>
                <w:b w:val="1"/>
                <w:bCs w:val="1"/>
                <w:color w:val="auto"/>
              </w:rPr>
              <w:t>Computer Equipment</w:t>
            </w:r>
          </w:p>
        </w:tc>
        <w:tc>
          <w:tcPr>
            <w:tcW w:w="1120" w:type="dxa"/>
            <w:vAlign w:val="bottom"/>
          </w:tcPr>
          <w:p>
            <w:pPr>
              <w:jc w:val="right"/>
              <w:spacing w:after="0"/>
              <w:rPr>
                <w:sz w:val="20"/>
                <w:szCs w:val="20"/>
                <w:color w:val="auto"/>
              </w:rPr>
            </w:pPr>
            <w:r>
              <w:rPr>
                <w:rFonts w:ascii="Calibri" w:cs="Calibri" w:eastAsia="Calibri" w:hAnsi="Calibri"/>
                <w:sz w:val="16"/>
                <w:szCs w:val="16"/>
                <w:b w:val="1"/>
                <w:bCs w:val="1"/>
                <w:color w:val="auto"/>
              </w:rPr>
              <w:t>Total</w:t>
            </w:r>
          </w:p>
        </w:tc>
      </w:tr>
      <w:tr>
        <w:trPr>
          <w:trHeight w:val="206"/>
        </w:trPr>
        <w:tc>
          <w:tcPr>
            <w:tcW w:w="280" w:type="dxa"/>
            <w:vAlign w:val="bottom"/>
          </w:tcPr>
          <w:p>
            <w:pPr>
              <w:spacing w:after="0"/>
              <w:rPr>
                <w:sz w:val="17"/>
                <w:szCs w:val="17"/>
                <w:color w:val="auto"/>
              </w:rPr>
            </w:pPr>
          </w:p>
        </w:tc>
        <w:tc>
          <w:tcPr>
            <w:tcW w:w="4020" w:type="dxa"/>
            <w:vAlign w:val="bottom"/>
          </w:tcPr>
          <w:p>
            <w:pPr>
              <w:ind w:left="20"/>
              <w:spacing w:after="0"/>
              <w:rPr>
                <w:sz w:val="20"/>
                <w:szCs w:val="20"/>
                <w:color w:val="auto"/>
              </w:rPr>
            </w:pPr>
            <w:r>
              <w:rPr>
                <w:rFonts w:ascii="Calibri" w:cs="Calibri" w:eastAsia="Calibri" w:hAnsi="Calibri"/>
                <w:sz w:val="16"/>
                <w:szCs w:val="16"/>
                <w:b w:val="1"/>
                <w:bCs w:val="1"/>
                <w:color w:val="auto"/>
              </w:rPr>
              <w:t>Cost</w:t>
            </w:r>
          </w:p>
        </w:tc>
        <w:tc>
          <w:tcPr>
            <w:tcW w:w="2780" w:type="dxa"/>
            <w:vAlign w:val="bottom"/>
          </w:tcPr>
          <w:p>
            <w:pPr>
              <w:jc w:val="right"/>
              <w:ind w:right="399"/>
              <w:spacing w:after="0"/>
              <w:rPr>
                <w:sz w:val="20"/>
                <w:szCs w:val="20"/>
                <w:color w:val="auto"/>
              </w:rPr>
            </w:pPr>
            <w:r>
              <w:rPr>
                <w:rFonts w:ascii="Calibri" w:cs="Calibri" w:eastAsia="Calibri" w:hAnsi="Calibri"/>
                <w:sz w:val="16"/>
                <w:szCs w:val="16"/>
                <w:b w:val="1"/>
                <w:bCs w:val="1"/>
                <w:color w:val="auto"/>
              </w:rPr>
              <w:t>$</w:t>
            </w:r>
          </w:p>
        </w:tc>
        <w:tc>
          <w:tcPr>
            <w:tcW w:w="2620" w:type="dxa"/>
            <w:vAlign w:val="bottom"/>
          </w:tcPr>
          <w:p>
            <w:pPr>
              <w:jc w:val="right"/>
              <w:ind w:right="659"/>
              <w:spacing w:after="0"/>
              <w:rPr>
                <w:sz w:val="20"/>
                <w:szCs w:val="20"/>
                <w:color w:val="auto"/>
              </w:rPr>
            </w:pPr>
            <w:r>
              <w:rPr>
                <w:rFonts w:ascii="Calibri" w:cs="Calibri" w:eastAsia="Calibri" w:hAnsi="Calibri"/>
                <w:sz w:val="16"/>
                <w:szCs w:val="16"/>
                <w:b w:val="1"/>
                <w:bCs w:val="1"/>
                <w:color w:val="auto"/>
              </w:rPr>
              <w:t>$</w:t>
            </w:r>
          </w:p>
        </w:tc>
        <w:tc>
          <w:tcPr>
            <w:tcW w:w="1120" w:type="dxa"/>
            <w:vAlign w:val="bottom"/>
          </w:tcPr>
          <w:p>
            <w:pPr>
              <w:jc w:val="right"/>
              <w:spacing w:after="0"/>
              <w:rPr>
                <w:sz w:val="20"/>
                <w:szCs w:val="20"/>
                <w:color w:val="auto"/>
              </w:rPr>
            </w:pPr>
            <w:r>
              <w:rPr>
                <w:rFonts w:ascii="Calibri" w:cs="Calibri" w:eastAsia="Calibri" w:hAnsi="Calibri"/>
                <w:sz w:val="16"/>
                <w:szCs w:val="16"/>
                <w:b w:val="1"/>
                <w:bCs w:val="1"/>
                <w:color w:val="auto"/>
              </w:rPr>
              <w:t>$</w:t>
            </w:r>
          </w:p>
        </w:tc>
      </w:tr>
      <w:tr>
        <w:trPr>
          <w:trHeight w:val="20"/>
        </w:trPr>
        <w:tc>
          <w:tcPr>
            <w:tcW w:w="280" w:type="dxa"/>
            <w:vAlign w:val="bottom"/>
          </w:tcPr>
          <w:p>
            <w:pPr>
              <w:spacing w:after="0" w:line="20" w:lineRule="exact"/>
              <w:rPr>
                <w:sz w:val="1"/>
                <w:szCs w:val="1"/>
                <w:color w:val="auto"/>
              </w:rPr>
            </w:pPr>
          </w:p>
        </w:tc>
        <w:tc>
          <w:tcPr>
            <w:tcW w:w="4020" w:type="dxa"/>
            <w:vAlign w:val="bottom"/>
            <w:tcBorders>
              <w:bottom w:val="single" w:sz="8" w:color="auto"/>
            </w:tcBorders>
          </w:tcPr>
          <w:p>
            <w:pPr>
              <w:spacing w:after="0" w:line="20" w:lineRule="exact"/>
              <w:rPr>
                <w:sz w:val="1"/>
                <w:szCs w:val="1"/>
                <w:color w:val="auto"/>
              </w:rPr>
            </w:pPr>
          </w:p>
        </w:tc>
        <w:tc>
          <w:tcPr>
            <w:tcW w:w="2780" w:type="dxa"/>
            <w:vAlign w:val="bottom"/>
            <w:tcBorders>
              <w:bottom w:val="single" w:sz="8" w:color="auto"/>
            </w:tcBorders>
          </w:tcPr>
          <w:p>
            <w:pPr>
              <w:spacing w:after="0" w:line="20" w:lineRule="exact"/>
              <w:rPr>
                <w:sz w:val="1"/>
                <w:szCs w:val="1"/>
                <w:color w:val="auto"/>
              </w:rPr>
            </w:pPr>
          </w:p>
        </w:tc>
        <w:tc>
          <w:tcPr>
            <w:tcW w:w="26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r>
        <w:trPr>
          <w:trHeight w:val="185"/>
        </w:trPr>
        <w:tc>
          <w:tcPr>
            <w:tcW w:w="280" w:type="dxa"/>
            <w:vAlign w:val="bottom"/>
          </w:tcPr>
          <w:p>
            <w:pPr>
              <w:spacing w:after="0"/>
              <w:rPr>
                <w:sz w:val="16"/>
                <w:szCs w:val="16"/>
                <w:color w:val="auto"/>
              </w:rPr>
            </w:pPr>
          </w:p>
        </w:tc>
        <w:tc>
          <w:tcPr>
            <w:tcW w:w="4020" w:type="dxa"/>
            <w:vAlign w:val="bottom"/>
          </w:tcPr>
          <w:p>
            <w:pPr>
              <w:ind w:left="20"/>
              <w:spacing w:after="0" w:line="185" w:lineRule="exact"/>
              <w:rPr>
                <w:sz w:val="20"/>
                <w:szCs w:val="20"/>
                <w:color w:val="auto"/>
              </w:rPr>
            </w:pPr>
            <w:r>
              <w:rPr>
                <w:rFonts w:ascii="Calibri" w:cs="Calibri" w:eastAsia="Calibri" w:hAnsi="Calibri"/>
                <w:sz w:val="16"/>
                <w:szCs w:val="16"/>
                <w:b w:val="1"/>
                <w:bCs w:val="1"/>
                <w:color w:val="auto"/>
              </w:rPr>
              <w:t>Balance March 31, 2024</w:t>
            </w:r>
          </w:p>
        </w:tc>
        <w:tc>
          <w:tcPr>
            <w:tcW w:w="2780" w:type="dxa"/>
            <w:vAlign w:val="bottom"/>
          </w:tcPr>
          <w:p>
            <w:pPr>
              <w:jc w:val="right"/>
              <w:ind w:right="539"/>
              <w:spacing w:after="0" w:line="185" w:lineRule="exact"/>
              <w:rPr>
                <w:sz w:val="20"/>
                <w:szCs w:val="20"/>
                <w:color w:val="auto"/>
              </w:rPr>
            </w:pPr>
            <w:r>
              <w:rPr>
                <w:rFonts w:ascii="Calibri" w:cs="Calibri" w:eastAsia="Calibri" w:hAnsi="Calibri"/>
                <w:sz w:val="16"/>
                <w:szCs w:val="16"/>
                <w:b w:val="1"/>
                <w:bCs w:val="1"/>
                <w:color w:val="auto"/>
              </w:rPr>
              <w:t>664</w:t>
            </w:r>
          </w:p>
        </w:tc>
        <w:tc>
          <w:tcPr>
            <w:tcW w:w="2620" w:type="dxa"/>
            <w:vAlign w:val="bottom"/>
          </w:tcPr>
          <w:p>
            <w:pPr>
              <w:jc w:val="right"/>
              <w:ind w:right="799"/>
              <w:spacing w:after="0" w:line="185" w:lineRule="exact"/>
              <w:rPr>
                <w:sz w:val="20"/>
                <w:szCs w:val="20"/>
                <w:color w:val="auto"/>
              </w:rPr>
            </w:pPr>
            <w:r>
              <w:rPr>
                <w:rFonts w:ascii="Calibri" w:cs="Calibri" w:eastAsia="Calibri" w:hAnsi="Calibri"/>
                <w:sz w:val="16"/>
                <w:szCs w:val="16"/>
                <w:b w:val="1"/>
                <w:bCs w:val="1"/>
                <w:color w:val="auto"/>
              </w:rPr>
              <w:t>266</w:t>
            </w:r>
          </w:p>
        </w:tc>
        <w:tc>
          <w:tcPr>
            <w:tcW w:w="1120" w:type="dxa"/>
            <w:vAlign w:val="bottom"/>
          </w:tcPr>
          <w:p>
            <w:pPr>
              <w:jc w:val="right"/>
              <w:ind w:right="59"/>
              <w:spacing w:after="0" w:line="185" w:lineRule="exact"/>
              <w:rPr>
                <w:sz w:val="20"/>
                <w:szCs w:val="20"/>
                <w:color w:val="auto"/>
              </w:rPr>
            </w:pPr>
            <w:r>
              <w:rPr>
                <w:rFonts w:ascii="Calibri" w:cs="Calibri" w:eastAsia="Calibri" w:hAnsi="Calibri"/>
                <w:sz w:val="16"/>
                <w:szCs w:val="16"/>
                <w:b w:val="1"/>
                <w:bCs w:val="1"/>
                <w:color w:val="auto"/>
              </w:rPr>
              <w:t>930</w:t>
            </w:r>
          </w:p>
        </w:tc>
      </w:tr>
      <w:tr>
        <w:trPr>
          <w:trHeight w:val="198"/>
        </w:trPr>
        <w:tc>
          <w:tcPr>
            <w:tcW w:w="280" w:type="dxa"/>
            <w:vAlign w:val="bottom"/>
          </w:tcPr>
          <w:p>
            <w:pPr>
              <w:spacing w:after="0"/>
              <w:rPr>
                <w:sz w:val="17"/>
                <w:szCs w:val="17"/>
                <w:color w:val="auto"/>
              </w:rPr>
            </w:pPr>
          </w:p>
        </w:tc>
        <w:tc>
          <w:tcPr>
            <w:tcW w:w="4020" w:type="dxa"/>
            <w:vAlign w:val="bottom"/>
          </w:tcPr>
          <w:p>
            <w:pPr>
              <w:ind w:left="20"/>
              <w:spacing w:after="0"/>
              <w:rPr>
                <w:sz w:val="20"/>
                <w:szCs w:val="20"/>
                <w:color w:val="auto"/>
              </w:rPr>
            </w:pPr>
            <w:r>
              <w:rPr>
                <w:rFonts w:ascii="Calibri" w:cs="Calibri" w:eastAsia="Calibri" w:hAnsi="Calibri"/>
                <w:sz w:val="16"/>
                <w:szCs w:val="16"/>
                <w:color w:val="auto"/>
              </w:rPr>
              <w:t>Additons</w:t>
            </w:r>
          </w:p>
        </w:tc>
        <w:tc>
          <w:tcPr>
            <w:tcW w:w="2780" w:type="dxa"/>
            <w:vAlign w:val="bottom"/>
          </w:tcPr>
          <w:p>
            <w:pPr>
              <w:jc w:val="right"/>
              <w:ind w:right="439"/>
              <w:spacing w:after="0"/>
              <w:rPr>
                <w:sz w:val="20"/>
                <w:szCs w:val="20"/>
                <w:color w:val="auto"/>
              </w:rPr>
            </w:pPr>
            <w:r>
              <w:rPr>
                <w:rFonts w:ascii="Calibri" w:cs="Calibri" w:eastAsia="Calibri" w:hAnsi="Calibri"/>
                <w:sz w:val="16"/>
                <w:szCs w:val="16"/>
                <w:color w:val="auto"/>
              </w:rPr>
              <w:t>—</w:t>
            </w:r>
          </w:p>
        </w:tc>
        <w:tc>
          <w:tcPr>
            <w:tcW w:w="2620" w:type="dxa"/>
            <w:vAlign w:val="bottom"/>
          </w:tcPr>
          <w:p>
            <w:pPr>
              <w:jc w:val="right"/>
              <w:ind w:right="699"/>
              <w:spacing w:after="0"/>
              <w:rPr>
                <w:sz w:val="20"/>
                <w:szCs w:val="20"/>
                <w:color w:val="auto"/>
              </w:rPr>
            </w:pPr>
            <w:r>
              <w:rPr>
                <w:rFonts w:ascii="Calibri" w:cs="Calibri" w:eastAsia="Calibri" w:hAnsi="Calibri"/>
                <w:sz w:val="16"/>
                <w:szCs w:val="16"/>
                <w:color w:val="auto"/>
              </w:rPr>
              <w:t>35</w:t>
            </w:r>
          </w:p>
        </w:tc>
        <w:tc>
          <w:tcPr>
            <w:tcW w:w="1120" w:type="dxa"/>
            <w:vAlign w:val="bottom"/>
          </w:tcPr>
          <w:p>
            <w:pPr>
              <w:jc w:val="right"/>
              <w:spacing w:after="0"/>
              <w:rPr>
                <w:sz w:val="20"/>
                <w:szCs w:val="20"/>
                <w:color w:val="auto"/>
              </w:rPr>
            </w:pPr>
            <w:r>
              <w:rPr>
                <w:rFonts w:ascii="Calibri" w:cs="Calibri" w:eastAsia="Calibri" w:hAnsi="Calibri"/>
                <w:sz w:val="16"/>
                <w:szCs w:val="16"/>
                <w:color w:val="auto"/>
              </w:rPr>
              <w:t>35</w:t>
            </w:r>
          </w:p>
        </w:tc>
      </w:tr>
      <w:tr>
        <w:trPr>
          <w:trHeight w:val="206"/>
        </w:trPr>
        <w:tc>
          <w:tcPr>
            <w:tcW w:w="280" w:type="dxa"/>
            <w:vAlign w:val="bottom"/>
          </w:tcPr>
          <w:p>
            <w:pPr>
              <w:spacing w:after="0"/>
              <w:rPr>
                <w:sz w:val="17"/>
                <w:szCs w:val="17"/>
                <w:color w:val="auto"/>
              </w:rPr>
            </w:pPr>
          </w:p>
        </w:tc>
        <w:tc>
          <w:tcPr>
            <w:tcW w:w="4020" w:type="dxa"/>
            <w:vAlign w:val="bottom"/>
          </w:tcPr>
          <w:p>
            <w:pPr>
              <w:ind w:left="20"/>
              <w:spacing w:after="0"/>
              <w:rPr>
                <w:sz w:val="20"/>
                <w:szCs w:val="20"/>
                <w:color w:val="auto"/>
              </w:rPr>
            </w:pPr>
            <w:r>
              <w:rPr>
                <w:rFonts w:ascii="Calibri" w:cs="Calibri" w:eastAsia="Calibri" w:hAnsi="Calibri"/>
                <w:sz w:val="16"/>
                <w:szCs w:val="16"/>
                <w:color w:val="auto"/>
              </w:rPr>
              <w:t>Efect of foreign exchange</w:t>
            </w:r>
          </w:p>
        </w:tc>
        <w:tc>
          <w:tcPr>
            <w:tcW w:w="2780" w:type="dxa"/>
            <w:vAlign w:val="bottom"/>
          </w:tcPr>
          <w:p>
            <w:pPr>
              <w:jc w:val="right"/>
              <w:ind w:right="399"/>
              <w:spacing w:after="0"/>
              <w:rPr>
                <w:sz w:val="20"/>
                <w:szCs w:val="20"/>
                <w:color w:val="auto"/>
              </w:rPr>
            </w:pPr>
            <w:r>
              <w:rPr>
                <w:rFonts w:ascii="Calibri" w:cs="Calibri" w:eastAsia="Calibri" w:hAnsi="Calibri"/>
                <w:sz w:val="16"/>
                <w:szCs w:val="16"/>
                <w:color w:val="auto"/>
              </w:rPr>
              <w:t>(2)</w:t>
            </w:r>
          </w:p>
        </w:tc>
        <w:tc>
          <w:tcPr>
            <w:tcW w:w="2620" w:type="dxa"/>
            <w:vAlign w:val="bottom"/>
          </w:tcPr>
          <w:p>
            <w:pPr>
              <w:jc w:val="right"/>
              <w:ind w:right="699"/>
              <w:spacing w:after="0"/>
              <w:rPr>
                <w:sz w:val="20"/>
                <w:szCs w:val="20"/>
                <w:color w:val="auto"/>
              </w:rPr>
            </w:pPr>
            <w:r>
              <w:rPr>
                <w:rFonts w:ascii="Calibri" w:cs="Calibri" w:eastAsia="Calibri" w:hAnsi="Calibri"/>
                <w:sz w:val="16"/>
                <w:szCs w:val="16"/>
                <w:color w:val="auto"/>
              </w:rPr>
              <w:t>—</w:t>
            </w:r>
          </w:p>
        </w:tc>
        <w:tc>
          <w:tcPr>
            <w:tcW w:w="1120" w:type="dxa"/>
            <w:vAlign w:val="bottom"/>
          </w:tcPr>
          <w:p>
            <w:pPr>
              <w:jc w:val="right"/>
              <w:spacing w:after="0"/>
              <w:rPr>
                <w:sz w:val="20"/>
                <w:szCs w:val="20"/>
                <w:color w:val="auto"/>
              </w:rPr>
            </w:pPr>
            <w:r>
              <w:rPr>
                <w:rFonts w:ascii="Calibri" w:cs="Calibri" w:eastAsia="Calibri" w:hAnsi="Calibri"/>
                <w:sz w:val="16"/>
                <w:szCs w:val="16"/>
                <w:color w:val="auto"/>
              </w:rPr>
              <w:t>(2)</w:t>
            </w:r>
          </w:p>
        </w:tc>
      </w:tr>
      <w:tr>
        <w:trPr>
          <w:trHeight w:val="20"/>
        </w:trPr>
        <w:tc>
          <w:tcPr>
            <w:tcW w:w="280" w:type="dxa"/>
            <w:vAlign w:val="bottom"/>
          </w:tcPr>
          <w:p>
            <w:pPr>
              <w:spacing w:after="0" w:line="20" w:lineRule="exact"/>
              <w:rPr>
                <w:sz w:val="1"/>
                <w:szCs w:val="1"/>
                <w:color w:val="auto"/>
              </w:rPr>
            </w:pPr>
          </w:p>
        </w:tc>
        <w:tc>
          <w:tcPr>
            <w:tcW w:w="4020" w:type="dxa"/>
            <w:vAlign w:val="bottom"/>
            <w:tcBorders>
              <w:bottom w:val="single" w:sz="8" w:color="auto"/>
            </w:tcBorders>
          </w:tcPr>
          <w:p>
            <w:pPr>
              <w:spacing w:after="0" w:line="20" w:lineRule="exact"/>
              <w:rPr>
                <w:sz w:val="1"/>
                <w:szCs w:val="1"/>
                <w:color w:val="auto"/>
              </w:rPr>
            </w:pPr>
          </w:p>
        </w:tc>
        <w:tc>
          <w:tcPr>
            <w:tcW w:w="2780" w:type="dxa"/>
            <w:vAlign w:val="bottom"/>
            <w:tcBorders>
              <w:bottom w:val="single" w:sz="8" w:color="auto"/>
            </w:tcBorders>
          </w:tcPr>
          <w:p>
            <w:pPr>
              <w:spacing w:after="0" w:line="20" w:lineRule="exact"/>
              <w:rPr>
                <w:sz w:val="1"/>
                <w:szCs w:val="1"/>
                <w:color w:val="auto"/>
              </w:rPr>
            </w:pPr>
          </w:p>
        </w:tc>
        <w:tc>
          <w:tcPr>
            <w:tcW w:w="26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r>
        <w:trPr>
          <w:trHeight w:val="191"/>
        </w:trPr>
        <w:tc>
          <w:tcPr>
            <w:tcW w:w="280" w:type="dxa"/>
            <w:vAlign w:val="bottom"/>
          </w:tcPr>
          <w:p>
            <w:pPr>
              <w:spacing w:after="0"/>
              <w:rPr>
                <w:sz w:val="16"/>
                <w:szCs w:val="16"/>
                <w:color w:val="auto"/>
              </w:rPr>
            </w:pPr>
          </w:p>
        </w:tc>
        <w:tc>
          <w:tcPr>
            <w:tcW w:w="4020" w:type="dxa"/>
            <w:vAlign w:val="bottom"/>
            <w:tcBorders>
              <w:bottom w:val="single" w:sz="8" w:color="auto"/>
            </w:tcBorders>
          </w:tcPr>
          <w:p>
            <w:pPr>
              <w:ind w:left="20"/>
              <w:spacing w:after="0" w:line="192" w:lineRule="exact"/>
              <w:rPr>
                <w:sz w:val="20"/>
                <w:szCs w:val="20"/>
                <w:color w:val="auto"/>
              </w:rPr>
            </w:pPr>
            <w:r>
              <w:rPr>
                <w:rFonts w:ascii="Calibri" w:cs="Calibri" w:eastAsia="Calibri" w:hAnsi="Calibri"/>
                <w:sz w:val="16"/>
                <w:szCs w:val="16"/>
                <w:b w:val="1"/>
                <w:bCs w:val="1"/>
                <w:color w:val="auto"/>
              </w:rPr>
              <w:t>Balance, September 30, 2024</w:t>
            </w:r>
          </w:p>
        </w:tc>
        <w:tc>
          <w:tcPr>
            <w:tcW w:w="2780" w:type="dxa"/>
            <w:vAlign w:val="bottom"/>
            <w:tcBorders>
              <w:bottom w:val="single" w:sz="8" w:color="auto"/>
            </w:tcBorders>
          </w:tcPr>
          <w:p>
            <w:pPr>
              <w:jc w:val="right"/>
              <w:ind w:right="439"/>
              <w:spacing w:after="0" w:line="192" w:lineRule="exact"/>
              <w:rPr>
                <w:sz w:val="20"/>
                <w:szCs w:val="20"/>
                <w:color w:val="auto"/>
              </w:rPr>
            </w:pPr>
            <w:r>
              <w:rPr>
                <w:rFonts w:ascii="Calibri" w:cs="Calibri" w:eastAsia="Calibri" w:hAnsi="Calibri"/>
                <w:sz w:val="16"/>
                <w:szCs w:val="16"/>
                <w:b w:val="1"/>
                <w:bCs w:val="1"/>
                <w:color w:val="auto"/>
              </w:rPr>
              <w:t>662</w:t>
            </w:r>
          </w:p>
        </w:tc>
        <w:tc>
          <w:tcPr>
            <w:tcW w:w="2620" w:type="dxa"/>
            <w:vAlign w:val="bottom"/>
            <w:tcBorders>
              <w:bottom w:val="single" w:sz="8" w:color="auto"/>
            </w:tcBorders>
          </w:tcPr>
          <w:p>
            <w:pPr>
              <w:jc w:val="right"/>
              <w:ind w:right="699"/>
              <w:spacing w:after="0" w:line="192" w:lineRule="exact"/>
              <w:rPr>
                <w:sz w:val="20"/>
                <w:szCs w:val="20"/>
                <w:color w:val="auto"/>
              </w:rPr>
            </w:pPr>
            <w:r>
              <w:rPr>
                <w:rFonts w:ascii="Calibri" w:cs="Calibri" w:eastAsia="Calibri" w:hAnsi="Calibri"/>
                <w:sz w:val="16"/>
                <w:szCs w:val="16"/>
                <w:b w:val="1"/>
                <w:bCs w:val="1"/>
                <w:color w:val="auto"/>
              </w:rPr>
              <w:t>301</w:t>
            </w:r>
          </w:p>
        </w:tc>
        <w:tc>
          <w:tcPr>
            <w:tcW w:w="1120" w:type="dxa"/>
            <w:vAlign w:val="bottom"/>
            <w:tcBorders>
              <w:bottom w:val="single" w:sz="8" w:color="auto"/>
            </w:tcBorders>
          </w:tcPr>
          <w:p>
            <w:pPr>
              <w:jc w:val="right"/>
              <w:spacing w:after="0" w:line="192" w:lineRule="exact"/>
              <w:rPr>
                <w:sz w:val="20"/>
                <w:szCs w:val="20"/>
                <w:color w:val="auto"/>
              </w:rPr>
            </w:pPr>
            <w:r>
              <w:rPr>
                <w:rFonts w:ascii="Calibri" w:cs="Calibri" w:eastAsia="Calibri" w:hAnsi="Calibri"/>
                <w:sz w:val="16"/>
                <w:szCs w:val="16"/>
                <w:b w:val="1"/>
                <w:bCs w:val="1"/>
                <w:color w:val="auto"/>
              </w:rPr>
              <w:t>963</w:t>
            </w:r>
          </w:p>
        </w:tc>
      </w:tr>
      <w:tr>
        <w:trPr>
          <w:trHeight w:val="401"/>
        </w:trPr>
        <w:tc>
          <w:tcPr>
            <w:tcW w:w="280" w:type="dxa"/>
            <w:vAlign w:val="bottom"/>
          </w:tcPr>
          <w:p>
            <w:pPr>
              <w:spacing w:after="0"/>
              <w:rPr>
                <w:sz w:val="24"/>
                <w:szCs w:val="24"/>
                <w:color w:val="auto"/>
              </w:rPr>
            </w:pPr>
          </w:p>
        </w:tc>
        <w:tc>
          <w:tcPr>
            <w:tcW w:w="4020" w:type="dxa"/>
            <w:vAlign w:val="bottom"/>
          </w:tcPr>
          <w:p>
            <w:pPr>
              <w:ind w:left="20"/>
              <w:spacing w:after="0"/>
              <w:rPr>
                <w:sz w:val="20"/>
                <w:szCs w:val="20"/>
                <w:color w:val="auto"/>
              </w:rPr>
            </w:pPr>
            <w:r>
              <w:rPr>
                <w:rFonts w:ascii="Calibri" w:cs="Calibri" w:eastAsia="Calibri" w:hAnsi="Calibri"/>
                <w:sz w:val="16"/>
                <w:szCs w:val="16"/>
                <w:b w:val="1"/>
                <w:bCs w:val="1"/>
                <w:color w:val="auto"/>
              </w:rPr>
              <w:t>Accumulated Depreciaton</w:t>
            </w:r>
          </w:p>
        </w:tc>
        <w:tc>
          <w:tcPr>
            <w:tcW w:w="2780" w:type="dxa"/>
            <w:vAlign w:val="bottom"/>
          </w:tcPr>
          <w:p>
            <w:pPr>
              <w:spacing w:after="0"/>
              <w:rPr>
                <w:sz w:val="24"/>
                <w:szCs w:val="24"/>
                <w:color w:val="auto"/>
              </w:rPr>
            </w:pPr>
          </w:p>
        </w:tc>
        <w:tc>
          <w:tcPr>
            <w:tcW w:w="2620" w:type="dxa"/>
            <w:vAlign w:val="bottom"/>
          </w:tcPr>
          <w:p>
            <w:pPr>
              <w:spacing w:after="0"/>
              <w:rPr>
                <w:sz w:val="24"/>
                <w:szCs w:val="24"/>
                <w:color w:val="auto"/>
              </w:rPr>
            </w:pPr>
          </w:p>
        </w:tc>
        <w:tc>
          <w:tcPr>
            <w:tcW w:w="1120" w:type="dxa"/>
            <w:vAlign w:val="bottom"/>
          </w:tcPr>
          <w:p>
            <w:pPr>
              <w:spacing w:after="0"/>
              <w:rPr>
                <w:sz w:val="24"/>
                <w:szCs w:val="24"/>
                <w:color w:val="auto"/>
              </w:rPr>
            </w:pPr>
          </w:p>
        </w:tc>
      </w:tr>
      <w:tr>
        <w:trPr>
          <w:trHeight w:val="206"/>
        </w:trPr>
        <w:tc>
          <w:tcPr>
            <w:tcW w:w="280" w:type="dxa"/>
            <w:vAlign w:val="bottom"/>
          </w:tcPr>
          <w:p>
            <w:pPr>
              <w:spacing w:after="0"/>
              <w:rPr>
                <w:sz w:val="17"/>
                <w:szCs w:val="17"/>
                <w:color w:val="auto"/>
              </w:rPr>
            </w:pPr>
          </w:p>
        </w:tc>
        <w:tc>
          <w:tcPr>
            <w:tcW w:w="4020" w:type="dxa"/>
            <w:vAlign w:val="bottom"/>
          </w:tcPr>
          <w:p>
            <w:pPr>
              <w:ind w:left="20"/>
              <w:spacing w:after="0"/>
              <w:rPr>
                <w:sz w:val="20"/>
                <w:szCs w:val="20"/>
                <w:color w:val="auto"/>
              </w:rPr>
            </w:pPr>
            <w:r>
              <w:rPr>
                <w:rFonts w:ascii="Calibri" w:cs="Calibri" w:eastAsia="Calibri" w:hAnsi="Calibri"/>
                <w:sz w:val="16"/>
                <w:szCs w:val="16"/>
                <w:b w:val="1"/>
                <w:bCs w:val="1"/>
                <w:color w:val="auto"/>
              </w:rPr>
              <w:t>Balance, March 31, 2024</w:t>
            </w:r>
          </w:p>
        </w:tc>
        <w:tc>
          <w:tcPr>
            <w:tcW w:w="2780" w:type="dxa"/>
            <w:vAlign w:val="bottom"/>
          </w:tcPr>
          <w:p>
            <w:pPr>
              <w:jc w:val="right"/>
              <w:ind w:right="539"/>
              <w:spacing w:after="0"/>
              <w:rPr>
                <w:sz w:val="20"/>
                <w:szCs w:val="20"/>
                <w:color w:val="auto"/>
              </w:rPr>
            </w:pPr>
            <w:r>
              <w:rPr>
                <w:rFonts w:ascii="Calibri" w:cs="Calibri" w:eastAsia="Calibri" w:hAnsi="Calibri"/>
                <w:sz w:val="16"/>
                <w:szCs w:val="16"/>
                <w:b w:val="1"/>
                <w:bCs w:val="1"/>
                <w:color w:val="auto"/>
              </w:rPr>
              <w:t>430</w:t>
            </w:r>
          </w:p>
        </w:tc>
        <w:tc>
          <w:tcPr>
            <w:tcW w:w="2620" w:type="dxa"/>
            <w:vAlign w:val="bottom"/>
          </w:tcPr>
          <w:p>
            <w:pPr>
              <w:jc w:val="right"/>
              <w:ind w:right="799"/>
              <w:spacing w:after="0"/>
              <w:rPr>
                <w:sz w:val="20"/>
                <w:szCs w:val="20"/>
                <w:color w:val="auto"/>
              </w:rPr>
            </w:pPr>
            <w:r>
              <w:rPr>
                <w:rFonts w:ascii="Calibri" w:cs="Calibri" w:eastAsia="Calibri" w:hAnsi="Calibri"/>
                <w:sz w:val="16"/>
                <w:szCs w:val="16"/>
                <w:b w:val="1"/>
                <w:bCs w:val="1"/>
                <w:color w:val="auto"/>
              </w:rPr>
              <w:t>234</w:t>
            </w:r>
          </w:p>
        </w:tc>
        <w:tc>
          <w:tcPr>
            <w:tcW w:w="1120" w:type="dxa"/>
            <w:vAlign w:val="bottom"/>
          </w:tcPr>
          <w:p>
            <w:pPr>
              <w:jc w:val="right"/>
              <w:ind w:right="59"/>
              <w:spacing w:after="0"/>
              <w:rPr>
                <w:sz w:val="20"/>
                <w:szCs w:val="20"/>
                <w:color w:val="auto"/>
              </w:rPr>
            </w:pPr>
            <w:r>
              <w:rPr>
                <w:rFonts w:ascii="Calibri" w:cs="Calibri" w:eastAsia="Calibri" w:hAnsi="Calibri"/>
                <w:sz w:val="16"/>
                <w:szCs w:val="16"/>
                <w:b w:val="1"/>
                <w:bCs w:val="1"/>
                <w:color w:val="auto"/>
              </w:rPr>
              <w:t>664</w:t>
            </w:r>
          </w:p>
        </w:tc>
      </w:tr>
      <w:tr>
        <w:trPr>
          <w:trHeight w:val="206"/>
        </w:trPr>
        <w:tc>
          <w:tcPr>
            <w:tcW w:w="280" w:type="dxa"/>
            <w:vAlign w:val="bottom"/>
          </w:tcPr>
          <w:p>
            <w:pPr>
              <w:spacing w:after="0"/>
              <w:rPr>
                <w:sz w:val="17"/>
                <w:szCs w:val="17"/>
                <w:color w:val="auto"/>
              </w:rPr>
            </w:pPr>
          </w:p>
        </w:tc>
        <w:tc>
          <w:tcPr>
            <w:tcW w:w="4020" w:type="dxa"/>
            <w:vAlign w:val="bottom"/>
          </w:tcPr>
          <w:p>
            <w:pPr>
              <w:ind w:left="20"/>
              <w:spacing w:after="0"/>
              <w:rPr>
                <w:sz w:val="20"/>
                <w:szCs w:val="20"/>
                <w:color w:val="auto"/>
              </w:rPr>
            </w:pPr>
            <w:r>
              <w:rPr>
                <w:rFonts w:ascii="Calibri" w:cs="Calibri" w:eastAsia="Calibri" w:hAnsi="Calibri"/>
                <w:sz w:val="16"/>
                <w:szCs w:val="16"/>
                <w:color w:val="auto"/>
              </w:rPr>
              <w:t>Depreciaton charge</w:t>
            </w:r>
          </w:p>
        </w:tc>
        <w:tc>
          <w:tcPr>
            <w:tcW w:w="2780" w:type="dxa"/>
            <w:vAlign w:val="bottom"/>
          </w:tcPr>
          <w:p>
            <w:pPr>
              <w:jc w:val="right"/>
              <w:ind w:right="439"/>
              <w:spacing w:after="0"/>
              <w:rPr>
                <w:sz w:val="20"/>
                <w:szCs w:val="20"/>
                <w:color w:val="auto"/>
              </w:rPr>
            </w:pPr>
            <w:r>
              <w:rPr>
                <w:rFonts w:ascii="Calibri" w:cs="Calibri" w:eastAsia="Calibri" w:hAnsi="Calibri"/>
                <w:sz w:val="16"/>
                <w:szCs w:val="16"/>
                <w:color w:val="auto"/>
              </w:rPr>
              <w:t>70</w:t>
            </w:r>
          </w:p>
        </w:tc>
        <w:tc>
          <w:tcPr>
            <w:tcW w:w="2620" w:type="dxa"/>
            <w:vAlign w:val="bottom"/>
          </w:tcPr>
          <w:p>
            <w:pPr>
              <w:jc w:val="right"/>
              <w:ind w:right="699"/>
              <w:spacing w:after="0"/>
              <w:rPr>
                <w:sz w:val="20"/>
                <w:szCs w:val="20"/>
                <w:color w:val="auto"/>
              </w:rPr>
            </w:pPr>
            <w:r>
              <w:rPr>
                <w:rFonts w:ascii="Calibri" w:cs="Calibri" w:eastAsia="Calibri" w:hAnsi="Calibri"/>
                <w:sz w:val="16"/>
                <w:szCs w:val="16"/>
                <w:color w:val="auto"/>
              </w:rPr>
              <w:t>15</w:t>
            </w:r>
          </w:p>
        </w:tc>
        <w:tc>
          <w:tcPr>
            <w:tcW w:w="1120" w:type="dxa"/>
            <w:vAlign w:val="bottom"/>
          </w:tcPr>
          <w:p>
            <w:pPr>
              <w:jc w:val="right"/>
              <w:spacing w:after="0"/>
              <w:rPr>
                <w:sz w:val="20"/>
                <w:szCs w:val="20"/>
                <w:color w:val="auto"/>
              </w:rPr>
            </w:pPr>
            <w:r>
              <w:rPr>
                <w:rFonts w:ascii="Calibri" w:cs="Calibri" w:eastAsia="Calibri" w:hAnsi="Calibri"/>
                <w:sz w:val="16"/>
                <w:szCs w:val="16"/>
                <w:color w:val="auto"/>
              </w:rPr>
              <w:t>85</w:t>
            </w:r>
          </w:p>
        </w:tc>
      </w:tr>
      <w:tr>
        <w:trPr>
          <w:trHeight w:val="206"/>
        </w:trPr>
        <w:tc>
          <w:tcPr>
            <w:tcW w:w="280" w:type="dxa"/>
            <w:vAlign w:val="bottom"/>
          </w:tcPr>
          <w:p>
            <w:pPr>
              <w:spacing w:after="0"/>
              <w:rPr>
                <w:sz w:val="17"/>
                <w:szCs w:val="17"/>
                <w:color w:val="auto"/>
              </w:rPr>
            </w:pPr>
          </w:p>
        </w:tc>
        <w:tc>
          <w:tcPr>
            <w:tcW w:w="4020" w:type="dxa"/>
            <w:vAlign w:val="bottom"/>
          </w:tcPr>
          <w:p>
            <w:pPr>
              <w:ind w:left="20"/>
              <w:spacing w:after="0"/>
              <w:rPr>
                <w:sz w:val="20"/>
                <w:szCs w:val="20"/>
                <w:color w:val="auto"/>
              </w:rPr>
            </w:pPr>
            <w:r>
              <w:rPr>
                <w:rFonts w:ascii="Calibri" w:cs="Calibri" w:eastAsia="Calibri" w:hAnsi="Calibri"/>
                <w:sz w:val="16"/>
                <w:szCs w:val="16"/>
                <w:color w:val="auto"/>
              </w:rPr>
              <w:t>Efect of foreign exchange</w:t>
            </w:r>
          </w:p>
        </w:tc>
        <w:tc>
          <w:tcPr>
            <w:tcW w:w="2780" w:type="dxa"/>
            <w:vAlign w:val="bottom"/>
          </w:tcPr>
          <w:p>
            <w:pPr>
              <w:jc w:val="right"/>
              <w:ind w:right="399"/>
              <w:spacing w:after="0"/>
              <w:rPr>
                <w:sz w:val="20"/>
                <w:szCs w:val="20"/>
                <w:color w:val="auto"/>
              </w:rPr>
            </w:pPr>
            <w:r>
              <w:rPr>
                <w:rFonts w:ascii="Calibri" w:cs="Calibri" w:eastAsia="Calibri" w:hAnsi="Calibri"/>
                <w:sz w:val="16"/>
                <w:szCs w:val="16"/>
                <w:color w:val="auto"/>
              </w:rPr>
              <w:t>(2)</w:t>
            </w:r>
          </w:p>
        </w:tc>
        <w:tc>
          <w:tcPr>
            <w:tcW w:w="2620" w:type="dxa"/>
            <w:vAlign w:val="bottom"/>
          </w:tcPr>
          <w:p>
            <w:pPr>
              <w:jc w:val="right"/>
              <w:ind w:right="699"/>
              <w:spacing w:after="0"/>
              <w:rPr>
                <w:sz w:val="20"/>
                <w:szCs w:val="20"/>
                <w:color w:val="auto"/>
              </w:rPr>
            </w:pPr>
            <w:r>
              <w:rPr>
                <w:rFonts w:ascii="Calibri" w:cs="Calibri" w:eastAsia="Calibri" w:hAnsi="Calibri"/>
                <w:sz w:val="16"/>
                <w:szCs w:val="16"/>
                <w:color w:val="auto"/>
              </w:rPr>
              <w:t>—</w:t>
            </w:r>
          </w:p>
        </w:tc>
        <w:tc>
          <w:tcPr>
            <w:tcW w:w="1120" w:type="dxa"/>
            <w:vAlign w:val="bottom"/>
          </w:tcPr>
          <w:p>
            <w:pPr>
              <w:jc w:val="right"/>
              <w:spacing w:after="0"/>
              <w:rPr>
                <w:sz w:val="20"/>
                <w:szCs w:val="20"/>
                <w:color w:val="auto"/>
              </w:rPr>
            </w:pPr>
            <w:r>
              <w:rPr>
                <w:rFonts w:ascii="Calibri" w:cs="Calibri" w:eastAsia="Calibri" w:hAnsi="Calibri"/>
                <w:sz w:val="16"/>
                <w:szCs w:val="16"/>
                <w:color w:val="auto"/>
              </w:rPr>
              <w:t>(2)</w:t>
            </w:r>
          </w:p>
        </w:tc>
      </w:tr>
      <w:tr>
        <w:trPr>
          <w:trHeight w:val="20"/>
        </w:trPr>
        <w:tc>
          <w:tcPr>
            <w:tcW w:w="280" w:type="dxa"/>
            <w:vAlign w:val="bottom"/>
          </w:tcPr>
          <w:p>
            <w:pPr>
              <w:spacing w:after="0" w:line="20" w:lineRule="exact"/>
              <w:rPr>
                <w:sz w:val="1"/>
                <w:szCs w:val="1"/>
                <w:color w:val="auto"/>
              </w:rPr>
            </w:pPr>
          </w:p>
        </w:tc>
        <w:tc>
          <w:tcPr>
            <w:tcW w:w="4020" w:type="dxa"/>
            <w:vAlign w:val="bottom"/>
            <w:tcBorders>
              <w:bottom w:val="single" w:sz="8" w:color="auto"/>
            </w:tcBorders>
          </w:tcPr>
          <w:p>
            <w:pPr>
              <w:spacing w:after="0" w:line="20" w:lineRule="exact"/>
              <w:rPr>
                <w:sz w:val="1"/>
                <w:szCs w:val="1"/>
                <w:color w:val="auto"/>
              </w:rPr>
            </w:pPr>
          </w:p>
        </w:tc>
        <w:tc>
          <w:tcPr>
            <w:tcW w:w="2780" w:type="dxa"/>
            <w:vAlign w:val="bottom"/>
            <w:tcBorders>
              <w:bottom w:val="single" w:sz="8" w:color="auto"/>
            </w:tcBorders>
          </w:tcPr>
          <w:p>
            <w:pPr>
              <w:spacing w:after="0" w:line="20" w:lineRule="exact"/>
              <w:rPr>
                <w:sz w:val="1"/>
                <w:szCs w:val="1"/>
                <w:color w:val="auto"/>
              </w:rPr>
            </w:pPr>
          </w:p>
        </w:tc>
        <w:tc>
          <w:tcPr>
            <w:tcW w:w="26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r>
        <w:trPr>
          <w:trHeight w:val="191"/>
        </w:trPr>
        <w:tc>
          <w:tcPr>
            <w:tcW w:w="280" w:type="dxa"/>
            <w:vAlign w:val="bottom"/>
          </w:tcPr>
          <w:p>
            <w:pPr>
              <w:spacing w:after="0"/>
              <w:rPr>
                <w:sz w:val="16"/>
                <w:szCs w:val="16"/>
                <w:color w:val="auto"/>
              </w:rPr>
            </w:pPr>
          </w:p>
        </w:tc>
        <w:tc>
          <w:tcPr>
            <w:tcW w:w="4020" w:type="dxa"/>
            <w:vAlign w:val="bottom"/>
            <w:tcBorders>
              <w:bottom w:val="single" w:sz="8" w:color="auto"/>
            </w:tcBorders>
          </w:tcPr>
          <w:p>
            <w:pPr>
              <w:ind w:left="20"/>
              <w:spacing w:after="0" w:line="192" w:lineRule="exact"/>
              <w:rPr>
                <w:sz w:val="20"/>
                <w:szCs w:val="20"/>
                <w:color w:val="auto"/>
              </w:rPr>
            </w:pPr>
            <w:r>
              <w:rPr>
                <w:rFonts w:ascii="Calibri" w:cs="Calibri" w:eastAsia="Calibri" w:hAnsi="Calibri"/>
                <w:sz w:val="16"/>
                <w:szCs w:val="16"/>
                <w:b w:val="1"/>
                <w:bCs w:val="1"/>
                <w:color w:val="auto"/>
              </w:rPr>
              <w:t>Balance, September 30, 2024</w:t>
            </w:r>
          </w:p>
        </w:tc>
        <w:tc>
          <w:tcPr>
            <w:tcW w:w="2780" w:type="dxa"/>
            <w:vAlign w:val="bottom"/>
            <w:tcBorders>
              <w:bottom w:val="single" w:sz="8" w:color="auto"/>
            </w:tcBorders>
          </w:tcPr>
          <w:p>
            <w:pPr>
              <w:jc w:val="right"/>
              <w:ind w:right="439"/>
              <w:spacing w:after="0" w:line="192" w:lineRule="exact"/>
              <w:rPr>
                <w:sz w:val="20"/>
                <w:szCs w:val="20"/>
                <w:color w:val="auto"/>
              </w:rPr>
            </w:pPr>
            <w:r>
              <w:rPr>
                <w:rFonts w:ascii="Calibri" w:cs="Calibri" w:eastAsia="Calibri" w:hAnsi="Calibri"/>
                <w:sz w:val="16"/>
                <w:szCs w:val="16"/>
                <w:b w:val="1"/>
                <w:bCs w:val="1"/>
                <w:color w:val="auto"/>
              </w:rPr>
              <w:t>498</w:t>
            </w:r>
          </w:p>
        </w:tc>
        <w:tc>
          <w:tcPr>
            <w:tcW w:w="2620" w:type="dxa"/>
            <w:vAlign w:val="bottom"/>
            <w:tcBorders>
              <w:bottom w:val="single" w:sz="8" w:color="auto"/>
            </w:tcBorders>
          </w:tcPr>
          <w:p>
            <w:pPr>
              <w:jc w:val="right"/>
              <w:ind w:right="699"/>
              <w:spacing w:after="0" w:line="192" w:lineRule="exact"/>
              <w:rPr>
                <w:sz w:val="20"/>
                <w:szCs w:val="20"/>
                <w:color w:val="auto"/>
              </w:rPr>
            </w:pPr>
            <w:r>
              <w:rPr>
                <w:rFonts w:ascii="Calibri" w:cs="Calibri" w:eastAsia="Calibri" w:hAnsi="Calibri"/>
                <w:sz w:val="16"/>
                <w:szCs w:val="16"/>
                <w:b w:val="1"/>
                <w:bCs w:val="1"/>
                <w:color w:val="auto"/>
              </w:rPr>
              <w:t>249</w:t>
            </w:r>
          </w:p>
        </w:tc>
        <w:tc>
          <w:tcPr>
            <w:tcW w:w="1120" w:type="dxa"/>
            <w:vAlign w:val="bottom"/>
            <w:tcBorders>
              <w:bottom w:val="single" w:sz="8" w:color="auto"/>
            </w:tcBorders>
          </w:tcPr>
          <w:p>
            <w:pPr>
              <w:jc w:val="right"/>
              <w:spacing w:after="0" w:line="192" w:lineRule="exact"/>
              <w:rPr>
                <w:sz w:val="20"/>
                <w:szCs w:val="20"/>
                <w:color w:val="auto"/>
              </w:rPr>
            </w:pPr>
            <w:r>
              <w:rPr>
                <w:rFonts w:ascii="Calibri" w:cs="Calibri" w:eastAsia="Calibri" w:hAnsi="Calibri"/>
                <w:sz w:val="16"/>
                <w:szCs w:val="16"/>
                <w:b w:val="1"/>
                <w:bCs w:val="1"/>
                <w:color w:val="auto"/>
              </w:rPr>
              <w:t>747</w:t>
            </w:r>
          </w:p>
        </w:tc>
      </w:tr>
      <w:tr>
        <w:trPr>
          <w:trHeight w:val="216"/>
        </w:trPr>
        <w:tc>
          <w:tcPr>
            <w:tcW w:w="280" w:type="dxa"/>
            <w:vAlign w:val="bottom"/>
          </w:tcPr>
          <w:p>
            <w:pPr>
              <w:spacing w:after="0"/>
              <w:rPr>
                <w:sz w:val="18"/>
                <w:szCs w:val="18"/>
                <w:color w:val="auto"/>
              </w:rPr>
            </w:pPr>
          </w:p>
        </w:tc>
        <w:tc>
          <w:tcPr>
            <w:tcW w:w="4020" w:type="dxa"/>
            <w:vAlign w:val="bottom"/>
            <w:tcBorders>
              <w:bottom w:val="single" w:sz="8" w:color="auto"/>
            </w:tcBorders>
          </w:tcPr>
          <w:p>
            <w:pPr>
              <w:spacing w:after="0"/>
              <w:rPr>
                <w:sz w:val="18"/>
                <w:szCs w:val="18"/>
                <w:color w:val="auto"/>
              </w:rPr>
            </w:pPr>
          </w:p>
        </w:tc>
        <w:tc>
          <w:tcPr>
            <w:tcW w:w="2780" w:type="dxa"/>
            <w:vAlign w:val="bottom"/>
            <w:tcBorders>
              <w:bottom w:val="single" w:sz="8" w:color="auto"/>
            </w:tcBorders>
          </w:tcPr>
          <w:p>
            <w:pPr>
              <w:spacing w:after="0"/>
              <w:rPr>
                <w:sz w:val="18"/>
                <w:szCs w:val="18"/>
                <w:color w:val="auto"/>
              </w:rPr>
            </w:pPr>
          </w:p>
        </w:tc>
        <w:tc>
          <w:tcPr>
            <w:tcW w:w="262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spacing w:after="0"/>
              <w:rPr>
                <w:sz w:val="18"/>
                <w:szCs w:val="18"/>
                <w:color w:val="auto"/>
              </w:rPr>
            </w:pPr>
          </w:p>
        </w:tc>
      </w:tr>
      <w:tr>
        <w:trPr>
          <w:trHeight w:val="191"/>
        </w:trPr>
        <w:tc>
          <w:tcPr>
            <w:tcW w:w="280" w:type="dxa"/>
            <w:vAlign w:val="bottom"/>
          </w:tcPr>
          <w:p>
            <w:pPr>
              <w:spacing w:after="0"/>
              <w:rPr>
                <w:sz w:val="16"/>
                <w:szCs w:val="16"/>
                <w:color w:val="auto"/>
              </w:rPr>
            </w:pPr>
          </w:p>
        </w:tc>
        <w:tc>
          <w:tcPr>
            <w:tcW w:w="4020" w:type="dxa"/>
            <w:vAlign w:val="bottom"/>
            <w:tcBorders>
              <w:bottom w:val="single" w:sz="8" w:color="auto"/>
            </w:tcBorders>
          </w:tcPr>
          <w:p>
            <w:pPr>
              <w:ind w:left="20"/>
              <w:spacing w:after="0" w:line="192" w:lineRule="exact"/>
              <w:rPr>
                <w:sz w:val="20"/>
                <w:szCs w:val="20"/>
                <w:color w:val="auto"/>
              </w:rPr>
            </w:pPr>
            <w:r>
              <w:rPr>
                <w:rFonts w:ascii="Calibri" w:cs="Calibri" w:eastAsia="Calibri" w:hAnsi="Calibri"/>
                <w:sz w:val="16"/>
                <w:szCs w:val="16"/>
                <w:b w:val="1"/>
                <w:bCs w:val="1"/>
                <w:color w:val="auto"/>
              </w:rPr>
              <w:t>Net book value as at March 31, 2024</w:t>
            </w:r>
          </w:p>
        </w:tc>
        <w:tc>
          <w:tcPr>
            <w:tcW w:w="2780" w:type="dxa"/>
            <w:vAlign w:val="bottom"/>
            <w:tcBorders>
              <w:bottom w:val="single" w:sz="8" w:color="auto"/>
            </w:tcBorders>
          </w:tcPr>
          <w:p>
            <w:pPr>
              <w:jc w:val="right"/>
              <w:ind w:right="539"/>
              <w:spacing w:after="0" w:line="192" w:lineRule="exact"/>
              <w:rPr>
                <w:sz w:val="20"/>
                <w:szCs w:val="20"/>
                <w:color w:val="auto"/>
              </w:rPr>
            </w:pPr>
            <w:r>
              <w:rPr>
                <w:rFonts w:ascii="Calibri" w:cs="Calibri" w:eastAsia="Calibri" w:hAnsi="Calibri"/>
                <w:sz w:val="16"/>
                <w:szCs w:val="16"/>
                <w:b w:val="1"/>
                <w:bCs w:val="1"/>
                <w:color w:val="auto"/>
              </w:rPr>
              <w:t>234</w:t>
            </w:r>
          </w:p>
        </w:tc>
        <w:tc>
          <w:tcPr>
            <w:tcW w:w="2620" w:type="dxa"/>
            <w:vAlign w:val="bottom"/>
            <w:tcBorders>
              <w:bottom w:val="single" w:sz="8" w:color="auto"/>
            </w:tcBorders>
          </w:tcPr>
          <w:p>
            <w:pPr>
              <w:jc w:val="right"/>
              <w:ind w:right="659"/>
              <w:spacing w:after="0" w:line="192" w:lineRule="exact"/>
              <w:rPr>
                <w:sz w:val="20"/>
                <w:szCs w:val="20"/>
                <w:color w:val="auto"/>
              </w:rPr>
            </w:pPr>
            <w:r>
              <w:rPr>
                <w:rFonts w:ascii="Calibri" w:cs="Calibri" w:eastAsia="Calibri" w:hAnsi="Calibri"/>
                <w:sz w:val="16"/>
                <w:szCs w:val="16"/>
                <w:b w:val="1"/>
                <w:bCs w:val="1"/>
                <w:color w:val="auto"/>
              </w:rPr>
              <w:t>32</w:t>
            </w:r>
          </w:p>
        </w:tc>
        <w:tc>
          <w:tcPr>
            <w:tcW w:w="1120" w:type="dxa"/>
            <w:vAlign w:val="bottom"/>
            <w:tcBorders>
              <w:bottom w:val="single" w:sz="8" w:color="auto"/>
            </w:tcBorders>
          </w:tcPr>
          <w:p>
            <w:pPr>
              <w:jc w:val="right"/>
              <w:ind w:right="59"/>
              <w:spacing w:after="0" w:line="192" w:lineRule="exact"/>
              <w:rPr>
                <w:sz w:val="20"/>
                <w:szCs w:val="20"/>
                <w:color w:val="auto"/>
              </w:rPr>
            </w:pPr>
            <w:r>
              <w:rPr>
                <w:rFonts w:ascii="Calibri" w:cs="Calibri" w:eastAsia="Calibri" w:hAnsi="Calibri"/>
                <w:sz w:val="16"/>
                <w:szCs w:val="16"/>
                <w:b w:val="1"/>
                <w:bCs w:val="1"/>
                <w:color w:val="auto"/>
              </w:rPr>
              <w:t>266</w:t>
            </w:r>
          </w:p>
        </w:tc>
      </w:tr>
      <w:tr>
        <w:trPr>
          <w:trHeight w:val="198"/>
        </w:trPr>
        <w:tc>
          <w:tcPr>
            <w:tcW w:w="280" w:type="dxa"/>
            <w:vAlign w:val="bottom"/>
          </w:tcPr>
          <w:p>
            <w:pPr>
              <w:spacing w:after="0"/>
              <w:rPr>
                <w:sz w:val="17"/>
                <w:szCs w:val="17"/>
                <w:color w:val="auto"/>
              </w:rPr>
            </w:pPr>
          </w:p>
        </w:tc>
        <w:tc>
          <w:tcPr>
            <w:tcW w:w="4020" w:type="dxa"/>
            <w:vAlign w:val="bottom"/>
            <w:tcBorders>
              <w:bottom w:val="single" w:sz="8" w:color="auto"/>
            </w:tcBorders>
          </w:tcPr>
          <w:p>
            <w:pPr>
              <w:ind w:left="20"/>
              <w:spacing w:after="0" w:line="193" w:lineRule="exact"/>
              <w:rPr>
                <w:sz w:val="20"/>
                <w:szCs w:val="20"/>
                <w:color w:val="auto"/>
              </w:rPr>
            </w:pPr>
            <w:r>
              <w:rPr>
                <w:rFonts w:ascii="Calibri" w:cs="Calibri" w:eastAsia="Calibri" w:hAnsi="Calibri"/>
                <w:sz w:val="16"/>
                <w:szCs w:val="16"/>
                <w:b w:val="1"/>
                <w:bCs w:val="1"/>
                <w:color w:val="auto"/>
              </w:rPr>
              <w:t>Net book value as at September 30, 2024</w:t>
            </w:r>
          </w:p>
        </w:tc>
        <w:tc>
          <w:tcPr>
            <w:tcW w:w="2780" w:type="dxa"/>
            <w:vAlign w:val="bottom"/>
            <w:tcBorders>
              <w:bottom w:val="single" w:sz="8" w:color="auto"/>
            </w:tcBorders>
          </w:tcPr>
          <w:p>
            <w:pPr>
              <w:jc w:val="right"/>
              <w:ind w:right="439"/>
              <w:spacing w:after="0" w:line="193" w:lineRule="exact"/>
              <w:rPr>
                <w:sz w:val="20"/>
                <w:szCs w:val="20"/>
                <w:color w:val="auto"/>
              </w:rPr>
            </w:pPr>
            <w:r>
              <w:rPr>
                <w:rFonts w:ascii="Calibri" w:cs="Calibri" w:eastAsia="Calibri" w:hAnsi="Calibri"/>
                <w:sz w:val="16"/>
                <w:szCs w:val="16"/>
                <w:b w:val="1"/>
                <w:bCs w:val="1"/>
                <w:color w:val="auto"/>
              </w:rPr>
              <w:t>164</w:t>
            </w:r>
          </w:p>
        </w:tc>
        <w:tc>
          <w:tcPr>
            <w:tcW w:w="2620" w:type="dxa"/>
            <w:vAlign w:val="bottom"/>
            <w:tcBorders>
              <w:bottom w:val="single" w:sz="8" w:color="auto"/>
            </w:tcBorders>
          </w:tcPr>
          <w:p>
            <w:pPr>
              <w:jc w:val="right"/>
              <w:ind w:right="699"/>
              <w:spacing w:after="0" w:line="193" w:lineRule="exact"/>
              <w:rPr>
                <w:sz w:val="20"/>
                <w:szCs w:val="20"/>
                <w:color w:val="auto"/>
              </w:rPr>
            </w:pPr>
            <w:r>
              <w:rPr>
                <w:rFonts w:ascii="Calibri" w:cs="Calibri" w:eastAsia="Calibri" w:hAnsi="Calibri"/>
                <w:sz w:val="16"/>
                <w:szCs w:val="16"/>
                <w:b w:val="1"/>
                <w:bCs w:val="1"/>
                <w:color w:val="auto"/>
              </w:rPr>
              <w:t>52</w:t>
            </w:r>
          </w:p>
        </w:tc>
        <w:tc>
          <w:tcPr>
            <w:tcW w:w="1120" w:type="dxa"/>
            <w:vAlign w:val="bottom"/>
            <w:tcBorders>
              <w:bottom w:val="single" w:sz="8" w:color="auto"/>
            </w:tcBorders>
          </w:tcPr>
          <w:p>
            <w:pPr>
              <w:jc w:val="right"/>
              <w:spacing w:after="0" w:line="193" w:lineRule="exact"/>
              <w:rPr>
                <w:sz w:val="20"/>
                <w:szCs w:val="20"/>
                <w:color w:val="auto"/>
              </w:rPr>
            </w:pPr>
            <w:r>
              <w:rPr>
                <w:rFonts w:ascii="Calibri" w:cs="Calibri" w:eastAsia="Calibri" w:hAnsi="Calibri"/>
                <w:sz w:val="16"/>
                <w:szCs w:val="16"/>
                <w:b w:val="1"/>
                <w:bCs w:val="1"/>
                <w:color w:val="auto"/>
              </w:rPr>
              <w:t>216</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jc w:val="center"/>
        <w:spacing w:after="0"/>
        <w:rPr>
          <w:sz w:val="20"/>
          <w:szCs w:val="20"/>
          <w:color w:val="auto"/>
        </w:rPr>
      </w:pPr>
      <w:r>
        <w:rPr>
          <w:rFonts w:ascii="Calibri" w:cs="Calibri" w:eastAsia="Calibri" w:hAnsi="Calibri"/>
          <w:sz w:val="16"/>
          <w:szCs w:val="16"/>
          <w:b w:val="1"/>
          <w:bCs w:val="1"/>
          <w:color w:val="auto"/>
        </w:rPr>
        <w:t>Page 9 of 23</w:t>
      </w:r>
    </w:p>
    <w:p>
      <w:pPr>
        <w:sectPr>
          <w:pgSz w:w="11900" w:h="16838" w:orient="portrait"/>
          <w:cols w:equalWidth="0" w:num="1">
            <w:col w:w="11260"/>
          </w:cols>
          <w:pgMar w:left="320" w:top="209" w:right="319" w:bottom="1440" w:gutter="0" w:footer="0" w:header="0"/>
        </w:sectPr>
      </w:pPr>
    </w:p>
    <w:bookmarkStart w:id="12" w:name="page13"/>
    <w:bookmarkEnd w:id="12"/>
    <w:p>
      <w:pPr>
        <w:ind w:left="63"/>
        <w:spacing w:after="0"/>
        <w:rPr>
          <w:sz w:val="20"/>
          <w:szCs w:val="20"/>
          <w:color w:val="auto"/>
        </w:rPr>
      </w:pPr>
      <w:r>
        <w:rPr>
          <w:rFonts w:ascii="Calibri" w:cs="Calibri" w:eastAsia="Calibri" w:hAnsi="Calibri"/>
          <w:sz w:val="19"/>
          <w:szCs w:val="19"/>
          <w:b w:val="1"/>
          <w:bCs w:val="1"/>
          <w:color w:val="auto"/>
        </w:rPr>
        <w:t>CYBIN INC.</w:t>
      </w:r>
    </w:p>
    <w:p>
      <w:pPr>
        <w:spacing w:after="0" w:line="34" w:lineRule="exact"/>
        <w:rPr>
          <w:sz w:val="20"/>
          <w:szCs w:val="20"/>
          <w:color w:val="auto"/>
        </w:rPr>
      </w:pPr>
    </w:p>
    <w:p>
      <w:pPr>
        <w:ind w:left="63"/>
        <w:spacing w:after="0"/>
        <w:rPr>
          <w:sz w:val="20"/>
          <w:szCs w:val="20"/>
          <w:color w:val="auto"/>
        </w:rPr>
      </w:pPr>
      <w:r>
        <w:rPr>
          <w:rFonts w:ascii="Calibri" w:cs="Calibri" w:eastAsia="Calibri" w:hAnsi="Calibri"/>
          <w:sz w:val="19"/>
          <w:szCs w:val="19"/>
          <w:b w:val="1"/>
          <w:bCs w:val="1"/>
          <w:color w:val="auto"/>
        </w:rPr>
        <w:t>NOTES TO THE CONDENSED INTERIM CONSOLIDATED FINANCIAL STATEMENTS</w:t>
      </w:r>
    </w:p>
    <w:p>
      <w:pPr>
        <w:spacing w:after="0" w:line="34" w:lineRule="exact"/>
        <w:rPr>
          <w:sz w:val="20"/>
          <w:szCs w:val="20"/>
          <w:color w:val="auto"/>
        </w:rPr>
      </w:pPr>
    </w:p>
    <w:p>
      <w:pPr>
        <w:ind w:left="103"/>
        <w:spacing w:after="0"/>
        <w:rPr>
          <w:sz w:val="20"/>
          <w:szCs w:val="20"/>
          <w:color w:val="auto"/>
        </w:rPr>
      </w:pPr>
      <w:r>
        <w:rPr>
          <w:rFonts w:ascii="Calibri" w:cs="Calibri" w:eastAsia="Calibri" w:hAnsi="Calibri"/>
          <w:sz w:val="19"/>
          <w:szCs w:val="19"/>
          <w:b w:val="1"/>
          <w:bCs w:val="1"/>
          <w:color w:val="auto"/>
        </w:rPr>
        <w:t>June 30, 2024</w:t>
      </w:r>
    </w:p>
    <w:p>
      <w:pPr>
        <w:spacing w:after="0" w:line="27" w:lineRule="exact"/>
        <w:rPr>
          <w:sz w:val="20"/>
          <w:szCs w:val="20"/>
          <w:color w:val="auto"/>
        </w:rPr>
      </w:pPr>
    </w:p>
    <w:p>
      <w:pPr>
        <w:ind w:left="63"/>
        <w:spacing w:after="0" w:line="267" w:lineRule="auto"/>
        <w:rPr>
          <w:sz w:val="20"/>
          <w:szCs w:val="20"/>
          <w:color w:val="auto"/>
        </w:rPr>
      </w:pPr>
      <w:r>
        <w:rPr>
          <w:rFonts w:ascii="Calibri" w:cs="Calibri" w:eastAsia="Calibri" w:hAnsi="Calibri"/>
          <w:sz w:val="18"/>
          <w:szCs w:val="18"/>
          <w:b w:val="1"/>
          <w:bCs w:val="1"/>
          <w:color w:val="auto"/>
        </w:rPr>
        <w:t>(All amounts expressed in thousands of Canadian dollars, except share and per share amounts, and those otherwise stated in US dollars, Euros and Great Britain pounds which are in thousands.)</w:t>
      </w:r>
    </w:p>
    <w:p>
      <w:pPr>
        <w:ind w:left="63"/>
        <w:spacing w:after="0" w:line="237" w:lineRule="auto"/>
        <w:rPr>
          <w:sz w:val="20"/>
          <w:szCs w:val="20"/>
          <w:color w:val="auto"/>
        </w:rPr>
      </w:pPr>
      <w:r>
        <w:rPr>
          <w:rFonts w:ascii="Calibri" w:cs="Calibri" w:eastAsia="Calibri" w:hAnsi="Calibri"/>
          <w:sz w:val="18"/>
          <w:szCs w:val="18"/>
          <w:b w:val="1"/>
          <w:bCs w:val="1"/>
          <w:color w:val="auto"/>
        </w:rPr>
        <w:t>(Unaudited)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57150</wp:posOffset>
            </wp:positionV>
            <wp:extent cx="7146925" cy="762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46925" cy="76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tbl>
      <w:tblPr>
        <w:tblLayout w:type="fixed"/>
        <w:tblInd w:w="3" w:type="dxa"/>
        <w:tblCellMar>
          <w:top w:w="0" w:type="dxa"/>
          <w:left w:w="0" w:type="dxa"/>
          <w:bottom w:w="0" w:type="dxa"/>
          <w:right w:w="0" w:type="dxa"/>
        </w:tblCellMar>
      </w:tblPr>
      <w:tr>
        <w:trPr>
          <w:trHeight w:val="195"/>
        </w:trPr>
        <w:tc>
          <w:tcPr>
            <w:tcW w:w="4100" w:type="dxa"/>
            <w:vAlign w:val="bottom"/>
            <w:gridSpan w:val="2"/>
          </w:tcPr>
          <w:p>
            <w:pPr>
              <w:spacing w:after="0"/>
              <w:rPr>
                <w:sz w:val="20"/>
                <w:szCs w:val="20"/>
                <w:color w:val="auto"/>
              </w:rPr>
            </w:pPr>
            <w:r>
              <w:rPr>
                <w:rFonts w:ascii="Calibri" w:cs="Calibri" w:eastAsia="Calibri" w:hAnsi="Calibri"/>
                <w:sz w:val="16"/>
                <w:szCs w:val="16"/>
                <w:b w:val="1"/>
                <w:bCs w:val="1"/>
                <w:color w:val="2D5F91"/>
              </w:rPr>
              <w:t>4.  INTANGIBLE ASSETS</w:t>
            </w:r>
          </w:p>
        </w:tc>
        <w:tc>
          <w:tcPr>
            <w:tcW w:w="236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840" w:type="dxa"/>
            <w:vAlign w:val="bottom"/>
          </w:tcPr>
          <w:p>
            <w:pPr>
              <w:spacing w:after="0"/>
              <w:rPr>
                <w:sz w:val="16"/>
                <w:szCs w:val="16"/>
                <w:color w:val="auto"/>
              </w:rPr>
            </w:pPr>
          </w:p>
        </w:tc>
      </w:tr>
      <w:tr>
        <w:trPr>
          <w:trHeight w:val="375"/>
        </w:trPr>
        <w:tc>
          <w:tcPr>
            <w:tcW w:w="280" w:type="dxa"/>
            <w:vAlign w:val="bottom"/>
          </w:tcPr>
          <w:p>
            <w:pPr>
              <w:spacing w:after="0"/>
              <w:rPr>
                <w:sz w:val="24"/>
                <w:szCs w:val="24"/>
                <w:color w:val="auto"/>
              </w:rPr>
            </w:pPr>
          </w:p>
        </w:tc>
        <w:tc>
          <w:tcPr>
            <w:tcW w:w="3820" w:type="dxa"/>
            <w:vAlign w:val="bottom"/>
          </w:tcPr>
          <w:p>
            <w:pPr>
              <w:spacing w:after="0"/>
              <w:rPr>
                <w:sz w:val="24"/>
                <w:szCs w:val="24"/>
                <w:color w:val="auto"/>
              </w:rPr>
            </w:pPr>
          </w:p>
        </w:tc>
        <w:tc>
          <w:tcPr>
            <w:tcW w:w="2360" w:type="dxa"/>
            <w:vAlign w:val="bottom"/>
          </w:tcPr>
          <w:p>
            <w:pPr>
              <w:jc w:val="right"/>
              <w:ind w:right="259"/>
              <w:spacing w:after="0"/>
              <w:rPr>
                <w:sz w:val="20"/>
                <w:szCs w:val="20"/>
                <w:color w:val="auto"/>
              </w:rPr>
            </w:pPr>
            <w:r>
              <w:rPr>
                <w:rFonts w:ascii="Calibri" w:cs="Calibri" w:eastAsia="Calibri" w:hAnsi="Calibri"/>
                <w:sz w:val="16"/>
                <w:szCs w:val="16"/>
                <w:b w:val="1"/>
                <w:bCs w:val="1"/>
                <w:color w:val="auto"/>
              </w:rPr>
              <w:t>IP Research &amp;</w:t>
            </w:r>
          </w:p>
        </w:tc>
        <w:tc>
          <w:tcPr>
            <w:tcW w:w="11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840" w:type="dxa"/>
            <w:vAlign w:val="bottom"/>
          </w:tcPr>
          <w:p>
            <w:pPr>
              <w:spacing w:after="0"/>
              <w:rPr>
                <w:sz w:val="24"/>
                <w:szCs w:val="24"/>
                <w:color w:val="auto"/>
              </w:rPr>
            </w:pPr>
          </w:p>
        </w:tc>
      </w:tr>
      <w:tr>
        <w:trPr>
          <w:trHeight w:val="205"/>
        </w:trPr>
        <w:tc>
          <w:tcPr>
            <w:tcW w:w="280" w:type="dxa"/>
            <w:vAlign w:val="bottom"/>
          </w:tcPr>
          <w:p>
            <w:pPr>
              <w:spacing w:after="0"/>
              <w:rPr>
                <w:sz w:val="17"/>
                <w:szCs w:val="17"/>
                <w:color w:val="auto"/>
              </w:rPr>
            </w:pPr>
          </w:p>
        </w:tc>
        <w:tc>
          <w:tcPr>
            <w:tcW w:w="3820" w:type="dxa"/>
            <w:vAlign w:val="bottom"/>
          </w:tcPr>
          <w:p>
            <w:pPr>
              <w:spacing w:after="0"/>
              <w:rPr>
                <w:sz w:val="17"/>
                <w:szCs w:val="17"/>
                <w:color w:val="auto"/>
              </w:rPr>
            </w:pPr>
          </w:p>
        </w:tc>
        <w:tc>
          <w:tcPr>
            <w:tcW w:w="2360" w:type="dxa"/>
            <w:vAlign w:val="bottom"/>
          </w:tcPr>
          <w:p>
            <w:pPr>
              <w:jc w:val="right"/>
              <w:ind w:right="259"/>
              <w:spacing w:after="0" w:line="193" w:lineRule="exact"/>
              <w:rPr>
                <w:sz w:val="20"/>
                <w:szCs w:val="20"/>
                <w:color w:val="auto"/>
              </w:rPr>
            </w:pPr>
            <w:r>
              <w:rPr>
                <w:rFonts w:ascii="Calibri" w:cs="Calibri" w:eastAsia="Calibri" w:hAnsi="Calibri"/>
                <w:sz w:val="16"/>
                <w:szCs w:val="16"/>
                <w:b w:val="1"/>
                <w:bCs w:val="1"/>
                <w:color w:val="auto"/>
              </w:rPr>
              <w:t>Development</w:t>
            </w:r>
          </w:p>
        </w:tc>
        <w:tc>
          <w:tcPr>
            <w:tcW w:w="1180" w:type="dxa"/>
            <w:vAlign w:val="bottom"/>
          </w:tcPr>
          <w:p>
            <w:pPr>
              <w:jc w:val="right"/>
              <w:ind w:right="259"/>
              <w:spacing w:after="0"/>
              <w:rPr>
                <w:sz w:val="20"/>
                <w:szCs w:val="20"/>
                <w:color w:val="auto"/>
              </w:rPr>
            </w:pPr>
            <w:r>
              <w:rPr>
                <w:rFonts w:ascii="Calibri" w:cs="Calibri" w:eastAsia="Calibri" w:hAnsi="Calibri"/>
                <w:sz w:val="16"/>
                <w:szCs w:val="16"/>
                <w:b w:val="1"/>
                <w:bCs w:val="1"/>
                <w:color w:val="auto"/>
              </w:rPr>
              <w:t>Patents</w:t>
            </w:r>
          </w:p>
        </w:tc>
        <w:tc>
          <w:tcPr>
            <w:tcW w:w="1120" w:type="dxa"/>
            <w:vAlign w:val="bottom"/>
          </w:tcPr>
          <w:p>
            <w:pPr>
              <w:jc w:val="right"/>
              <w:ind w:right="219"/>
              <w:spacing w:after="0"/>
              <w:rPr>
                <w:sz w:val="20"/>
                <w:szCs w:val="20"/>
                <w:color w:val="auto"/>
              </w:rPr>
            </w:pPr>
            <w:r>
              <w:rPr>
                <w:rFonts w:ascii="Calibri" w:cs="Calibri" w:eastAsia="Calibri" w:hAnsi="Calibri"/>
                <w:sz w:val="16"/>
                <w:szCs w:val="16"/>
                <w:b w:val="1"/>
                <w:bCs w:val="1"/>
                <w:color w:val="auto"/>
              </w:rPr>
              <w:t>License</w:t>
            </w:r>
          </w:p>
        </w:tc>
        <w:tc>
          <w:tcPr>
            <w:tcW w:w="1220" w:type="dxa"/>
            <w:vAlign w:val="bottom"/>
          </w:tcPr>
          <w:p>
            <w:pPr>
              <w:jc w:val="right"/>
              <w:ind w:right="259"/>
              <w:spacing w:after="0"/>
              <w:rPr>
                <w:sz w:val="20"/>
                <w:szCs w:val="20"/>
                <w:color w:val="auto"/>
              </w:rPr>
            </w:pPr>
            <w:r>
              <w:rPr>
                <w:rFonts w:ascii="Calibri" w:cs="Calibri" w:eastAsia="Calibri" w:hAnsi="Calibri"/>
                <w:sz w:val="16"/>
                <w:szCs w:val="16"/>
                <w:b w:val="1"/>
                <w:bCs w:val="1"/>
                <w:color w:val="auto"/>
              </w:rPr>
              <w:t>Sofware</w:t>
            </w:r>
          </w:p>
        </w:tc>
        <w:tc>
          <w:tcPr>
            <w:tcW w:w="840" w:type="dxa"/>
            <w:vAlign w:val="bottom"/>
          </w:tcPr>
          <w:p>
            <w:pPr>
              <w:jc w:val="right"/>
              <w:spacing w:after="0"/>
              <w:rPr>
                <w:sz w:val="20"/>
                <w:szCs w:val="20"/>
                <w:color w:val="auto"/>
              </w:rPr>
            </w:pPr>
            <w:r>
              <w:rPr>
                <w:rFonts w:ascii="Calibri" w:cs="Calibri" w:eastAsia="Calibri" w:hAnsi="Calibri"/>
                <w:sz w:val="16"/>
                <w:szCs w:val="16"/>
                <w:b w:val="1"/>
                <w:bCs w:val="1"/>
                <w:color w:val="auto"/>
              </w:rPr>
              <w:t>Total</w:t>
            </w:r>
          </w:p>
        </w:tc>
      </w:tr>
      <w:tr>
        <w:trPr>
          <w:trHeight w:val="206"/>
        </w:trPr>
        <w:tc>
          <w:tcPr>
            <w:tcW w:w="280" w:type="dxa"/>
            <w:vAlign w:val="bottom"/>
          </w:tcPr>
          <w:p>
            <w:pPr>
              <w:spacing w:after="0"/>
              <w:rPr>
                <w:sz w:val="17"/>
                <w:szCs w:val="17"/>
                <w:color w:val="auto"/>
              </w:rPr>
            </w:pPr>
          </w:p>
        </w:tc>
        <w:tc>
          <w:tcPr>
            <w:tcW w:w="3820" w:type="dxa"/>
            <w:vAlign w:val="bottom"/>
          </w:tcPr>
          <w:p>
            <w:pPr>
              <w:ind w:left="20"/>
              <w:spacing w:after="0"/>
              <w:rPr>
                <w:sz w:val="20"/>
                <w:szCs w:val="20"/>
                <w:color w:val="auto"/>
              </w:rPr>
            </w:pPr>
            <w:r>
              <w:rPr>
                <w:rFonts w:ascii="Calibri" w:cs="Calibri" w:eastAsia="Calibri" w:hAnsi="Calibri"/>
                <w:sz w:val="16"/>
                <w:szCs w:val="16"/>
                <w:b w:val="1"/>
                <w:bCs w:val="1"/>
                <w:color w:val="auto"/>
              </w:rPr>
              <w:t>Cost</w:t>
            </w:r>
          </w:p>
        </w:tc>
        <w:tc>
          <w:tcPr>
            <w:tcW w:w="2360" w:type="dxa"/>
            <w:vAlign w:val="bottom"/>
          </w:tcPr>
          <w:p>
            <w:pPr>
              <w:jc w:val="right"/>
              <w:ind w:right="259"/>
              <w:spacing w:after="0"/>
              <w:rPr>
                <w:sz w:val="20"/>
                <w:szCs w:val="20"/>
                <w:color w:val="auto"/>
              </w:rPr>
            </w:pPr>
            <w:r>
              <w:rPr>
                <w:rFonts w:ascii="Calibri" w:cs="Calibri" w:eastAsia="Calibri" w:hAnsi="Calibri"/>
                <w:sz w:val="16"/>
                <w:szCs w:val="16"/>
                <w:b w:val="1"/>
                <w:bCs w:val="1"/>
                <w:color w:val="auto"/>
              </w:rPr>
              <w:t>$</w:t>
            </w:r>
          </w:p>
        </w:tc>
        <w:tc>
          <w:tcPr>
            <w:tcW w:w="1180" w:type="dxa"/>
            <w:vAlign w:val="bottom"/>
          </w:tcPr>
          <w:p>
            <w:pPr>
              <w:jc w:val="right"/>
              <w:ind w:right="259"/>
              <w:spacing w:after="0"/>
              <w:rPr>
                <w:sz w:val="20"/>
                <w:szCs w:val="20"/>
                <w:color w:val="auto"/>
              </w:rPr>
            </w:pPr>
            <w:r>
              <w:rPr>
                <w:rFonts w:ascii="Calibri" w:cs="Calibri" w:eastAsia="Calibri" w:hAnsi="Calibri"/>
                <w:sz w:val="16"/>
                <w:szCs w:val="16"/>
                <w:b w:val="1"/>
                <w:bCs w:val="1"/>
                <w:color w:val="auto"/>
              </w:rPr>
              <w:t>$</w:t>
            </w:r>
          </w:p>
        </w:tc>
        <w:tc>
          <w:tcPr>
            <w:tcW w:w="1120" w:type="dxa"/>
            <w:vAlign w:val="bottom"/>
          </w:tcPr>
          <w:p>
            <w:pPr>
              <w:jc w:val="right"/>
              <w:ind w:right="219"/>
              <w:spacing w:after="0"/>
              <w:rPr>
                <w:sz w:val="20"/>
                <w:szCs w:val="20"/>
                <w:color w:val="auto"/>
              </w:rPr>
            </w:pPr>
            <w:r>
              <w:rPr>
                <w:rFonts w:ascii="Calibri" w:cs="Calibri" w:eastAsia="Calibri" w:hAnsi="Calibri"/>
                <w:sz w:val="16"/>
                <w:szCs w:val="16"/>
                <w:b w:val="1"/>
                <w:bCs w:val="1"/>
                <w:color w:val="auto"/>
              </w:rPr>
              <w:t>$</w:t>
            </w:r>
          </w:p>
        </w:tc>
        <w:tc>
          <w:tcPr>
            <w:tcW w:w="1220" w:type="dxa"/>
            <w:vAlign w:val="bottom"/>
          </w:tcPr>
          <w:p>
            <w:pPr>
              <w:jc w:val="right"/>
              <w:ind w:right="259"/>
              <w:spacing w:after="0"/>
              <w:rPr>
                <w:sz w:val="20"/>
                <w:szCs w:val="20"/>
                <w:color w:val="auto"/>
              </w:rPr>
            </w:pPr>
            <w:r>
              <w:rPr>
                <w:rFonts w:ascii="Calibri" w:cs="Calibri" w:eastAsia="Calibri" w:hAnsi="Calibri"/>
                <w:sz w:val="16"/>
                <w:szCs w:val="16"/>
                <w:b w:val="1"/>
                <w:bCs w:val="1"/>
                <w:color w:val="auto"/>
              </w:rPr>
              <w:t>$</w:t>
            </w:r>
          </w:p>
        </w:tc>
        <w:tc>
          <w:tcPr>
            <w:tcW w:w="840" w:type="dxa"/>
            <w:vAlign w:val="bottom"/>
          </w:tcPr>
          <w:p>
            <w:pPr>
              <w:jc w:val="right"/>
              <w:spacing w:after="0"/>
              <w:rPr>
                <w:sz w:val="20"/>
                <w:szCs w:val="20"/>
                <w:color w:val="auto"/>
              </w:rPr>
            </w:pPr>
            <w:r>
              <w:rPr>
                <w:rFonts w:ascii="Calibri" w:cs="Calibri" w:eastAsia="Calibri" w:hAnsi="Calibri"/>
                <w:sz w:val="16"/>
                <w:szCs w:val="16"/>
                <w:b w:val="1"/>
                <w:bCs w:val="1"/>
                <w:color w:val="auto"/>
              </w:rPr>
              <w:t>$</w:t>
            </w:r>
          </w:p>
        </w:tc>
      </w:tr>
      <w:tr>
        <w:trPr>
          <w:trHeight w:val="20"/>
        </w:trPr>
        <w:tc>
          <w:tcPr>
            <w:tcW w:w="280" w:type="dxa"/>
            <w:vAlign w:val="bottom"/>
          </w:tcPr>
          <w:p>
            <w:pPr>
              <w:spacing w:after="0" w:line="20" w:lineRule="exact"/>
              <w:rPr>
                <w:sz w:val="1"/>
                <w:szCs w:val="1"/>
                <w:color w:val="auto"/>
              </w:rPr>
            </w:pPr>
          </w:p>
        </w:tc>
        <w:tc>
          <w:tcPr>
            <w:tcW w:w="3820" w:type="dxa"/>
            <w:vAlign w:val="bottom"/>
            <w:tcBorders>
              <w:bottom w:val="single" w:sz="8" w:color="auto"/>
            </w:tcBorders>
          </w:tcPr>
          <w:p>
            <w:pPr>
              <w:spacing w:after="0" w:line="20" w:lineRule="exact"/>
              <w:rPr>
                <w:sz w:val="1"/>
                <w:szCs w:val="1"/>
                <w:color w:val="auto"/>
              </w:rPr>
            </w:pPr>
          </w:p>
        </w:tc>
        <w:tc>
          <w:tcPr>
            <w:tcW w:w="23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r>
      <w:tr>
        <w:trPr>
          <w:trHeight w:val="185"/>
        </w:trPr>
        <w:tc>
          <w:tcPr>
            <w:tcW w:w="280" w:type="dxa"/>
            <w:vAlign w:val="bottom"/>
          </w:tcPr>
          <w:p>
            <w:pPr>
              <w:spacing w:after="0"/>
              <w:rPr>
                <w:sz w:val="16"/>
                <w:szCs w:val="16"/>
                <w:color w:val="auto"/>
              </w:rPr>
            </w:pPr>
          </w:p>
        </w:tc>
        <w:tc>
          <w:tcPr>
            <w:tcW w:w="3820" w:type="dxa"/>
            <w:vAlign w:val="bottom"/>
          </w:tcPr>
          <w:p>
            <w:pPr>
              <w:ind w:left="20"/>
              <w:spacing w:after="0" w:line="185" w:lineRule="exact"/>
              <w:rPr>
                <w:sz w:val="20"/>
                <w:szCs w:val="20"/>
                <w:color w:val="auto"/>
              </w:rPr>
            </w:pPr>
            <w:r>
              <w:rPr>
                <w:rFonts w:ascii="Calibri" w:cs="Calibri" w:eastAsia="Calibri" w:hAnsi="Calibri"/>
                <w:sz w:val="16"/>
                <w:szCs w:val="16"/>
                <w:b w:val="1"/>
                <w:bCs w:val="1"/>
                <w:color w:val="auto"/>
              </w:rPr>
              <w:t>Balance, March 31, 2024</w:t>
            </w:r>
          </w:p>
        </w:tc>
        <w:tc>
          <w:tcPr>
            <w:tcW w:w="2360" w:type="dxa"/>
            <w:vAlign w:val="bottom"/>
          </w:tcPr>
          <w:p>
            <w:pPr>
              <w:jc w:val="right"/>
              <w:ind w:right="299"/>
              <w:spacing w:after="0" w:line="185" w:lineRule="exact"/>
              <w:rPr>
                <w:sz w:val="20"/>
                <w:szCs w:val="20"/>
                <w:color w:val="auto"/>
              </w:rPr>
            </w:pPr>
            <w:r>
              <w:rPr>
                <w:rFonts w:ascii="Calibri" w:cs="Calibri" w:eastAsia="Calibri" w:hAnsi="Calibri"/>
                <w:sz w:val="16"/>
                <w:szCs w:val="16"/>
                <w:b w:val="1"/>
                <w:bCs w:val="1"/>
                <w:color w:val="auto"/>
              </w:rPr>
              <w:t>32,440</w:t>
            </w:r>
          </w:p>
        </w:tc>
        <w:tc>
          <w:tcPr>
            <w:tcW w:w="1180" w:type="dxa"/>
            <w:vAlign w:val="bottom"/>
          </w:tcPr>
          <w:p>
            <w:pPr>
              <w:jc w:val="right"/>
              <w:ind w:right="299"/>
              <w:spacing w:after="0" w:line="185" w:lineRule="exact"/>
              <w:rPr>
                <w:sz w:val="20"/>
                <w:szCs w:val="20"/>
                <w:color w:val="auto"/>
              </w:rPr>
            </w:pPr>
            <w:r>
              <w:rPr>
                <w:rFonts w:ascii="Calibri" w:cs="Calibri" w:eastAsia="Calibri" w:hAnsi="Calibri"/>
                <w:sz w:val="16"/>
                <w:szCs w:val="16"/>
                <w:b w:val="1"/>
                <w:bCs w:val="1"/>
                <w:color w:val="auto"/>
              </w:rPr>
              <w:t>1,668</w:t>
            </w:r>
          </w:p>
        </w:tc>
        <w:tc>
          <w:tcPr>
            <w:tcW w:w="1120" w:type="dxa"/>
            <w:vAlign w:val="bottom"/>
          </w:tcPr>
          <w:p>
            <w:pPr>
              <w:jc w:val="right"/>
              <w:ind w:right="259"/>
              <w:spacing w:after="0" w:line="185" w:lineRule="exact"/>
              <w:rPr>
                <w:sz w:val="20"/>
                <w:szCs w:val="20"/>
                <w:color w:val="auto"/>
              </w:rPr>
            </w:pPr>
            <w:r>
              <w:rPr>
                <w:rFonts w:ascii="Calibri" w:cs="Calibri" w:eastAsia="Calibri" w:hAnsi="Calibri"/>
                <w:sz w:val="16"/>
                <w:szCs w:val="16"/>
                <w:b w:val="1"/>
                <w:bCs w:val="1"/>
                <w:color w:val="auto"/>
              </w:rPr>
              <w:t>1,381</w:t>
            </w:r>
          </w:p>
        </w:tc>
        <w:tc>
          <w:tcPr>
            <w:tcW w:w="1220" w:type="dxa"/>
            <w:vAlign w:val="bottom"/>
          </w:tcPr>
          <w:p>
            <w:pPr>
              <w:jc w:val="right"/>
              <w:ind w:right="299"/>
              <w:spacing w:after="0" w:line="185" w:lineRule="exact"/>
              <w:rPr>
                <w:sz w:val="20"/>
                <w:szCs w:val="20"/>
                <w:color w:val="auto"/>
              </w:rPr>
            </w:pPr>
            <w:r>
              <w:rPr>
                <w:rFonts w:ascii="Calibri" w:cs="Calibri" w:eastAsia="Calibri" w:hAnsi="Calibri"/>
                <w:sz w:val="16"/>
                <w:szCs w:val="16"/>
                <w:b w:val="1"/>
                <w:bCs w:val="1"/>
                <w:color w:val="auto"/>
              </w:rPr>
              <w:t>74</w:t>
            </w:r>
          </w:p>
        </w:tc>
        <w:tc>
          <w:tcPr>
            <w:tcW w:w="840" w:type="dxa"/>
            <w:vAlign w:val="bottom"/>
          </w:tcPr>
          <w:p>
            <w:pPr>
              <w:jc w:val="right"/>
              <w:spacing w:after="0" w:line="185" w:lineRule="exact"/>
              <w:rPr>
                <w:sz w:val="20"/>
                <w:szCs w:val="20"/>
                <w:color w:val="auto"/>
              </w:rPr>
            </w:pPr>
            <w:r>
              <w:rPr>
                <w:rFonts w:ascii="Calibri" w:cs="Calibri" w:eastAsia="Calibri" w:hAnsi="Calibri"/>
                <w:sz w:val="16"/>
                <w:szCs w:val="16"/>
                <w:b w:val="1"/>
                <w:bCs w:val="1"/>
                <w:color w:val="auto"/>
              </w:rPr>
              <w:t>35,563</w:t>
            </w:r>
          </w:p>
        </w:tc>
      </w:tr>
      <w:tr>
        <w:trPr>
          <w:trHeight w:val="198"/>
        </w:trPr>
        <w:tc>
          <w:tcPr>
            <w:tcW w:w="280" w:type="dxa"/>
            <w:vAlign w:val="bottom"/>
          </w:tcPr>
          <w:p>
            <w:pPr>
              <w:spacing w:after="0"/>
              <w:rPr>
                <w:sz w:val="17"/>
                <w:szCs w:val="17"/>
                <w:color w:val="auto"/>
              </w:rPr>
            </w:pPr>
          </w:p>
        </w:tc>
        <w:tc>
          <w:tcPr>
            <w:tcW w:w="3820" w:type="dxa"/>
            <w:vAlign w:val="bottom"/>
          </w:tcPr>
          <w:p>
            <w:pPr>
              <w:ind w:left="20"/>
              <w:spacing w:after="0"/>
              <w:rPr>
                <w:sz w:val="20"/>
                <w:szCs w:val="20"/>
                <w:color w:val="auto"/>
              </w:rPr>
            </w:pPr>
            <w:r>
              <w:rPr>
                <w:rFonts w:ascii="Calibri" w:cs="Calibri" w:eastAsia="Calibri" w:hAnsi="Calibri"/>
                <w:sz w:val="16"/>
                <w:szCs w:val="16"/>
                <w:color w:val="auto"/>
              </w:rPr>
              <w:t>Additons</w:t>
            </w:r>
          </w:p>
        </w:tc>
        <w:tc>
          <w:tcPr>
            <w:tcW w:w="2360" w:type="dxa"/>
            <w:vAlign w:val="bottom"/>
          </w:tcPr>
          <w:p>
            <w:pPr>
              <w:jc w:val="right"/>
              <w:ind w:right="299"/>
              <w:spacing w:after="0"/>
              <w:rPr>
                <w:sz w:val="20"/>
                <w:szCs w:val="20"/>
                <w:color w:val="auto"/>
              </w:rPr>
            </w:pPr>
            <w:r>
              <w:rPr>
                <w:rFonts w:ascii="Calibri" w:cs="Calibri" w:eastAsia="Calibri" w:hAnsi="Calibri"/>
                <w:sz w:val="16"/>
                <w:szCs w:val="16"/>
                <w:color w:val="auto"/>
              </w:rPr>
              <w:t>—</w:t>
            </w:r>
          </w:p>
        </w:tc>
        <w:tc>
          <w:tcPr>
            <w:tcW w:w="1180" w:type="dxa"/>
            <w:vAlign w:val="bottom"/>
          </w:tcPr>
          <w:p>
            <w:pPr>
              <w:jc w:val="right"/>
              <w:ind w:right="299"/>
              <w:spacing w:after="0"/>
              <w:rPr>
                <w:sz w:val="20"/>
                <w:szCs w:val="20"/>
                <w:color w:val="auto"/>
              </w:rPr>
            </w:pPr>
            <w:r>
              <w:rPr>
                <w:rFonts w:ascii="Calibri" w:cs="Calibri" w:eastAsia="Calibri" w:hAnsi="Calibri"/>
                <w:sz w:val="16"/>
                <w:szCs w:val="16"/>
                <w:color w:val="auto"/>
              </w:rPr>
              <w:t>544</w:t>
            </w:r>
          </w:p>
        </w:tc>
        <w:tc>
          <w:tcPr>
            <w:tcW w:w="1120" w:type="dxa"/>
            <w:vAlign w:val="bottom"/>
          </w:tcPr>
          <w:p>
            <w:pPr>
              <w:jc w:val="right"/>
              <w:ind w:right="259"/>
              <w:spacing w:after="0"/>
              <w:rPr>
                <w:sz w:val="20"/>
                <w:szCs w:val="20"/>
                <w:color w:val="auto"/>
              </w:rPr>
            </w:pPr>
            <w:r>
              <w:rPr>
                <w:rFonts w:ascii="Calibri" w:cs="Calibri" w:eastAsia="Calibri" w:hAnsi="Calibri"/>
                <w:sz w:val="16"/>
                <w:szCs w:val="16"/>
                <w:color w:val="auto"/>
              </w:rPr>
              <w:t>—</w:t>
            </w:r>
          </w:p>
        </w:tc>
        <w:tc>
          <w:tcPr>
            <w:tcW w:w="1220" w:type="dxa"/>
            <w:vAlign w:val="bottom"/>
          </w:tcPr>
          <w:p>
            <w:pPr>
              <w:jc w:val="right"/>
              <w:ind w:right="299"/>
              <w:spacing w:after="0"/>
              <w:rPr>
                <w:sz w:val="20"/>
                <w:szCs w:val="20"/>
                <w:color w:val="auto"/>
              </w:rPr>
            </w:pPr>
            <w:r>
              <w:rPr>
                <w:rFonts w:ascii="Calibri" w:cs="Calibri" w:eastAsia="Calibri" w:hAnsi="Calibri"/>
                <w:sz w:val="16"/>
                <w:szCs w:val="16"/>
                <w:color w:val="auto"/>
              </w:rPr>
              <w:t>—</w:t>
            </w:r>
          </w:p>
        </w:tc>
        <w:tc>
          <w:tcPr>
            <w:tcW w:w="840" w:type="dxa"/>
            <w:vAlign w:val="bottom"/>
          </w:tcPr>
          <w:p>
            <w:pPr>
              <w:jc w:val="right"/>
              <w:spacing w:after="0"/>
              <w:rPr>
                <w:sz w:val="20"/>
                <w:szCs w:val="20"/>
                <w:color w:val="auto"/>
              </w:rPr>
            </w:pPr>
            <w:r>
              <w:rPr>
                <w:rFonts w:ascii="Calibri" w:cs="Calibri" w:eastAsia="Calibri" w:hAnsi="Calibri"/>
                <w:sz w:val="16"/>
                <w:szCs w:val="16"/>
                <w:color w:val="auto"/>
              </w:rPr>
              <w:t>544</w:t>
            </w:r>
          </w:p>
        </w:tc>
      </w:tr>
      <w:tr>
        <w:trPr>
          <w:trHeight w:val="206"/>
        </w:trPr>
        <w:tc>
          <w:tcPr>
            <w:tcW w:w="280" w:type="dxa"/>
            <w:vAlign w:val="bottom"/>
          </w:tcPr>
          <w:p>
            <w:pPr>
              <w:spacing w:after="0"/>
              <w:rPr>
                <w:sz w:val="17"/>
                <w:szCs w:val="17"/>
                <w:color w:val="auto"/>
              </w:rPr>
            </w:pPr>
          </w:p>
        </w:tc>
        <w:tc>
          <w:tcPr>
            <w:tcW w:w="3820" w:type="dxa"/>
            <w:vAlign w:val="bottom"/>
          </w:tcPr>
          <w:p>
            <w:pPr>
              <w:ind w:left="20"/>
              <w:spacing w:after="0"/>
              <w:rPr>
                <w:sz w:val="20"/>
                <w:szCs w:val="20"/>
                <w:color w:val="auto"/>
              </w:rPr>
            </w:pPr>
            <w:r>
              <w:rPr>
                <w:rFonts w:ascii="Calibri" w:cs="Calibri" w:eastAsia="Calibri" w:hAnsi="Calibri"/>
                <w:sz w:val="16"/>
                <w:szCs w:val="16"/>
                <w:color w:val="auto"/>
              </w:rPr>
              <w:t>Efect of foreign exchange</w:t>
            </w:r>
          </w:p>
        </w:tc>
        <w:tc>
          <w:tcPr>
            <w:tcW w:w="2360" w:type="dxa"/>
            <w:vAlign w:val="bottom"/>
          </w:tcPr>
          <w:p>
            <w:pPr>
              <w:jc w:val="right"/>
              <w:ind w:right="259"/>
              <w:spacing w:after="0"/>
              <w:rPr>
                <w:sz w:val="20"/>
                <w:szCs w:val="20"/>
                <w:color w:val="auto"/>
              </w:rPr>
            </w:pPr>
            <w:r>
              <w:rPr>
                <w:rFonts w:ascii="Calibri" w:cs="Calibri" w:eastAsia="Calibri" w:hAnsi="Calibri"/>
                <w:sz w:val="16"/>
                <w:szCs w:val="16"/>
                <w:color w:val="auto"/>
              </w:rPr>
              <w:t>(31)</w:t>
            </w:r>
          </w:p>
        </w:tc>
        <w:tc>
          <w:tcPr>
            <w:tcW w:w="1180" w:type="dxa"/>
            <w:vAlign w:val="bottom"/>
          </w:tcPr>
          <w:p>
            <w:pPr>
              <w:jc w:val="right"/>
              <w:ind w:right="279"/>
              <w:spacing w:after="0"/>
              <w:rPr>
                <w:sz w:val="20"/>
                <w:szCs w:val="20"/>
                <w:color w:val="auto"/>
              </w:rPr>
            </w:pPr>
            <w:r>
              <w:rPr>
                <w:rFonts w:ascii="Calibri" w:cs="Calibri" w:eastAsia="Calibri" w:hAnsi="Calibri"/>
                <w:sz w:val="16"/>
                <w:szCs w:val="16"/>
                <w:color w:val="auto"/>
              </w:rPr>
              <w:t>(7)</w:t>
            </w:r>
          </w:p>
        </w:tc>
        <w:tc>
          <w:tcPr>
            <w:tcW w:w="1120" w:type="dxa"/>
            <w:vAlign w:val="bottom"/>
          </w:tcPr>
          <w:p>
            <w:pPr>
              <w:jc w:val="right"/>
              <w:ind w:right="219"/>
              <w:spacing w:after="0"/>
              <w:rPr>
                <w:sz w:val="20"/>
                <w:szCs w:val="20"/>
                <w:color w:val="auto"/>
              </w:rPr>
            </w:pPr>
            <w:r>
              <w:rPr>
                <w:rFonts w:ascii="Calibri" w:cs="Calibri" w:eastAsia="Calibri" w:hAnsi="Calibri"/>
                <w:sz w:val="16"/>
                <w:szCs w:val="16"/>
                <w:color w:val="auto"/>
              </w:rPr>
              <w:t>(3)</w:t>
            </w:r>
          </w:p>
        </w:tc>
        <w:tc>
          <w:tcPr>
            <w:tcW w:w="1220" w:type="dxa"/>
            <w:vAlign w:val="bottom"/>
          </w:tcPr>
          <w:p>
            <w:pPr>
              <w:jc w:val="right"/>
              <w:ind w:right="299"/>
              <w:spacing w:after="0"/>
              <w:rPr>
                <w:sz w:val="20"/>
                <w:szCs w:val="20"/>
                <w:color w:val="auto"/>
              </w:rPr>
            </w:pPr>
            <w:r>
              <w:rPr>
                <w:rFonts w:ascii="Calibri" w:cs="Calibri" w:eastAsia="Calibri" w:hAnsi="Calibri"/>
                <w:sz w:val="16"/>
                <w:szCs w:val="16"/>
                <w:color w:val="auto"/>
              </w:rPr>
              <w:t>—</w:t>
            </w:r>
          </w:p>
        </w:tc>
        <w:tc>
          <w:tcPr>
            <w:tcW w:w="840" w:type="dxa"/>
            <w:vAlign w:val="bottom"/>
          </w:tcPr>
          <w:p>
            <w:pPr>
              <w:jc w:val="right"/>
              <w:spacing w:after="0"/>
              <w:rPr>
                <w:sz w:val="20"/>
                <w:szCs w:val="20"/>
                <w:color w:val="auto"/>
              </w:rPr>
            </w:pPr>
            <w:r>
              <w:rPr>
                <w:rFonts w:ascii="Calibri" w:cs="Calibri" w:eastAsia="Calibri" w:hAnsi="Calibri"/>
                <w:sz w:val="16"/>
                <w:szCs w:val="16"/>
                <w:color w:val="auto"/>
              </w:rPr>
              <w:t>(41)</w:t>
            </w:r>
          </w:p>
        </w:tc>
      </w:tr>
      <w:tr>
        <w:trPr>
          <w:trHeight w:val="20"/>
        </w:trPr>
        <w:tc>
          <w:tcPr>
            <w:tcW w:w="280" w:type="dxa"/>
            <w:vAlign w:val="bottom"/>
          </w:tcPr>
          <w:p>
            <w:pPr>
              <w:spacing w:after="0" w:line="20" w:lineRule="exact"/>
              <w:rPr>
                <w:sz w:val="1"/>
                <w:szCs w:val="1"/>
                <w:color w:val="auto"/>
              </w:rPr>
            </w:pPr>
          </w:p>
        </w:tc>
        <w:tc>
          <w:tcPr>
            <w:tcW w:w="3820" w:type="dxa"/>
            <w:vAlign w:val="bottom"/>
            <w:tcBorders>
              <w:bottom w:val="single" w:sz="8" w:color="auto"/>
            </w:tcBorders>
          </w:tcPr>
          <w:p>
            <w:pPr>
              <w:spacing w:after="0" w:line="20" w:lineRule="exact"/>
              <w:rPr>
                <w:sz w:val="1"/>
                <w:szCs w:val="1"/>
                <w:color w:val="auto"/>
              </w:rPr>
            </w:pPr>
          </w:p>
        </w:tc>
        <w:tc>
          <w:tcPr>
            <w:tcW w:w="23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r>
      <w:tr>
        <w:trPr>
          <w:trHeight w:val="191"/>
        </w:trPr>
        <w:tc>
          <w:tcPr>
            <w:tcW w:w="280" w:type="dxa"/>
            <w:vAlign w:val="bottom"/>
          </w:tcPr>
          <w:p>
            <w:pPr>
              <w:spacing w:after="0"/>
              <w:rPr>
                <w:sz w:val="16"/>
                <w:szCs w:val="16"/>
                <w:color w:val="auto"/>
              </w:rPr>
            </w:pPr>
          </w:p>
        </w:tc>
        <w:tc>
          <w:tcPr>
            <w:tcW w:w="3820" w:type="dxa"/>
            <w:vAlign w:val="bottom"/>
            <w:tcBorders>
              <w:bottom w:val="single" w:sz="8" w:color="auto"/>
            </w:tcBorders>
          </w:tcPr>
          <w:p>
            <w:pPr>
              <w:ind w:left="20"/>
              <w:spacing w:after="0" w:line="192" w:lineRule="exact"/>
              <w:rPr>
                <w:sz w:val="20"/>
                <w:szCs w:val="20"/>
                <w:color w:val="auto"/>
              </w:rPr>
            </w:pPr>
            <w:r>
              <w:rPr>
                <w:rFonts w:ascii="Calibri" w:cs="Calibri" w:eastAsia="Calibri" w:hAnsi="Calibri"/>
                <w:sz w:val="16"/>
                <w:szCs w:val="16"/>
                <w:b w:val="1"/>
                <w:bCs w:val="1"/>
                <w:color w:val="auto"/>
              </w:rPr>
              <w:t>Balance, September 30, 2024</w:t>
            </w:r>
          </w:p>
        </w:tc>
        <w:tc>
          <w:tcPr>
            <w:tcW w:w="2360" w:type="dxa"/>
            <w:vAlign w:val="bottom"/>
            <w:tcBorders>
              <w:bottom w:val="single" w:sz="8" w:color="auto"/>
            </w:tcBorders>
          </w:tcPr>
          <w:p>
            <w:pPr>
              <w:jc w:val="right"/>
              <w:ind w:right="299"/>
              <w:spacing w:after="0" w:line="192" w:lineRule="exact"/>
              <w:rPr>
                <w:sz w:val="20"/>
                <w:szCs w:val="20"/>
                <w:color w:val="auto"/>
              </w:rPr>
            </w:pPr>
            <w:r>
              <w:rPr>
                <w:rFonts w:ascii="Calibri" w:cs="Calibri" w:eastAsia="Calibri" w:hAnsi="Calibri"/>
                <w:sz w:val="16"/>
                <w:szCs w:val="16"/>
                <w:b w:val="1"/>
                <w:bCs w:val="1"/>
                <w:color w:val="auto"/>
              </w:rPr>
              <w:t>32,409</w:t>
            </w:r>
          </w:p>
        </w:tc>
        <w:tc>
          <w:tcPr>
            <w:tcW w:w="1180" w:type="dxa"/>
            <w:vAlign w:val="bottom"/>
            <w:tcBorders>
              <w:bottom w:val="single" w:sz="8" w:color="auto"/>
            </w:tcBorders>
          </w:tcPr>
          <w:p>
            <w:pPr>
              <w:jc w:val="right"/>
              <w:ind w:right="299"/>
              <w:spacing w:after="0" w:line="192" w:lineRule="exact"/>
              <w:rPr>
                <w:sz w:val="20"/>
                <w:szCs w:val="20"/>
                <w:color w:val="auto"/>
              </w:rPr>
            </w:pPr>
            <w:r>
              <w:rPr>
                <w:rFonts w:ascii="Calibri" w:cs="Calibri" w:eastAsia="Calibri" w:hAnsi="Calibri"/>
                <w:sz w:val="16"/>
                <w:szCs w:val="16"/>
                <w:b w:val="1"/>
                <w:bCs w:val="1"/>
                <w:color w:val="auto"/>
              </w:rPr>
              <w:t>2,205</w:t>
            </w:r>
          </w:p>
        </w:tc>
        <w:tc>
          <w:tcPr>
            <w:tcW w:w="1120" w:type="dxa"/>
            <w:vAlign w:val="bottom"/>
            <w:tcBorders>
              <w:bottom w:val="single" w:sz="8" w:color="auto"/>
            </w:tcBorders>
          </w:tcPr>
          <w:p>
            <w:pPr>
              <w:jc w:val="right"/>
              <w:ind w:right="259"/>
              <w:spacing w:after="0" w:line="192" w:lineRule="exact"/>
              <w:rPr>
                <w:sz w:val="20"/>
                <w:szCs w:val="20"/>
                <w:color w:val="auto"/>
              </w:rPr>
            </w:pPr>
            <w:r>
              <w:rPr>
                <w:rFonts w:ascii="Calibri" w:cs="Calibri" w:eastAsia="Calibri" w:hAnsi="Calibri"/>
                <w:sz w:val="16"/>
                <w:szCs w:val="16"/>
                <w:b w:val="1"/>
                <w:bCs w:val="1"/>
                <w:color w:val="auto"/>
              </w:rPr>
              <w:t>1,378</w:t>
            </w:r>
          </w:p>
        </w:tc>
        <w:tc>
          <w:tcPr>
            <w:tcW w:w="1220" w:type="dxa"/>
            <w:vAlign w:val="bottom"/>
            <w:tcBorders>
              <w:bottom w:val="single" w:sz="8" w:color="auto"/>
            </w:tcBorders>
          </w:tcPr>
          <w:p>
            <w:pPr>
              <w:jc w:val="right"/>
              <w:ind w:right="299"/>
              <w:spacing w:after="0" w:line="192" w:lineRule="exact"/>
              <w:rPr>
                <w:sz w:val="20"/>
                <w:szCs w:val="20"/>
                <w:color w:val="auto"/>
              </w:rPr>
            </w:pPr>
            <w:r>
              <w:rPr>
                <w:rFonts w:ascii="Calibri" w:cs="Calibri" w:eastAsia="Calibri" w:hAnsi="Calibri"/>
                <w:sz w:val="16"/>
                <w:szCs w:val="16"/>
                <w:b w:val="1"/>
                <w:bCs w:val="1"/>
                <w:color w:val="auto"/>
              </w:rPr>
              <w:t>74</w:t>
            </w:r>
          </w:p>
        </w:tc>
        <w:tc>
          <w:tcPr>
            <w:tcW w:w="840" w:type="dxa"/>
            <w:vAlign w:val="bottom"/>
            <w:tcBorders>
              <w:bottom w:val="single" w:sz="8" w:color="auto"/>
            </w:tcBorders>
          </w:tcPr>
          <w:p>
            <w:pPr>
              <w:jc w:val="right"/>
              <w:spacing w:after="0" w:line="192" w:lineRule="exact"/>
              <w:rPr>
                <w:sz w:val="20"/>
                <w:szCs w:val="20"/>
                <w:color w:val="auto"/>
              </w:rPr>
            </w:pPr>
            <w:r>
              <w:rPr>
                <w:rFonts w:ascii="Calibri" w:cs="Calibri" w:eastAsia="Calibri" w:hAnsi="Calibri"/>
                <w:sz w:val="16"/>
                <w:szCs w:val="16"/>
                <w:b w:val="1"/>
                <w:bCs w:val="1"/>
                <w:color w:val="auto"/>
              </w:rPr>
              <w:t>36,066</w:t>
            </w:r>
          </w:p>
        </w:tc>
      </w:tr>
      <w:tr>
        <w:trPr>
          <w:trHeight w:val="413"/>
        </w:trPr>
        <w:tc>
          <w:tcPr>
            <w:tcW w:w="280" w:type="dxa"/>
            <w:vAlign w:val="bottom"/>
          </w:tcPr>
          <w:p>
            <w:pPr>
              <w:spacing w:after="0"/>
              <w:rPr>
                <w:sz w:val="24"/>
                <w:szCs w:val="24"/>
                <w:color w:val="auto"/>
              </w:rPr>
            </w:pPr>
          </w:p>
        </w:tc>
        <w:tc>
          <w:tcPr>
            <w:tcW w:w="3820" w:type="dxa"/>
            <w:vAlign w:val="bottom"/>
          </w:tcPr>
          <w:p>
            <w:pPr>
              <w:ind w:left="20"/>
              <w:spacing w:after="0"/>
              <w:rPr>
                <w:sz w:val="20"/>
                <w:szCs w:val="20"/>
                <w:color w:val="auto"/>
              </w:rPr>
            </w:pPr>
            <w:r>
              <w:rPr>
                <w:rFonts w:ascii="Calibri" w:cs="Calibri" w:eastAsia="Calibri" w:hAnsi="Calibri"/>
                <w:sz w:val="16"/>
                <w:szCs w:val="16"/>
                <w:b w:val="1"/>
                <w:bCs w:val="1"/>
                <w:color w:val="auto"/>
              </w:rPr>
              <w:t>Accumulated Amortzaton</w:t>
            </w:r>
          </w:p>
        </w:tc>
        <w:tc>
          <w:tcPr>
            <w:tcW w:w="236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840" w:type="dxa"/>
            <w:vAlign w:val="bottom"/>
          </w:tcPr>
          <w:p>
            <w:pPr>
              <w:spacing w:after="0"/>
              <w:rPr>
                <w:sz w:val="24"/>
                <w:szCs w:val="24"/>
                <w:color w:val="auto"/>
              </w:rPr>
            </w:pPr>
          </w:p>
        </w:tc>
      </w:tr>
      <w:tr>
        <w:trPr>
          <w:trHeight w:val="206"/>
        </w:trPr>
        <w:tc>
          <w:tcPr>
            <w:tcW w:w="280" w:type="dxa"/>
            <w:vAlign w:val="bottom"/>
          </w:tcPr>
          <w:p>
            <w:pPr>
              <w:spacing w:after="0"/>
              <w:rPr>
                <w:sz w:val="17"/>
                <w:szCs w:val="17"/>
                <w:color w:val="auto"/>
              </w:rPr>
            </w:pPr>
          </w:p>
        </w:tc>
        <w:tc>
          <w:tcPr>
            <w:tcW w:w="3820" w:type="dxa"/>
            <w:vAlign w:val="bottom"/>
          </w:tcPr>
          <w:p>
            <w:pPr>
              <w:ind w:left="20"/>
              <w:spacing w:after="0"/>
              <w:rPr>
                <w:sz w:val="20"/>
                <w:szCs w:val="20"/>
                <w:color w:val="auto"/>
              </w:rPr>
            </w:pPr>
            <w:r>
              <w:rPr>
                <w:rFonts w:ascii="Calibri" w:cs="Calibri" w:eastAsia="Calibri" w:hAnsi="Calibri"/>
                <w:sz w:val="16"/>
                <w:szCs w:val="16"/>
                <w:b w:val="1"/>
                <w:bCs w:val="1"/>
                <w:color w:val="auto"/>
              </w:rPr>
              <w:t>Balance, March 31, 2024</w:t>
            </w:r>
          </w:p>
        </w:tc>
        <w:tc>
          <w:tcPr>
            <w:tcW w:w="2360" w:type="dxa"/>
            <w:vAlign w:val="bottom"/>
          </w:tcPr>
          <w:p>
            <w:pPr>
              <w:jc w:val="right"/>
              <w:ind w:right="299"/>
              <w:spacing w:after="0"/>
              <w:rPr>
                <w:sz w:val="20"/>
                <w:szCs w:val="20"/>
                <w:color w:val="auto"/>
              </w:rPr>
            </w:pPr>
            <w:r>
              <w:rPr>
                <w:rFonts w:ascii="Calibri" w:cs="Calibri" w:eastAsia="Calibri" w:hAnsi="Calibri"/>
                <w:sz w:val="16"/>
                <w:szCs w:val="16"/>
                <w:color w:val="auto"/>
              </w:rPr>
              <w:t>—</w:t>
            </w:r>
          </w:p>
        </w:tc>
        <w:tc>
          <w:tcPr>
            <w:tcW w:w="1180" w:type="dxa"/>
            <w:vAlign w:val="bottom"/>
          </w:tcPr>
          <w:p>
            <w:pPr>
              <w:jc w:val="right"/>
              <w:ind w:right="299"/>
              <w:spacing w:after="0"/>
              <w:rPr>
                <w:sz w:val="20"/>
                <w:szCs w:val="20"/>
                <w:color w:val="auto"/>
              </w:rPr>
            </w:pPr>
            <w:r>
              <w:rPr>
                <w:rFonts w:ascii="Calibri" w:cs="Calibri" w:eastAsia="Calibri" w:hAnsi="Calibri"/>
                <w:sz w:val="16"/>
                <w:szCs w:val="16"/>
                <w:color w:val="auto"/>
              </w:rPr>
              <w:t>—</w:t>
            </w:r>
          </w:p>
        </w:tc>
        <w:tc>
          <w:tcPr>
            <w:tcW w:w="1120" w:type="dxa"/>
            <w:vAlign w:val="bottom"/>
          </w:tcPr>
          <w:p>
            <w:pPr>
              <w:jc w:val="right"/>
              <w:ind w:right="259"/>
              <w:spacing w:after="0"/>
              <w:rPr>
                <w:sz w:val="20"/>
                <w:szCs w:val="20"/>
                <w:color w:val="auto"/>
              </w:rPr>
            </w:pPr>
            <w:r>
              <w:rPr>
                <w:rFonts w:ascii="Calibri" w:cs="Calibri" w:eastAsia="Calibri" w:hAnsi="Calibri"/>
                <w:sz w:val="16"/>
                <w:szCs w:val="16"/>
                <w:b w:val="1"/>
                <w:bCs w:val="1"/>
                <w:color w:val="auto"/>
              </w:rPr>
              <w:t>56</w:t>
            </w:r>
          </w:p>
        </w:tc>
        <w:tc>
          <w:tcPr>
            <w:tcW w:w="1220" w:type="dxa"/>
            <w:vAlign w:val="bottom"/>
          </w:tcPr>
          <w:p>
            <w:pPr>
              <w:jc w:val="right"/>
              <w:ind w:right="299"/>
              <w:spacing w:after="0"/>
              <w:rPr>
                <w:sz w:val="20"/>
                <w:szCs w:val="20"/>
                <w:color w:val="auto"/>
              </w:rPr>
            </w:pPr>
            <w:r>
              <w:rPr>
                <w:rFonts w:ascii="Calibri" w:cs="Calibri" w:eastAsia="Calibri" w:hAnsi="Calibri"/>
                <w:sz w:val="16"/>
                <w:szCs w:val="16"/>
                <w:b w:val="1"/>
                <w:bCs w:val="1"/>
                <w:color w:val="auto"/>
              </w:rPr>
              <w:t>42</w:t>
            </w:r>
          </w:p>
        </w:tc>
        <w:tc>
          <w:tcPr>
            <w:tcW w:w="840" w:type="dxa"/>
            <w:vAlign w:val="bottom"/>
          </w:tcPr>
          <w:p>
            <w:pPr>
              <w:jc w:val="right"/>
              <w:spacing w:after="0"/>
              <w:rPr>
                <w:sz w:val="20"/>
                <w:szCs w:val="20"/>
                <w:color w:val="auto"/>
              </w:rPr>
            </w:pPr>
            <w:r>
              <w:rPr>
                <w:rFonts w:ascii="Calibri" w:cs="Calibri" w:eastAsia="Calibri" w:hAnsi="Calibri"/>
                <w:sz w:val="16"/>
                <w:szCs w:val="16"/>
                <w:b w:val="1"/>
                <w:bCs w:val="1"/>
                <w:color w:val="auto"/>
              </w:rPr>
              <w:t>98</w:t>
            </w:r>
          </w:p>
        </w:tc>
      </w:tr>
      <w:tr>
        <w:trPr>
          <w:trHeight w:val="206"/>
        </w:trPr>
        <w:tc>
          <w:tcPr>
            <w:tcW w:w="280" w:type="dxa"/>
            <w:vAlign w:val="bottom"/>
          </w:tcPr>
          <w:p>
            <w:pPr>
              <w:spacing w:after="0"/>
              <w:rPr>
                <w:sz w:val="17"/>
                <w:szCs w:val="17"/>
                <w:color w:val="auto"/>
              </w:rPr>
            </w:pPr>
          </w:p>
        </w:tc>
        <w:tc>
          <w:tcPr>
            <w:tcW w:w="3820" w:type="dxa"/>
            <w:vAlign w:val="bottom"/>
          </w:tcPr>
          <w:p>
            <w:pPr>
              <w:ind w:left="20"/>
              <w:spacing w:after="0"/>
              <w:rPr>
                <w:sz w:val="20"/>
                <w:szCs w:val="20"/>
                <w:color w:val="auto"/>
              </w:rPr>
            </w:pPr>
            <w:r>
              <w:rPr>
                <w:rFonts w:ascii="Calibri" w:cs="Calibri" w:eastAsia="Calibri" w:hAnsi="Calibri"/>
                <w:sz w:val="16"/>
                <w:szCs w:val="16"/>
                <w:color w:val="auto"/>
              </w:rPr>
              <w:t>Amortzaton</w:t>
            </w:r>
          </w:p>
        </w:tc>
        <w:tc>
          <w:tcPr>
            <w:tcW w:w="2360" w:type="dxa"/>
            <w:vAlign w:val="bottom"/>
          </w:tcPr>
          <w:p>
            <w:pPr>
              <w:jc w:val="right"/>
              <w:ind w:right="299"/>
              <w:spacing w:after="0"/>
              <w:rPr>
                <w:sz w:val="20"/>
                <w:szCs w:val="20"/>
                <w:color w:val="auto"/>
              </w:rPr>
            </w:pPr>
            <w:r>
              <w:rPr>
                <w:rFonts w:ascii="Calibri" w:cs="Calibri" w:eastAsia="Calibri" w:hAnsi="Calibri"/>
                <w:sz w:val="16"/>
                <w:szCs w:val="16"/>
                <w:color w:val="auto"/>
              </w:rPr>
              <w:t>—</w:t>
            </w:r>
          </w:p>
        </w:tc>
        <w:tc>
          <w:tcPr>
            <w:tcW w:w="1180" w:type="dxa"/>
            <w:vAlign w:val="bottom"/>
          </w:tcPr>
          <w:p>
            <w:pPr>
              <w:jc w:val="right"/>
              <w:ind w:right="299"/>
              <w:spacing w:after="0"/>
              <w:rPr>
                <w:sz w:val="20"/>
                <w:szCs w:val="20"/>
                <w:color w:val="auto"/>
              </w:rPr>
            </w:pPr>
            <w:r>
              <w:rPr>
                <w:rFonts w:ascii="Calibri" w:cs="Calibri" w:eastAsia="Calibri" w:hAnsi="Calibri"/>
                <w:sz w:val="16"/>
                <w:szCs w:val="16"/>
                <w:color w:val="auto"/>
              </w:rPr>
              <w:t>—</w:t>
            </w:r>
          </w:p>
        </w:tc>
        <w:tc>
          <w:tcPr>
            <w:tcW w:w="1120" w:type="dxa"/>
            <w:vAlign w:val="bottom"/>
          </w:tcPr>
          <w:p>
            <w:pPr>
              <w:jc w:val="right"/>
              <w:ind w:right="259"/>
              <w:spacing w:after="0"/>
              <w:rPr>
                <w:sz w:val="20"/>
                <w:szCs w:val="20"/>
                <w:color w:val="auto"/>
              </w:rPr>
            </w:pPr>
            <w:r>
              <w:rPr>
                <w:rFonts w:ascii="Calibri" w:cs="Calibri" w:eastAsia="Calibri" w:hAnsi="Calibri"/>
                <w:sz w:val="16"/>
                <w:szCs w:val="16"/>
                <w:color w:val="auto"/>
              </w:rPr>
              <w:t>19</w:t>
            </w:r>
          </w:p>
        </w:tc>
        <w:tc>
          <w:tcPr>
            <w:tcW w:w="1220" w:type="dxa"/>
            <w:vAlign w:val="bottom"/>
          </w:tcPr>
          <w:p>
            <w:pPr>
              <w:jc w:val="right"/>
              <w:ind w:right="299"/>
              <w:spacing w:after="0"/>
              <w:rPr>
                <w:sz w:val="20"/>
                <w:szCs w:val="20"/>
                <w:color w:val="auto"/>
              </w:rPr>
            </w:pPr>
            <w:r>
              <w:rPr>
                <w:rFonts w:ascii="Calibri" w:cs="Calibri" w:eastAsia="Calibri" w:hAnsi="Calibri"/>
                <w:sz w:val="16"/>
                <w:szCs w:val="16"/>
                <w:color w:val="auto"/>
              </w:rPr>
              <w:t>12</w:t>
            </w:r>
          </w:p>
        </w:tc>
        <w:tc>
          <w:tcPr>
            <w:tcW w:w="840" w:type="dxa"/>
            <w:vAlign w:val="bottom"/>
          </w:tcPr>
          <w:p>
            <w:pPr>
              <w:jc w:val="right"/>
              <w:spacing w:after="0"/>
              <w:rPr>
                <w:sz w:val="20"/>
                <w:szCs w:val="20"/>
                <w:color w:val="auto"/>
              </w:rPr>
            </w:pPr>
            <w:r>
              <w:rPr>
                <w:rFonts w:ascii="Calibri" w:cs="Calibri" w:eastAsia="Calibri" w:hAnsi="Calibri"/>
                <w:sz w:val="16"/>
                <w:szCs w:val="16"/>
                <w:color w:val="auto"/>
              </w:rPr>
              <w:t>31</w:t>
            </w:r>
          </w:p>
        </w:tc>
      </w:tr>
      <w:tr>
        <w:trPr>
          <w:trHeight w:val="20"/>
        </w:trPr>
        <w:tc>
          <w:tcPr>
            <w:tcW w:w="280" w:type="dxa"/>
            <w:vAlign w:val="bottom"/>
          </w:tcPr>
          <w:p>
            <w:pPr>
              <w:spacing w:after="0" w:line="20" w:lineRule="exact"/>
              <w:rPr>
                <w:sz w:val="1"/>
                <w:szCs w:val="1"/>
                <w:color w:val="auto"/>
              </w:rPr>
            </w:pPr>
          </w:p>
        </w:tc>
        <w:tc>
          <w:tcPr>
            <w:tcW w:w="3820" w:type="dxa"/>
            <w:vAlign w:val="bottom"/>
            <w:tcBorders>
              <w:bottom w:val="single" w:sz="8" w:color="auto"/>
            </w:tcBorders>
          </w:tcPr>
          <w:p>
            <w:pPr>
              <w:spacing w:after="0" w:line="20" w:lineRule="exact"/>
              <w:rPr>
                <w:sz w:val="1"/>
                <w:szCs w:val="1"/>
                <w:color w:val="auto"/>
              </w:rPr>
            </w:pPr>
          </w:p>
        </w:tc>
        <w:tc>
          <w:tcPr>
            <w:tcW w:w="23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r>
      <w:tr>
        <w:trPr>
          <w:trHeight w:val="191"/>
        </w:trPr>
        <w:tc>
          <w:tcPr>
            <w:tcW w:w="280" w:type="dxa"/>
            <w:vAlign w:val="bottom"/>
          </w:tcPr>
          <w:p>
            <w:pPr>
              <w:spacing w:after="0"/>
              <w:rPr>
                <w:sz w:val="16"/>
                <w:szCs w:val="16"/>
                <w:color w:val="auto"/>
              </w:rPr>
            </w:pPr>
          </w:p>
        </w:tc>
        <w:tc>
          <w:tcPr>
            <w:tcW w:w="3820" w:type="dxa"/>
            <w:vAlign w:val="bottom"/>
            <w:tcBorders>
              <w:bottom w:val="single" w:sz="8" w:color="auto"/>
            </w:tcBorders>
          </w:tcPr>
          <w:p>
            <w:pPr>
              <w:ind w:left="20"/>
              <w:spacing w:after="0" w:line="192" w:lineRule="exact"/>
              <w:rPr>
                <w:sz w:val="20"/>
                <w:szCs w:val="20"/>
                <w:color w:val="auto"/>
              </w:rPr>
            </w:pPr>
            <w:r>
              <w:rPr>
                <w:rFonts w:ascii="Calibri" w:cs="Calibri" w:eastAsia="Calibri" w:hAnsi="Calibri"/>
                <w:sz w:val="16"/>
                <w:szCs w:val="16"/>
                <w:b w:val="1"/>
                <w:bCs w:val="1"/>
                <w:color w:val="auto"/>
              </w:rPr>
              <w:t>Balance, September 30, 2024</w:t>
            </w:r>
          </w:p>
        </w:tc>
        <w:tc>
          <w:tcPr>
            <w:tcW w:w="2360" w:type="dxa"/>
            <w:vAlign w:val="bottom"/>
            <w:tcBorders>
              <w:bottom w:val="single" w:sz="8" w:color="auto"/>
            </w:tcBorders>
          </w:tcPr>
          <w:p>
            <w:pPr>
              <w:jc w:val="right"/>
              <w:ind w:right="399"/>
              <w:spacing w:after="0" w:line="192" w:lineRule="exact"/>
              <w:rPr>
                <w:sz w:val="20"/>
                <w:szCs w:val="20"/>
                <w:color w:val="auto"/>
              </w:rPr>
            </w:pPr>
            <w:r>
              <w:rPr>
                <w:rFonts w:ascii="Calibri" w:cs="Calibri" w:eastAsia="Calibri" w:hAnsi="Calibri"/>
                <w:sz w:val="16"/>
                <w:szCs w:val="16"/>
                <w:b w:val="1"/>
                <w:bCs w:val="1"/>
                <w:color w:val="auto"/>
              </w:rPr>
              <w:t>—</w:t>
            </w:r>
          </w:p>
        </w:tc>
        <w:tc>
          <w:tcPr>
            <w:tcW w:w="1180" w:type="dxa"/>
            <w:vAlign w:val="bottom"/>
            <w:tcBorders>
              <w:bottom w:val="single" w:sz="8" w:color="auto"/>
            </w:tcBorders>
          </w:tcPr>
          <w:p>
            <w:pPr>
              <w:jc w:val="right"/>
              <w:ind w:right="399"/>
              <w:spacing w:after="0" w:line="192" w:lineRule="exact"/>
              <w:rPr>
                <w:sz w:val="20"/>
                <w:szCs w:val="20"/>
                <w:color w:val="auto"/>
              </w:rPr>
            </w:pPr>
            <w:r>
              <w:rPr>
                <w:rFonts w:ascii="Calibri" w:cs="Calibri" w:eastAsia="Calibri" w:hAnsi="Calibri"/>
                <w:sz w:val="16"/>
                <w:szCs w:val="16"/>
                <w:b w:val="1"/>
                <w:bCs w:val="1"/>
                <w:color w:val="auto"/>
              </w:rPr>
              <w:t>—</w:t>
            </w:r>
          </w:p>
        </w:tc>
        <w:tc>
          <w:tcPr>
            <w:tcW w:w="1120" w:type="dxa"/>
            <w:vAlign w:val="bottom"/>
            <w:tcBorders>
              <w:bottom w:val="single" w:sz="8" w:color="auto"/>
            </w:tcBorders>
          </w:tcPr>
          <w:p>
            <w:pPr>
              <w:jc w:val="right"/>
              <w:ind w:right="259"/>
              <w:spacing w:after="0" w:line="192" w:lineRule="exact"/>
              <w:rPr>
                <w:sz w:val="20"/>
                <w:szCs w:val="20"/>
                <w:color w:val="auto"/>
              </w:rPr>
            </w:pPr>
            <w:r>
              <w:rPr>
                <w:rFonts w:ascii="Calibri" w:cs="Calibri" w:eastAsia="Calibri" w:hAnsi="Calibri"/>
                <w:sz w:val="16"/>
                <w:szCs w:val="16"/>
                <w:b w:val="1"/>
                <w:bCs w:val="1"/>
                <w:color w:val="auto"/>
              </w:rPr>
              <w:t>75</w:t>
            </w:r>
          </w:p>
        </w:tc>
        <w:tc>
          <w:tcPr>
            <w:tcW w:w="1220" w:type="dxa"/>
            <w:vAlign w:val="bottom"/>
            <w:tcBorders>
              <w:bottom w:val="single" w:sz="8" w:color="auto"/>
            </w:tcBorders>
          </w:tcPr>
          <w:p>
            <w:pPr>
              <w:jc w:val="right"/>
              <w:ind w:right="299"/>
              <w:spacing w:after="0" w:line="192" w:lineRule="exact"/>
              <w:rPr>
                <w:sz w:val="20"/>
                <w:szCs w:val="20"/>
                <w:color w:val="auto"/>
              </w:rPr>
            </w:pPr>
            <w:r>
              <w:rPr>
                <w:rFonts w:ascii="Calibri" w:cs="Calibri" w:eastAsia="Calibri" w:hAnsi="Calibri"/>
                <w:sz w:val="16"/>
                <w:szCs w:val="16"/>
                <w:b w:val="1"/>
                <w:bCs w:val="1"/>
                <w:color w:val="auto"/>
              </w:rPr>
              <w:t>54</w:t>
            </w:r>
          </w:p>
        </w:tc>
        <w:tc>
          <w:tcPr>
            <w:tcW w:w="840" w:type="dxa"/>
            <w:vAlign w:val="bottom"/>
            <w:tcBorders>
              <w:bottom w:val="single" w:sz="8" w:color="auto"/>
            </w:tcBorders>
          </w:tcPr>
          <w:p>
            <w:pPr>
              <w:jc w:val="right"/>
              <w:spacing w:after="0" w:line="192" w:lineRule="exact"/>
              <w:rPr>
                <w:sz w:val="20"/>
                <w:szCs w:val="20"/>
                <w:color w:val="auto"/>
              </w:rPr>
            </w:pPr>
            <w:r>
              <w:rPr>
                <w:rFonts w:ascii="Calibri" w:cs="Calibri" w:eastAsia="Calibri" w:hAnsi="Calibri"/>
                <w:sz w:val="16"/>
                <w:szCs w:val="16"/>
                <w:b w:val="1"/>
                <w:bCs w:val="1"/>
                <w:color w:val="auto"/>
              </w:rPr>
              <w:t>129</w:t>
            </w:r>
          </w:p>
        </w:tc>
      </w:tr>
      <w:tr>
        <w:trPr>
          <w:trHeight w:val="228"/>
        </w:trPr>
        <w:tc>
          <w:tcPr>
            <w:tcW w:w="280" w:type="dxa"/>
            <w:vAlign w:val="bottom"/>
          </w:tcPr>
          <w:p>
            <w:pPr>
              <w:spacing w:after="0"/>
              <w:rPr>
                <w:sz w:val="19"/>
                <w:szCs w:val="19"/>
                <w:color w:val="auto"/>
              </w:rPr>
            </w:pPr>
          </w:p>
        </w:tc>
        <w:tc>
          <w:tcPr>
            <w:tcW w:w="3820" w:type="dxa"/>
            <w:vAlign w:val="bottom"/>
            <w:tcBorders>
              <w:bottom w:val="single" w:sz="8" w:color="auto"/>
            </w:tcBorders>
          </w:tcPr>
          <w:p>
            <w:pPr>
              <w:spacing w:after="0"/>
              <w:rPr>
                <w:sz w:val="19"/>
                <w:szCs w:val="19"/>
                <w:color w:val="auto"/>
              </w:rPr>
            </w:pPr>
          </w:p>
        </w:tc>
        <w:tc>
          <w:tcPr>
            <w:tcW w:w="23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spacing w:after="0"/>
              <w:rPr>
                <w:sz w:val="19"/>
                <w:szCs w:val="19"/>
                <w:color w:val="auto"/>
              </w:rPr>
            </w:pPr>
          </w:p>
        </w:tc>
      </w:tr>
      <w:tr>
        <w:trPr>
          <w:trHeight w:val="191"/>
        </w:trPr>
        <w:tc>
          <w:tcPr>
            <w:tcW w:w="280" w:type="dxa"/>
            <w:vAlign w:val="bottom"/>
          </w:tcPr>
          <w:p>
            <w:pPr>
              <w:spacing w:after="0"/>
              <w:rPr>
                <w:sz w:val="16"/>
                <w:szCs w:val="16"/>
                <w:color w:val="auto"/>
              </w:rPr>
            </w:pPr>
          </w:p>
        </w:tc>
        <w:tc>
          <w:tcPr>
            <w:tcW w:w="3820" w:type="dxa"/>
            <w:vAlign w:val="bottom"/>
            <w:tcBorders>
              <w:bottom w:val="single" w:sz="8" w:color="auto"/>
            </w:tcBorders>
          </w:tcPr>
          <w:p>
            <w:pPr>
              <w:ind w:left="20"/>
              <w:spacing w:after="0" w:line="192" w:lineRule="exact"/>
              <w:rPr>
                <w:sz w:val="20"/>
                <w:szCs w:val="20"/>
                <w:color w:val="auto"/>
              </w:rPr>
            </w:pPr>
            <w:r>
              <w:rPr>
                <w:rFonts w:ascii="Calibri" w:cs="Calibri" w:eastAsia="Calibri" w:hAnsi="Calibri"/>
                <w:sz w:val="16"/>
                <w:szCs w:val="16"/>
                <w:b w:val="1"/>
                <w:bCs w:val="1"/>
                <w:color w:val="auto"/>
              </w:rPr>
              <w:t>Net book value as at March 31, 2024</w:t>
            </w:r>
          </w:p>
        </w:tc>
        <w:tc>
          <w:tcPr>
            <w:tcW w:w="2360" w:type="dxa"/>
            <w:vAlign w:val="bottom"/>
            <w:tcBorders>
              <w:bottom w:val="single" w:sz="8" w:color="auto"/>
            </w:tcBorders>
          </w:tcPr>
          <w:p>
            <w:pPr>
              <w:jc w:val="right"/>
              <w:ind w:right="299"/>
              <w:spacing w:after="0" w:line="192" w:lineRule="exact"/>
              <w:rPr>
                <w:sz w:val="20"/>
                <w:szCs w:val="20"/>
                <w:color w:val="auto"/>
              </w:rPr>
            </w:pPr>
            <w:r>
              <w:rPr>
                <w:rFonts w:ascii="Calibri" w:cs="Calibri" w:eastAsia="Calibri" w:hAnsi="Calibri"/>
                <w:sz w:val="16"/>
                <w:szCs w:val="16"/>
                <w:b w:val="1"/>
                <w:bCs w:val="1"/>
                <w:color w:val="auto"/>
              </w:rPr>
              <w:t>32,440</w:t>
            </w:r>
          </w:p>
        </w:tc>
        <w:tc>
          <w:tcPr>
            <w:tcW w:w="1180" w:type="dxa"/>
            <w:vAlign w:val="bottom"/>
            <w:tcBorders>
              <w:bottom w:val="single" w:sz="8" w:color="auto"/>
            </w:tcBorders>
          </w:tcPr>
          <w:p>
            <w:pPr>
              <w:jc w:val="right"/>
              <w:ind w:right="299"/>
              <w:spacing w:after="0" w:line="192" w:lineRule="exact"/>
              <w:rPr>
                <w:sz w:val="20"/>
                <w:szCs w:val="20"/>
                <w:color w:val="auto"/>
              </w:rPr>
            </w:pPr>
            <w:r>
              <w:rPr>
                <w:rFonts w:ascii="Calibri" w:cs="Calibri" w:eastAsia="Calibri" w:hAnsi="Calibri"/>
                <w:sz w:val="16"/>
                <w:szCs w:val="16"/>
                <w:b w:val="1"/>
                <w:bCs w:val="1"/>
                <w:color w:val="auto"/>
              </w:rPr>
              <w:t>1,668</w:t>
            </w:r>
          </w:p>
        </w:tc>
        <w:tc>
          <w:tcPr>
            <w:tcW w:w="1120" w:type="dxa"/>
            <w:vAlign w:val="bottom"/>
            <w:tcBorders>
              <w:bottom w:val="single" w:sz="8" w:color="auto"/>
            </w:tcBorders>
          </w:tcPr>
          <w:p>
            <w:pPr>
              <w:jc w:val="right"/>
              <w:ind w:right="259"/>
              <w:spacing w:after="0" w:line="192" w:lineRule="exact"/>
              <w:rPr>
                <w:sz w:val="20"/>
                <w:szCs w:val="20"/>
                <w:color w:val="auto"/>
              </w:rPr>
            </w:pPr>
            <w:r>
              <w:rPr>
                <w:rFonts w:ascii="Calibri" w:cs="Calibri" w:eastAsia="Calibri" w:hAnsi="Calibri"/>
                <w:sz w:val="16"/>
                <w:szCs w:val="16"/>
                <w:b w:val="1"/>
                <w:bCs w:val="1"/>
                <w:color w:val="auto"/>
              </w:rPr>
              <w:t>1,325</w:t>
            </w:r>
          </w:p>
        </w:tc>
        <w:tc>
          <w:tcPr>
            <w:tcW w:w="1220" w:type="dxa"/>
            <w:vAlign w:val="bottom"/>
            <w:tcBorders>
              <w:bottom w:val="single" w:sz="8" w:color="auto"/>
            </w:tcBorders>
          </w:tcPr>
          <w:p>
            <w:pPr>
              <w:jc w:val="right"/>
              <w:ind w:right="299"/>
              <w:spacing w:after="0" w:line="192" w:lineRule="exact"/>
              <w:rPr>
                <w:sz w:val="20"/>
                <w:szCs w:val="20"/>
                <w:color w:val="auto"/>
              </w:rPr>
            </w:pPr>
            <w:r>
              <w:rPr>
                <w:rFonts w:ascii="Calibri" w:cs="Calibri" w:eastAsia="Calibri" w:hAnsi="Calibri"/>
                <w:sz w:val="16"/>
                <w:szCs w:val="16"/>
                <w:b w:val="1"/>
                <w:bCs w:val="1"/>
                <w:color w:val="auto"/>
              </w:rPr>
              <w:t>32</w:t>
            </w:r>
          </w:p>
        </w:tc>
        <w:tc>
          <w:tcPr>
            <w:tcW w:w="840" w:type="dxa"/>
            <w:vAlign w:val="bottom"/>
            <w:tcBorders>
              <w:bottom w:val="single" w:sz="8" w:color="auto"/>
            </w:tcBorders>
          </w:tcPr>
          <w:p>
            <w:pPr>
              <w:jc w:val="right"/>
              <w:spacing w:after="0" w:line="192" w:lineRule="exact"/>
              <w:rPr>
                <w:sz w:val="20"/>
                <w:szCs w:val="20"/>
                <w:color w:val="auto"/>
              </w:rPr>
            </w:pPr>
            <w:r>
              <w:rPr>
                <w:rFonts w:ascii="Calibri" w:cs="Calibri" w:eastAsia="Calibri" w:hAnsi="Calibri"/>
                <w:sz w:val="16"/>
                <w:szCs w:val="16"/>
                <w:b w:val="1"/>
                <w:bCs w:val="1"/>
                <w:color w:val="auto"/>
              </w:rPr>
              <w:t>35,465</w:t>
            </w:r>
          </w:p>
        </w:tc>
      </w:tr>
      <w:tr>
        <w:trPr>
          <w:trHeight w:val="198"/>
        </w:trPr>
        <w:tc>
          <w:tcPr>
            <w:tcW w:w="280" w:type="dxa"/>
            <w:vAlign w:val="bottom"/>
          </w:tcPr>
          <w:p>
            <w:pPr>
              <w:spacing w:after="0"/>
              <w:rPr>
                <w:sz w:val="17"/>
                <w:szCs w:val="17"/>
                <w:color w:val="auto"/>
              </w:rPr>
            </w:pPr>
          </w:p>
        </w:tc>
        <w:tc>
          <w:tcPr>
            <w:tcW w:w="3820" w:type="dxa"/>
            <w:vAlign w:val="bottom"/>
            <w:tcBorders>
              <w:bottom w:val="single" w:sz="8" w:color="auto"/>
            </w:tcBorders>
          </w:tcPr>
          <w:p>
            <w:pPr>
              <w:ind w:left="20"/>
              <w:spacing w:after="0" w:line="193" w:lineRule="exact"/>
              <w:rPr>
                <w:sz w:val="20"/>
                <w:szCs w:val="20"/>
                <w:color w:val="auto"/>
              </w:rPr>
            </w:pPr>
            <w:r>
              <w:rPr>
                <w:rFonts w:ascii="Calibri" w:cs="Calibri" w:eastAsia="Calibri" w:hAnsi="Calibri"/>
                <w:sz w:val="16"/>
                <w:szCs w:val="16"/>
                <w:b w:val="1"/>
                <w:bCs w:val="1"/>
                <w:color w:val="auto"/>
              </w:rPr>
              <w:t>Net book value as at September 30, 2024</w:t>
            </w:r>
          </w:p>
        </w:tc>
        <w:tc>
          <w:tcPr>
            <w:tcW w:w="2360" w:type="dxa"/>
            <w:vAlign w:val="bottom"/>
            <w:tcBorders>
              <w:bottom w:val="single" w:sz="8" w:color="auto"/>
            </w:tcBorders>
          </w:tcPr>
          <w:p>
            <w:pPr>
              <w:jc w:val="right"/>
              <w:ind w:right="299"/>
              <w:spacing w:after="0" w:line="193" w:lineRule="exact"/>
              <w:rPr>
                <w:sz w:val="20"/>
                <w:szCs w:val="20"/>
                <w:color w:val="auto"/>
              </w:rPr>
            </w:pPr>
            <w:r>
              <w:rPr>
                <w:rFonts w:ascii="Calibri" w:cs="Calibri" w:eastAsia="Calibri" w:hAnsi="Calibri"/>
                <w:sz w:val="16"/>
                <w:szCs w:val="16"/>
                <w:b w:val="1"/>
                <w:bCs w:val="1"/>
                <w:color w:val="auto"/>
              </w:rPr>
              <w:t>32,409</w:t>
            </w:r>
          </w:p>
        </w:tc>
        <w:tc>
          <w:tcPr>
            <w:tcW w:w="1180" w:type="dxa"/>
            <w:vAlign w:val="bottom"/>
            <w:tcBorders>
              <w:bottom w:val="single" w:sz="8" w:color="auto"/>
            </w:tcBorders>
          </w:tcPr>
          <w:p>
            <w:pPr>
              <w:jc w:val="right"/>
              <w:ind w:right="299"/>
              <w:spacing w:after="0" w:line="193" w:lineRule="exact"/>
              <w:rPr>
                <w:sz w:val="20"/>
                <w:szCs w:val="20"/>
                <w:color w:val="auto"/>
              </w:rPr>
            </w:pPr>
            <w:r>
              <w:rPr>
                <w:rFonts w:ascii="Calibri" w:cs="Calibri" w:eastAsia="Calibri" w:hAnsi="Calibri"/>
                <w:sz w:val="16"/>
                <w:szCs w:val="16"/>
                <w:b w:val="1"/>
                <w:bCs w:val="1"/>
                <w:color w:val="auto"/>
              </w:rPr>
              <w:t>2,205</w:t>
            </w:r>
          </w:p>
        </w:tc>
        <w:tc>
          <w:tcPr>
            <w:tcW w:w="1120" w:type="dxa"/>
            <w:vAlign w:val="bottom"/>
            <w:tcBorders>
              <w:bottom w:val="single" w:sz="8" w:color="auto"/>
            </w:tcBorders>
          </w:tcPr>
          <w:p>
            <w:pPr>
              <w:jc w:val="right"/>
              <w:ind w:right="259"/>
              <w:spacing w:after="0" w:line="193" w:lineRule="exact"/>
              <w:rPr>
                <w:sz w:val="20"/>
                <w:szCs w:val="20"/>
                <w:color w:val="auto"/>
              </w:rPr>
            </w:pPr>
            <w:r>
              <w:rPr>
                <w:rFonts w:ascii="Calibri" w:cs="Calibri" w:eastAsia="Calibri" w:hAnsi="Calibri"/>
                <w:sz w:val="16"/>
                <w:szCs w:val="16"/>
                <w:b w:val="1"/>
                <w:bCs w:val="1"/>
                <w:color w:val="auto"/>
              </w:rPr>
              <w:t>1,303</w:t>
            </w:r>
          </w:p>
        </w:tc>
        <w:tc>
          <w:tcPr>
            <w:tcW w:w="1220" w:type="dxa"/>
            <w:vAlign w:val="bottom"/>
            <w:tcBorders>
              <w:bottom w:val="single" w:sz="8" w:color="auto"/>
            </w:tcBorders>
          </w:tcPr>
          <w:p>
            <w:pPr>
              <w:jc w:val="right"/>
              <w:ind w:right="299"/>
              <w:spacing w:after="0" w:line="193" w:lineRule="exact"/>
              <w:rPr>
                <w:sz w:val="20"/>
                <w:szCs w:val="20"/>
                <w:color w:val="auto"/>
              </w:rPr>
            </w:pPr>
            <w:r>
              <w:rPr>
                <w:rFonts w:ascii="Calibri" w:cs="Calibri" w:eastAsia="Calibri" w:hAnsi="Calibri"/>
                <w:sz w:val="16"/>
                <w:szCs w:val="16"/>
                <w:b w:val="1"/>
                <w:bCs w:val="1"/>
                <w:color w:val="auto"/>
              </w:rPr>
              <w:t>20</w:t>
            </w:r>
          </w:p>
        </w:tc>
        <w:tc>
          <w:tcPr>
            <w:tcW w:w="840" w:type="dxa"/>
            <w:vAlign w:val="bottom"/>
            <w:tcBorders>
              <w:bottom w:val="single" w:sz="8" w:color="auto"/>
            </w:tcBorders>
          </w:tcPr>
          <w:p>
            <w:pPr>
              <w:jc w:val="right"/>
              <w:spacing w:after="0" w:line="193" w:lineRule="exact"/>
              <w:rPr>
                <w:sz w:val="20"/>
                <w:szCs w:val="20"/>
                <w:color w:val="auto"/>
              </w:rPr>
            </w:pPr>
            <w:r>
              <w:rPr>
                <w:rFonts w:ascii="Calibri" w:cs="Calibri" w:eastAsia="Calibri" w:hAnsi="Calibri"/>
                <w:sz w:val="16"/>
                <w:szCs w:val="16"/>
                <w:b w:val="1"/>
                <w:bCs w:val="1"/>
                <w:color w:val="auto"/>
              </w:rPr>
              <w:t>35,937</w:t>
            </w:r>
          </w:p>
        </w:tc>
      </w:tr>
    </w:tbl>
    <w:p>
      <w:pPr>
        <w:spacing w:after="0" w:line="256" w:lineRule="exact"/>
        <w:rPr>
          <w:sz w:val="20"/>
          <w:szCs w:val="20"/>
          <w:color w:val="auto"/>
        </w:rPr>
      </w:pPr>
    </w:p>
    <w:p>
      <w:pPr>
        <w:ind w:left="163" w:hanging="163"/>
        <w:spacing w:after="0"/>
        <w:tabs>
          <w:tab w:leader="none" w:pos="163" w:val="left"/>
        </w:tabs>
        <w:numPr>
          <w:ilvl w:val="0"/>
          <w:numId w:val="2"/>
        </w:numPr>
        <w:rPr>
          <w:rFonts w:ascii="Calibri" w:cs="Calibri" w:eastAsia="Calibri" w:hAnsi="Calibri"/>
          <w:sz w:val="16"/>
          <w:szCs w:val="16"/>
          <w:b w:val="1"/>
          <w:bCs w:val="1"/>
          <w:color w:val="2D5F91"/>
        </w:rPr>
      </w:pPr>
      <w:r>
        <w:rPr>
          <w:rFonts w:ascii="Calibri" w:cs="Calibri" w:eastAsia="Calibri" w:hAnsi="Calibri"/>
          <w:sz w:val="16"/>
          <w:szCs w:val="16"/>
          <w:b w:val="1"/>
          <w:bCs w:val="1"/>
          <w:color w:val="2D5F91"/>
        </w:rPr>
        <w:t>RIGHT-OF-USE ASSETS AND LEASE LIABILITIES</w:t>
      </w:r>
    </w:p>
    <w:p>
      <w:pPr>
        <w:spacing w:after="0" w:line="215" w:lineRule="exact"/>
        <w:rPr>
          <w:rFonts w:ascii="Calibri" w:cs="Calibri" w:eastAsia="Calibri" w:hAnsi="Calibri"/>
          <w:sz w:val="16"/>
          <w:szCs w:val="16"/>
          <w:b w:val="1"/>
          <w:bCs w:val="1"/>
          <w:color w:val="2D5F91"/>
        </w:rPr>
      </w:pPr>
    </w:p>
    <w:p>
      <w:pPr>
        <w:ind w:left="583" w:hanging="293"/>
        <w:spacing w:after="0"/>
        <w:tabs>
          <w:tab w:leader="none" w:pos="583" w:val="left"/>
        </w:tabs>
        <w:numPr>
          <w:ilvl w:val="1"/>
          <w:numId w:val="2"/>
        </w:numPr>
        <w:rPr>
          <w:rFonts w:ascii="Calibri" w:cs="Calibri" w:eastAsia="Calibri" w:hAnsi="Calibri"/>
          <w:sz w:val="16"/>
          <w:szCs w:val="16"/>
          <w:b w:val="1"/>
          <w:bCs w:val="1"/>
          <w:color w:val="auto"/>
        </w:rPr>
      </w:pPr>
      <w:r>
        <w:rPr>
          <w:rFonts w:ascii="Calibri" w:cs="Calibri" w:eastAsia="Calibri" w:hAnsi="Calibri"/>
          <w:sz w:val="16"/>
          <w:szCs w:val="16"/>
          <w:b w:val="1"/>
          <w:bCs w:val="1"/>
          <w:u w:val="single" w:color="auto"/>
          <w:color w:val="auto"/>
        </w:rPr>
        <w:t>Right-of-use assets</w:t>
      </w:r>
    </w:p>
    <w:p>
      <w:pPr>
        <w:spacing w:after="0" w:line="264" w:lineRule="exact"/>
        <w:rPr>
          <w:sz w:val="20"/>
          <w:szCs w:val="20"/>
          <w:color w:val="auto"/>
        </w:rPr>
      </w:pPr>
    </w:p>
    <w:tbl>
      <w:tblPr>
        <w:tblLayout w:type="fixed"/>
        <w:tblInd w:w="283" w:type="dxa"/>
        <w:tblCellMar>
          <w:top w:w="0" w:type="dxa"/>
          <w:left w:w="0" w:type="dxa"/>
          <w:bottom w:w="0" w:type="dxa"/>
          <w:right w:w="0" w:type="dxa"/>
        </w:tblCellMar>
      </w:tblPr>
      <w:tr>
        <w:trPr>
          <w:trHeight w:val="195"/>
        </w:trPr>
        <w:tc>
          <w:tcPr>
            <w:tcW w:w="6480" w:type="dxa"/>
            <w:vAlign w:val="bottom"/>
          </w:tcPr>
          <w:p>
            <w:pPr>
              <w:ind w:left="20"/>
              <w:spacing w:after="0"/>
              <w:rPr>
                <w:sz w:val="20"/>
                <w:szCs w:val="20"/>
                <w:color w:val="auto"/>
              </w:rPr>
            </w:pPr>
            <w:r>
              <w:rPr>
                <w:rFonts w:ascii="Calibri" w:cs="Calibri" w:eastAsia="Calibri" w:hAnsi="Calibri"/>
                <w:sz w:val="16"/>
                <w:szCs w:val="16"/>
                <w:b w:val="1"/>
                <w:bCs w:val="1"/>
                <w:color w:val="auto"/>
              </w:rPr>
              <w:t>Cost</w:t>
            </w:r>
          </w:p>
        </w:tc>
        <w:tc>
          <w:tcPr>
            <w:tcW w:w="4060" w:type="dxa"/>
            <w:vAlign w:val="bottom"/>
          </w:tcPr>
          <w:p>
            <w:pPr>
              <w:jc w:val="right"/>
              <w:spacing w:after="0"/>
              <w:rPr>
                <w:sz w:val="20"/>
                <w:szCs w:val="20"/>
                <w:color w:val="auto"/>
              </w:rPr>
            </w:pPr>
            <w:r>
              <w:rPr>
                <w:rFonts w:ascii="Calibri" w:cs="Calibri" w:eastAsia="Calibri" w:hAnsi="Calibri"/>
                <w:sz w:val="16"/>
                <w:szCs w:val="16"/>
                <w:b w:val="1"/>
                <w:bCs w:val="1"/>
                <w:color w:val="auto"/>
              </w:rPr>
              <w:t>$</w:t>
            </w:r>
          </w:p>
        </w:tc>
      </w:tr>
      <w:tr>
        <w:trPr>
          <w:trHeight w:val="20"/>
        </w:trPr>
        <w:tc>
          <w:tcPr>
            <w:tcW w:w="6480" w:type="dxa"/>
            <w:vAlign w:val="bottom"/>
            <w:tcBorders>
              <w:bottom w:val="single" w:sz="8" w:color="auto"/>
            </w:tcBorders>
          </w:tcPr>
          <w:p>
            <w:pPr>
              <w:spacing w:after="0" w:line="20" w:lineRule="exact"/>
              <w:rPr>
                <w:sz w:val="1"/>
                <w:szCs w:val="1"/>
                <w:color w:val="auto"/>
              </w:rPr>
            </w:pPr>
          </w:p>
        </w:tc>
        <w:tc>
          <w:tcPr>
            <w:tcW w:w="4060" w:type="dxa"/>
            <w:vAlign w:val="bottom"/>
            <w:tcBorders>
              <w:bottom w:val="single" w:sz="8" w:color="auto"/>
            </w:tcBorders>
          </w:tcPr>
          <w:p>
            <w:pPr>
              <w:spacing w:after="0" w:line="20" w:lineRule="exact"/>
              <w:rPr>
                <w:sz w:val="1"/>
                <w:szCs w:val="1"/>
                <w:color w:val="auto"/>
              </w:rPr>
            </w:pPr>
          </w:p>
        </w:tc>
      </w:tr>
      <w:tr>
        <w:trPr>
          <w:trHeight w:val="185"/>
        </w:trPr>
        <w:tc>
          <w:tcPr>
            <w:tcW w:w="6480" w:type="dxa"/>
            <w:vAlign w:val="bottom"/>
          </w:tcPr>
          <w:p>
            <w:pPr>
              <w:ind w:left="20"/>
              <w:spacing w:after="0" w:line="185" w:lineRule="exact"/>
              <w:rPr>
                <w:sz w:val="20"/>
                <w:szCs w:val="20"/>
                <w:color w:val="auto"/>
              </w:rPr>
            </w:pPr>
            <w:r>
              <w:rPr>
                <w:rFonts w:ascii="Calibri" w:cs="Calibri" w:eastAsia="Calibri" w:hAnsi="Calibri"/>
                <w:sz w:val="16"/>
                <w:szCs w:val="16"/>
                <w:b w:val="1"/>
                <w:bCs w:val="1"/>
                <w:color w:val="auto"/>
              </w:rPr>
              <w:t>Balance as at March 31, 2024</w:t>
            </w:r>
          </w:p>
        </w:tc>
        <w:tc>
          <w:tcPr>
            <w:tcW w:w="4060" w:type="dxa"/>
            <w:vAlign w:val="bottom"/>
          </w:tcPr>
          <w:p>
            <w:pPr>
              <w:jc w:val="right"/>
              <w:spacing w:after="0" w:line="185" w:lineRule="exact"/>
              <w:rPr>
                <w:sz w:val="20"/>
                <w:szCs w:val="20"/>
                <w:color w:val="auto"/>
              </w:rPr>
            </w:pPr>
            <w:r>
              <w:rPr>
                <w:rFonts w:ascii="Calibri" w:cs="Calibri" w:eastAsia="Calibri" w:hAnsi="Calibri"/>
                <w:sz w:val="16"/>
                <w:szCs w:val="16"/>
                <w:b w:val="1"/>
                <w:bCs w:val="1"/>
                <w:color w:val="auto"/>
              </w:rPr>
              <w:t>424</w:t>
            </w:r>
          </w:p>
        </w:tc>
      </w:tr>
      <w:tr>
        <w:trPr>
          <w:trHeight w:val="198"/>
        </w:trPr>
        <w:tc>
          <w:tcPr>
            <w:tcW w:w="6480" w:type="dxa"/>
            <w:vAlign w:val="bottom"/>
          </w:tcPr>
          <w:p>
            <w:pPr>
              <w:ind w:left="20"/>
              <w:spacing w:after="0"/>
              <w:rPr>
                <w:sz w:val="20"/>
                <w:szCs w:val="20"/>
                <w:color w:val="auto"/>
              </w:rPr>
            </w:pPr>
            <w:r>
              <w:rPr>
                <w:rFonts w:ascii="Calibri" w:cs="Calibri" w:eastAsia="Calibri" w:hAnsi="Calibri"/>
                <w:sz w:val="16"/>
                <w:szCs w:val="16"/>
                <w:color w:val="auto"/>
              </w:rPr>
              <w:t>Additons</w:t>
            </w:r>
          </w:p>
        </w:tc>
        <w:tc>
          <w:tcPr>
            <w:tcW w:w="4060" w:type="dxa"/>
            <w:vAlign w:val="bottom"/>
          </w:tcPr>
          <w:p>
            <w:pPr>
              <w:jc w:val="right"/>
              <w:spacing w:after="0"/>
              <w:rPr>
                <w:sz w:val="20"/>
                <w:szCs w:val="20"/>
                <w:color w:val="auto"/>
              </w:rPr>
            </w:pPr>
            <w:r>
              <w:rPr>
                <w:rFonts w:ascii="Calibri" w:cs="Calibri" w:eastAsia="Calibri" w:hAnsi="Calibri"/>
                <w:sz w:val="16"/>
                <w:szCs w:val="16"/>
                <w:color w:val="auto"/>
              </w:rPr>
              <w:t>—</w:t>
            </w:r>
          </w:p>
        </w:tc>
      </w:tr>
      <w:tr>
        <w:trPr>
          <w:trHeight w:val="206"/>
        </w:trPr>
        <w:tc>
          <w:tcPr>
            <w:tcW w:w="6480" w:type="dxa"/>
            <w:vAlign w:val="bottom"/>
          </w:tcPr>
          <w:p>
            <w:pPr>
              <w:ind w:left="20"/>
              <w:spacing w:after="0"/>
              <w:rPr>
                <w:sz w:val="20"/>
                <w:szCs w:val="20"/>
                <w:color w:val="auto"/>
              </w:rPr>
            </w:pPr>
            <w:r>
              <w:rPr>
                <w:rFonts w:ascii="Calibri" w:cs="Calibri" w:eastAsia="Calibri" w:hAnsi="Calibri"/>
                <w:sz w:val="16"/>
                <w:szCs w:val="16"/>
                <w:color w:val="auto"/>
              </w:rPr>
              <w:t>Efect of foreign exchange</w:t>
            </w:r>
          </w:p>
        </w:tc>
        <w:tc>
          <w:tcPr>
            <w:tcW w:w="4060" w:type="dxa"/>
            <w:vAlign w:val="bottom"/>
          </w:tcPr>
          <w:p>
            <w:pPr>
              <w:jc w:val="right"/>
              <w:spacing w:after="0"/>
              <w:rPr>
                <w:sz w:val="20"/>
                <w:szCs w:val="20"/>
                <w:color w:val="auto"/>
              </w:rPr>
            </w:pPr>
            <w:r>
              <w:rPr>
                <w:rFonts w:ascii="Calibri" w:cs="Calibri" w:eastAsia="Calibri" w:hAnsi="Calibri"/>
                <w:sz w:val="16"/>
                <w:szCs w:val="16"/>
                <w:color w:val="auto"/>
              </w:rPr>
              <w:t>13</w:t>
            </w:r>
          </w:p>
        </w:tc>
      </w:tr>
      <w:tr>
        <w:trPr>
          <w:trHeight w:val="20"/>
        </w:trPr>
        <w:tc>
          <w:tcPr>
            <w:tcW w:w="6480" w:type="dxa"/>
            <w:vAlign w:val="bottom"/>
            <w:tcBorders>
              <w:bottom w:val="single" w:sz="8" w:color="auto"/>
            </w:tcBorders>
          </w:tcPr>
          <w:p>
            <w:pPr>
              <w:spacing w:after="0" w:line="20" w:lineRule="exact"/>
              <w:rPr>
                <w:sz w:val="1"/>
                <w:szCs w:val="1"/>
                <w:color w:val="auto"/>
              </w:rPr>
            </w:pPr>
          </w:p>
        </w:tc>
        <w:tc>
          <w:tcPr>
            <w:tcW w:w="4060" w:type="dxa"/>
            <w:vAlign w:val="bottom"/>
            <w:tcBorders>
              <w:bottom w:val="single" w:sz="8" w:color="auto"/>
            </w:tcBorders>
          </w:tcPr>
          <w:p>
            <w:pPr>
              <w:spacing w:after="0" w:line="20" w:lineRule="exact"/>
              <w:rPr>
                <w:sz w:val="1"/>
                <w:szCs w:val="1"/>
                <w:color w:val="auto"/>
              </w:rPr>
            </w:pPr>
          </w:p>
        </w:tc>
      </w:tr>
      <w:tr>
        <w:trPr>
          <w:trHeight w:val="191"/>
        </w:trPr>
        <w:tc>
          <w:tcPr>
            <w:tcW w:w="6480" w:type="dxa"/>
            <w:vAlign w:val="bottom"/>
            <w:tcBorders>
              <w:bottom w:val="single" w:sz="8" w:color="auto"/>
            </w:tcBorders>
          </w:tcPr>
          <w:p>
            <w:pPr>
              <w:ind w:left="20"/>
              <w:spacing w:after="0" w:line="192" w:lineRule="exact"/>
              <w:rPr>
                <w:sz w:val="20"/>
                <w:szCs w:val="20"/>
                <w:color w:val="auto"/>
              </w:rPr>
            </w:pPr>
            <w:r>
              <w:rPr>
                <w:rFonts w:ascii="Calibri" w:cs="Calibri" w:eastAsia="Calibri" w:hAnsi="Calibri"/>
                <w:sz w:val="16"/>
                <w:szCs w:val="16"/>
                <w:b w:val="1"/>
                <w:bCs w:val="1"/>
                <w:color w:val="auto"/>
              </w:rPr>
              <w:t>Balance as at September 30, 2024</w:t>
            </w:r>
          </w:p>
        </w:tc>
        <w:tc>
          <w:tcPr>
            <w:tcW w:w="4060" w:type="dxa"/>
            <w:vAlign w:val="bottom"/>
            <w:tcBorders>
              <w:bottom w:val="single" w:sz="8" w:color="auto"/>
            </w:tcBorders>
          </w:tcPr>
          <w:p>
            <w:pPr>
              <w:jc w:val="right"/>
              <w:spacing w:after="0" w:line="192" w:lineRule="exact"/>
              <w:rPr>
                <w:sz w:val="20"/>
                <w:szCs w:val="20"/>
                <w:color w:val="auto"/>
              </w:rPr>
            </w:pPr>
            <w:r>
              <w:rPr>
                <w:rFonts w:ascii="Calibri" w:cs="Calibri" w:eastAsia="Calibri" w:hAnsi="Calibri"/>
                <w:sz w:val="16"/>
                <w:szCs w:val="16"/>
                <w:b w:val="1"/>
                <w:bCs w:val="1"/>
                <w:color w:val="auto"/>
              </w:rPr>
              <w:t>437</w:t>
            </w:r>
          </w:p>
        </w:tc>
      </w:tr>
      <w:tr>
        <w:trPr>
          <w:trHeight w:val="401"/>
        </w:trPr>
        <w:tc>
          <w:tcPr>
            <w:tcW w:w="6480" w:type="dxa"/>
            <w:vAlign w:val="bottom"/>
          </w:tcPr>
          <w:p>
            <w:pPr>
              <w:ind w:left="20"/>
              <w:spacing w:after="0"/>
              <w:rPr>
                <w:sz w:val="20"/>
                <w:szCs w:val="20"/>
                <w:color w:val="auto"/>
              </w:rPr>
            </w:pPr>
            <w:r>
              <w:rPr>
                <w:rFonts w:ascii="Calibri" w:cs="Calibri" w:eastAsia="Calibri" w:hAnsi="Calibri"/>
                <w:sz w:val="16"/>
                <w:szCs w:val="16"/>
                <w:b w:val="1"/>
                <w:bCs w:val="1"/>
                <w:color w:val="auto"/>
              </w:rPr>
              <w:t>Accumulated amortzaton</w:t>
            </w:r>
          </w:p>
        </w:tc>
        <w:tc>
          <w:tcPr>
            <w:tcW w:w="4060" w:type="dxa"/>
            <w:vAlign w:val="bottom"/>
          </w:tcPr>
          <w:p>
            <w:pPr>
              <w:spacing w:after="0"/>
              <w:rPr>
                <w:sz w:val="24"/>
                <w:szCs w:val="24"/>
                <w:color w:val="auto"/>
              </w:rPr>
            </w:pPr>
          </w:p>
        </w:tc>
      </w:tr>
      <w:tr>
        <w:trPr>
          <w:trHeight w:val="206"/>
        </w:trPr>
        <w:tc>
          <w:tcPr>
            <w:tcW w:w="6480" w:type="dxa"/>
            <w:vAlign w:val="bottom"/>
          </w:tcPr>
          <w:p>
            <w:pPr>
              <w:ind w:left="20"/>
              <w:spacing w:after="0"/>
              <w:rPr>
                <w:sz w:val="20"/>
                <w:szCs w:val="20"/>
                <w:color w:val="auto"/>
              </w:rPr>
            </w:pPr>
            <w:r>
              <w:rPr>
                <w:rFonts w:ascii="Calibri" w:cs="Calibri" w:eastAsia="Calibri" w:hAnsi="Calibri"/>
                <w:sz w:val="16"/>
                <w:szCs w:val="16"/>
                <w:b w:val="1"/>
                <w:bCs w:val="1"/>
                <w:color w:val="auto"/>
              </w:rPr>
              <w:t>Balance as at March 31, 2024</w:t>
            </w:r>
          </w:p>
        </w:tc>
        <w:tc>
          <w:tcPr>
            <w:tcW w:w="4060" w:type="dxa"/>
            <w:vAlign w:val="bottom"/>
          </w:tcPr>
          <w:p>
            <w:pPr>
              <w:jc w:val="right"/>
              <w:spacing w:after="0"/>
              <w:rPr>
                <w:sz w:val="20"/>
                <w:szCs w:val="20"/>
                <w:color w:val="auto"/>
              </w:rPr>
            </w:pPr>
            <w:r>
              <w:rPr>
                <w:rFonts w:ascii="Calibri" w:cs="Calibri" w:eastAsia="Calibri" w:hAnsi="Calibri"/>
                <w:sz w:val="16"/>
                <w:szCs w:val="16"/>
                <w:b w:val="1"/>
                <w:bCs w:val="1"/>
                <w:color w:val="auto"/>
              </w:rPr>
              <w:t>143</w:t>
            </w:r>
          </w:p>
        </w:tc>
      </w:tr>
      <w:tr>
        <w:trPr>
          <w:trHeight w:val="206"/>
        </w:trPr>
        <w:tc>
          <w:tcPr>
            <w:tcW w:w="6480" w:type="dxa"/>
            <w:vAlign w:val="bottom"/>
          </w:tcPr>
          <w:p>
            <w:pPr>
              <w:ind w:left="20"/>
              <w:spacing w:after="0"/>
              <w:rPr>
                <w:sz w:val="20"/>
                <w:szCs w:val="20"/>
                <w:color w:val="auto"/>
              </w:rPr>
            </w:pPr>
            <w:r>
              <w:rPr>
                <w:rFonts w:ascii="Calibri" w:cs="Calibri" w:eastAsia="Calibri" w:hAnsi="Calibri"/>
                <w:sz w:val="16"/>
                <w:szCs w:val="16"/>
                <w:color w:val="auto"/>
              </w:rPr>
              <w:t>Amortzaton</w:t>
            </w:r>
          </w:p>
        </w:tc>
        <w:tc>
          <w:tcPr>
            <w:tcW w:w="4060" w:type="dxa"/>
            <w:vAlign w:val="bottom"/>
          </w:tcPr>
          <w:p>
            <w:pPr>
              <w:jc w:val="right"/>
              <w:spacing w:after="0"/>
              <w:rPr>
                <w:sz w:val="20"/>
                <w:szCs w:val="20"/>
                <w:color w:val="auto"/>
              </w:rPr>
            </w:pPr>
            <w:r>
              <w:rPr>
                <w:rFonts w:ascii="Calibri" w:cs="Calibri" w:eastAsia="Calibri" w:hAnsi="Calibri"/>
                <w:sz w:val="16"/>
                <w:szCs w:val="16"/>
                <w:color w:val="auto"/>
              </w:rPr>
              <w:t>165</w:t>
            </w:r>
          </w:p>
        </w:tc>
      </w:tr>
      <w:tr>
        <w:trPr>
          <w:trHeight w:val="206"/>
        </w:trPr>
        <w:tc>
          <w:tcPr>
            <w:tcW w:w="6480" w:type="dxa"/>
            <w:vAlign w:val="bottom"/>
          </w:tcPr>
          <w:p>
            <w:pPr>
              <w:ind w:left="20"/>
              <w:spacing w:after="0"/>
              <w:rPr>
                <w:sz w:val="20"/>
                <w:szCs w:val="20"/>
                <w:color w:val="auto"/>
              </w:rPr>
            </w:pPr>
            <w:r>
              <w:rPr>
                <w:rFonts w:ascii="Calibri" w:cs="Calibri" w:eastAsia="Calibri" w:hAnsi="Calibri"/>
                <w:sz w:val="16"/>
                <w:szCs w:val="16"/>
                <w:color w:val="auto"/>
              </w:rPr>
              <w:t>Efect of foreign exchange</w:t>
            </w:r>
          </w:p>
        </w:tc>
        <w:tc>
          <w:tcPr>
            <w:tcW w:w="4060" w:type="dxa"/>
            <w:vAlign w:val="bottom"/>
          </w:tcPr>
          <w:p>
            <w:pPr>
              <w:jc w:val="right"/>
              <w:spacing w:after="0"/>
              <w:rPr>
                <w:sz w:val="20"/>
                <w:szCs w:val="20"/>
                <w:color w:val="auto"/>
              </w:rPr>
            </w:pPr>
            <w:r>
              <w:rPr>
                <w:rFonts w:ascii="Calibri" w:cs="Calibri" w:eastAsia="Calibri" w:hAnsi="Calibri"/>
                <w:sz w:val="16"/>
                <w:szCs w:val="16"/>
                <w:color w:val="auto"/>
              </w:rPr>
              <w:t>2</w:t>
            </w:r>
          </w:p>
        </w:tc>
      </w:tr>
      <w:tr>
        <w:trPr>
          <w:trHeight w:val="20"/>
        </w:trPr>
        <w:tc>
          <w:tcPr>
            <w:tcW w:w="6480" w:type="dxa"/>
            <w:vAlign w:val="bottom"/>
            <w:tcBorders>
              <w:bottom w:val="single" w:sz="8" w:color="auto"/>
            </w:tcBorders>
          </w:tcPr>
          <w:p>
            <w:pPr>
              <w:spacing w:after="0" w:line="20" w:lineRule="exact"/>
              <w:rPr>
                <w:sz w:val="1"/>
                <w:szCs w:val="1"/>
                <w:color w:val="auto"/>
              </w:rPr>
            </w:pPr>
          </w:p>
        </w:tc>
        <w:tc>
          <w:tcPr>
            <w:tcW w:w="4060" w:type="dxa"/>
            <w:vAlign w:val="bottom"/>
            <w:tcBorders>
              <w:bottom w:val="single" w:sz="8" w:color="auto"/>
            </w:tcBorders>
          </w:tcPr>
          <w:p>
            <w:pPr>
              <w:spacing w:after="0" w:line="20" w:lineRule="exact"/>
              <w:rPr>
                <w:sz w:val="1"/>
                <w:szCs w:val="1"/>
                <w:color w:val="auto"/>
              </w:rPr>
            </w:pPr>
          </w:p>
        </w:tc>
      </w:tr>
      <w:tr>
        <w:trPr>
          <w:trHeight w:val="191"/>
        </w:trPr>
        <w:tc>
          <w:tcPr>
            <w:tcW w:w="6480" w:type="dxa"/>
            <w:vAlign w:val="bottom"/>
            <w:tcBorders>
              <w:bottom w:val="single" w:sz="8" w:color="auto"/>
            </w:tcBorders>
          </w:tcPr>
          <w:p>
            <w:pPr>
              <w:ind w:left="20"/>
              <w:spacing w:after="0" w:line="192" w:lineRule="exact"/>
              <w:rPr>
                <w:sz w:val="20"/>
                <w:szCs w:val="20"/>
                <w:color w:val="auto"/>
              </w:rPr>
            </w:pPr>
            <w:r>
              <w:rPr>
                <w:rFonts w:ascii="Calibri" w:cs="Calibri" w:eastAsia="Calibri" w:hAnsi="Calibri"/>
                <w:sz w:val="16"/>
                <w:szCs w:val="16"/>
                <w:b w:val="1"/>
                <w:bCs w:val="1"/>
                <w:color w:val="auto"/>
              </w:rPr>
              <w:t>Balance as at September 30, 2024</w:t>
            </w:r>
          </w:p>
        </w:tc>
        <w:tc>
          <w:tcPr>
            <w:tcW w:w="4060" w:type="dxa"/>
            <w:vAlign w:val="bottom"/>
            <w:tcBorders>
              <w:bottom w:val="single" w:sz="8" w:color="auto"/>
            </w:tcBorders>
          </w:tcPr>
          <w:p>
            <w:pPr>
              <w:jc w:val="right"/>
              <w:spacing w:after="0" w:line="192" w:lineRule="exact"/>
              <w:rPr>
                <w:sz w:val="20"/>
                <w:szCs w:val="20"/>
                <w:color w:val="auto"/>
              </w:rPr>
            </w:pPr>
            <w:r>
              <w:rPr>
                <w:rFonts w:ascii="Calibri" w:cs="Calibri" w:eastAsia="Calibri" w:hAnsi="Calibri"/>
                <w:sz w:val="16"/>
                <w:szCs w:val="16"/>
                <w:b w:val="1"/>
                <w:bCs w:val="1"/>
                <w:color w:val="auto"/>
              </w:rPr>
              <w:t>310</w:t>
            </w:r>
          </w:p>
        </w:tc>
      </w:tr>
      <w:tr>
        <w:trPr>
          <w:trHeight w:val="216"/>
        </w:trPr>
        <w:tc>
          <w:tcPr>
            <w:tcW w:w="6480" w:type="dxa"/>
            <w:vAlign w:val="bottom"/>
            <w:tcBorders>
              <w:bottom w:val="single" w:sz="8" w:color="auto"/>
            </w:tcBorders>
          </w:tcPr>
          <w:p>
            <w:pPr>
              <w:spacing w:after="0"/>
              <w:rPr>
                <w:sz w:val="18"/>
                <w:szCs w:val="18"/>
                <w:color w:val="auto"/>
              </w:rPr>
            </w:pPr>
          </w:p>
        </w:tc>
        <w:tc>
          <w:tcPr>
            <w:tcW w:w="4060" w:type="dxa"/>
            <w:vAlign w:val="bottom"/>
            <w:tcBorders>
              <w:bottom w:val="single" w:sz="8" w:color="auto"/>
            </w:tcBorders>
          </w:tcPr>
          <w:p>
            <w:pPr>
              <w:spacing w:after="0"/>
              <w:rPr>
                <w:sz w:val="18"/>
                <w:szCs w:val="18"/>
                <w:color w:val="auto"/>
              </w:rPr>
            </w:pPr>
          </w:p>
        </w:tc>
      </w:tr>
      <w:tr>
        <w:trPr>
          <w:trHeight w:val="191"/>
        </w:trPr>
        <w:tc>
          <w:tcPr>
            <w:tcW w:w="6480" w:type="dxa"/>
            <w:vAlign w:val="bottom"/>
            <w:tcBorders>
              <w:bottom w:val="single" w:sz="8" w:color="auto"/>
            </w:tcBorders>
          </w:tcPr>
          <w:p>
            <w:pPr>
              <w:ind w:left="20"/>
              <w:spacing w:after="0" w:line="192" w:lineRule="exact"/>
              <w:rPr>
                <w:sz w:val="20"/>
                <w:szCs w:val="20"/>
                <w:color w:val="auto"/>
              </w:rPr>
            </w:pPr>
            <w:r>
              <w:rPr>
                <w:rFonts w:ascii="Calibri" w:cs="Calibri" w:eastAsia="Calibri" w:hAnsi="Calibri"/>
                <w:sz w:val="16"/>
                <w:szCs w:val="16"/>
                <w:b w:val="1"/>
                <w:bCs w:val="1"/>
                <w:color w:val="auto"/>
              </w:rPr>
              <w:t>Net book value as at March 31, 2024</w:t>
            </w:r>
          </w:p>
        </w:tc>
        <w:tc>
          <w:tcPr>
            <w:tcW w:w="4060" w:type="dxa"/>
            <w:vAlign w:val="bottom"/>
            <w:tcBorders>
              <w:bottom w:val="single" w:sz="8" w:color="auto"/>
            </w:tcBorders>
          </w:tcPr>
          <w:p>
            <w:pPr>
              <w:jc w:val="right"/>
              <w:spacing w:after="0" w:line="192" w:lineRule="exact"/>
              <w:rPr>
                <w:sz w:val="20"/>
                <w:szCs w:val="20"/>
                <w:color w:val="auto"/>
              </w:rPr>
            </w:pPr>
            <w:r>
              <w:rPr>
                <w:rFonts w:ascii="Calibri" w:cs="Calibri" w:eastAsia="Calibri" w:hAnsi="Calibri"/>
                <w:sz w:val="16"/>
                <w:szCs w:val="16"/>
                <w:b w:val="1"/>
                <w:bCs w:val="1"/>
                <w:color w:val="auto"/>
              </w:rPr>
              <w:t>281</w:t>
            </w:r>
          </w:p>
        </w:tc>
      </w:tr>
      <w:tr>
        <w:trPr>
          <w:trHeight w:val="198"/>
        </w:trPr>
        <w:tc>
          <w:tcPr>
            <w:tcW w:w="6480" w:type="dxa"/>
            <w:vAlign w:val="bottom"/>
            <w:tcBorders>
              <w:bottom w:val="single" w:sz="8" w:color="auto"/>
            </w:tcBorders>
          </w:tcPr>
          <w:p>
            <w:pPr>
              <w:ind w:left="20"/>
              <w:spacing w:after="0" w:line="193" w:lineRule="exact"/>
              <w:rPr>
                <w:sz w:val="20"/>
                <w:szCs w:val="20"/>
                <w:color w:val="auto"/>
              </w:rPr>
            </w:pPr>
            <w:r>
              <w:rPr>
                <w:rFonts w:ascii="Calibri" w:cs="Calibri" w:eastAsia="Calibri" w:hAnsi="Calibri"/>
                <w:sz w:val="16"/>
                <w:szCs w:val="16"/>
                <w:b w:val="1"/>
                <w:bCs w:val="1"/>
                <w:color w:val="auto"/>
              </w:rPr>
              <w:t>Net book value as at September 30, 2024</w:t>
            </w:r>
          </w:p>
        </w:tc>
        <w:tc>
          <w:tcPr>
            <w:tcW w:w="4060" w:type="dxa"/>
            <w:vAlign w:val="bottom"/>
            <w:tcBorders>
              <w:bottom w:val="single" w:sz="8" w:color="auto"/>
            </w:tcBorders>
          </w:tcPr>
          <w:p>
            <w:pPr>
              <w:jc w:val="right"/>
              <w:spacing w:after="0" w:line="193" w:lineRule="exact"/>
              <w:rPr>
                <w:sz w:val="20"/>
                <w:szCs w:val="20"/>
                <w:color w:val="auto"/>
              </w:rPr>
            </w:pPr>
            <w:r>
              <w:rPr>
                <w:rFonts w:ascii="Calibri" w:cs="Calibri" w:eastAsia="Calibri" w:hAnsi="Calibri"/>
                <w:sz w:val="16"/>
                <w:szCs w:val="16"/>
                <w:b w:val="1"/>
                <w:bCs w:val="1"/>
                <w:color w:val="auto"/>
              </w:rPr>
              <w:t>127</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center"/>
        <w:ind w:right="-182"/>
        <w:spacing w:after="0"/>
        <w:rPr>
          <w:sz w:val="20"/>
          <w:szCs w:val="20"/>
          <w:color w:val="auto"/>
        </w:rPr>
      </w:pPr>
      <w:r>
        <w:rPr>
          <w:rFonts w:ascii="Calibri" w:cs="Calibri" w:eastAsia="Calibri" w:hAnsi="Calibri"/>
          <w:sz w:val="16"/>
          <w:szCs w:val="16"/>
          <w:b w:val="1"/>
          <w:bCs w:val="1"/>
          <w:color w:val="auto"/>
        </w:rPr>
        <w:t>Page 10 of 23</w:t>
      </w:r>
    </w:p>
    <w:p>
      <w:pPr>
        <w:sectPr>
          <w:pgSz w:w="11900" w:h="16838" w:orient="portrait"/>
          <w:cols w:equalWidth="0" w:num="1">
            <w:col w:w="11063"/>
          </w:cols>
          <w:pgMar w:left="317" w:top="234" w:right="519" w:bottom="1440" w:gutter="0" w:footer="0" w:header="0"/>
        </w:sectPr>
      </w:pPr>
    </w:p>
    <w:bookmarkStart w:id="13" w:name="page14"/>
    <w:bookmarkEnd w:id="13"/>
    <w:p>
      <w:pPr>
        <w:ind w:left="63"/>
        <w:spacing w:after="0"/>
        <w:rPr>
          <w:sz w:val="20"/>
          <w:szCs w:val="20"/>
          <w:color w:val="auto"/>
        </w:rPr>
      </w:pPr>
      <w:r>
        <w:rPr>
          <w:rFonts w:ascii="Calibri" w:cs="Calibri" w:eastAsia="Calibri" w:hAnsi="Calibri"/>
          <w:sz w:val="19"/>
          <w:szCs w:val="19"/>
          <w:b w:val="1"/>
          <w:bCs w:val="1"/>
          <w:color w:val="auto"/>
        </w:rPr>
        <w:t>CYBIN INC.</w:t>
      </w:r>
    </w:p>
    <w:p>
      <w:pPr>
        <w:ind w:left="63"/>
        <w:spacing w:after="0" w:line="237" w:lineRule="auto"/>
        <w:rPr>
          <w:sz w:val="20"/>
          <w:szCs w:val="20"/>
          <w:color w:val="auto"/>
        </w:rPr>
      </w:pPr>
      <w:r>
        <w:rPr>
          <w:rFonts w:ascii="Calibri" w:cs="Calibri" w:eastAsia="Calibri" w:hAnsi="Calibri"/>
          <w:sz w:val="19"/>
          <w:szCs w:val="19"/>
          <w:b w:val="1"/>
          <w:bCs w:val="1"/>
          <w:color w:val="auto"/>
        </w:rPr>
        <w:t>NOTES TO THE CONDENSED INTERIM CONSOLIDATED FINANCIAL STATEMENTS</w:t>
      </w:r>
    </w:p>
    <w:p>
      <w:pPr>
        <w:ind w:left="63"/>
        <w:spacing w:after="0" w:line="238" w:lineRule="auto"/>
        <w:rPr>
          <w:sz w:val="20"/>
          <w:szCs w:val="20"/>
          <w:color w:val="auto"/>
        </w:rPr>
      </w:pPr>
      <w:r>
        <w:rPr>
          <w:rFonts w:ascii="Calibri" w:cs="Calibri" w:eastAsia="Calibri" w:hAnsi="Calibri"/>
          <w:sz w:val="19"/>
          <w:szCs w:val="19"/>
          <w:b w:val="1"/>
          <w:bCs w:val="1"/>
          <w:color w:val="auto"/>
        </w:rPr>
        <w:t>September 30, 2024</w:t>
      </w:r>
    </w:p>
    <w:p>
      <w:pPr>
        <w:spacing w:after="0" w:line="3" w:lineRule="exact"/>
        <w:rPr>
          <w:sz w:val="20"/>
          <w:szCs w:val="20"/>
          <w:color w:val="auto"/>
        </w:rPr>
      </w:pPr>
    </w:p>
    <w:p>
      <w:pPr>
        <w:ind w:left="63" w:right="200"/>
        <w:spacing w:after="0" w:line="234" w:lineRule="auto"/>
        <w:rPr>
          <w:sz w:val="20"/>
          <w:szCs w:val="20"/>
          <w:color w:val="auto"/>
        </w:rPr>
      </w:pPr>
      <w:r>
        <w:rPr>
          <w:rFonts w:ascii="Calibri" w:cs="Calibri" w:eastAsia="Calibri" w:hAnsi="Calibri"/>
          <w:sz w:val="18"/>
          <w:szCs w:val="18"/>
          <w:b w:val="1"/>
          <w:bCs w:val="1"/>
          <w:color w:val="auto"/>
        </w:rPr>
        <w:t>(All amounts expressed in thousands of Canadian dollars, except share and per share amounts, and those otherwise stated in US dollars, Euros and Great Britain pounds which are in thousands.)</w:t>
      </w:r>
    </w:p>
    <w:p>
      <w:pPr>
        <w:ind w:left="63"/>
        <w:spacing w:after="0" w:line="224" w:lineRule="auto"/>
        <w:rPr>
          <w:sz w:val="20"/>
          <w:szCs w:val="20"/>
          <w:color w:val="auto"/>
        </w:rPr>
      </w:pPr>
      <w:r>
        <w:rPr>
          <w:rFonts w:ascii="Calibri" w:cs="Calibri" w:eastAsia="Calibri" w:hAnsi="Calibri"/>
          <w:sz w:val="18"/>
          <w:szCs w:val="18"/>
          <w:b w:val="1"/>
          <w:bCs w:val="1"/>
          <w:color w:val="auto"/>
        </w:rPr>
        <w:t>(Unaudited)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48895</wp:posOffset>
            </wp:positionV>
            <wp:extent cx="7146925" cy="762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46925" cy="76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ind w:left="283"/>
        <w:spacing w:after="0"/>
        <w:tabs>
          <w:tab w:leader="none" w:pos="543" w:val="left"/>
        </w:tabs>
        <w:rPr>
          <w:sz w:val="20"/>
          <w:szCs w:val="20"/>
          <w:color w:val="auto"/>
        </w:rPr>
      </w:pPr>
      <w:r>
        <w:rPr>
          <w:rFonts w:ascii="Calibri" w:cs="Calibri" w:eastAsia="Calibri" w:hAnsi="Calibri"/>
          <w:sz w:val="16"/>
          <w:szCs w:val="16"/>
          <w:b w:val="1"/>
          <w:bCs w:val="1"/>
          <w:color w:val="auto"/>
        </w:rPr>
        <w:t>b)</w:t>
      </w:r>
      <w:r>
        <w:rPr>
          <w:sz w:val="20"/>
          <w:szCs w:val="20"/>
          <w:color w:val="auto"/>
        </w:rPr>
        <w:tab/>
      </w:r>
      <w:r>
        <w:rPr>
          <w:rFonts w:ascii="Calibri" w:cs="Calibri" w:eastAsia="Calibri" w:hAnsi="Calibri"/>
          <w:sz w:val="16"/>
          <w:szCs w:val="16"/>
          <w:b w:val="1"/>
          <w:bCs w:val="1"/>
          <w:u w:val="single" w:color="auto"/>
          <w:color w:val="auto"/>
        </w:rPr>
        <w:t>Lease Liabilites</w:t>
      </w:r>
    </w:p>
    <w:p>
      <w:pPr>
        <w:spacing w:after="0" w:line="22" w:lineRule="exact"/>
        <w:rPr>
          <w:sz w:val="20"/>
          <w:szCs w:val="20"/>
          <w:color w:val="auto"/>
        </w:rPr>
      </w:pPr>
    </w:p>
    <w:tbl>
      <w:tblPr>
        <w:tblLayout w:type="fixed"/>
        <w:tblInd w:w="3" w:type="dxa"/>
        <w:tblCellMar>
          <w:top w:w="0" w:type="dxa"/>
          <w:left w:w="0" w:type="dxa"/>
          <w:bottom w:w="0" w:type="dxa"/>
          <w:right w:w="0" w:type="dxa"/>
        </w:tblCellMar>
      </w:tblPr>
      <w:tr>
        <w:trPr>
          <w:trHeight w:val="195"/>
        </w:trPr>
        <w:tc>
          <w:tcPr>
            <w:tcW w:w="280" w:type="dxa"/>
            <w:vAlign w:val="bottom"/>
          </w:tcPr>
          <w:p>
            <w:pPr>
              <w:spacing w:after="0"/>
              <w:rPr>
                <w:sz w:val="16"/>
                <w:szCs w:val="16"/>
                <w:color w:val="auto"/>
              </w:rPr>
            </w:pPr>
          </w:p>
        </w:tc>
        <w:tc>
          <w:tcPr>
            <w:tcW w:w="8720" w:type="dxa"/>
            <w:vAlign w:val="bottom"/>
          </w:tcPr>
          <w:p>
            <w:pPr>
              <w:spacing w:after="0"/>
              <w:rPr>
                <w:sz w:val="16"/>
                <w:szCs w:val="16"/>
                <w:color w:val="auto"/>
              </w:rPr>
            </w:pPr>
          </w:p>
        </w:tc>
        <w:tc>
          <w:tcPr>
            <w:tcW w:w="1820" w:type="dxa"/>
            <w:vAlign w:val="bottom"/>
          </w:tcPr>
          <w:p>
            <w:pPr>
              <w:jc w:val="right"/>
              <w:spacing w:after="0"/>
              <w:rPr>
                <w:sz w:val="20"/>
                <w:szCs w:val="20"/>
                <w:color w:val="auto"/>
              </w:rPr>
            </w:pPr>
            <w:r>
              <w:rPr>
                <w:rFonts w:ascii="Calibri" w:cs="Calibri" w:eastAsia="Calibri" w:hAnsi="Calibri"/>
                <w:sz w:val="16"/>
                <w:szCs w:val="16"/>
                <w:b w:val="1"/>
                <w:bCs w:val="1"/>
                <w:color w:val="auto"/>
              </w:rPr>
              <w:t>$</w:t>
            </w:r>
          </w:p>
        </w:tc>
        <w:tc>
          <w:tcPr>
            <w:tcW w:w="0" w:type="dxa"/>
            <w:vAlign w:val="bottom"/>
          </w:tcPr>
          <w:p>
            <w:pPr>
              <w:spacing w:after="0"/>
              <w:rPr>
                <w:sz w:val="1"/>
                <w:szCs w:val="1"/>
                <w:color w:val="auto"/>
              </w:rPr>
            </w:pPr>
          </w:p>
        </w:tc>
      </w:tr>
      <w:tr>
        <w:trPr>
          <w:trHeight w:val="20"/>
        </w:trPr>
        <w:tc>
          <w:tcPr>
            <w:tcW w:w="280" w:type="dxa"/>
            <w:vAlign w:val="bottom"/>
          </w:tcPr>
          <w:p>
            <w:pPr>
              <w:spacing w:after="0" w:line="20" w:lineRule="exact"/>
              <w:rPr>
                <w:sz w:val="1"/>
                <w:szCs w:val="1"/>
                <w:color w:val="auto"/>
              </w:rPr>
            </w:pPr>
          </w:p>
        </w:tc>
        <w:tc>
          <w:tcPr>
            <w:tcW w:w="8720" w:type="dxa"/>
            <w:vAlign w:val="bottom"/>
            <w:tcBorders>
              <w:bottom w:val="single" w:sz="8" w:color="auto"/>
            </w:tcBorders>
          </w:tcPr>
          <w:p>
            <w:pPr>
              <w:spacing w:after="0" w:line="20" w:lineRule="exact"/>
              <w:rPr>
                <w:sz w:val="1"/>
                <w:szCs w:val="1"/>
                <w:color w:val="auto"/>
              </w:rPr>
            </w:pPr>
          </w:p>
        </w:tc>
        <w:tc>
          <w:tcPr>
            <w:tcW w:w="18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5"/>
        </w:trPr>
        <w:tc>
          <w:tcPr>
            <w:tcW w:w="280" w:type="dxa"/>
            <w:vAlign w:val="bottom"/>
          </w:tcPr>
          <w:p>
            <w:pPr>
              <w:spacing w:after="0"/>
              <w:rPr>
                <w:sz w:val="16"/>
                <w:szCs w:val="16"/>
                <w:color w:val="auto"/>
              </w:rPr>
            </w:pPr>
          </w:p>
        </w:tc>
        <w:tc>
          <w:tcPr>
            <w:tcW w:w="8720" w:type="dxa"/>
            <w:vAlign w:val="bottom"/>
          </w:tcPr>
          <w:p>
            <w:pPr>
              <w:ind w:left="20"/>
              <w:spacing w:after="0" w:line="185" w:lineRule="exact"/>
              <w:rPr>
                <w:sz w:val="20"/>
                <w:szCs w:val="20"/>
                <w:color w:val="auto"/>
              </w:rPr>
            </w:pPr>
            <w:r>
              <w:rPr>
                <w:rFonts w:ascii="Calibri" w:cs="Calibri" w:eastAsia="Calibri" w:hAnsi="Calibri"/>
                <w:sz w:val="16"/>
                <w:szCs w:val="16"/>
                <w:b w:val="1"/>
                <w:bCs w:val="1"/>
                <w:color w:val="auto"/>
              </w:rPr>
              <w:t>Balance as at March 31, 2024</w:t>
            </w:r>
          </w:p>
        </w:tc>
        <w:tc>
          <w:tcPr>
            <w:tcW w:w="1820" w:type="dxa"/>
            <w:vAlign w:val="bottom"/>
          </w:tcPr>
          <w:p>
            <w:pPr>
              <w:jc w:val="right"/>
              <w:spacing w:after="0" w:line="185" w:lineRule="exact"/>
              <w:rPr>
                <w:sz w:val="20"/>
                <w:szCs w:val="20"/>
                <w:color w:val="auto"/>
              </w:rPr>
            </w:pPr>
            <w:r>
              <w:rPr>
                <w:rFonts w:ascii="Calibri" w:cs="Calibri" w:eastAsia="Calibri" w:hAnsi="Calibri"/>
                <w:sz w:val="16"/>
                <w:szCs w:val="16"/>
                <w:b w:val="1"/>
                <w:bCs w:val="1"/>
                <w:color w:val="auto"/>
              </w:rPr>
              <w:t>291</w:t>
            </w:r>
          </w:p>
        </w:tc>
        <w:tc>
          <w:tcPr>
            <w:tcW w:w="0" w:type="dxa"/>
            <w:vAlign w:val="bottom"/>
          </w:tcPr>
          <w:p>
            <w:pPr>
              <w:spacing w:after="0"/>
              <w:rPr>
                <w:sz w:val="1"/>
                <w:szCs w:val="1"/>
                <w:color w:val="auto"/>
              </w:rPr>
            </w:pPr>
          </w:p>
        </w:tc>
      </w:tr>
      <w:tr>
        <w:trPr>
          <w:trHeight w:val="198"/>
        </w:trPr>
        <w:tc>
          <w:tcPr>
            <w:tcW w:w="280" w:type="dxa"/>
            <w:vAlign w:val="bottom"/>
          </w:tcPr>
          <w:p>
            <w:pPr>
              <w:spacing w:after="0"/>
              <w:rPr>
                <w:sz w:val="17"/>
                <w:szCs w:val="17"/>
                <w:color w:val="auto"/>
              </w:rPr>
            </w:pPr>
          </w:p>
        </w:tc>
        <w:tc>
          <w:tcPr>
            <w:tcW w:w="8720" w:type="dxa"/>
            <w:vAlign w:val="bottom"/>
          </w:tcPr>
          <w:p>
            <w:pPr>
              <w:ind w:left="20"/>
              <w:spacing w:after="0"/>
              <w:rPr>
                <w:sz w:val="20"/>
                <w:szCs w:val="20"/>
                <w:color w:val="auto"/>
              </w:rPr>
            </w:pPr>
            <w:r>
              <w:rPr>
                <w:rFonts w:ascii="Calibri" w:cs="Calibri" w:eastAsia="Calibri" w:hAnsi="Calibri"/>
                <w:sz w:val="16"/>
                <w:szCs w:val="16"/>
                <w:color w:val="auto"/>
              </w:rPr>
              <w:t>Interest accreton</w:t>
            </w:r>
          </w:p>
        </w:tc>
        <w:tc>
          <w:tcPr>
            <w:tcW w:w="1820" w:type="dxa"/>
            <w:vAlign w:val="bottom"/>
          </w:tcPr>
          <w:p>
            <w:pPr>
              <w:jc w:val="right"/>
              <w:spacing w:after="0"/>
              <w:rPr>
                <w:sz w:val="20"/>
                <w:szCs w:val="20"/>
                <w:color w:val="auto"/>
              </w:rPr>
            </w:pPr>
            <w:r>
              <w:rPr>
                <w:rFonts w:ascii="Calibri" w:cs="Calibri" w:eastAsia="Calibri" w:hAnsi="Calibri"/>
                <w:sz w:val="16"/>
                <w:szCs w:val="16"/>
                <w:color w:val="auto"/>
              </w:rPr>
              <w:t>6</w:t>
            </w:r>
          </w:p>
        </w:tc>
        <w:tc>
          <w:tcPr>
            <w:tcW w:w="0" w:type="dxa"/>
            <w:vAlign w:val="bottom"/>
          </w:tcPr>
          <w:p>
            <w:pPr>
              <w:spacing w:after="0"/>
              <w:rPr>
                <w:sz w:val="1"/>
                <w:szCs w:val="1"/>
                <w:color w:val="auto"/>
              </w:rPr>
            </w:pPr>
          </w:p>
        </w:tc>
      </w:tr>
      <w:tr>
        <w:trPr>
          <w:trHeight w:val="206"/>
        </w:trPr>
        <w:tc>
          <w:tcPr>
            <w:tcW w:w="280" w:type="dxa"/>
            <w:vAlign w:val="bottom"/>
          </w:tcPr>
          <w:p>
            <w:pPr>
              <w:spacing w:after="0"/>
              <w:rPr>
                <w:sz w:val="17"/>
                <w:szCs w:val="17"/>
                <w:color w:val="auto"/>
              </w:rPr>
            </w:pPr>
          </w:p>
        </w:tc>
        <w:tc>
          <w:tcPr>
            <w:tcW w:w="8720" w:type="dxa"/>
            <w:vAlign w:val="bottom"/>
          </w:tcPr>
          <w:p>
            <w:pPr>
              <w:ind w:left="20"/>
              <w:spacing w:after="0"/>
              <w:rPr>
                <w:sz w:val="20"/>
                <w:szCs w:val="20"/>
                <w:color w:val="auto"/>
              </w:rPr>
            </w:pPr>
            <w:r>
              <w:rPr>
                <w:rFonts w:ascii="Calibri" w:cs="Calibri" w:eastAsia="Calibri" w:hAnsi="Calibri"/>
                <w:sz w:val="16"/>
                <w:szCs w:val="16"/>
                <w:color w:val="auto"/>
              </w:rPr>
              <w:t>Efect of foreign exchange</w:t>
            </w:r>
          </w:p>
        </w:tc>
        <w:tc>
          <w:tcPr>
            <w:tcW w:w="1820" w:type="dxa"/>
            <w:vAlign w:val="bottom"/>
          </w:tcPr>
          <w:p>
            <w:pPr>
              <w:jc w:val="right"/>
              <w:spacing w:after="0"/>
              <w:rPr>
                <w:sz w:val="20"/>
                <w:szCs w:val="20"/>
                <w:color w:val="auto"/>
              </w:rPr>
            </w:pPr>
            <w:r>
              <w:rPr>
                <w:rFonts w:ascii="Calibri" w:cs="Calibri" w:eastAsia="Calibri" w:hAnsi="Calibri"/>
                <w:sz w:val="16"/>
                <w:szCs w:val="16"/>
                <w:color w:val="auto"/>
              </w:rPr>
              <w:t>12</w:t>
            </w:r>
          </w:p>
        </w:tc>
        <w:tc>
          <w:tcPr>
            <w:tcW w:w="0" w:type="dxa"/>
            <w:vAlign w:val="bottom"/>
          </w:tcPr>
          <w:p>
            <w:pPr>
              <w:spacing w:after="0"/>
              <w:rPr>
                <w:sz w:val="1"/>
                <w:szCs w:val="1"/>
                <w:color w:val="auto"/>
              </w:rPr>
            </w:pPr>
          </w:p>
        </w:tc>
      </w:tr>
      <w:tr>
        <w:trPr>
          <w:trHeight w:val="206"/>
        </w:trPr>
        <w:tc>
          <w:tcPr>
            <w:tcW w:w="280" w:type="dxa"/>
            <w:vAlign w:val="bottom"/>
          </w:tcPr>
          <w:p>
            <w:pPr>
              <w:spacing w:after="0"/>
              <w:rPr>
                <w:sz w:val="17"/>
                <w:szCs w:val="17"/>
                <w:color w:val="auto"/>
              </w:rPr>
            </w:pPr>
          </w:p>
        </w:tc>
        <w:tc>
          <w:tcPr>
            <w:tcW w:w="8720" w:type="dxa"/>
            <w:vAlign w:val="bottom"/>
          </w:tcPr>
          <w:p>
            <w:pPr>
              <w:ind w:left="20"/>
              <w:spacing w:after="0"/>
              <w:rPr>
                <w:sz w:val="20"/>
                <w:szCs w:val="20"/>
                <w:color w:val="auto"/>
              </w:rPr>
            </w:pPr>
            <w:r>
              <w:rPr>
                <w:rFonts w:ascii="Calibri" w:cs="Calibri" w:eastAsia="Calibri" w:hAnsi="Calibri"/>
                <w:sz w:val="16"/>
                <w:szCs w:val="16"/>
                <w:color w:val="auto"/>
              </w:rPr>
              <w:t>Payments</w:t>
            </w:r>
          </w:p>
        </w:tc>
        <w:tc>
          <w:tcPr>
            <w:tcW w:w="1820" w:type="dxa"/>
            <w:vAlign w:val="bottom"/>
          </w:tcPr>
          <w:p>
            <w:pPr>
              <w:jc w:val="right"/>
              <w:spacing w:after="0"/>
              <w:rPr>
                <w:sz w:val="20"/>
                <w:szCs w:val="20"/>
                <w:color w:val="auto"/>
              </w:rPr>
            </w:pPr>
            <w:r>
              <w:rPr>
                <w:rFonts w:ascii="Calibri" w:cs="Calibri" w:eastAsia="Calibri" w:hAnsi="Calibri"/>
                <w:sz w:val="16"/>
                <w:szCs w:val="16"/>
                <w:color w:val="auto"/>
              </w:rPr>
              <w:t>(176)</w:t>
            </w:r>
          </w:p>
        </w:tc>
        <w:tc>
          <w:tcPr>
            <w:tcW w:w="0" w:type="dxa"/>
            <w:vAlign w:val="bottom"/>
          </w:tcPr>
          <w:p>
            <w:pPr>
              <w:spacing w:after="0"/>
              <w:rPr>
                <w:sz w:val="1"/>
                <w:szCs w:val="1"/>
                <w:color w:val="auto"/>
              </w:rPr>
            </w:pPr>
          </w:p>
        </w:tc>
      </w:tr>
      <w:tr>
        <w:trPr>
          <w:trHeight w:val="20"/>
        </w:trPr>
        <w:tc>
          <w:tcPr>
            <w:tcW w:w="280" w:type="dxa"/>
            <w:vAlign w:val="bottom"/>
          </w:tcPr>
          <w:p>
            <w:pPr>
              <w:spacing w:after="0" w:line="20" w:lineRule="exact"/>
              <w:rPr>
                <w:sz w:val="1"/>
                <w:szCs w:val="1"/>
                <w:color w:val="auto"/>
              </w:rPr>
            </w:pPr>
          </w:p>
        </w:tc>
        <w:tc>
          <w:tcPr>
            <w:tcW w:w="8720" w:type="dxa"/>
            <w:vAlign w:val="bottom"/>
            <w:tcBorders>
              <w:bottom w:val="single" w:sz="8" w:color="auto"/>
            </w:tcBorders>
          </w:tcPr>
          <w:p>
            <w:pPr>
              <w:spacing w:after="0" w:line="20" w:lineRule="exact"/>
              <w:rPr>
                <w:sz w:val="1"/>
                <w:szCs w:val="1"/>
                <w:color w:val="auto"/>
              </w:rPr>
            </w:pPr>
          </w:p>
        </w:tc>
        <w:tc>
          <w:tcPr>
            <w:tcW w:w="18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1"/>
        </w:trPr>
        <w:tc>
          <w:tcPr>
            <w:tcW w:w="280" w:type="dxa"/>
            <w:vAlign w:val="bottom"/>
          </w:tcPr>
          <w:p>
            <w:pPr>
              <w:spacing w:after="0"/>
              <w:rPr>
                <w:sz w:val="16"/>
                <w:szCs w:val="16"/>
                <w:color w:val="auto"/>
              </w:rPr>
            </w:pPr>
          </w:p>
        </w:tc>
        <w:tc>
          <w:tcPr>
            <w:tcW w:w="8720" w:type="dxa"/>
            <w:vAlign w:val="bottom"/>
            <w:tcBorders>
              <w:bottom w:val="single" w:sz="8" w:color="auto"/>
            </w:tcBorders>
          </w:tcPr>
          <w:p>
            <w:pPr>
              <w:ind w:left="20"/>
              <w:spacing w:after="0" w:line="192" w:lineRule="exact"/>
              <w:rPr>
                <w:sz w:val="20"/>
                <w:szCs w:val="20"/>
                <w:color w:val="auto"/>
              </w:rPr>
            </w:pPr>
            <w:r>
              <w:rPr>
                <w:rFonts w:ascii="Calibri" w:cs="Calibri" w:eastAsia="Calibri" w:hAnsi="Calibri"/>
                <w:sz w:val="16"/>
                <w:szCs w:val="16"/>
                <w:b w:val="1"/>
                <w:bCs w:val="1"/>
                <w:color w:val="auto"/>
              </w:rPr>
              <w:t>Balance as at September 30, 2024</w:t>
            </w:r>
          </w:p>
        </w:tc>
        <w:tc>
          <w:tcPr>
            <w:tcW w:w="1820" w:type="dxa"/>
            <w:vAlign w:val="bottom"/>
            <w:tcBorders>
              <w:bottom w:val="single" w:sz="8" w:color="auto"/>
            </w:tcBorders>
          </w:tcPr>
          <w:p>
            <w:pPr>
              <w:jc w:val="right"/>
              <w:spacing w:after="0" w:line="192" w:lineRule="exact"/>
              <w:rPr>
                <w:sz w:val="20"/>
                <w:szCs w:val="20"/>
                <w:color w:val="auto"/>
              </w:rPr>
            </w:pPr>
            <w:r>
              <w:rPr>
                <w:rFonts w:ascii="Calibri" w:cs="Calibri" w:eastAsia="Calibri" w:hAnsi="Calibri"/>
                <w:sz w:val="16"/>
                <w:szCs w:val="16"/>
                <w:b w:val="1"/>
                <w:bCs w:val="1"/>
                <w:color w:val="auto"/>
              </w:rPr>
              <w:t>133</w:t>
            </w:r>
          </w:p>
        </w:tc>
        <w:tc>
          <w:tcPr>
            <w:tcW w:w="0" w:type="dxa"/>
            <w:vAlign w:val="bottom"/>
          </w:tcPr>
          <w:p>
            <w:pPr>
              <w:spacing w:after="0"/>
              <w:rPr>
                <w:sz w:val="1"/>
                <w:szCs w:val="1"/>
                <w:color w:val="auto"/>
              </w:rPr>
            </w:pPr>
          </w:p>
        </w:tc>
      </w:tr>
      <w:tr>
        <w:trPr>
          <w:trHeight w:val="216"/>
        </w:trPr>
        <w:tc>
          <w:tcPr>
            <w:tcW w:w="280" w:type="dxa"/>
            <w:vAlign w:val="bottom"/>
          </w:tcPr>
          <w:p>
            <w:pPr>
              <w:spacing w:after="0"/>
              <w:rPr>
                <w:sz w:val="18"/>
                <w:szCs w:val="18"/>
                <w:color w:val="auto"/>
              </w:rPr>
            </w:pPr>
          </w:p>
        </w:tc>
        <w:tc>
          <w:tcPr>
            <w:tcW w:w="8720" w:type="dxa"/>
            <w:vAlign w:val="bottom"/>
            <w:tcBorders>
              <w:bottom w:val="single" w:sz="8" w:color="auto"/>
            </w:tcBorders>
          </w:tcPr>
          <w:p>
            <w:pPr>
              <w:spacing w:after="0"/>
              <w:rPr>
                <w:sz w:val="18"/>
                <w:szCs w:val="18"/>
                <w:color w:val="auto"/>
              </w:rPr>
            </w:pPr>
          </w:p>
        </w:tc>
        <w:tc>
          <w:tcPr>
            <w:tcW w:w="182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91"/>
        </w:trPr>
        <w:tc>
          <w:tcPr>
            <w:tcW w:w="280" w:type="dxa"/>
            <w:vAlign w:val="bottom"/>
          </w:tcPr>
          <w:p>
            <w:pPr>
              <w:spacing w:after="0"/>
              <w:rPr>
                <w:sz w:val="16"/>
                <w:szCs w:val="16"/>
                <w:color w:val="auto"/>
              </w:rPr>
            </w:pPr>
          </w:p>
        </w:tc>
        <w:tc>
          <w:tcPr>
            <w:tcW w:w="8720" w:type="dxa"/>
            <w:vAlign w:val="bottom"/>
            <w:tcBorders>
              <w:bottom w:val="single" w:sz="8" w:color="auto"/>
            </w:tcBorders>
          </w:tcPr>
          <w:p>
            <w:pPr>
              <w:ind w:left="20"/>
              <w:spacing w:after="0" w:line="192" w:lineRule="exact"/>
              <w:rPr>
                <w:sz w:val="20"/>
                <w:szCs w:val="20"/>
                <w:color w:val="auto"/>
              </w:rPr>
            </w:pPr>
            <w:r>
              <w:rPr>
                <w:rFonts w:ascii="Calibri" w:cs="Calibri" w:eastAsia="Calibri" w:hAnsi="Calibri"/>
                <w:sz w:val="16"/>
                <w:szCs w:val="16"/>
                <w:b w:val="1"/>
                <w:bCs w:val="1"/>
                <w:color w:val="auto"/>
              </w:rPr>
              <w:t>Current lease liabilites</w:t>
            </w:r>
          </w:p>
        </w:tc>
        <w:tc>
          <w:tcPr>
            <w:tcW w:w="1820" w:type="dxa"/>
            <w:vAlign w:val="bottom"/>
            <w:tcBorders>
              <w:bottom w:val="single" w:sz="8" w:color="auto"/>
            </w:tcBorders>
          </w:tcPr>
          <w:p>
            <w:pPr>
              <w:jc w:val="right"/>
              <w:spacing w:after="0" w:line="192" w:lineRule="exact"/>
              <w:rPr>
                <w:sz w:val="20"/>
                <w:szCs w:val="20"/>
                <w:color w:val="auto"/>
              </w:rPr>
            </w:pPr>
            <w:r>
              <w:rPr>
                <w:rFonts w:ascii="Calibri" w:cs="Calibri" w:eastAsia="Calibri" w:hAnsi="Calibri"/>
                <w:sz w:val="16"/>
                <w:szCs w:val="16"/>
                <w:b w:val="1"/>
                <w:bCs w:val="1"/>
                <w:color w:val="auto"/>
              </w:rPr>
              <w:t>133</w:t>
            </w:r>
          </w:p>
        </w:tc>
        <w:tc>
          <w:tcPr>
            <w:tcW w:w="0" w:type="dxa"/>
            <w:vAlign w:val="bottom"/>
          </w:tcPr>
          <w:p>
            <w:pPr>
              <w:spacing w:after="0"/>
              <w:rPr>
                <w:sz w:val="1"/>
                <w:szCs w:val="1"/>
                <w:color w:val="auto"/>
              </w:rPr>
            </w:pPr>
          </w:p>
        </w:tc>
      </w:tr>
      <w:tr>
        <w:trPr>
          <w:trHeight w:val="232"/>
        </w:trPr>
        <w:tc>
          <w:tcPr>
            <w:tcW w:w="9000" w:type="dxa"/>
            <w:vAlign w:val="bottom"/>
            <w:gridSpan w:val="2"/>
          </w:tcPr>
          <w:p>
            <w:pPr>
              <w:spacing w:after="0"/>
              <w:rPr>
                <w:sz w:val="20"/>
                <w:szCs w:val="20"/>
                <w:color w:val="auto"/>
              </w:rPr>
            </w:pPr>
            <w:r>
              <w:rPr>
                <w:rFonts w:ascii="Calibri" w:cs="Calibri" w:eastAsia="Calibri" w:hAnsi="Calibri"/>
                <w:sz w:val="16"/>
                <w:szCs w:val="16"/>
                <w:b w:val="1"/>
                <w:bCs w:val="1"/>
                <w:color w:val="2D5F91"/>
              </w:rPr>
              <w:t>6. GOODWILL</w:t>
            </w:r>
          </w:p>
        </w:tc>
        <w:tc>
          <w:tcPr>
            <w:tcW w:w="18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87"/>
        </w:trPr>
        <w:tc>
          <w:tcPr>
            <w:tcW w:w="9000" w:type="dxa"/>
            <w:vAlign w:val="bottom"/>
            <w:gridSpan w:val="2"/>
          </w:tcPr>
          <w:p>
            <w:pPr>
              <w:ind w:left="280"/>
              <w:spacing w:after="0"/>
              <w:rPr>
                <w:sz w:val="20"/>
                <w:szCs w:val="20"/>
                <w:color w:val="auto"/>
              </w:rPr>
            </w:pPr>
            <w:r>
              <w:rPr>
                <w:rFonts w:ascii="Calibri" w:cs="Calibri" w:eastAsia="Calibri" w:hAnsi="Calibri"/>
                <w:sz w:val="16"/>
                <w:szCs w:val="16"/>
                <w:color w:val="auto"/>
              </w:rPr>
              <w:t>Goodwill is recognized at the acquisiton date when total consideraton exceeds the net identfable assets acquired.</w:t>
            </w:r>
          </w:p>
        </w:tc>
        <w:tc>
          <w:tcPr>
            <w:tcW w:w="18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23"/>
        </w:trPr>
        <w:tc>
          <w:tcPr>
            <w:tcW w:w="280" w:type="dxa"/>
            <w:vAlign w:val="bottom"/>
          </w:tcPr>
          <w:p>
            <w:pPr>
              <w:spacing w:after="0"/>
              <w:rPr>
                <w:sz w:val="24"/>
                <w:szCs w:val="24"/>
                <w:color w:val="auto"/>
              </w:rPr>
            </w:pPr>
          </w:p>
        </w:tc>
        <w:tc>
          <w:tcPr>
            <w:tcW w:w="8720" w:type="dxa"/>
            <w:vAlign w:val="bottom"/>
          </w:tcPr>
          <w:p>
            <w:pPr>
              <w:ind w:left="60"/>
              <w:spacing w:after="0"/>
              <w:rPr>
                <w:sz w:val="20"/>
                <w:szCs w:val="20"/>
                <w:color w:val="auto"/>
              </w:rPr>
            </w:pPr>
            <w:r>
              <w:rPr>
                <w:rFonts w:ascii="Calibri" w:cs="Calibri" w:eastAsia="Calibri" w:hAnsi="Calibri"/>
                <w:sz w:val="16"/>
                <w:szCs w:val="16"/>
                <w:b w:val="1"/>
                <w:bCs w:val="1"/>
                <w:color w:val="auto"/>
              </w:rPr>
              <w:t>Cost</w:t>
            </w:r>
          </w:p>
        </w:tc>
        <w:tc>
          <w:tcPr>
            <w:tcW w:w="1820" w:type="dxa"/>
            <w:vAlign w:val="bottom"/>
            <w:vMerge w:val="restart"/>
          </w:tcPr>
          <w:p>
            <w:pPr>
              <w:jc w:val="right"/>
              <w:spacing w:after="0"/>
              <w:rPr>
                <w:sz w:val="20"/>
                <w:szCs w:val="20"/>
                <w:color w:val="auto"/>
              </w:rPr>
            </w:pPr>
            <w:r>
              <w:rPr>
                <w:rFonts w:ascii="Calibri" w:cs="Calibri" w:eastAsia="Calibri" w:hAnsi="Calibri"/>
                <w:sz w:val="16"/>
                <w:szCs w:val="16"/>
                <w:b w:val="1"/>
                <w:bCs w:val="1"/>
                <w:color w:val="auto"/>
              </w:rPr>
              <w:t>$</w:t>
            </w:r>
          </w:p>
        </w:tc>
        <w:tc>
          <w:tcPr>
            <w:tcW w:w="0" w:type="dxa"/>
            <w:vAlign w:val="bottom"/>
          </w:tcPr>
          <w:p>
            <w:pPr>
              <w:spacing w:after="0"/>
              <w:rPr>
                <w:sz w:val="1"/>
                <w:szCs w:val="1"/>
                <w:color w:val="auto"/>
              </w:rPr>
            </w:pPr>
          </w:p>
        </w:tc>
      </w:tr>
      <w:tr>
        <w:trPr>
          <w:trHeight w:val="60"/>
        </w:trPr>
        <w:tc>
          <w:tcPr>
            <w:tcW w:w="280" w:type="dxa"/>
            <w:vAlign w:val="bottom"/>
          </w:tcPr>
          <w:p>
            <w:pPr>
              <w:spacing w:after="0"/>
              <w:rPr>
                <w:sz w:val="5"/>
                <w:szCs w:val="5"/>
                <w:color w:val="auto"/>
              </w:rPr>
            </w:pPr>
          </w:p>
        </w:tc>
        <w:tc>
          <w:tcPr>
            <w:tcW w:w="8720" w:type="dxa"/>
            <w:vAlign w:val="bottom"/>
          </w:tcPr>
          <w:p>
            <w:pPr>
              <w:spacing w:after="0"/>
              <w:rPr>
                <w:sz w:val="5"/>
                <w:szCs w:val="5"/>
                <w:color w:val="auto"/>
              </w:rPr>
            </w:pPr>
          </w:p>
        </w:tc>
        <w:tc>
          <w:tcPr>
            <w:tcW w:w="182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69"/>
        </w:trPr>
        <w:tc>
          <w:tcPr>
            <w:tcW w:w="280" w:type="dxa"/>
            <w:vAlign w:val="bottom"/>
          </w:tcPr>
          <w:p>
            <w:pPr>
              <w:spacing w:after="0"/>
              <w:rPr>
                <w:sz w:val="5"/>
                <w:szCs w:val="5"/>
                <w:color w:val="auto"/>
              </w:rPr>
            </w:pPr>
          </w:p>
        </w:tc>
        <w:tc>
          <w:tcPr>
            <w:tcW w:w="8720" w:type="dxa"/>
            <w:vAlign w:val="bottom"/>
            <w:tcBorders>
              <w:bottom w:val="single" w:sz="8" w:color="auto"/>
            </w:tcBorders>
          </w:tcPr>
          <w:p>
            <w:pPr>
              <w:spacing w:after="0"/>
              <w:rPr>
                <w:sz w:val="5"/>
                <w:szCs w:val="5"/>
                <w:color w:val="auto"/>
              </w:rPr>
            </w:pPr>
          </w:p>
        </w:tc>
        <w:tc>
          <w:tcPr>
            <w:tcW w:w="182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85"/>
        </w:trPr>
        <w:tc>
          <w:tcPr>
            <w:tcW w:w="280" w:type="dxa"/>
            <w:vAlign w:val="bottom"/>
          </w:tcPr>
          <w:p>
            <w:pPr>
              <w:spacing w:after="0"/>
              <w:rPr>
                <w:sz w:val="16"/>
                <w:szCs w:val="16"/>
                <w:color w:val="auto"/>
              </w:rPr>
            </w:pPr>
          </w:p>
        </w:tc>
        <w:tc>
          <w:tcPr>
            <w:tcW w:w="8720" w:type="dxa"/>
            <w:vAlign w:val="bottom"/>
          </w:tcPr>
          <w:p>
            <w:pPr>
              <w:ind w:left="100"/>
              <w:spacing w:after="0" w:line="185" w:lineRule="exact"/>
              <w:rPr>
                <w:sz w:val="20"/>
                <w:szCs w:val="20"/>
                <w:color w:val="auto"/>
              </w:rPr>
            </w:pPr>
            <w:r>
              <w:rPr>
                <w:rFonts w:ascii="Calibri" w:cs="Calibri" w:eastAsia="Calibri" w:hAnsi="Calibri"/>
                <w:sz w:val="16"/>
                <w:szCs w:val="16"/>
                <w:b w:val="1"/>
                <w:bCs w:val="1"/>
                <w:color w:val="auto"/>
              </w:rPr>
              <w:t>Balance as at March 31, 2024</w:t>
            </w:r>
          </w:p>
        </w:tc>
        <w:tc>
          <w:tcPr>
            <w:tcW w:w="1820" w:type="dxa"/>
            <w:vAlign w:val="bottom"/>
          </w:tcPr>
          <w:p>
            <w:pPr>
              <w:jc w:val="right"/>
              <w:spacing w:after="0" w:line="185" w:lineRule="exact"/>
              <w:rPr>
                <w:sz w:val="20"/>
                <w:szCs w:val="20"/>
                <w:color w:val="auto"/>
              </w:rPr>
            </w:pPr>
            <w:r>
              <w:rPr>
                <w:rFonts w:ascii="Calibri" w:cs="Calibri" w:eastAsia="Calibri" w:hAnsi="Calibri"/>
                <w:sz w:val="16"/>
                <w:szCs w:val="16"/>
                <w:b w:val="1"/>
                <w:bCs w:val="1"/>
                <w:color w:val="auto"/>
              </w:rPr>
              <w:t>47,475</w:t>
            </w:r>
          </w:p>
        </w:tc>
        <w:tc>
          <w:tcPr>
            <w:tcW w:w="0" w:type="dxa"/>
            <w:vAlign w:val="bottom"/>
          </w:tcPr>
          <w:p>
            <w:pPr>
              <w:spacing w:after="0"/>
              <w:rPr>
                <w:sz w:val="1"/>
                <w:szCs w:val="1"/>
                <w:color w:val="auto"/>
              </w:rPr>
            </w:pPr>
          </w:p>
        </w:tc>
      </w:tr>
      <w:tr>
        <w:trPr>
          <w:trHeight w:val="198"/>
        </w:trPr>
        <w:tc>
          <w:tcPr>
            <w:tcW w:w="280" w:type="dxa"/>
            <w:vAlign w:val="bottom"/>
          </w:tcPr>
          <w:p>
            <w:pPr>
              <w:spacing w:after="0"/>
              <w:rPr>
                <w:sz w:val="17"/>
                <w:szCs w:val="17"/>
                <w:color w:val="auto"/>
              </w:rPr>
            </w:pPr>
          </w:p>
        </w:tc>
        <w:tc>
          <w:tcPr>
            <w:tcW w:w="8720" w:type="dxa"/>
            <w:vAlign w:val="bottom"/>
          </w:tcPr>
          <w:p>
            <w:pPr>
              <w:ind w:left="100"/>
              <w:spacing w:after="0"/>
              <w:rPr>
                <w:sz w:val="20"/>
                <w:szCs w:val="20"/>
                <w:color w:val="auto"/>
              </w:rPr>
            </w:pPr>
            <w:r>
              <w:rPr>
                <w:rFonts w:ascii="Calibri" w:cs="Calibri" w:eastAsia="Calibri" w:hAnsi="Calibri"/>
                <w:sz w:val="16"/>
                <w:szCs w:val="16"/>
                <w:color w:val="auto"/>
              </w:rPr>
              <w:t>Efect of foreign exchange</w:t>
            </w:r>
          </w:p>
        </w:tc>
        <w:tc>
          <w:tcPr>
            <w:tcW w:w="1820" w:type="dxa"/>
            <w:vAlign w:val="bottom"/>
          </w:tcPr>
          <w:p>
            <w:pPr>
              <w:jc w:val="right"/>
              <w:spacing w:after="0"/>
              <w:rPr>
                <w:sz w:val="20"/>
                <w:szCs w:val="20"/>
                <w:color w:val="auto"/>
              </w:rPr>
            </w:pPr>
            <w:r>
              <w:rPr>
                <w:rFonts w:ascii="Calibri" w:cs="Calibri" w:eastAsia="Calibri" w:hAnsi="Calibri"/>
                <w:sz w:val="16"/>
                <w:szCs w:val="16"/>
                <w:color w:val="auto"/>
              </w:rPr>
              <w:t>(93)</w:t>
            </w:r>
          </w:p>
        </w:tc>
        <w:tc>
          <w:tcPr>
            <w:tcW w:w="0" w:type="dxa"/>
            <w:vAlign w:val="bottom"/>
          </w:tcPr>
          <w:p>
            <w:pPr>
              <w:spacing w:after="0"/>
              <w:rPr>
                <w:sz w:val="1"/>
                <w:szCs w:val="1"/>
                <w:color w:val="auto"/>
              </w:rPr>
            </w:pPr>
          </w:p>
        </w:tc>
      </w:tr>
      <w:tr>
        <w:trPr>
          <w:trHeight w:val="20"/>
        </w:trPr>
        <w:tc>
          <w:tcPr>
            <w:tcW w:w="280" w:type="dxa"/>
            <w:vAlign w:val="bottom"/>
          </w:tcPr>
          <w:p>
            <w:pPr>
              <w:spacing w:after="0" w:line="20" w:lineRule="exact"/>
              <w:rPr>
                <w:sz w:val="1"/>
                <w:szCs w:val="1"/>
                <w:color w:val="auto"/>
              </w:rPr>
            </w:pPr>
          </w:p>
        </w:tc>
        <w:tc>
          <w:tcPr>
            <w:tcW w:w="8720" w:type="dxa"/>
            <w:vAlign w:val="bottom"/>
            <w:tcBorders>
              <w:bottom w:val="single" w:sz="8" w:color="auto"/>
            </w:tcBorders>
          </w:tcPr>
          <w:p>
            <w:pPr>
              <w:spacing w:after="0" w:line="20" w:lineRule="exact"/>
              <w:rPr>
                <w:sz w:val="1"/>
                <w:szCs w:val="1"/>
                <w:color w:val="auto"/>
              </w:rPr>
            </w:pPr>
          </w:p>
        </w:tc>
        <w:tc>
          <w:tcPr>
            <w:tcW w:w="18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1"/>
        </w:trPr>
        <w:tc>
          <w:tcPr>
            <w:tcW w:w="280" w:type="dxa"/>
            <w:vAlign w:val="bottom"/>
          </w:tcPr>
          <w:p>
            <w:pPr>
              <w:spacing w:after="0"/>
              <w:rPr>
                <w:sz w:val="16"/>
                <w:szCs w:val="16"/>
                <w:color w:val="auto"/>
              </w:rPr>
            </w:pPr>
          </w:p>
        </w:tc>
        <w:tc>
          <w:tcPr>
            <w:tcW w:w="8720" w:type="dxa"/>
            <w:vAlign w:val="bottom"/>
            <w:tcBorders>
              <w:bottom w:val="single" w:sz="8" w:color="auto"/>
            </w:tcBorders>
          </w:tcPr>
          <w:p>
            <w:pPr>
              <w:ind w:left="100"/>
              <w:spacing w:after="0" w:line="192" w:lineRule="exact"/>
              <w:rPr>
                <w:sz w:val="20"/>
                <w:szCs w:val="20"/>
                <w:color w:val="auto"/>
              </w:rPr>
            </w:pPr>
            <w:r>
              <w:rPr>
                <w:rFonts w:ascii="Calibri" w:cs="Calibri" w:eastAsia="Calibri" w:hAnsi="Calibri"/>
                <w:sz w:val="16"/>
                <w:szCs w:val="16"/>
                <w:b w:val="1"/>
                <w:bCs w:val="1"/>
                <w:color w:val="auto"/>
              </w:rPr>
              <w:t>Balance as at September 30, 2024</w:t>
            </w:r>
          </w:p>
        </w:tc>
        <w:tc>
          <w:tcPr>
            <w:tcW w:w="1820" w:type="dxa"/>
            <w:vAlign w:val="bottom"/>
            <w:tcBorders>
              <w:bottom w:val="single" w:sz="8" w:color="auto"/>
            </w:tcBorders>
          </w:tcPr>
          <w:p>
            <w:pPr>
              <w:jc w:val="right"/>
              <w:spacing w:after="0" w:line="192" w:lineRule="exact"/>
              <w:rPr>
                <w:sz w:val="20"/>
                <w:szCs w:val="20"/>
                <w:color w:val="auto"/>
              </w:rPr>
            </w:pPr>
            <w:r>
              <w:rPr>
                <w:rFonts w:ascii="Calibri" w:cs="Calibri" w:eastAsia="Calibri" w:hAnsi="Calibri"/>
                <w:sz w:val="16"/>
                <w:szCs w:val="16"/>
                <w:b w:val="1"/>
                <w:bCs w:val="1"/>
                <w:color w:val="auto"/>
              </w:rPr>
              <w:t>47,382</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49" w:lineRule="exact"/>
        <w:rPr>
          <w:sz w:val="20"/>
          <w:szCs w:val="20"/>
          <w:color w:val="auto"/>
        </w:rPr>
      </w:pPr>
    </w:p>
    <w:p>
      <w:pPr>
        <w:ind w:left="263" w:hanging="263"/>
        <w:spacing w:after="0"/>
        <w:tabs>
          <w:tab w:leader="none" w:pos="263" w:val="left"/>
        </w:tabs>
        <w:numPr>
          <w:ilvl w:val="0"/>
          <w:numId w:val="3"/>
        </w:numPr>
        <w:rPr>
          <w:rFonts w:ascii="Calibri" w:cs="Calibri" w:eastAsia="Calibri" w:hAnsi="Calibri"/>
          <w:sz w:val="16"/>
          <w:szCs w:val="16"/>
          <w:b w:val="1"/>
          <w:bCs w:val="1"/>
          <w:color w:val="2D5F91"/>
        </w:rPr>
      </w:pPr>
      <w:r>
        <w:rPr>
          <w:rFonts w:ascii="Calibri" w:cs="Calibri" w:eastAsia="Calibri" w:hAnsi="Calibri"/>
          <w:sz w:val="16"/>
          <w:szCs w:val="16"/>
          <w:b w:val="1"/>
          <w:bCs w:val="1"/>
          <w:color w:val="2D5F91"/>
        </w:rPr>
        <w:t>SHARE CAPITAL</w:t>
      </w:r>
    </w:p>
    <w:p>
      <w:pPr>
        <w:spacing w:after="0" w:line="191" w:lineRule="exact"/>
        <w:rPr>
          <w:rFonts w:ascii="Calibri" w:cs="Calibri" w:eastAsia="Calibri" w:hAnsi="Calibri"/>
          <w:sz w:val="16"/>
          <w:szCs w:val="16"/>
          <w:b w:val="1"/>
          <w:bCs w:val="1"/>
          <w:color w:val="2D5F91"/>
        </w:rPr>
      </w:pPr>
    </w:p>
    <w:p>
      <w:pPr>
        <w:ind w:left="583" w:hanging="293"/>
        <w:spacing w:after="0"/>
        <w:tabs>
          <w:tab w:leader="none" w:pos="583" w:val="left"/>
        </w:tabs>
        <w:numPr>
          <w:ilvl w:val="1"/>
          <w:numId w:val="3"/>
        </w:numPr>
        <w:rPr>
          <w:rFonts w:ascii="Calibri" w:cs="Calibri" w:eastAsia="Calibri" w:hAnsi="Calibri"/>
          <w:sz w:val="16"/>
          <w:szCs w:val="16"/>
          <w:b w:val="1"/>
          <w:bCs w:val="1"/>
          <w:color w:val="auto"/>
        </w:rPr>
      </w:pPr>
      <w:r>
        <w:rPr>
          <w:rFonts w:ascii="Calibri" w:cs="Calibri" w:eastAsia="Calibri" w:hAnsi="Calibri"/>
          <w:sz w:val="16"/>
          <w:szCs w:val="16"/>
          <w:b w:val="1"/>
          <w:bCs w:val="1"/>
          <w:u w:val="single" w:color="auto"/>
          <w:color w:val="auto"/>
        </w:rPr>
        <w:t>Authorized share capital</w:t>
      </w:r>
    </w:p>
    <w:p>
      <w:pPr>
        <w:spacing w:after="0" w:line="194" w:lineRule="exact"/>
        <w:rPr>
          <w:sz w:val="20"/>
          <w:szCs w:val="20"/>
          <w:color w:val="auto"/>
        </w:rPr>
      </w:pPr>
    </w:p>
    <w:p>
      <w:pPr>
        <w:jc w:val="both"/>
        <w:ind w:left="283"/>
        <w:spacing w:after="0" w:line="251" w:lineRule="auto"/>
        <w:rPr>
          <w:sz w:val="20"/>
          <w:szCs w:val="20"/>
          <w:color w:val="auto"/>
        </w:rPr>
      </w:pPr>
      <w:r>
        <w:rPr>
          <w:rFonts w:ascii="Calibri" w:cs="Calibri" w:eastAsia="Calibri" w:hAnsi="Calibri"/>
          <w:sz w:val="16"/>
          <w:szCs w:val="16"/>
          <w:color w:val="auto"/>
        </w:rPr>
        <w:t>On September 19, 2024, the Company consolidated its outstanding Common Shares on the basis of one new Common Share for every 38 existng Common Shares. As a result, the number of Common Shares, warrants, optons and earnings per share presented in these condensed interim consolidated fnancial statements have been restated retrospectvely for all the periods to refect this consolidaton.</w:t>
      </w:r>
    </w:p>
    <w:p>
      <w:pPr>
        <w:spacing w:after="0" w:line="173" w:lineRule="exact"/>
        <w:rPr>
          <w:sz w:val="20"/>
          <w:szCs w:val="20"/>
          <w:color w:val="auto"/>
        </w:rPr>
      </w:pPr>
    </w:p>
    <w:p>
      <w:pPr>
        <w:jc w:val="both"/>
        <w:ind w:left="283" w:right="20"/>
        <w:spacing w:after="0" w:line="279" w:lineRule="auto"/>
        <w:rPr>
          <w:sz w:val="20"/>
          <w:szCs w:val="20"/>
          <w:color w:val="auto"/>
        </w:rPr>
      </w:pPr>
      <w:r>
        <w:rPr>
          <w:rFonts w:ascii="Calibri" w:cs="Calibri" w:eastAsia="Calibri" w:hAnsi="Calibri"/>
          <w:sz w:val="16"/>
          <w:szCs w:val="16"/>
          <w:color w:val="auto"/>
        </w:rPr>
        <w:t>The authorized share capital of Cybin consists of an unlimited number of Common Shares and an unlimited number of preferred shares without par value. The board of directors of Cybin would determine the designaton, rights, privileges, and conditons atached to any preferred shares prior to issuance.</w:t>
      </w:r>
    </w:p>
    <w:p>
      <w:pPr>
        <w:spacing w:after="0" w:line="148" w:lineRule="exact"/>
        <w:rPr>
          <w:sz w:val="20"/>
          <w:szCs w:val="20"/>
          <w:color w:val="auto"/>
        </w:rPr>
      </w:pPr>
    </w:p>
    <w:p>
      <w:pPr>
        <w:ind w:left="563" w:hanging="273"/>
        <w:spacing w:after="0"/>
        <w:tabs>
          <w:tab w:leader="none" w:pos="563" w:val="left"/>
        </w:tabs>
        <w:numPr>
          <w:ilvl w:val="0"/>
          <w:numId w:val="4"/>
        </w:numPr>
        <w:rPr>
          <w:rFonts w:ascii="Calibri" w:cs="Calibri" w:eastAsia="Calibri" w:hAnsi="Calibri"/>
          <w:sz w:val="16"/>
          <w:szCs w:val="16"/>
          <w:b w:val="1"/>
          <w:bCs w:val="1"/>
          <w:color w:val="auto"/>
        </w:rPr>
      </w:pPr>
      <w:r>
        <w:rPr>
          <w:rFonts w:ascii="Calibri" w:cs="Calibri" w:eastAsia="Calibri" w:hAnsi="Calibri"/>
          <w:sz w:val="16"/>
          <w:szCs w:val="16"/>
          <w:b w:val="1"/>
          <w:bCs w:val="1"/>
          <w:u w:val="single" w:color="auto"/>
          <w:color w:val="auto"/>
        </w:rPr>
        <w:t>Issued share capital</w:t>
      </w:r>
    </w:p>
    <w:p>
      <w:pPr>
        <w:spacing w:after="0" w:line="192" w:lineRule="exact"/>
        <w:rPr>
          <w:sz w:val="20"/>
          <w:szCs w:val="20"/>
          <w:color w:val="auto"/>
        </w:rPr>
      </w:pPr>
    </w:p>
    <w:p>
      <w:pPr>
        <w:ind w:left="283"/>
        <w:spacing w:after="0"/>
        <w:rPr>
          <w:sz w:val="20"/>
          <w:szCs w:val="20"/>
          <w:color w:val="auto"/>
        </w:rPr>
      </w:pPr>
      <w:r>
        <w:rPr>
          <w:rFonts w:ascii="Calibri" w:cs="Calibri" w:eastAsia="Calibri" w:hAnsi="Calibri"/>
          <w:sz w:val="16"/>
          <w:szCs w:val="16"/>
          <w:b w:val="1"/>
          <w:bCs w:val="1"/>
          <w:i w:val="1"/>
          <w:iCs w:val="1"/>
          <w:color w:val="auto"/>
        </w:rPr>
        <w:t>Common Shares</w:t>
      </w:r>
    </w:p>
    <w:p>
      <w:pPr>
        <w:spacing w:after="0" w:line="192" w:lineRule="exact"/>
        <w:rPr>
          <w:sz w:val="20"/>
          <w:szCs w:val="20"/>
          <w:color w:val="auto"/>
        </w:rPr>
      </w:pPr>
    </w:p>
    <w:p>
      <w:pPr>
        <w:ind w:left="283"/>
        <w:spacing w:after="0"/>
        <w:rPr>
          <w:sz w:val="20"/>
          <w:szCs w:val="20"/>
          <w:color w:val="auto"/>
        </w:rPr>
      </w:pPr>
      <w:r>
        <w:rPr>
          <w:rFonts w:ascii="Calibri" w:cs="Calibri" w:eastAsia="Calibri" w:hAnsi="Calibri"/>
          <w:sz w:val="16"/>
          <w:szCs w:val="16"/>
          <w:color w:val="auto"/>
        </w:rPr>
        <w:t>As at September 30, 2024 the Company had no Common Shares subject to transfer restrictons (March 31, 2024: 415,985).</w:t>
      </w:r>
    </w:p>
    <w:p>
      <w:pPr>
        <w:spacing w:after="0" w:line="192" w:lineRule="exact"/>
        <w:rPr>
          <w:sz w:val="20"/>
          <w:szCs w:val="20"/>
          <w:color w:val="auto"/>
        </w:rPr>
      </w:pPr>
    </w:p>
    <w:p>
      <w:pPr>
        <w:ind w:left="283"/>
        <w:spacing w:after="0"/>
        <w:rPr>
          <w:sz w:val="20"/>
          <w:szCs w:val="20"/>
          <w:color w:val="auto"/>
        </w:rPr>
      </w:pPr>
      <w:r>
        <w:rPr>
          <w:rFonts w:ascii="Calibri" w:cs="Calibri" w:eastAsia="Calibri" w:hAnsi="Calibri"/>
          <w:sz w:val="16"/>
          <w:szCs w:val="16"/>
          <w:color w:val="auto"/>
        </w:rPr>
        <w:t>During the three and six month periods ended September 30, 2024 no Common Shares were issued.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center"/>
        <w:ind w:right="137"/>
        <w:spacing w:after="0"/>
        <w:rPr>
          <w:sz w:val="20"/>
          <w:szCs w:val="20"/>
          <w:color w:val="auto"/>
        </w:rPr>
      </w:pPr>
      <w:r>
        <w:rPr>
          <w:rFonts w:ascii="Calibri" w:cs="Calibri" w:eastAsia="Calibri" w:hAnsi="Calibri"/>
          <w:sz w:val="16"/>
          <w:szCs w:val="16"/>
          <w:b w:val="1"/>
          <w:bCs w:val="1"/>
          <w:color w:val="auto"/>
        </w:rPr>
        <w:t>Page 11 of 23</w:t>
      </w:r>
    </w:p>
    <w:p>
      <w:pPr>
        <w:sectPr>
          <w:pgSz w:w="11900" w:h="16838" w:orient="portrait"/>
          <w:cols w:equalWidth="0" w:num="1">
            <w:col w:w="11263"/>
          </w:cols>
          <w:pgMar w:left="317" w:top="209" w:right="319" w:bottom="1440" w:gutter="0" w:footer="0" w:header="0"/>
        </w:sectPr>
      </w:pPr>
    </w:p>
    <w:bookmarkStart w:id="14" w:name="page15"/>
    <w:bookmarkEnd w:id="14"/>
    <w:p>
      <w:pPr>
        <w:spacing w:after="0"/>
        <w:rPr>
          <w:sz w:val="20"/>
          <w:szCs w:val="20"/>
          <w:color w:val="auto"/>
        </w:rPr>
      </w:pPr>
      <w:r>
        <w:rPr>
          <w:rFonts w:ascii="Calibri" w:cs="Calibri" w:eastAsia="Calibri" w:hAnsi="Calibri"/>
          <w:sz w:val="19"/>
          <w:szCs w:val="19"/>
          <w:b w:val="1"/>
          <w:bCs w:val="1"/>
          <w:color w:val="auto"/>
        </w:rPr>
        <w:t>CYBIN INC.</w:t>
      </w:r>
    </w:p>
    <w:p>
      <w:pPr>
        <w:spacing w:after="0" w:line="237" w:lineRule="auto"/>
        <w:rPr>
          <w:sz w:val="20"/>
          <w:szCs w:val="20"/>
          <w:color w:val="auto"/>
        </w:rPr>
      </w:pPr>
      <w:r>
        <w:rPr>
          <w:rFonts w:ascii="Calibri" w:cs="Calibri" w:eastAsia="Calibri" w:hAnsi="Calibri"/>
          <w:sz w:val="19"/>
          <w:szCs w:val="19"/>
          <w:b w:val="1"/>
          <w:bCs w:val="1"/>
          <w:color w:val="auto"/>
        </w:rPr>
        <w:t>NOTES TO THE CONDENSED INTERIM CONSOLIDATED FINANCIAL STATEMENTS</w:t>
      </w:r>
    </w:p>
    <w:p>
      <w:pPr>
        <w:spacing w:after="0" w:line="238" w:lineRule="auto"/>
        <w:rPr>
          <w:sz w:val="20"/>
          <w:szCs w:val="20"/>
          <w:color w:val="auto"/>
        </w:rPr>
      </w:pPr>
      <w:r>
        <w:rPr>
          <w:rFonts w:ascii="Calibri" w:cs="Calibri" w:eastAsia="Calibri" w:hAnsi="Calibri"/>
          <w:sz w:val="19"/>
          <w:szCs w:val="19"/>
          <w:b w:val="1"/>
          <w:bCs w:val="1"/>
          <w:color w:val="auto"/>
        </w:rPr>
        <w:t>September 30, 2024</w:t>
      </w:r>
    </w:p>
    <w:p>
      <w:pPr>
        <w:spacing w:after="0" w:line="3" w:lineRule="exact"/>
        <w:rPr>
          <w:sz w:val="20"/>
          <w:szCs w:val="20"/>
          <w:color w:val="auto"/>
        </w:rPr>
      </w:pPr>
    </w:p>
    <w:p>
      <w:pPr>
        <w:ind w:right="180"/>
        <w:spacing w:after="0" w:line="234" w:lineRule="auto"/>
        <w:rPr>
          <w:sz w:val="20"/>
          <w:szCs w:val="20"/>
          <w:color w:val="auto"/>
        </w:rPr>
      </w:pPr>
      <w:r>
        <w:rPr>
          <w:rFonts w:ascii="Calibri" w:cs="Calibri" w:eastAsia="Calibri" w:hAnsi="Calibri"/>
          <w:sz w:val="18"/>
          <w:szCs w:val="18"/>
          <w:b w:val="1"/>
          <w:bCs w:val="1"/>
          <w:color w:val="auto"/>
        </w:rPr>
        <w:t>(All amounts expressed in thousands of Canadian dollars, except share and per share amounts, and those otherwise stated in US dollars, Euros and Great Britain pounds which are in thousands.)</w:t>
      </w:r>
    </w:p>
    <w:p>
      <w:pPr>
        <w:spacing w:after="0" w:line="224" w:lineRule="auto"/>
        <w:rPr>
          <w:sz w:val="20"/>
          <w:szCs w:val="20"/>
          <w:color w:val="auto"/>
        </w:rPr>
      </w:pPr>
      <w:r>
        <w:rPr>
          <w:rFonts w:ascii="Calibri" w:cs="Calibri" w:eastAsia="Calibri" w:hAnsi="Calibri"/>
          <w:sz w:val="18"/>
          <w:szCs w:val="18"/>
          <w:b w:val="1"/>
          <w:bCs w:val="1"/>
          <w:color w:val="auto"/>
        </w:rPr>
        <w:t>(Unaudited)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-39370</wp:posOffset>
            </wp:positionH>
            <wp:positionV relativeFrom="paragraph">
              <wp:posOffset>48895</wp:posOffset>
            </wp:positionV>
            <wp:extent cx="7146925" cy="762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46925" cy="76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ind w:left="220"/>
        <w:spacing w:after="0"/>
        <w:rPr>
          <w:sz w:val="20"/>
          <w:szCs w:val="20"/>
          <w:color w:val="auto"/>
        </w:rPr>
      </w:pPr>
      <w:r>
        <w:rPr>
          <w:rFonts w:ascii="Calibri" w:cs="Calibri" w:eastAsia="Calibri" w:hAnsi="Calibri"/>
          <w:sz w:val="16"/>
          <w:szCs w:val="16"/>
          <w:b w:val="1"/>
          <w:bCs w:val="1"/>
          <w:i w:val="1"/>
          <w:iCs w:val="1"/>
          <w:color w:val="auto"/>
        </w:rPr>
        <w:t>Preferred Shares</w:t>
      </w:r>
    </w:p>
    <w:p>
      <w:pPr>
        <w:spacing w:after="0" w:line="240" w:lineRule="exact"/>
        <w:rPr>
          <w:sz w:val="20"/>
          <w:szCs w:val="20"/>
          <w:color w:val="auto"/>
        </w:rPr>
      </w:pPr>
    </w:p>
    <w:p>
      <w:pPr>
        <w:ind w:left="220"/>
        <w:spacing w:after="0"/>
        <w:rPr>
          <w:sz w:val="20"/>
          <w:szCs w:val="20"/>
          <w:color w:val="auto"/>
        </w:rPr>
      </w:pPr>
      <w:r>
        <w:rPr>
          <w:rFonts w:ascii="Calibri" w:cs="Calibri" w:eastAsia="Calibri" w:hAnsi="Calibri"/>
          <w:sz w:val="16"/>
          <w:szCs w:val="16"/>
          <w:color w:val="auto"/>
        </w:rPr>
        <w:t>As at September 30, 2024 the Company had no preferred shares outstanding (March 31, 2024- nil).</w:t>
      </w:r>
    </w:p>
    <w:p>
      <w:pPr>
        <w:spacing w:after="0" w:line="179" w:lineRule="exact"/>
        <w:rPr>
          <w:sz w:val="20"/>
          <w:szCs w:val="20"/>
          <w:color w:val="auto"/>
        </w:rPr>
      </w:pPr>
    </w:p>
    <w:p>
      <w:pPr>
        <w:ind w:left="220"/>
        <w:spacing w:after="0"/>
        <w:rPr>
          <w:sz w:val="20"/>
          <w:szCs w:val="20"/>
          <w:color w:val="auto"/>
        </w:rPr>
      </w:pPr>
      <w:r>
        <w:rPr>
          <w:rFonts w:ascii="Calibri" w:cs="Calibri" w:eastAsia="Calibri" w:hAnsi="Calibri"/>
          <w:sz w:val="16"/>
          <w:szCs w:val="16"/>
          <w:b w:val="1"/>
          <w:bCs w:val="1"/>
          <w:i w:val="1"/>
          <w:iCs w:val="1"/>
          <w:color w:val="auto"/>
        </w:rPr>
        <w:t>Cybin US Class B Shares</w:t>
      </w:r>
    </w:p>
    <w:p>
      <w:pPr>
        <w:spacing w:after="0" w:line="192" w:lineRule="exact"/>
        <w:rPr>
          <w:sz w:val="20"/>
          <w:szCs w:val="20"/>
          <w:color w:val="auto"/>
        </w:rPr>
      </w:pPr>
    </w:p>
    <w:p>
      <w:pPr>
        <w:ind w:left="220"/>
        <w:spacing w:after="0"/>
        <w:rPr>
          <w:sz w:val="20"/>
          <w:szCs w:val="20"/>
          <w:color w:val="auto"/>
        </w:rPr>
      </w:pPr>
      <w:r>
        <w:rPr>
          <w:rFonts w:ascii="Calibri" w:cs="Calibri" w:eastAsia="Calibri" w:hAnsi="Calibri"/>
          <w:sz w:val="16"/>
          <w:szCs w:val="16"/>
          <w:color w:val="auto"/>
        </w:rPr>
        <w:t>As at September 30, 2024, 36,084.7 class B common shares of Cybin US (“Class B Shares”) were outstanding, and are exchangeable for a total of 9,496 Common Shares.</w:t>
      </w:r>
    </w:p>
    <w:p>
      <w:pPr>
        <w:spacing w:after="0" w:line="34" w:lineRule="exact"/>
        <w:rPr>
          <w:sz w:val="20"/>
          <w:szCs w:val="20"/>
          <w:color w:val="auto"/>
        </w:rPr>
      </w:pPr>
    </w:p>
    <w:p>
      <w:pPr>
        <w:ind w:left="220"/>
        <w:spacing w:after="0"/>
        <w:rPr>
          <w:sz w:val="20"/>
          <w:szCs w:val="20"/>
          <w:color w:val="auto"/>
        </w:rPr>
      </w:pPr>
      <w:r>
        <w:rPr>
          <w:rFonts w:ascii="Calibri" w:cs="Calibri" w:eastAsia="Calibri" w:hAnsi="Calibri"/>
          <w:sz w:val="16"/>
          <w:szCs w:val="16"/>
          <w:color w:val="auto"/>
        </w:rPr>
        <w:t>These condensed interim consolidated fnancial statements refect issued Class B Shares on an as-converted basis.</w:t>
      </w:r>
    </w:p>
    <w:p>
      <w:pPr>
        <w:spacing w:after="0" w:line="192" w:lineRule="exact"/>
        <w:rPr>
          <w:sz w:val="20"/>
          <w:szCs w:val="20"/>
          <w:color w:val="auto"/>
        </w:rPr>
      </w:pPr>
    </w:p>
    <w:tbl>
      <w:tblPr>
        <w:tblLayout w:type="fixed"/>
        <w:tblInd w:w="220" w:type="dxa"/>
        <w:tblCellMar>
          <w:top w:w="0" w:type="dxa"/>
          <w:left w:w="0" w:type="dxa"/>
          <w:bottom w:w="0" w:type="dxa"/>
          <w:right w:w="0" w:type="dxa"/>
        </w:tblCellMar>
      </w:tblPr>
      <w:tr>
        <w:trPr>
          <w:trHeight w:val="195"/>
        </w:trPr>
        <w:tc>
          <w:tcPr>
            <w:tcW w:w="7100" w:type="dxa"/>
            <w:vAlign w:val="bottom"/>
            <w:gridSpan w:val="3"/>
          </w:tcPr>
          <w:p>
            <w:pPr>
              <w:spacing w:after="0"/>
              <w:rPr>
                <w:sz w:val="20"/>
                <w:szCs w:val="20"/>
                <w:color w:val="auto"/>
              </w:rPr>
            </w:pPr>
            <w:r>
              <w:rPr>
                <w:rFonts w:ascii="Calibri" w:cs="Calibri" w:eastAsia="Calibri" w:hAnsi="Calibri"/>
                <w:sz w:val="16"/>
                <w:szCs w:val="16"/>
                <w:color w:val="auto"/>
              </w:rPr>
              <w:t>During the three and six month periods ended September 30, 2024, no Class B Shares were issued.</w:t>
            </w:r>
          </w:p>
        </w:tc>
        <w:tc>
          <w:tcPr>
            <w:tcW w:w="1600" w:type="dxa"/>
            <w:vAlign w:val="bottom"/>
          </w:tcPr>
          <w:p>
            <w:pPr>
              <w:spacing w:after="0"/>
              <w:rPr>
                <w:sz w:val="16"/>
                <w:szCs w:val="16"/>
                <w:color w:val="auto"/>
              </w:rPr>
            </w:pPr>
          </w:p>
        </w:tc>
        <w:tc>
          <w:tcPr>
            <w:tcW w:w="18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59"/>
        </w:trPr>
        <w:tc>
          <w:tcPr>
            <w:tcW w:w="7100" w:type="dxa"/>
            <w:vAlign w:val="bottom"/>
            <w:gridSpan w:val="3"/>
          </w:tcPr>
          <w:p>
            <w:pPr>
              <w:spacing w:after="0"/>
              <w:rPr>
                <w:sz w:val="20"/>
                <w:szCs w:val="20"/>
                <w:color w:val="auto"/>
              </w:rPr>
            </w:pPr>
            <w:r>
              <w:rPr>
                <w:rFonts w:ascii="Calibri" w:cs="Calibri" w:eastAsia="Calibri" w:hAnsi="Calibri"/>
                <w:sz w:val="16"/>
                <w:szCs w:val="16"/>
                <w:b w:val="1"/>
                <w:bCs w:val="1"/>
                <w:color w:val="auto"/>
              </w:rPr>
              <w:t>c)  Warrants</w:t>
            </w:r>
          </w:p>
        </w:tc>
        <w:tc>
          <w:tcPr>
            <w:tcW w:w="1600" w:type="dxa"/>
            <w:vAlign w:val="bottom"/>
          </w:tcPr>
          <w:p>
            <w:pPr>
              <w:spacing w:after="0"/>
              <w:rPr>
                <w:sz w:val="24"/>
                <w:szCs w:val="24"/>
                <w:color w:val="auto"/>
              </w:rPr>
            </w:pPr>
          </w:p>
        </w:tc>
        <w:tc>
          <w:tcPr>
            <w:tcW w:w="18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28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622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1"/>
        </w:trPr>
        <w:tc>
          <w:tcPr>
            <w:tcW w:w="7100" w:type="dxa"/>
            <w:vAlign w:val="bottom"/>
            <w:gridSpan w:val="3"/>
          </w:tcPr>
          <w:p>
            <w:pPr>
              <w:spacing w:after="0"/>
              <w:rPr>
                <w:sz w:val="20"/>
                <w:szCs w:val="20"/>
                <w:color w:val="auto"/>
              </w:rPr>
            </w:pPr>
            <w:r>
              <w:rPr>
                <w:rFonts w:ascii="Calibri" w:cs="Calibri" w:eastAsia="Calibri" w:hAnsi="Calibri"/>
                <w:sz w:val="16"/>
                <w:szCs w:val="16"/>
                <w:color w:val="auto"/>
              </w:rPr>
              <w:t>The contnuity of the outstanding warrants for the six-month period ended September 30, 2024, is as follows:</w:t>
            </w:r>
          </w:p>
        </w:tc>
        <w:tc>
          <w:tcPr>
            <w:tcW w:w="1600" w:type="dxa"/>
            <w:vAlign w:val="bottom"/>
          </w:tcPr>
          <w:p>
            <w:pPr>
              <w:spacing w:after="0"/>
              <w:rPr>
                <w:sz w:val="24"/>
                <w:szCs w:val="24"/>
                <w:color w:val="auto"/>
              </w:rPr>
            </w:pPr>
          </w:p>
        </w:tc>
        <w:tc>
          <w:tcPr>
            <w:tcW w:w="18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3"/>
        </w:trPr>
        <w:tc>
          <w:tcPr>
            <w:tcW w:w="2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6220" w:type="dxa"/>
            <w:vAlign w:val="bottom"/>
          </w:tcPr>
          <w:p>
            <w:pPr>
              <w:spacing w:after="0"/>
              <w:rPr>
                <w:sz w:val="24"/>
                <w:szCs w:val="24"/>
                <w:color w:val="auto"/>
              </w:rPr>
            </w:pPr>
          </w:p>
        </w:tc>
        <w:tc>
          <w:tcPr>
            <w:tcW w:w="1600" w:type="dxa"/>
            <w:vAlign w:val="bottom"/>
            <w:vMerge w:val="restart"/>
          </w:tcPr>
          <w:p>
            <w:pPr>
              <w:jc w:val="right"/>
              <w:ind w:right="39"/>
              <w:spacing w:after="0"/>
              <w:rPr>
                <w:sz w:val="20"/>
                <w:szCs w:val="20"/>
                <w:color w:val="auto"/>
              </w:rPr>
            </w:pPr>
            <w:r>
              <w:rPr>
                <w:rFonts w:ascii="Calibri" w:cs="Calibri" w:eastAsia="Calibri" w:hAnsi="Calibri"/>
                <w:sz w:val="16"/>
                <w:szCs w:val="16"/>
                <w:b w:val="1"/>
                <w:bCs w:val="1"/>
                <w:color w:val="auto"/>
              </w:rPr>
              <w:t>Number of Warrants</w:t>
            </w:r>
          </w:p>
        </w:tc>
        <w:tc>
          <w:tcPr>
            <w:tcW w:w="1840" w:type="dxa"/>
            <w:vAlign w:val="bottom"/>
          </w:tcPr>
          <w:p>
            <w:pPr>
              <w:jc w:val="right"/>
              <w:spacing w:after="0"/>
              <w:rPr>
                <w:sz w:val="20"/>
                <w:szCs w:val="20"/>
                <w:color w:val="auto"/>
              </w:rPr>
            </w:pPr>
            <w:r>
              <w:rPr>
                <w:rFonts w:ascii="Calibri" w:cs="Calibri" w:eastAsia="Calibri" w:hAnsi="Calibri"/>
                <w:sz w:val="16"/>
                <w:szCs w:val="16"/>
                <w:b w:val="1"/>
                <w:bCs w:val="1"/>
                <w:color w:val="auto"/>
              </w:rPr>
              <w:t>Weighted average exercise</w:t>
            </w:r>
          </w:p>
        </w:tc>
        <w:tc>
          <w:tcPr>
            <w:tcW w:w="0" w:type="dxa"/>
            <w:vAlign w:val="bottom"/>
          </w:tcPr>
          <w:p>
            <w:pPr>
              <w:spacing w:after="0"/>
              <w:rPr>
                <w:sz w:val="1"/>
                <w:szCs w:val="1"/>
                <w:color w:val="auto"/>
              </w:rPr>
            </w:pPr>
          </w:p>
        </w:tc>
      </w:tr>
      <w:tr>
        <w:trPr>
          <w:trHeight w:val="248"/>
        </w:trPr>
        <w:tc>
          <w:tcPr>
            <w:tcW w:w="28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6220" w:type="dxa"/>
            <w:vAlign w:val="bottom"/>
          </w:tcPr>
          <w:p>
            <w:pPr>
              <w:spacing w:after="0"/>
              <w:rPr>
                <w:sz w:val="21"/>
                <w:szCs w:val="21"/>
                <w:color w:val="auto"/>
              </w:rPr>
            </w:pPr>
          </w:p>
        </w:tc>
        <w:tc>
          <w:tcPr>
            <w:tcW w:w="1600" w:type="dxa"/>
            <w:vAlign w:val="bottom"/>
            <w:vMerge w:val="continue"/>
          </w:tcPr>
          <w:p>
            <w:pPr>
              <w:spacing w:after="0"/>
              <w:rPr>
                <w:sz w:val="21"/>
                <w:szCs w:val="21"/>
                <w:color w:val="auto"/>
              </w:rPr>
            </w:pPr>
          </w:p>
        </w:tc>
        <w:tc>
          <w:tcPr>
            <w:tcW w:w="1840" w:type="dxa"/>
            <w:vAlign w:val="bottom"/>
          </w:tcPr>
          <w:p>
            <w:pPr>
              <w:jc w:val="right"/>
              <w:spacing w:after="0"/>
              <w:rPr>
                <w:sz w:val="20"/>
                <w:szCs w:val="20"/>
                <w:color w:val="auto"/>
              </w:rPr>
            </w:pPr>
            <w:r>
              <w:rPr>
                <w:rFonts w:ascii="Calibri" w:cs="Calibri" w:eastAsia="Calibri" w:hAnsi="Calibri"/>
                <w:sz w:val="16"/>
                <w:szCs w:val="16"/>
                <w:b w:val="1"/>
                <w:bCs w:val="1"/>
                <w:color w:val="auto"/>
              </w:rPr>
              <w:t>price</w:t>
            </w:r>
            <w:r>
              <w:rPr>
                <w:rFonts w:ascii="Calibri" w:cs="Calibri" w:eastAsia="Calibri" w:hAnsi="Calibri"/>
                <w:sz w:val="20"/>
                <w:szCs w:val="20"/>
                <w:b w:val="1"/>
                <w:bCs w:val="1"/>
                <w:color w:val="auto"/>
                <w:vertAlign w:val="superscript"/>
              </w:rPr>
              <w:t>1</w:t>
            </w:r>
          </w:p>
        </w:tc>
        <w:tc>
          <w:tcPr>
            <w:tcW w:w="0" w:type="dxa"/>
            <w:vAlign w:val="bottom"/>
          </w:tcPr>
          <w:p>
            <w:pPr>
              <w:spacing w:after="0"/>
              <w:rPr>
                <w:sz w:val="1"/>
                <w:szCs w:val="1"/>
                <w:color w:val="auto"/>
              </w:rPr>
            </w:pPr>
          </w:p>
        </w:tc>
      </w:tr>
      <w:tr>
        <w:trPr>
          <w:trHeight w:val="223"/>
        </w:trPr>
        <w:tc>
          <w:tcPr>
            <w:tcW w:w="2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6220" w:type="dxa"/>
            <w:vAlign w:val="bottom"/>
          </w:tcPr>
          <w:p>
            <w:pPr>
              <w:spacing w:after="0"/>
              <w:rPr>
                <w:sz w:val="19"/>
                <w:szCs w:val="19"/>
                <w:color w:val="auto"/>
              </w:rPr>
            </w:pPr>
          </w:p>
        </w:tc>
        <w:tc>
          <w:tcPr>
            <w:tcW w:w="1600" w:type="dxa"/>
            <w:vAlign w:val="bottom"/>
          </w:tcPr>
          <w:p>
            <w:pPr>
              <w:spacing w:after="0"/>
              <w:rPr>
                <w:sz w:val="19"/>
                <w:szCs w:val="19"/>
                <w:color w:val="auto"/>
              </w:rPr>
            </w:pPr>
          </w:p>
        </w:tc>
        <w:tc>
          <w:tcPr>
            <w:tcW w:w="1840" w:type="dxa"/>
            <w:vAlign w:val="bottom"/>
          </w:tcPr>
          <w:p>
            <w:pPr>
              <w:jc w:val="right"/>
              <w:spacing w:after="0"/>
              <w:rPr>
                <w:sz w:val="20"/>
                <w:szCs w:val="20"/>
                <w:color w:val="auto"/>
              </w:rPr>
            </w:pPr>
            <w:r>
              <w:rPr>
                <w:rFonts w:ascii="Calibri" w:cs="Calibri" w:eastAsia="Calibri" w:hAnsi="Calibri"/>
                <w:sz w:val="16"/>
                <w:szCs w:val="16"/>
                <w:b w:val="1"/>
                <w:bCs w:val="1"/>
                <w:color w:val="auto"/>
              </w:rPr>
              <w:t>$</w:t>
            </w:r>
          </w:p>
        </w:tc>
        <w:tc>
          <w:tcPr>
            <w:tcW w:w="0" w:type="dxa"/>
            <w:vAlign w:val="bottom"/>
          </w:tcPr>
          <w:p>
            <w:pPr>
              <w:spacing w:after="0"/>
              <w:rPr>
                <w:sz w:val="1"/>
                <w:szCs w:val="1"/>
                <w:color w:val="auto"/>
              </w:rPr>
            </w:pPr>
          </w:p>
        </w:tc>
      </w:tr>
      <w:tr>
        <w:trPr>
          <w:trHeight w:val="254"/>
        </w:trPr>
        <w:tc>
          <w:tcPr>
            <w:tcW w:w="7100" w:type="dxa"/>
            <w:vAlign w:val="bottom"/>
            <w:gridSpan w:val="3"/>
          </w:tcPr>
          <w:p>
            <w:pPr>
              <w:ind w:left="60"/>
              <w:spacing w:after="0"/>
              <w:rPr>
                <w:sz w:val="20"/>
                <w:szCs w:val="20"/>
                <w:color w:val="auto"/>
              </w:rPr>
            </w:pPr>
            <w:r>
              <w:rPr>
                <w:rFonts w:ascii="Calibri" w:cs="Calibri" w:eastAsia="Calibri" w:hAnsi="Calibri"/>
                <w:sz w:val="16"/>
                <w:szCs w:val="16"/>
                <w:b w:val="1"/>
                <w:bCs w:val="1"/>
                <w:i w:val="1"/>
                <w:iCs w:val="1"/>
                <w:color w:val="auto"/>
              </w:rPr>
              <w:t>Common Share Purchase Warrants</w:t>
            </w:r>
          </w:p>
        </w:tc>
        <w:tc>
          <w:tcPr>
            <w:tcW w:w="1600" w:type="dxa"/>
            <w:vAlign w:val="bottom"/>
          </w:tcPr>
          <w:p>
            <w:pPr>
              <w:spacing w:after="0"/>
              <w:rPr>
                <w:sz w:val="22"/>
                <w:szCs w:val="22"/>
                <w:color w:val="auto"/>
              </w:rPr>
            </w:pPr>
          </w:p>
        </w:tc>
        <w:tc>
          <w:tcPr>
            <w:tcW w:w="18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7100" w:type="dxa"/>
            <w:vAlign w:val="bottom"/>
            <w:tcBorders>
              <w:bottom w:val="single" w:sz="8" w:color="auto"/>
            </w:tcBorders>
            <w:gridSpan w:val="3"/>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18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5"/>
        </w:trPr>
        <w:tc>
          <w:tcPr>
            <w:tcW w:w="7100" w:type="dxa"/>
            <w:vAlign w:val="bottom"/>
            <w:gridSpan w:val="3"/>
          </w:tcPr>
          <w:p>
            <w:pPr>
              <w:ind w:left="20"/>
              <w:spacing w:after="0" w:line="185" w:lineRule="exact"/>
              <w:rPr>
                <w:sz w:val="20"/>
                <w:szCs w:val="20"/>
                <w:color w:val="auto"/>
              </w:rPr>
            </w:pPr>
            <w:r>
              <w:rPr>
                <w:rFonts w:ascii="Calibri" w:cs="Calibri" w:eastAsia="Calibri" w:hAnsi="Calibri"/>
                <w:sz w:val="16"/>
                <w:szCs w:val="16"/>
                <w:color w:val="auto"/>
              </w:rPr>
              <w:t>As at March 31, 2024</w:t>
            </w:r>
          </w:p>
        </w:tc>
        <w:tc>
          <w:tcPr>
            <w:tcW w:w="1600" w:type="dxa"/>
            <w:vAlign w:val="bottom"/>
          </w:tcPr>
          <w:p>
            <w:pPr>
              <w:jc w:val="right"/>
              <w:ind w:right="39"/>
              <w:spacing w:after="0" w:line="185" w:lineRule="exact"/>
              <w:rPr>
                <w:sz w:val="20"/>
                <w:szCs w:val="20"/>
                <w:color w:val="auto"/>
              </w:rPr>
            </w:pPr>
            <w:r>
              <w:rPr>
                <w:rFonts w:ascii="Calibri" w:cs="Calibri" w:eastAsia="Calibri" w:hAnsi="Calibri"/>
                <w:sz w:val="16"/>
                <w:szCs w:val="16"/>
                <w:color w:val="auto"/>
              </w:rPr>
              <w:t>2,796,197</w:t>
            </w:r>
          </w:p>
        </w:tc>
        <w:tc>
          <w:tcPr>
            <w:tcW w:w="1840" w:type="dxa"/>
            <w:vAlign w:val="bottom"/>
          </w:tcPr>
          <w:p>
            <w:pPr>
              <w:jc w:val="right"/>
              <w:spacing w:after="0" w:line="185" w:lineRule="exact"/>
              <w:rPr>
                <w:sz w:val="20"/>
                <w:szCs w:val="20"/>
                <w:color w:val="auto"/>
              </w:rPr>
            </w:pPr>
            <w:r>
              <w:rPr>
                <w:rFonts w:ascii="Calibri" w:cs="Calibri" w:eastAsia="Calibri" w:hAnsi="Calibri"/>
                <w:sz w:val="16"/>
                <w:szCs w:val="16"/>
                <w:color w:val="auto"/>
              </w:rPr>
              <w:t>22.74</w:t>
            </w:r>
          </w:p>
        </w:tc>
        <w:tc>
          <w:tcPr>
            <w:tcW w:w="0" w:type="dxa"/>
            <w:vAlign w:val="bottom"/>
          </w:tcPr>
          <w:p>
            <w:pPr>
              <w:spacing w:after="0"/>
              <w:rPr>
                <w:sz w:val="1"/>
                <w:szCs w:val="1"/>
                <w:color w:val="auto"/>
              </w:rPr>
            </w:pPr>
          </w:p>
        </w:tc>
      </w:tr>
      <w:tr>
        <w:trPr>
          <w:trHeight w:val="198"/>
        </w:trPr>
        <w:tc>
          <w:tcPr>
            <w:tcW w:w="7100" w:type="dxa"/>
            <w:vAlign w:val="bottom"/>
            <w:gridSpan w:val="3"/>
          </w:tcPr>
          <w:p>
            <w:pPr>
              <w:ind w:left="20"/>
              <w:spacing w:after="0"/>
              <w:rPr>
                <w:sz w:val="20"/>
                <w:szCs w:val="20"/>
                <w:color w:val="auto"/>
              </w:rPr>
            </w:pPr>
            <w:r>
              <w:rPr>
                <w:rFonts w:ascii="Calibri" w:cs="Calibri" w:eastAsia="Calibri" w:hAnsi="Calibri"/>
                <w:sz w:val="16"/>
                <w:szCs w:val="16"/>
                <w:color w:val="auto"/>
              </w:rPr>
              <w:t>Exercised</w:t>
            </w:r>
          </w:p>
        </w:tc>
        <w:tc>
          <w:tcPr>
            <w:tcW w:w="1600" w:type="dxa"/>
            <w:vAlign w:val="bottom"/>
          </w:tcPr>
          <w:p>
            <w:pPr>
              <w:jc w:val="right"/>
              <w:ind w:right="139"/>
              <w:spacing w:after="0"/>
              <w:rPr>
                <w:sz w:val="20"/>
                <w:szCs w:val="20"/>
                <w:color w:val="auto"/>
              </w:rPr>
            </w:pPr>
            <w:r>
              <w:rPr>
                <w:rFonts w:ascii="Calibri" w:cs="Calibri" w:eastAsia="Calibri" w:hAnsi="Calibri"/>
                <w:sz w:val="16"/>
                <w:szCs w:val="16"/>
                <w:color w:val="auto"/>
              </w:rPr>
              <w:t>—</w:t>
            </w:r>
          </w:p>
        </w:tc>
        <w:tc>
          <w:tcPr>
            <w:tcW w:w="1840" w:type="dxa"/>
            <w:vAlign w:val="bottom"/>
          </w:tcPr>
          <w:p>
            <w:pPr>
              <w:jc w:val="right"/>
              <w:spacing w:after="0"/>
              <w:rPr>
                <w:sz w:val="20"/>
                <w:szCs w:val="20"/>
                <w:color w:val="auto"/>
              </w:rPr>
            </w:pPr>
            <w:r>
              <w:rPr>
                <w:rFonts w:ascii="Calibri" w:cs="Calibri" w:eastAsia="Calibri" w:hAnsi="Calibri"/>
                <w:sz w:val="16"/>
                <w:szCs w:val="16"/>
                <w:color w:val="auto"/>
              </w:rPr>
              <w:t>—</w:t>
            </w:r>
          </w:p>
        </w:tc>
        <w:tc>
          <w:tcPr>
            <w:tcW w:w="0" w:type="dxa"/>
            <w:vAlign w:val="bottom"/>
          </w:tcPr>
          <w:p>
            <w:pPr>
              <w:spacing w:after="0"/>
              <w:rPr>
                <w:sz w:val="1"/>
                <w:szCs w:val="1"/>
                <w:color w:val="auto"/>
              </w:rPr>
            </w:pPr>
          </w:p>
        </w:tc>
      </w:tr>
      <w:tr>
        <w:trPr>
          <w:trHeight w:val="20"/>
        </w:trPr>
        <w:tc>
          <w:tcPr>
            <w:tcW w:w="7100" w:type="dxa"/>
            <w:vAlign w:val="bottom"/>
            <w:tcBorders>
              <w:bottom w:val="single" w:sz="8" w:color="auto"/>
            </w:tcBorders>
            <w:gridSpan w:val="3"/>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18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1"/>
        </w:trPr>
        <w:tc>
          <w:tcPr>
            <w:tcW w:w="7100" w:type="dxa"/>
            <w:vAlign w:val="bottom"/>
            <w:tcBorders>
              <w:bottom w:val="single" w:sz="8" w:color="auto"/>
            </w:tcBorders>
            <w:gridSpan w:val="3"/>
          </w:tcPr>
          <w:p>
            <w:pPr>
              <w:ind w:left="20"/>
              <w:spacing w:after="0" w:line="192" w:lineRule="exact"/>
              <w:rPr>
                <w:sz w:val="20"/>
                <w:szCs w:val="20"/>
                <w:color w:val="auto"/>
              </w:rPr>
            </w:pPr>
            <w:r>
              <w:rPr>
                <w:rFonts w:ascii="Calibri" w:cs="Calibri" w:eastAsia="Calibri" w:hAnsi="Calibri"/>
                <w:sz w:val="16"/>
                <w:szCs w:val="16"/>
                <w:b w:val="1"/>
                <w:bCs w:val="1"/>
                <w:color w:val="auto"/>
              </w:rPr>
              <w:t>Outstanding as at September 30, 2024</w:t>
            </w:r>
          </w:p>
        </w:tc>
        <w:tc>
          <w:tcPr>
            <w:tcW w:w="1600" w:type="dxa"/>
            <w:vAlign w:val="bottom"/>
            <w:tcBorders>
              <w:bottom w:val="single" w:sz="8" w:color="auto"/>
            </w:tcBorders>
          </w:tcPr>
          <w:p>
            <w:pPr>
              <w:jc w:val="right"/>
              <w:ind w:right="39"/>
              <w:spacing w:after="0" w:line="192" w:lineRule="exact"/>
              <w:rPr>
                <w:sz w:val="20"/>
                <w:szCs w:val="20"/>
                <w:color w:val="auto"/>
              </w:rPr>
            </w:pPr>
            <w:r>
              <w:rPr>
                <w:rFonts w:ascii="Calibri" w:cs="Calibri" w:eastAsia="Calibri" w:hAnsi="Calibri"/>
                <w:sz w:val="16"/>
                <w:szCs w:val="16"/>
                <w:b w:val="1"/>
                <w:bCs w:val="1"/>
                <w:color w:val="auto"/>
              </w:rPr>
              <w:t>2,796,197</w:t>
            </w:r>
          </w:p>
        </w:tc>
        <w:tc>
          <w:tcPr>
            <w:tcW w:w="1840" w:type="dxa"/>
            <w:vAlign w:val="bottom"/>
            <w:tcBorders>
              <w:bottom w:val="single" w:sz="8" w:color="auto"/>
            </w:tcBorders>
          </w:tcPr>
          <w:p>
            <w:pPr>
              <w:jc w:val="right"/>
              <w:spacing w:after="0" w:line="192" w:lineRule="exact"/>
              <w:rPr>
                <w:sz w:val="20"/>
                <w:szCs w:val="20"/>
                <w:color w:val="auto"/>
              </w:rPr>
            </w:pPr>
            <w:r>
              <w:rPr>
                <w:rFonts w:ascii="Calibri" w:cs="Calibri" w:eastAsia="Calibri" w:hAnsi="Calibri"/>
                <w:sz w:val="16"/>
                <w:szCs w:val="16"/>
                <w:b w:val="1"/>
                <w:bCs w:val="1"/>
                <w:color w:val="auto"/>
              </w:rPr>
              <w:t>22.66</w:t>
            </w:r>
          </w:p>
        </w:tc>
        <w:tc>
          <w:tcPr>
            <w:tcW w:w="0" w:type="dxa"/>
            <w:vAlign w:val="bottom"/>
          </w:tcPr>
          <w:p>
            <w:pPr>
              <w:spacing w:after="0"/>
              <w:rPr>
                <w:sz w:val="1"/>
                <w:szCs w:val="1"/>
                <w:color w:val="auto"/>
              </w:rPr>
            </w:pPr>
          </w:p>
        </w:tc>
      </w:tr>
      <w:tr>
        <w:trPr>
          <w:trHeight w:val="198"/>
        </w:trPr>
        <w:tc>
          <w:tcPr>
            <w:tcW w:w="7100" w:type="dxa"/>
            <w:vAlign w:val="bottom"/>
            <w:tcBorders>
              <w:bottom w:val="single" w:sz="8" w:color="auto"/>
            </w:tcBorders>
            <w:gridSpan w:val="3"/>
          </w:tcPr>
          <w:p>
            <w:pPr>
              <w:ind w:left="20"/>
              <w:spacing w:after="0" w:line="193" w:lineRule="exact"/>
              <w:rPr>
                <w:sz w:val="20"/>
                <w:szCs w:val="20"/>
                <w:color w:val="auto"/>
              </w:rPr>
            </w:pPr>
            <w:r>
              <w:rPr>
                <w:rFonts w:ascii="Calibri" w:cs="Calibri" w:eastAsia="Calibri" w:hAnsi="Calibri"/>
                <w:sz w:val="16"/>
                <w:szCs w:val="16"/>
                <w:b w:val="1"/>
                <w:bCs w:val="1"/>
                <w:color w:val="auto"/>
              </w:rPr>
              <w:t>Exercisable as at September 30, 2024</w:t>
            </w:r>
          </w:p>
        </w:tc>
        <w:tc>
          <w:tcPr>
            <w:tcW w:w="1600" w:type="dxa"/>
            <w:vAlign w:val="bottom"/>
            <w:tcBorders>
              <w:bottom w:val="single" w:sz="8" w:color="auto"/>
            </w:tcBorders>
          </w:tcPr>
          <w:p>
            <w:pPr>
              <w:jc w:val="right"/>
              <w:ind w:right="39"/>
              <w:spacing w:after="0" w:line="193" w:lineRule="exact"/>
              <w:rPr>
                <w:sz w:val="20"/>
                <w:szCs w:val="20"/>
                <w:color w:val="auto"/>
              </w:rPr>
            </w:pPr>
            <w:r>
              <w:rPr>
                <w:rFonts w:ascii="Calibri" w:cs="Calibri" w:eastAsia="Calibri" w:hAnsi="Calibri"/>
                <w:sz w:val="16"/>
                <w:szCs w:val="16"/>
                <w:b w:val="1"/>
                <w:bCs w:val="1"/>
                <w:color w:val="auto"/>
              </w:rPr>
              <w:t>2,796,197</w:t>
            </w:r>
          </w:p>
        </w:tc>
        <w:tc>
          <w:tcPr>
            <w:tcW w:w="1840" w:type="dxa"/>
            <w:vAlign w:val="bottom"/>
            <w:tcBorders>
              <w:bottom w:val="single" w:sz="8" w:color="auto"/>
            </w:tcBorders>
          </w:tcPr>
          <w:p>
            <w:pPr>
              <w:jc w:val="right"/>
              <w:spacing w:after="0" w:line="193" w:lineRule="exact"/>
              <w:rPr>
                <w:sz w:val="20"/>
                <w:szCs w:val="20"/>
                <w:color w:val="auto"/>
              </w:rPr>
            </w:pPr>
            <w:r>
              <w:rPr>
                <w:rFonts w:ascii="Calibri" w:cs="Calibri" w:eastAsia="Calibri" w:hAnsi="Calibri"/>
                <w:sz w:val="16"/>
                <w:szCs w:val="16"/>
                <w:b w:val="1"/>
                <w:bCs w:val="1"/>
                <w:color w:val="auto"/>
              </w:rPr>
              <w:t>22.66</w:t>
            </w:r>
          </w:p>
        </w:tc>
        <w:tc>
          <w:tcPr>
            <w:tcW w:w="0" w:type="dxa"/>
            <w:vAlign w:val="bottom"/>
          </w:tcPr>
          <w:p>
            <w:pPr>
              <w:spacing w:after="0"/>
              <w:rPr>
                <w:sz w:val="1"/>
                <w:szCs w:val="1"/>
                <w:color w:val="auto"/>
              </w:rPr>
            </w:pPr>
          </w:p>
        </w:tc>
      </w:tr>
    </w:tbl>
    <w:p>
      <w:pPr>
        <w:spacing w:after="0" w:line="65" w:lineRule="exact"/>
        <w:rPr>
          <w:sz w:val="20"/>
          <w:szCs w:val="20"/>
          <w:color w:val="auto"/>
        </w:rPr>
      </w:pPr>
    </w:p>
    <w:p>
      <w:pPr>
        <w:ind w:left="220"/>
        <w:spacing w:after="0"/>
        <w:rPr>
          <w:sz w:val="20"/>
          <w:szCs w:val="20"/>
          <w:color w:val="auto"/>
        </w:rPr>
      </w:pPr>
      <w:r>
        <w:rPr>
          <w:rFonts w:ascii="Calibri" w:cs="Calibri" w:eastAsia="Calibri" w:hAnsi="Calibri"/>
          <w:sz w:val="18"/>
          <w:szCs w:val="18"/>
          <w:i w:val="1"/>
          <w:iCs w:val="1"/>
          <w:color w:val="auto"/>
          <w:vertAlign w:val="superscript"/>
        </w:rPr>
        <w:t>1</w:t>
      </w:r>
      <w:r>
        <w:rPr>
          <w:rFonts w:ascii="Calibri" w:cs="Calibri" w:eastAsia="Calibri" w:hAnsi="Calibri"/>
          <w:sz w:val="15"/>
          <w:szCs w:val="15"/>
          <w:i w:val="1"/>
          <w:iCs w:val="1"/>
          <w:color w:val="auto"/>
        </w:rPr>
        <w:t>Certain warrants were issued in USD, the weighted average exercise price is calculated using the closing exchange rate in efect as at the respectve dates.</w:t>
      </w:r>
    </w:p>
    <w:p>
      <w:pPr>
        <w:spacing w:after="0" w:line="176" w:lineRule="exact"/>
        <w:rPr>
          <w:sz w:val="20"/>
          <w:szCs w:val="20"/>
          <w:color w:val="auto"/>
        </w:rPr>
      </w:pPr>
    </w:p>
    <w:p>
      <w:pPr>
        <w:ind w:left="220"/>
        <w:spacing w:after="0"/>
        <w:rPr>
          <w:sz w:val="20"/>
          <w:szCs w:val="20"/>
          <w:color w:val="auto"/>
        </w:rPr>
      </w:pPr>
      <w:r>
        <w:rPr>
          <w:rFonts w:ascii="Calibri" w:cs="Calibri" w:eastAsia="Calibri" w:hAnsi="Calibri"/>
          <w:sz w:val="16"/>
          <w:szCs w:val="16"/>
          <w:color w:val="auto"/>
        </w:rPr>
        <w:t>The following summarizes informaton about warrants outstanding as at September 30, 2024:</w:t>
      </w:r>
    </w:p>
    <w:p>
      <w:pPr>
        <w:spacing w:after="0" w:line="288" w:lineRule="exact"/>
        <w:rPr>
          <w:sz w:val="20"/>
          <w:szCs w:val="20"/>
          <w:color w:val="auto"/>
        </w:rPr>
      </w:pPr>
    </w:p>
    <w:tbl>
      <w:tblPr>
        <w:tblLayout w:type="fixed"/>
        <w:tblInd w:w="220" w:type="dxa"/>
        <w:tblCellMar>
          <w:top w:w="0" w:type="dxa"/>
          <w:left w:w="0" w:type="dxa"/>
          <w:bottom w:w="0" w:type="dxa"/>
          <w:right w:w="0" w:type="dxa"/>
        </w:tblCellMar>
      </w:tblPr>
      <w:tr>
        <w:trPr>
          <w:trHeight w:val="195"/>
        </w:trPr>
        <w:tc>
          <w:tcPr>
            <w:tcW w:w="2600" w:type="dxa"/>
            <w:vAlign w:val="bottom"/>
          </w:tcPr>
          <w:p>
            <w:pPr>
              <w:spacing w:after="0"/>
              <w:rPr>
                <w:sz w:val="16"/>
                <w:szCs w:val="16"/>
                <w:color w:val="auto"/>
              </w:rPr>
            </w:pPr>
          </w:p>
        </w:tc>
        <w:tc>
          <w:tcPr>
            <w:tcW w:w="24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62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1360" w:type="dxa"/>
            <w:vAlign w:val="bottom"/>
          </w:tcPr>
          <w:p>
            <w:pPr>
              <w:jc w:val="right"/>
              <w:spacing w:after="0"/>
              <w:rPr>
                <w:sz w:val="20"/>
                <w:szCs w:val="20"/>
                <w:color w:val="auto"/>
              </w:rPr>
            </w:pPr>
            <w:r>
              <w:rPr>
                <w:rFonts w:ascii="Calibri" w:cs="Calibri" w:eastAsia="Calibri" w:hAnsi="Calibri"/>
                <w:sz w:val="16"/>
                <w:szCs w:val="16"/>
                <w:b w:val="1"/>
                <w:bCs w:val="1"/>
                <w:color w:val="auto"/>
              </w:rPr>
              <w:t>Weighted average</w:t>
            </w:r>
          </w:p>
        </w:tc>
        <w:tc>
          <w:tcPr>
            <w:tcW w:w="0" w:type="dxa"/>
            <w:vAlign w:val="bottom"/>
          </w:tcPr>
          <w:p>
            <w:pPr>
              <w:spacing w:after="0"/>
              <w:rPr>
                <w:sz w:val="1"/>
                <w:szCs w:val="1"/>
                <w:color w:val="auto"/>
              </w:rPr>
            </w:pPr>
          </w:p>
        </w:tc>
      </w:tr>
      <w:tr>
        <w:trPr>
          <w:trHeight w:val="193"/>
        </w:trPr>
        <w:tc>
          <w:tcPr>
            <w:tcW w:w="2600" w:type="dxa"/>
            <w:vAlign w:val="bottom"/>
          </w:tcPr>
          <w:p>
            <w:pPr>
              <w:spacing w:after="0"/>
              <w:rPr>
                <w:sz w:val="16"/>
                <w:szCs w:val="16"/>
                <w:color w:val="auto"/>
              </w:rPr>
            </w:pPr>
          </w:p>
        </w:tc>
        <w:tc>
          <w:tcPr>
            <w:tcW w:w="2440" w:type="dxa"/>
            <w:vAlign w:val="bottom"/>
          </w:tcPr>
          <w:p>
            <w:pPr>
              <w:jc w:val="right"/>
              <w:ind w:right="279"/>
              <w:spacing w:after="0" w:line="193" w:lineRule="exact"/>
              <w:rPr>
                <w:sz w:val="20"/>
                <w:szCs w:val="20"/>
                <w:color w:val="auto"/>
              </w:rPr>
            </w:pPr>
            <w:r>
              <w:rPr>
                <w:rFonts w:ascii="Calibri" w:cs="Calibri" w:eastAsia="Calibri" w:hAnsi="Calibri"/>
                <w:sz w:val="16"/>
                <w:szCs w:val="16"/>
                <w:b w:val="1"/>
                <w:bCs w:val="1"/>
                <w:color w:val="auto"/>
              </w:rPr>
              <w:t>Warrants</w:t>
            </w:r>
          </w:p>
        </w:tc>
        <w:tc>
          <w:tcPr>
            <w:tcW w:w="1140" w:type="dxa"/>
            <w:vAlign w:val="bottom"/>
          </w:tcPr>
          <w:p>
            <w:pPr>
              <w:jc w:val="right"/>
              <w:spacing w:after="0" w:line="193" w:lineRule="exact"/>
              <w:rPr>
                <w:sz w:val="20"/>
                <w:szCs w:val="20"/>
                <w:color w:val="auto"/>
              </w:rPr>
            </w:pPr>
            <w:r>
              <w:rPr>
                <w:rFonts w:ascii="Calibri" w:cs="Calibri" w:eastAsia="Calibri" w:hAnsi="Calibri"/>
                <w:sz w:val="16"/>
                <w:szCs w:val="16"/>
                <w:b w:val="1"/>
                <w:bCs w:val="1"/>
                <w:color w:val="auto"/>
              </w:rPr>
              <w:t>Warrants</w:t>
            </w:r>
          </w:p>
        </w:tc>
        <w:tc>
          <w:tcPr>
            <w:tcW w:w="1620" w:type="dxa"/>
            <w:vAlign w:val="bottom"/>
          </w:tcPr>
          <w:p>
            <w:pPr>
              <w:jc w:val="right"/>
              <w:ind w:right="139"/>
              <w:spacing w:after="0" w:line="193" w:lineRule="exact"/>
              <w:rPr>
                <w:sz w:val="20"/>
                <w:szCs w:val="20"/>
                <w:color w:val="auto"/>
              </w:rPr>
            </w:pPr>
            <w:r>
              <w:rPr>
                <w:rFonts w:ascii="Calibri" w:cs="Calibri" w:eastAsia="Calibri" w:hAnsi="Calibri"/>
                <w:sz w:val="16"/>
                <w:szCs w:val="16"/>
                <w:b w:val="1"/>
                <w:bCs w:val="1"/>
                <w:color w:val="auto"/>
                <w:w w:val="99"/>
              </w:rPr>
              <w:t>Weighted average of</w:t>
            </w:r>
          </w:p>
        </w:tc>
        <w:tc>
          <w:tcPr>
            <w:tcW w:w="1380" w:type="dxa"/>
            <w:vAlign w:val="bottom"/>
          </w:tcPr>
          <w:p>
            <w:pPr>
              <w:jc w:val="right"/>
              <w:ind w:right="79"/>
              <w:spacing w:after="0" w:line="193" w:lineRule="exact"/>
              <w:rPr>
                <w:sz w:val="20"/>
                <w:szCs w:val="20"/>
                <w:color w:val="auto"/>
              </w:rPr>
            </w:pPr>
            <w:r>
              <w:rPr>
                <w:rFonts w:ascii="Calibri" w:cs="Calibri" w:eastAsia="Calibri" w:hAnsi="Calibri"/>
                <w:sz w:val="16"/>
                <w:szCs w:val="16"/>
                <w:b w:val="1"/>
                <w:bCs w:val="1"/>
                <w:color w:val="auto"/>
              </w:rPr>
              <w:t>Estmated grant</w:t>
            </w:r>
          </w:p>
        </w:tc>
        <w:tc>
          <w:tcPr>
            <w:tcW w:w="1360" w:type="dxa"/>
            <w:vAlign w:val="bottom"/>
          </w:tcPr>
          <w:p>
            <w:pPr>
              <w:jc w:val="right"/>
              <w:spacing w:after="0" w:line="193" w:lineRule="exact"/>
              <w:rPr>
                <w:sz w:val="20"/>
                <w:szCs w:val="20"/>
                <w:color w:val="auto"/>
              </w:rPr>
            </w:pPr>
            <w:r>
              <w:rPr>
                <w:rFonts w:ascii="Calibri" w:cs="Calibri" w:eastAsia="Calibri" w:hAnsi="Calibri"/>
                <w:sz w:val="16"/>
                <w:szCs w:val="16"/>
                <w:b w:val="1"/>
                <w:bCs w:val="1"/>
                <w:color w:val="auto"/>
              </w:rPr>
              <w:t>remaining</w:t>
            </w:r>
          </w:p>
        </w:tc>
        <w:tc>
          <w:tcPr>
            <w:tcW w:w="0" w:type="dxa"/>
            <w:vAlign w:val="bottom"/>
          </w:tcPr>
          <w:p>
            <w:pPr>
              <w:spacing w:after="0"/>
              <w:rPr>
                <w:sz w:val="1"/>
                <w:szCs w:val="1"/>
                <w:color w:val="auto"/>
              </w:rPr>
            </w:pPr>
          </w:p>
        </w:tc>
      </w:tr>
      <w:tr>
        <w:trPr>
          <w:trHeight w:val="193"/>
        </w:trPr>
        <w:tc>
          <w:tcPr>
            <w:tcW w:w="2600" w:type="dxa"/>
            <w:vAlign w:val="bottom"/>
            <w:vMerge w:val="restart"/>
          </w:tcPr>
          <w:p>
            <w:pPr>
              <w:ind w:left="60"/>
              <w:spacing w:after="0"/>
              <w:rPr>
                <w:sz w:val="20"/>
                <w:szCs w:val="20"/>
                <w:color w:val="auto"/>
              </w:rPr>
            </w:pPr>
            <w:r>
              <w:rPr>
                <w:rFonts w:ascii="Calibri" w:cs="Calibri" w:eastAsia="Calibri" w:hAnsi="Calibri"/>
                <w:sz w:val="16"/>
                <w:szCs w:val="16"/>
                <w:b w:val="1"/>
                <w:bCs w:val="1"/>
                <w:color w:val="auto"/>
              </w:rPr>
              <w:t>Date of Expiry</w:t>
            </w:r>
          </w:p>
        </w:tc>
        <w:tc>
          <w:tcPr>
            <w:tcW w:w="2440" w:type="dxa"/>
            <w:vAlign w:val="bottom"/>
          </w:tcPr>
          <w:p>
            <w:pPr>
              <w:jc w:val="right"/>
              <w:ind w:right="279"/>
              <w:spacing w:after="0" w:line="193" w:lineRule="exact"/>
              <w:rPr>
                <w:sz w:val="20"/>
                <w:szCs w:val="20"/>
                <w:color w:val="auto"/>
              </w:rPr>
            </w:pPr>
            <w:r>
              <w:rPr>
                <w:rFonts w:ascii="Calibri" w:cs="Calibri" w:eastAsia="Calibri" w:hAnsi="Calibri"/>
                <w:sz w:val="16"/>
                <w:szCs w:val="16"/>
                <w:b w:val="1"/>
                <w:bCs w:val="1"/>
                <w:color w:val="auto"/>
              </w:rPr>
              <w:t>outstanding</w:t>
            </w:r>
          </w:p>
        </w:tc>
        <w:tc>
          <w:tcPr>
            <w:tcW w:w="1140" w:type="dxa"/>
            <w:vAlign w:val="bottom"/>
          </w:tcPr>
          <w:p>
            <w:pPr>
              <w:jc w:val="right"/>
              <w:spacing w:after="0" w:line="193" w:lineRule="exact"/>
              <w:rPr>
                <w:sz w:val="20"/>
                <w:szCs w:val="20"/>
                <w:color w:val="auto"/>
              </w:rPr>
            </w:pPr>
            <w:r>
              <w:rPr>
                <w:rFonts w:ascii="Calibri" w:cs="Calibri" w:eastAsia="Calibri" w:hAnsi="Calibri"/>
                <w:sz w:val="16"/>
                <w:szCs w:val="16"/>
                <w:b w:val="1"/>
                <w:bCs w:val="1"/>
                <w:color w:val="auto"/>
              </w:rPr>
              <w:t>exercisable</w:t>
            </w:r>
          </w:p>
        </w:tc>
        <w:tc>
          <w:tcPr>
            <w:tcW w:w="1620" w:type="dxa"/>
            <w:vAlign w:val="bottom"/>
          </w:tcPr>
          <w:p>
            <w:pPr>
              <w:jc w:val="right"/>
              <w:ind w:right="139"/>
              <w:spacing w:after="0" w:line="193" w:lineRule="exact"/>
              <w:rPr>
                <w:sz w:val="20"/>
                <w:szCs w:val="20"/>
                <w:color w:val="auto"/>
              </w:rPr>
            </w:pPr>
            <w:r>
              <w:rPr>
                <w:rFonts w:ascii="Calibri" w:cs="Calibri" w:eastAsia="Calibri" w:hAnsi="Calibri"/>
                <w:sz w:val="16"/>
                <w:szCs w:val="16"/>
                <w:b w:val="1"/>
                <w:bCs w:val="1"/>
                <w:color w:val="auto"/>
              </w:rPr>
              <w:t>exercisable price</w:t>
            </w:r>
          </w:p>
        </w:tc>
        <w:tc>
          <w:tcPr>
            <w:tcW w:w="1380" w:type="dxa"/>
            <w:vAlign w:val="bottom"/>
          </w:tcPr>
          <w:p>
            <w:pPr>
              <w:jc w:val="right"/>
              <w:ind w:right="79"/>
              <w:spacing w:after="0" w:line="193" w:lineRule="exact"/>
              <w:rPr>
                <w:sz w:val="20"/>
                <w:szCs w:val="20"/>
                <w:color w:val="auto"/>
              </w:rPr>
            </w:pPr>
            <w:r>
              <w:rPr>
                <w:rFonts w:ascii="Calibri" w:cs="Calibri" w:eastAsia="Calibri" w:hAnsi="Calibri"/>
                <w:sz w:val="16"/>
                <w:szCs w:val="16"/>
                <w:b w:val="1"/>
                <w:bCs w:val="1"/>
                <w:color w:val="auto"/>
              </w:rPr>
              <w:t>date fair value</w:t>
            </w:r>
          </w:p>
        </w:tc>
        <w:tc>
          <w:tcPr>
            <w:tcW w:w="1360" w:type="dxa"/>
            <w:vAlign w:val="bottom"/>
          </w:tcPr>
          <w:p>
            <w:pPr>
              <w:jc w:val="right"/>
              <w:spacing w:after="0" w:line="193" w:lineRule="exact"/>
              <w:rPr>
                <w:sz w:val="20"/>
                <w:szCs w:val="20"/>
                <w:color w:val="auto"/>
              </w:rPr>
            </w:pPr>
            <w:r>
              <w:rPr>
                <w:rFonts w:ascii="Calibri" w:cs="Calibri" w:eastAsia="Calibri" w:hAnsi="Calibri"/>
                <w:sz w:val="16"/>
                <w:szCs w:val="16"/>
                <w:b w:val="1"/>
                <w:bCs w:val="1"/>
                <w:color w:val="auto"/>
              </w:rPr>
              <w:t>contractual life</w:t>
            </w:r>
          </w:p>
        </w:tc>
        <w:tc>
          <w:tcPr>
            <w:tcW w:w="0" w:type="dxa"/>
            <w:vAlign w:val="bottom"/>
          </w:tcPr>
          <w:p>
            <w:pPr>
              <w:spacing w:after="0"/>
              <w:rPr>
                <w:sz w:val="1"/>
                <w:szCs w:val="1"/>
                <w:color w:val="auto"/>
              </w:rPr>
            </w:pPr>
          </w:p>
        </w:tc>
      </w:tr>
      <w:tr>
        <w:trPr>
          <w:trHeight w:val="60"/>
        </w:trPr>
        <w:tc>
          <w:tcPr>
            <w:tcW w:w="2600" w:type="dxa"/>
            <w:vAlign w:val="bottom"/>
            <w:vMerge w:val="continue"/>
          </w:tcPr>
          <w:p>
            <w:pPr>
              <w:spacing w:after="0"/>
              <w:rPr>
                <w:sz w:val="5"/>
                <w:szCs w:val="5"/>
                <w:color w:val="auto"/>
              </w:rPr>
            </w:pPr>
          </w:p>
        </w:tc>
        <w:tc>
          <w:tcPr>
            <w:tcW w:w="24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1620" w:type="dxa"/>
            <w:vAlign w:val="bottom"/>
          </w:tcPr>
          <w:p>
            <w:pPr>
              <w:spacing w:after="0"/>
              <w:rPr>
                <w:sz w:val="5"/>
                <w:szCs w:val="5"/>
                <w:color w:val="auto"/>
              </w:rPr>
            </w:pPr>
          </w:p>
        </w:tc>
        <w:tc>
          <w:tcPr>
            <w:tcW w:w="1380" w:type="dxa"/>
            <w:vAlign w:val="bottom"/>
          </w:tcPr>
          <w:p>
            <w:pPr>
              <w:spacing w:after="0"/>
              <w:rPr>
                <w:sz w:val="5"/>
                <w:szCs w:val="5"/>
                <w:color w:val="auto"/>
              </w:rPr>
            </w:pPr>
          </w:p>
        </w:tc>
        <w:tc>
          <w:tcPr>
            <w:tcW w:w="13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54"/>
        </w:trPr>
        <w:tc>
          <w:tcPr>
            <w:tcW w:w="2600" w:type="dxa"/>
            <w:vAlign w:val="bottom"/>
          </w:tcPr>
          <w:p>
            <w:pPr>
              <w:spacing w:after="0"/>
              <w:rPr>
                <w:sz w:val="22"/>
                <w:szCs w:val="22"/>
                <w:color w:val="auto"/>
              </w:rPr>
            </w:pPr>
          </w:p>
        </w:tc>
        <w:tc>
          <w:tcPr>
            <w:tcW w:w="244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1620" w:type="dxa"/>
            <w:vAlign w:val="bottom"/>
          </w:tcPr>
          <w:p>
            <w:pPr>
              <w:jc w:val="right"/>
              <w:ind w:right="139"/>
              <w:spacing w:after="0"/>
              <w:rPr>
                <w:sz w:val="20"/>
                <w:szCs w:val="20"/>
                <w:color w:val="auto"/>
              </w:rPr>
            </w:pPr>
            <w:r>
              <w:rPr>
                <w:rFonts w:ascii="Calibri" w:cs="Calibri" w:eastAsia="Calibri" w:hAnsi="Calibri"/>
                <w:sz w:val="16"/>
                <w:szCs w:val="16"/>
                <w:b w:val="1"/>
                <w:bCs w:val="1"/>
                <w:color w:val="auto"/>
              </w:rPr>
              <w:t>$</w:t>
            </w:r>
          </w:p>
        </w:tc>
        <w:tc>
          <w:tcPr>
            <w:tcW w:w="1380" w:type="dxa"/>
            <w:vAlign w:val="bottom"/>
          </w:tcPr>
          <w:p>
            <w:pPr>
              <w:jc w:val="right"/>
              <w:ind w:right="79"/>
              <w:spacing w:after="0"/>
              <w:rPr>
                <w:sz w:val="20"/>
                <w:szCs w:val="20"/>
                <w:color w:val="auto"/>
              </w:rPr>
            </w:pPr>
            <w:r>
              <w:rPr>
                <w:rFonts w:ascii="Calibri" w:cs="Calibri" w:eastAsia="Calibri" w:hAnsi="Calibri"/>
                <w:sz w:val="16"/>
                <w:szCs w:val="16"/>
                <w:b w:val="1"/>
                <w:bCs w:val="1"/>
                <w:color w:val="auto"/>
              </w:rPr>
              <w:t>$000’s</w:t>
            </w:r>
          </w:p>
        </w:tc>
        <w:tc>
          <w:tcPr>
            <w:tcW w:w="1360" w:type="dxa"/>
            <w:vAlign w:val="bottom"/>
          </w:tcPr>
          <w:p>
            <w:pPr>
              <w:jc w:val="right"/>
              <w:spacing w:after="0"/>
              <w:rPr>
                <w:sz w:val="20"/>
                <w:szCs w:val="20"/>
                <w:color w:val="auto"/>
              </w:rPr>
            </w:pPr>
            <w:r>
              <w:rPr>
                <w:rFonts w:ascii="Calibri" w:cs="Calibri" w:eastAsia="Calibri" w:hAnsi="Calibri"/>
                <w:sz w:val="16"/>
                <w:szCs w:val="16"/>
                <w:b w:val="1"/>
                <w:bCs w:val="1"/>
                <w:color w:val="auto"/>
              </w:rPr>
              <w:t>Years</w:t>
            </w:r>
          </w:p>
        </w:tc>
        <w:tc>
          <w:tcPr>
            <w:tcW w:w="0" w:type="dxa"/>
            <w:vAlign w:val="bottom"/>
          </w:tcPr>
          <w:p>
            <w:pPr>
              <w:spacing w:after="0"/>
              <w:rPr>
                <w:sz w:val="1"/>
                <w:szCs w:val="1"/>
                <w:color w:val="auto"/>
              </w:rPr>
            </w:pPr>
          </w:p>
        </w:tc>
      </w:tr>
      <w:tr>
        <w:trPr>
          <w:trHeight w:val="81"/>
        </w:trPr>
        <w:tc>
          <w:tcPr>
            <w:tcW w:w="2600" w:type="dxa"/>
            <w:vAlign w:val="bottom"/>
            <w:tcBorders>
              <w:bottom w:val="single" w:sz="8" w:color="auto"/>
            </w:tcBorders>
          </w:tcPr>
          <w:p>
            <w:pPr>
              <w:spacing w:after="0"/>
              <w:rPr>
                <w:sz w:val="7"/>
                <w:szCs w:val="7"/>
                <w:color w:val="auto"/>
              </w:rPr>
            </w:pPr>
          </w:p>
        </w:tc>
        <w:tc>
          <w:tcPr>
            <w:tcW w:w="2440" w:type="dxa"/>
            <w:vAlign w:val="bottom"/>
            <w:tcBorders>
              <w:bottom w:val="single" w:sz="8" w:color="auto"/>
            </w:tcBorders>
          </w:tcPr>
          <w:p>
            <w:pPr>
              <w:spacing w:after="0"/>
              <w:rPr>
                <w:sz w:val="7"/>
                <w:szCs w:val="7"/>
                <w:color w:val="auto"/>
              </w:rPr>
            </w:pPr>
          </w:p>
        </w:tc>
        <w:tc>
          <w:tcPr>
            <w:tcW w:w="1140" w:type="dxa"/>
            <w:vAlign w:val="bottom"/>
            <w:tcBorders>
              <w:bottom w:val="single" w:sz="8" w:color="auto"/>
            </w:tcBorders>
          </w:tcPr>
          <w:p>
            <w:pPr>
              <w:spacing w:after="0"/>
              <w:rPr>
                <w:sz w:val="7"/>
                <w:szCs w:val="7"/>
                <w:color w:val="auto"/>
              </w:rPr>
            </w:pPr>
          </w:p>
        </w:tc>
        <w:tc>
          <w:tcPr>
            <w:tcW w:w="1620" w:type="dxa"/>
            <w:vAlign w:val="bottom"/>
            <w:tcBorders>
              <w:bottom w:val="single" w:sz="8" w:color="auto"/>
            </w:tcBorders>
          </w:tcPr>
          <w:p>
            <w:pPr>
              <w:spacing w:after="0"/>
              <w:rPr>
                <w:sz w:val="7"/>
                <w:szCs w:val="7"/>
                <w:color w:val="auto"/>
              </w:rPr>
            </w:pPr>
          </w:p>
        </w:tc>
        <w:tc>
          <w:tcPr>
            <w:tcW w:w="1380" w:type="dxa"/>
            <w:vAlign w:val="bottom"/>
            <w:tcBorders>
              <w:bottom w:val="single" w:sz="8" w:color="auto"/>
            </w:tcBorders>
          </w:tcPr>
          <w:p>
            <w:pPr>
              <w:spacing w:after="0"/>
              <w:rPr>
                <w:sz w:val="7"/>
                <w:szCs w:val="7"/>
                <w:color w:val="auto"/>
              </w:rPr>
            </w:pPr>
          </w:p>
        </w:tc>
        <w:tc>
          <w:tcPr>
            <w:tcW w:w="1360" w:type="dxa"/>
            <w:vAlign w:val="bottom"/>
            <w:tcBorders>
              <w:bottom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185"/>
        </w:trPr>
        <w:tc>
          <w:tcPr>
            <w:tcW w:w="2600" w:type="dxa"/>
            <w:vAlign w:val="bottom"/>
          </w:tcPr>
          <w:p>
            <w:pPr>
              <w:ind w:left="20"/>
              <w:spacing w:after="0" w:line="185" w:lineRule="exact"/>
              <w:rPr>
                <w:sz w:val="20"/>
                <w:szCs w:val="20"/>
                <w:color w:val="auto"/>
              </w:rPr>
            </w:pPr>
            <w:r>
              <w:rPr>
                <w:rFonts w:ascii="Calibri" w:cs="Calibri" w:eastAsia="Calibri" w:hAnsi="Calibri"/>
                <w:sz w:val="16"/>
                <w:szCs w:val="16"/>
                <w:color w:val="auto"/>
              </w:rPr>
              <w:t>August 4, 2028</w:t>
            </w:r>
          </w:p>
        </w:tc>
        <w:tc>
          <w:tcPr>
            <w:tcW w:w="2440" w:type="dxa"/>
            <w:vAlign w:val="bottom"/>
          </w:tcPr>
          <w:p>
            <w:pPr>
              <w:jc w:val="right"/>
              <w:ind w:right="279"/>
              <w:spacing w:after="0" w:line="185" w:lineRule="exact"/>
              <w:rPr>
                <w:sz w:val="20"/>
                <w:szCs w:val="20"/>
                <w:color w:val="auto"/>
              </w:rPr>
            </w:pPr>
            <w:r>
              <w:rPr>
                <w:rFonts w:ascii="Calibri" w:cs="Calibri" w:eastAsia="Calibri" w:hAnsi="Calibri"/>
                <w:sz w:val="16"/>
                <w:szCs w:val="16"/>
                <w:color w:val="auto"/>
              </w:rPr>
              <w:t>635,887</w:t>
            </w:r>
          </w:p>
        </w:tc>
        <w:tc>
          <w:tcPr>
            <w:tcW w:w="1140" w:type="dxa"/>
            <w:vAlign w:val="bottom"/>
          </w:tcPr>
          <w:p>
            <w:pPr>
              <w:jc w:val="right"/>
              <w:spacing w:after="0" w:line="185" w:lineRule="exact"/>
              <w:rPr>
                <w:sz w:val="20"/>
                <w:szCs w:val="20"/>
                <w:color w:val="auto"/>
              </w:rPr>
            </w:pPr>
            <w:r>
              <w:rPr>
                <w:rFonts w:ascii="Calibri" w:cs="Calibri" w:eastAsia="Calibri" w:hAnsi="Calibri"/>
                <w:sz w:val="16"/>
                <w:szCs w:val="16"/>
                <w:color w:val="auto"/>
              </w:rPr>
              <w:t>635,887</w:t>
            </w:r>
          </w:p>
        </w:tc>
        <w:tc>
          <w:tcPr>
            <w:tcW w:w="1620" w:type="dxa"/>
            <w:vAlign w:val="bottom"/>
          </w:tcPr>
          <w:p>
            <w:pPr>
              <w:jc w:val="right"/>
              <w:ind w:right="79"/>
              <w:spacing w:after="0" w:line="185" w:lineRule="exact"/>
              <w:rPr>
                <w:sz w:val="20"/>
                <w:szCs w:val="20"/>
                <w:color w:val="auto"/>
              </w:rPr>
            </w:pPr>
            <w:r>
              <w:rPr>
                <w:rFonts w:ascii="Calibri" w:cs="Calibri" w:eastAsia="Calibri" w:hAnsi="Calibri"/>
                <w:sz w:val="16"/>
                <w:szCs w:val="16"/>
                <w:color w:val="auto"/>
              </w:rPr>
              <w:t>US$15.20</w:t>
            </w:r>
          </w:p>
        </w:tc>
        <w:tc>
          <w:tcPr>
            <w:tcW w:w="1380" w:type="dxa"/>
            <w:vAlign w:val="bottom"/>
          </w:tcPr>
          <w:p>
            <w:pPr>
              <w:jc w:val="right"/>
              <w:ind w:right="39"/>
              <w:spacing w:after="0" w:line="185" w:lineRule="exact"/>
              <w:rPr>
                <w:sz w:val="20"/>
                <w:szCs w:val="20"/>
                <w:color w:val="auto"/>
              </w:rPr>
            </w:pPr>
            <w:r>
              <w:rPr>
                <w:rFonts w:ascii="Calibri" w:cs="Calibri" w:eastAsia="Calibri" w:hAnsi="Calibri"/>
                <w:sz w:val="16"/>
                <w:szCs w:val="16"/>
                <w:color w:val="auto"/>
              </w:rPr>
              <w:t>4,578</w:t>
            </w:r>
          </w:p>
        </w:tc>
        <w:tc>
          <w:tcPr>
            <w:tcW w:w="1360" w:type="dxa"/>
            <w:vAlign w:val="bottom"/>
          </w:tcPr>
          <w:p>
            <w:pPr>
              <w:jc w:val="right"/>
              <w:spacing w:after="0" w:line="185" w:lineRule="exact"/>
              <w:rPr>
                <w:sz w:val="20"/>
                <w:szCs w:val="20"/>
                <w:color w:val="auto"/>
              </w:rPr>
            </w:pPr>
            <w:r>
              <w:rPr>
                <w:rFonts w:ascii="Calibri" w:cs="Calibri" w:eastAsia="Calibri" w:hAnsi="Calibri"/>
                <w:sz w:val="16"/>
                <w:szCs w:val="16"/>
                <w:color w:val="auto"/>
              </w:rPr>
              <w:t>3.84</w:t>
            </w:r>
          </w:p>
        </w:tc>
        <w:tc>
          <w:tcPr>
            <w:tcW w:w="0" w:type="dxa"/>
            <w:vAlign w:val="bottom"/>
          </w:tcPr>
          <w:p>
            <w:pPr>
              <w:spacing w:after="0"/>
              <w:rPr>
                <w:sz w:val="1"/>
                <w:szCs w:val="1"/>
                <w:color w:val="auto"/>
              </w:rPr>
            </w:pPr>
          </w:p>
        </w:tc>
      </w:tr>
      <w:tr>
        <w:trPr>
          <w:trHeight w:val="198"/>
        </w:trPr>
        <w:tc>
          <w:tcPr>
            <w:tcW w:w="2600" w:type="dxa"/>
            <w:vAlign w:val="bottom"/>
          </w:tcPr>
          <w:p>
            <w:pPr>
              <w:ind w:left="20"/>
              <w:spacing w:after="0"/>
              <w:rPr>
                <w:sz w:val="20"/>
                <w:szCs w:val="20"/>
                <w:color w:val="auto"/>
              </w:rPr>
            </w:pPr>
            <w:r>
              <w:rPr>
                <w:rFonts w:ascii="Calibri" w:cs="Calibri" w:eastAsia="Calibri" w:hAnsi="Calibri"/>
                <w:sz w:val="16"/>
                <w:szCs w:val="16"/>
                <w:color w:val="auto"/>
              </w:rPr>
              <w:t>May 14, 2029</w:t>
            </w:r>
          </w:p>
        </w:tc>
        <w:tc>
          <w:tcPr>
            <w:tcW w:w="2440" w:type="dxa"/>
            <w:vAlign w:val="bottom"/>
          </w:tcPr>
          <w:p>
            <w:pPr>
              <w:jc w:val="right"/>
              <w:ind w:right="279"/>
              <w:spacing w:after="0"/>
              <w:rPr>
                <w:sz w:val="20"/>
                <w:szCs w:val="20"/>
                <w:color w:val="auto"/>
              </w:rPr>
            </w:pPr>
            <w:r>
              <w:rPr>
                <w:rFonts w:ascii="Calibri" w:cs="Calibri" w:eastAsia="Calibri" w:hAnsi="Calibri"/>
                <w:sz w:val="16"/>
                <w:szCs w:val="16"/>
                <w:color w:val="auto"/>
              </w:rPr>
              <w:t>1,754,386</w:t>
            </w:r>
          </w:p>
        </w:tc>
        <w:tc>
          <w:tcPr>
            <w:tcW w:w="1140" w:type="dxa"/>
            <w:vAlign w:val="bottom"/>
          </w:tcPr>
          <w:p>
            <w:pPr>
              <w:jc w:val="right"/>
              <w:spacing w:after="0"/>
              <w:rPr>
                <w:sz w:val="20"/>
                <w:szCs w:val="20"/>
                <w:color w:val="auto"/>
              </w:rPr>
            </w:pPr>
            <w:r>
              <w:rPr>
                <w:rFonts w:ascii="Calibri" w:cs="Calibri" w:eastAsia="Calibri" w:hAnsi="Calibri"/>
                <w:sz w:val="16"/>
                <w:szCs w:val="16"/>
                <w:color w:val="auto"/>
              </w:rPr>
              <w:t>1,754,386</w:t>
            </w:r>
          </w:p>
        </w:tc>
        <w:tc>
          <w:tcPr>
            <w:tcW w:w="1620" w:type="dxa"/>
            <w:vAlign w:val="bottom"/>
          </w:tcPr>
          <w:p>
            <w:pPr>
              <w:jc w:val="right"/>
              <w:ind w:right="79"/>
              <w:spacing w:after="0"/>
              <w:rPr>
                <w:sz w:val="20"/>
                <w:szCs w:val="20"/>
                <w:color w:val="auto"/>
              </w:rPr>
            </w:pPr>
            <w:r>
              <w:rPr>
                <w:rFonts w:ascii="Calibri" w:cs="Calibri" w:eastAsia="Calibri" w:hAnsi="Calibri"/>
                <w:sz w:val="16"/>
                <w:szCs w:val="16"/>
                <w:color w:val="auto"/>
              </w:rPr>
              <w:t>US$19.38</w:t>
            </w:r>
          </w:p>
        </w:tc>
        <w:tc>
          <w:tcPr>
            <w:tcW w:w="1380" w:type="dxa"/>
            <w:vAlign w:val="bottom"/>
          </w:tcPr>
          <w:p>
            <w:pPr>
              <w:jc w:val="right"/>
              <w:ind w:right="39"/>
              <w:spacing w:after="0"/>
              <w:rPr>
                <w:sz w:val="20"/>
                <w:szCs w:val="20"/>
                <w:color w:val="auto"/>
              </w:rPr>
            </w:pPr>
            <w:r>
              <w:rPr>
                <w:rFonts w:ascii="Calibri" w:cs="Calibri" w:eastAsia="Calibri" w:hAnsi="Calibri"/>
                <w:sz w:val="16"/>
                <w:szCs w:val="16"/>
                <w:color w:val="auto"/>
              </w:rPr>
              <w:t>17,842</w:t>
            </w:r>
          </w:p>
        </w:tc>
        <w:tc>
          <w:tcPr>
            <w:tcW w:w="1360" w:type="dxa"/>
            <w:vAlign w:val="bottom"/>
          </w:tcPr>
          <w:p>
            <w:pPr>
              <w:jc w:val="right"/>
              <w:spacing w:after="0"/>
              <w:rPr>
                <w:sz w:val="20"/>
                <w:szCs w:val="20"/>
                <w:color w:val="auto"/>
              </w:rPr>
            </w:pPr>
            <w:r>
              <w:rPr>
                <w:rFonts w:ascii="Calibri" w:cs="Calibri" w:eastAsia="Calibri" w:hAnsi="Calibri"/>
                <w:sz w:val="16"/>
                <w:szCs w:val="16"/>
                <w:color w:val="auto"/>
              </w:rPr>
              <w:t>4.62</w:t>
            </w:r>
          </w:p>
        </w:tc>
        <w:tc>
          <w:tcPr>
            <w:tcW w:w="0" w:type="dxa"/>
            <w:vAlign w:val="bottom"/>
          </w:tcPr>
          <w:p>
            <w:pPr>
              <w:spacing w:after="0"/>
              <w:rPr>
                <w:sz w:val="1"/>
                <w:szCs w:val="1"/>
                <w:color w:val="auto"/>
              </w:rPr>
            </w:pPr>
          </w:p>
        </w:tc>
      </w:tr>
      <w:tr>
        <w:trPr>
          <w:trHeight w:val="206"/>
        </w:trPr>
        <w:tc>
          <w:tcPr>
            <w:tcW w:w="2600" w:type="dxa"/>
            <w:vAlign w:val="bottom"/>
          </w:tcPr>
          <w:p>
            <w:pPr>
              <w:ind w:left="20"/>
              <w:spacing w:after="0"/>
              <w:rPr>
                <w:sz w:val="20"/>
                <w:szCs w:val="20"/>
                <w:color w:val="auto"/>
              </w:rPr>
            </w:pPr>
            <w:r>
              <w:rPr>
                <w:rFonts w:ascii="Calibri" w:cs="Calibri" w:eastAsia="Calibri" w:hAnsi="Calibri"/>
                <w:sz w:val="16"/>
                <w:szCs w:val="16"/>
                <w:color w:val="auto"/>
              </w:rPr>
              <w:t>June 15, 2030</w:t>
            </w:r>
          </w:p>
        </w:tc>
        <w:tc>
          <w:tcPr>
            <w:tcW w:w="2440" w:type="dxa"/>
            <w:vAlign w:val="bottom"/>
          </w:tcPr>
          <w:p>
            <w:pPr>
              <w:jc w:val="right"/>
              <w:ind w:right="279"/>
              <w:spacing w:after="0"/>
              <w:rPr>
                <w:sz w:val="20"/>
                <w:szCs w:val="20"/>
                <w:color w:val="auto"/>
              </w:rPr>
            </w:pPr>
            <w:r>
              <w:rPr>
                <w:rFonts w:ascii="Calibri" w:cs="Calibri" w:eastAsia="Calibri" w:hAnsi="Calibri"/>
                <w:sz w:val="16"/>
                <w:szCs w:val="16"/>
                <w:color w:val="auto"/>
              </w:rPr>
              <w:t>336,843</w:t>
            </w:r>
          </w:p>
        </w:tc>
        <w:tc>
          <w:tcPr>
            <w:tcW w:w="1140" w:type="dxa"/>
            <w:vAlign w:val="bottom"/>
          </w:tcPr>
          <w:p>
            <w:pPr>
              <w:jc w:val="right"/>
              <w:spacing w:after="0"/>
              <w:rPr>
                <w:sz w:val="20"/>
                <w:szCs w:val="20"/>
                <w:color w:val="auto"/>
              </w:rPr>
            </w:pPr>
            <w:r>
              <w:rPr>
                <w:rFonts w:ascii="Calibri" w:cs="Calibri" w:eastAsia="Calibri" w:hAnsi="Calibri"/>
                <w:sz w:val="16"/>
                <w:szCs w:val="16"/>
                <w:color w:val="auto"/>
              </w:rPr>
              <w:t>336,843</w:t>
            </w:r>
          </w:p>
        </w:tc>
        <w:tc>
          <w:tcPr>
            <w:tcW w:w="1620" w:type="dxa"/>
            <w:vAlign w:val="bottom"/>
          </w:tcPr>
          <w:p>
            <w:pPr>
              <w:jc w:val="right"/>
              <w:ind w:right="79"/>
              <w:spacing w:after="0"/>
              <w:rPr>
                <w:sz w:val="20"/>
                <w:szCs w:val="20"/>
                <w:color w:val="auto"/>
              </w:rPr>
            </w:pPr>
            <w:r>
              <w:rPr>
                <w:rFonts w:ascii="Calibri" w:cs="Calibri" w:eastAsia="Calibri" w:hAnsi="Calibri"/>
                <w:sz w:val="16"/>
                <w:szCs w:val="16"/>
                <w:color w:val="auto"/>
              </w:rPr>
              <w:t>9.50</w:t>
            </w:r>
          </w:p>
        </w:tc>
        <w:tc>
          <w:tcPr>
            <w:tcW w:w="1380" w:type="dxa"/>
            <w:vAlign w:val="bottom"/>
          </w:tcPr>
          <w:p>
            <w:pPr>
              <w:jc w:val="right"/>
              <w:ind w:right="39"/>
              <w:spacing w:after="0"/>
              <w:rPr>
                <w:sz w:val="20"/>
                <w:szCs w:val="20"/>
                <w:color w:val="auto"/>
              </w:rPr>
            </w:pPr>
            <w:r>
              <w:rPr>
                <w:rFonts w:ascii="Calibri" w:cs="Calibri" w:eastAsia="Calibri" w:hAnsi="Calibri"/>
                <w:sz w:val="16"/>
                <w:szCs w:val="16"/>
                <w:color w:val="auto"/>
              </w:rPr>
              <w:t>3,891</w:t>
            </w:r>
          </w:p>
        </w:tc>
        <w:tc>
          <w:tcPr>
            <w:tcW w:w="1360" w:type="dxa"/>
            <w:vAlign w:val="bottom"/>
          </w:tcPr>
          <w:p>
            <w:pPr>
              <w:jc w:val="right"/>
              <w:spacing w:after="0"/>
              <w:rPr>
                <w:sz w:val="20"/>
                <w:szCs w:val="20"/>
                <w:color w:val="auto"/>
              </w:rPr>
            </w:pPr>
            <w:r>
              <w:rPr>
                <w:rFonts w:ascii="Calibri" w:cs="Calibri" w:eastAsia="Calibri" w:hAnsi="Calibri"/>
                <w:sz w:val="16"/>
                <w:szCs w:val="16"/>
                <w:color w:val="auto"/>
              </w:rPr>
              <w:t>5.71</w:t>
            </w:r>
          </w:p>
        </w:tc>
        <w:tc>
          <w:tcPr>
            <w:tcW w:w="0" w:type="dxa"/>
            <w:vAlign w:val="bottom"/>
          </w:tcPr>
          <w:p>
            <w:pPr>
              <w:spacing w:after="0"/>
              <w:rPr>
                <w:sz w:val="1"/>
                <w:szCs w:val="1"/>
                <w:color w:val="auto"/>
              </w:rPr>
            </w:pPr>
          </w:p>
        </w:tc>
      </w:tr>
      <w:tr>
        <w:trPr>
          <w:trHeight w:val="206"/>
        </w:trPr>
        <w:tc>
          <w:tcPr>
            <w:tcW w:w="2600" w:type="dxa"/>
            <w:vAlign w:val="bottom"/>
          </w:tcPr>
          <w:p>
            <w:pPr>
              <w:ind w:left="20"/>
              <w:spacing w:after="0"/>
              <w:rPr>
                <w:sz w:val="20"/>
                <w:szCs w:val="20"/>
                <w:color w:val="auto"/>
              </w:rPr>
            </w:pPr>
            <w:r>
              <w:rPr>
                <w:rFonts w:ascii="Calibri" w:cs="Calibri" w:eastAsia="Calibri" w:hAnsi="Calibri"/>
                <w:sz w:val="16"/>
                <w:szCs w:val="16"/>
                <w:color w:val="auto"/>
              </w:rPr>
              <w:t>August 20, 2030</w:t>
            </w:r>
          </w:p>
        </w:tc>
        <w:tc>
          <w:tcPr>
            <w:tcW w:w="2440" w:type="dxa"/>
            <w:vAlign w:val="bottom"/>
          </w:tcPr>
          <w:p>
            <w:pPr>
              <w:jc w:val="right"/>
              <w:ind w:right="279"/>
              <w:spacing w:after="0"/>
              <w:rPr>
                <w:sz w:val="20"/>
                <w:szCs w:val="20"/>
                <w:color w:val="auto"/>
              </w:rPr>
            </w:pPr>
            <w:r>
              <w:rPr>
                <w:rFonts w:ascii="Calibri" w:cs="Calibri" w:eastAsia="Calibri" w:hAnsi="Calibri"/>
                <w:sz w:val="16"/>
                <w:szCs w:val="16"/>
                <w:color w:val="auto"/>
              </w:rPr>
              <w:t>38,818</w:t>
            </w:r>
          </w:p>
        </w:tc>
        <w:tc>
          <w:tcPr>
            <w:tcW w:w="1140" w:type="dxa"/>
            <w:vAlign w:val="bottom"/>
          </w:tcPr>
          <w:p>
            <w:pPr>
              <w:jc w:val="right"/>
              <w:spacing w:after="0"/>
              <w:rPr>
                <w:sz w:val="20"/>
                <w:szCs w:val="20"/>
                <w:color w:val="auto"/>
              </w:rPr>
            </w:pPr>
            <w:r>
              <w:rPr>
                <w:rFonts w:ascii="Calibri" w:cs="Calibri" w:eastAsia="Calibri" w:hAnsi="Calibri"/>
                <w:sz w:val="16"/>
                <w:szCs w:val="16"/>
                <w:color w:val="auto"/>
              </w:rPr>
              <w:t>38,818</w:t>
            </w:r>
          </w:p>
        </w:tc>
        <w:tc>
          <w:tcPr>
            <w:tcW w:w="1620" w:type="dxa"/>
            <w:vAlign w:val="bottom"/>
          </w:tcPr>
          <w:p>
            <w:pPr>
              <w:jc w:val="right"/>
              <w:ind w:right="79"/>
              <w:spacing w:after="0"/>
              <w:rPr>
                <w:sz w:val="20"/>
                <w:szCs w:val="20"/>
                <w:color w:val="auto"/>
              </w:rPr>
            </w:pPr>
            <w:r>
              <w:rPr>
                <w:rFonts w:ascii="Calibri" w:cs="Calibri" w:eastAsia="Calibri" w:hAnsi="Calibri"/>
                <w:sz w:val="16"/>
                <w:szCs w:val="16"/>
                <w:color w:val="auto"/>
              </w:rPr>
              <w:t>24.32</w:t>
            </w:r>
          </w:p>
        </w:tc>
        <w:tc>
          <w:tcPr>
            <w:tcW w:w="1380" w:type="dxa"/>
            <w:vAlign w:val="bottom"/>
          </w:tcPr>
          <w:p>
            <w:pPr>
              <w:jc w:val="right"/>
              <w:ind w:right="39"/>
              <w:spacing w:after="0"/>
              <w:rPr>
                <w:sz w:val="20"/>
                <w:szCs w:val="20"/>
                <w:color w:val="auto"/>
              </w:rPr>
            </w:pPr>
            <w:r>
              <w:rPr>
                <w:rFonts w:ascii="Calibri" w:cs="Calibri" w:eastAsia="Calibri" w:hAnsi="Calibri"/>
                <w:sz w:val="16"/>
                <w:szCs w:val="16"/>
                <w:color w:val="auto"/>
              </w:rPr>
              <w:t>936</w:t>
            </w:r>
          </w:p>
        </w:tc>
        <w:tc>
          <w:tcPr>
            <w:tcW w:w="1360" w:type="dxa"/>
            <w:vAlign w:val="bottom"/>
          </w:tcPr>
          <w:p>
            <w:pPr>
              <w:jc w:val="right"/>
              <w:spacing w:after="0"/>
              <w:rPr>
                <w:sz w:val="20"/>
                <w:szCs w:val="20"/>
                <w:color w:val="auto"/>
              </w:rPr>
            </w:pPr>
            <w:r>
              <w:rPr>
                <w:rFonts w:ascii="Calibri" w:cs="Calibri" w:eastAsia="Calibri" w:hAnsi="Calibri"/>
                <w:sz w:val="16"/>
                <w:szCs w:val="16"/>
                <w:color w:val="auto"/>
              </w:rPr>
              <w:t>5.89</w:t>
            </w:r>
          </w:p>
        </w:tc>
        <w:tc>
          <w:tcPr>
            <w:tcW w:w="0" w:type="dxa"/>
            <w:vAlign w:val="bottom"/>
          </w:tcPr>
          <w:p>
            <w:pPr>
              <w:spacing w:after="0"/>
              <w:rPr>
                <w:sz w:val="1"/>
                <w:szCs w:val="1"/>
                <w:color w:val="auto"/>
              </w:rPr>
            </w:pPr>
          </w:p>
        </w:tc>
      </w:tr>
      <w:tr>
        <w:trPr>
          <w:trHeight w:val="206"/>
        </w:trPr>
        <w:tc>
          <w:tcPr>
            <w:tcW w:w="2600" w:type="dxa"/>
            <w:vAlign w:val="bottom"/>
          </w:tcPr>
          <w:p>
            <w:pPr>
              <w:ind w:left="20"/>
              <w:spacing w:after="0"/>
              <w:rPr>
                <w:sz w:val="20"/>
                <w:szCs w:val="20"/>
                <w:color w:val="auto"/>
              </w:rPr>
            </w:pPr>
            <w:r>
              <w:rPr>
                <w:rFonts w:ascii="Calibri" w:cs="Calibri" w:eastAsia="Calibri" w:hAnsi="Calibri"/>
                <w:sz w:val="16"/>
                <w:szCs w:val="16"/>
                <w:color w:val="auto"/>
              </w:rPr>
              <w:t>November 15, 2030</w:t>
            </w:r>
          </w:p>
        </w:tc>
        <w:tc>
          <w:tcPr>
            <w:tcW w:w="2440" w:type="dxa"/>
            <w:vAlign w:val="bottom"/>
          </w:tcPr>
          <w:p>
            <w:pPr>
              <w:jc w:val="right"/>
              <w:ind w:right="279"/>
              <w:spacing w:after="0"/>
              <w:rPr>
                <w:sz w:val="20"/>
                <w:szCs w:val="20"/>
                <w:color w:val="auto"/>
              </w:rPr>
            </w:pPr>
            <w:r>
              <w:rPr>
                <w:rFonts w:ascii="Calibri" w:cs="Calibri" w:eastAsia="Calibri" w:hAnsi="Calibri"/>
                <w:sz w:val="16"/>
                <w:szCs w:val="16"/>
                <w:color w:val="auto"/>
              </w:rPr>
              <w:t>30,263</w:t>
            </w:r>
          </w:p>
        </w:tc>
        <w:tc>
          <w:tcPr>
            <w:tcW w:w="1140" w:type="dxa"/>
            <w:vAlign w:val="bottom"/>
          </w:tcPr>
          <w:p>
            <w:pPr>
              <w:jc w:val="right"/>
              <w:spacing w:after="0"/>
              <w:rPr>
                <w:sz w:val="20"/>
                <w:szCs w:val="20"/>
                <w:color w:val="auto"/>
              </w:rPr>
            </w:pPr>
            <w:r>
              <w:rPr>
                <w:rFonts w:ascii="Calibri" w:cs="Calibri" w:eastAsia="Calibri" w:hAnsi="Calibri"/>
                <w:sz w:val="16"/>
                <w:szCs w:val="16"/>
                <w:color w:val="auto"/>
              </w:rPr>
              <w:t>30,263</w:t>
            </w:r>
          </w:p>
        </w:tc>
        <w:tc>
          <w:tcPr>
            <w:tcW w:w="1620" w:type="dxa"/>
            <w:vAlign w:val="bottom"/>
          </w:tcPr>
          <w:p>
            <w:pPr>
              <w:jc w:val="right"/>
              <w:ind w:right="79"/>
              <w:spacing w:after="0"/>
              <w:rPr>
                <w:sz w:val="20"/>
                <w:szCs w:val="20"/>
                <w:color w:val="auto"/>
              </w:rPr>
            </w:pPr>
            <w:r>
              <w:rPr>
                <w:rFonts w:ascii="Calibri" w:cs="Calibri" w:eastAsia="Calibri" w:hAnsi="Calibri"/>
                <w:sz w:val="16"/>
                <w:szCs w:val="16"/>
                <w:color w:val="auto"/>
              </w:rPr>
              <w:t>9.50</w:t>
            </w:r>
          </w:p>
        </w:tc>
        <w:tc>
          <w:tcPr>
            <w:tcW w:w="1380" w:type="dxa"/>
            <w:vAlign w:val="bottom"/>
          </w:tcPr>
          <w:p>
            <w:pPr>
              <w:jc w:val="right"/>
              <w:ind w:right="39"/>
              <w:spacing w:after="0"/>
              <w:rPr>
                <w:sz w:val="20"/>
                <w:szCs w:val="20"/>
                <w:color w:val="auto"/>
              </w:rPr>
            </w:pPr>
            <w:r>
              <w:rPr>
                <w:rFonts w:ascii="Calibri" w:cs="Calibri" w:eastAsia="Calibri" w:hAnsi="Calibri"/>
                <w:sz w:val="16"/>
                <w:szCs w:val="16"/>
                <w:color w:val="auto"/>
              </w:rPr>
              <w:t>347</w:t>
            </w:r>
          </w:p>
        </w:tc>
        <w:tc>
          <w:tcPr>
            <w:tcW w:w="1360" w:type="dxa"/>
            <w:vAlign w:val="bottom"/>
          </w:tcPr>
          <w:p>
            <w:pPr>
              <w:jc w:val="right"/>
              <w:spacing w:after="0"/>
              <w:rPr>
                <w:sz w:val="20"/>
                <w:szCs w:val="20"/>
                <w:color w:val="auto"/>
              </w:rPr>
            </w:pPr>
            <w:r>
              <w:rPr>
                <w:rFonts w:ascii="Calibri" w:cs="Calibri" w:eastAsia="Calibri" w:hAnsi="Calibri"/>
                <w:sz w:val="16"/>
                <w:szCs w:val="16"/>
                <w:color w:val="auto"/>
              </w:rPr>
              <w:t>6.12</w:t>
            </w:r>
          </w:p>
        </w:tc>
        <w:tc>
          <w:tcPr>
            <w:tcW w:w="0" w:type="dxa"/>
            <w:vAlign w:val="bottom"/>
          </w:tcPr>
          <w:p>
            <w:pPr>
              <w:spacing w:after="0"/>
              <w:rPr>
                <w:sz w:val="1"/>
                <w:szCs w:val="1"/>
                <w:color w:val="auto"/>
              </w:rPr>
            </w:pPr>
          </w:p>
        </w:tc>
      </w:tr>
      <w:tr>
        <w:trPr>
          <w:trHeight w:val="20"/>
        </w:trPr>
        <w:tc>
          <w:tcPr>
            <w:tcW w:w="2600" w:type="dxa"/>
            <w:vAlign w:val="bottom"/>
            <w:tcBorders>
              <w:bottom w:val="single" w:sz="8" w:color="auto"/>
            </w:tcBorders>
          </w:tcPr>
          <w:p>
            <w:pPr>
              <w:spacing w:after="0" w:line="20" w:lineRule="exact"/>
              <w:rPr>
                <w:sz w:val="1"/>
                <w:szCs w:val="1"/>
                <w:color w:val="auto"/>
              </w:rPr>
            </w:pPr>
          </w:p>
        </w:tc>
        <w:tc>
          <w:tcPr>
            <w:tcW w:w="24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1"/>
        </w:trPr>
        <w:tc>
          <w:tcPr>
            <w:tcW w:w="2600" w:type="dxa"/>
            <w:vAlign w:val="bottom"/>
            <w:tcBorders>
              <w:bottom w:val="single" w:sz="8" w:color="auto"/>
            </w:tcBorders>
          </w:tcPr>
          <w:p>
            <w:pPr>
              <w:spacing w:after="0"/>
              <w:rPr>
                <w:sz w:val="16"/>
                <w:szCs w:val="16"/>
                <w:color w:val="auto"/>
              </w:rPr>
            </w:pPr>
          </w:p>
        </w:tc>
        <w:tc>
          <w:tcPr>
            <w:tcW w:w="2440" w:type="dxa"/>
            <w:vAlign w:val="bottom"/>
            <w:tcBorders>
              <w:bottom w:val="single" w:sz="8" w:color="auto"/>
            </w:tcBorders>
          </w:tcPr>
          <w:p>
            <w:pPr>
              <w:jc w:val="right"/>
              <w:ind w:right="279"/>
              <w:spacing w:after="0" w:line="192" w:lineRule="exact"/>
              <w:rPr>
                <w:sz w:val="20"/>
                <w:szCs w:val="20"/>
                <w:color w:val="auto"/>
              </w:rPr>
            </w:pPr>
            <w:r>
              <w:rPr>
                <w:rFonts w:ascii="Calibri" w:cs="Calibri" w:eastAsia="Calibri" w:hAnsi="Calibri"/>
                <w:sz w:val="16"/>
                <w:szCs w:val="16"/>
                <w:b w:val="1"/>
                <w:bCs w:val="1"/>
                <w:color w:val="auto"/>
              </w:rPr>
              <w:t>2,796,197</w:t>
            </w:r>
          </w:p>
        </w:tc>
        <w:tc>
          <w:tcPr>
            <w:tcW w:w="1140" w:type="dxa"/>
            <w:vAlign w:val="bottom"/>
            <w:tcBorders>
              <w:bottom w:val="single" w:sz="8" w:color="auto"/>
            </w:tcBorders>
          </w:tcPr>
          <w:p>
            <w:pPr>
              <w:jc w:val="right"/>
              <w:spacing w:after="0" w:line="192" w:lineRule="exact"/>
              <w:rPr>
                <w:sz w:val="20"/>
                <w:szCs w:val="20"/>
                <w:color w:val="auto"/>
              </w:rPr>
            </w:pPr>
            <w:r>
              <w:rPr>
                <w:rFonts w:ascii="Calibri" w:cs="Calibri" w:eastAsia="Calibri" w:hAnsi="Calibri"/>
                <w:sz w:val="16"/>
                <w:szCs w:val="16"/>
                <w:b w:val="1"/>
                <w:bCs w:val="1"/>
                <w:color w:val="auto"/>
              </w:rPr>
              <w:t>2,796,197</w:t>
            </w:r>
          </w:p>
        </w:tc>
        <w:tc>
          <w:tcPr>
            <w:tcW w:w="1620" w:type="dxa"/>
            <w:vAlign w:val="bottom"/>
            <w:tcBorders>
              <w:bottom w:val="single" w:sz="8" w:color="auto"/>
            </w:tcBorders>
          </w:tcPr>
          <w:p>
            <w:pPr>
              <w:jc w:val="right"/>
              <w:ind w:right="79"/>
              <w:spacing w:after="0" w:line="192" w:lineRule="exact"/>
              <w:rPr>
                <w:sz w:val="20"/>
                <w:szCs w:val="20"/>
                <w:color w:val="auto"/>
              </w:rPr>
            </w:pPr>
            <w:r>
              <w:rPr>
                <w:rFonts w:ascii="Calibri" w:cs="Calibri" w:eastAsia="Calibri" w:hAnsi="Calibri"/>
                <w:sz w:val="16"/>
                <w:szCs w:val="16"/>
                <w:b w:val="1"/>
                <w:bCs w:val="1"/>
                <w:color w:val="auto"/>
              </w:rPr>
              <w:t>22.66</w:t>
            </w:r>
          </w:p>
        </w:tc>
        <w:tc>
          <w:tcPr>
            <w:tcW w:w="1380" w:type="dxa"/>
            <w:vAlign w:val="bottom"/>
            <w:tcBorders>
              <w:bottom w:val="single" w:sz="8" w:color="auto"/>
            </w:tcBorders>
          </w:tcPr>
          <w:p>
            <w:pPr>
              <w:jc w:val="right"/>
              <w:ind w:right="39"/>
              <w:spacing w:after="0" w:line="192" w:lineRule="exact"/>
              <w:rPr>
                <w:sz w:val="20"/>
                <w:szCs w:val="20"/>
                <w:color w:val="auto"/>
              </w:rPr>
            </w:pPr>
            <w:r>
              <w:rPr>
                <w:rFonts w:ascii="Calibri" w:cs="Calibri" w:eastAsia="Calibri" w:hAnsi="Calibri"/>
                <w:sz w:val="16"/>
                <w:szCs w:val="16"/>
                <w:b w:val="1"/>
                <w:bCs w:val="1"/>
                <w:color w:val="auto"/>
              </w:rPr>
              <w:t>27,594</w:t>
            </w:r>
          </w:p>
        </w:tc>
        <w:tc>
          <w:tcPr>
            <w:tcW w:w="1360" w:type="dxa"/>
            <w:vAlign w:val="bottom"/>
            <w:tcBorders>
              <w:bottom w:val="single" w:sz="8" w:color="auto"/>
            </w:tcBorders>
          </w:tcPr>
          <w:p>
            <w:pPr>
              <w:jc w:val="right"/>
              <w:spacing w:after="0" w:line="192" w:lineRule="exact"/>
              <w:rPr>
                <w:sz w:val="20"/>
                <w:szCs w:val="20"/>
                <w:color w:val="auto"/>
              </w:rPr>
            </w:pPr>
            <w:r>
              <w:rPr>
                <w:rFonts w:ascii="Calibri" w:cs="Calibri" w:eastAsia="Calibri" w:hAnsi="Calibri"/>
                <w:sz w:val="16"/>
                <w:szCs w:val="16"/>
                <w:b w:val="1"/>
                <w:bCs w:val="1"/>
                <w:color w:val="auto"/>
              </w:rPr>
              <w:t>4.61</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center"/>
        <w:ind w:right="180"/>
        <w:spacing w:after="0"/>
        <w:rPr>
          <w:sz w:val="20"/>
          <w:szCs w:val="20"/>
          <w:color w:val="auto"/>
        </w:rPr>
      </w:pPr>
      <w:r>
        <w:rPr>
          <w:rFonts w:ascii="Calibri" w:cs="Calibri" w:eastAsia="Calibri" w:hAnsi="Calibri"/>
          <w:sz w:val="16"/>
          <w:szCs w:val="16"/>
          <w:b w:val="1"/>
          <w:bCs w:val="1"/>
          <w:color w:val="auto"/>
        </w:rPr>
        <w:t>Page 12 of 23</w:t>
      </w:r>
    </w:p>
    <w:p>
      <w:pPr>
        <w:sectPr>
          <w:pgSz w:w="11900" w:h="16838" w:orient="portrait"/>
          <w:cols w:equalWidth="0" w:num="1">
            <w:col w:w="11180"/>
          </w:cols>
          <w:pgMar w:left="380" w:top="209" w:right="339" w:bottom="1440" w:gutter="0" w:footer="0" w:header="0"/>
        </w:sectPr>
      </w:pPr>
    </w:p>
    <w:bookmarkStart w:id="15" w:name="page16"/>
    <w:bookmarkEnd w:id="15"/>
    <w:p>
      <w:pPr>
        <w:spacing w:after="0"/>
        <w:rPr>
          <w:sz w:val="20"/>
          <w:szCs w:val="20"/>
          <w:color w:val="auto"/>
        </w:rPr>
      </w:pPr>
      <w:r>
        <w:rPr>
          <w:rFonts w:ascii="Calibri" w:cs="Calibri" w:eastAsia="Calibri" w:hAnsi="Calibri"/>
          <w:sz w:val="19"/>
          <w:szCs w:val="19"/>
          <w:b w:val="1"/>
          <w:bCs w:val="1"/>
          <w:color w:val="auto"/>
        </w:rPr>
        <w:t>CYBIN INC.</w:t>
      </w:r>
    </w:p>
    <w:p>
      <w:pPr>
        <w:spacing w:after="0" w:line="237" w:lineRule="auto"/>
        <w:rPr>
          <w:sz w:val="20"/>
          <w:szCs w:val="20"/>
          <w:color w:val="auto"/>
        </w:rPr>
      </w:pPr>
      <w:r>
        <w:rPr>
          <w:rFonts w:ascii="Calibri" w:cs="Calibri" w:eastAsia="Calibri" w:hAnsi="Calibri"/>
          <w:sz w:val="19"/>
          <w:szCs w:val="19"/>
          <w:b w:val="1"/>
          <w:bCs w:val="1"/>
          <w:color w:val="auto"/>
        </w:rPr>
        <w:t>NOTES TO THE CONDENSED INTERIM CONSOLIDATED FINANCIAL STATEMENTS</w:t>
      </w:r>
    </w:p>
    <w:p>
      <w:pPr>
        <w:spacing w:after="0" w:line="238" w:lineRule="auto"/>
        <w:rPr>
          <w:sz w:val="20"/>
          <w:szCs w:val="20"/>
          <w:color w:val="auto"/>
        </w:rPr>
      </w:pPr>
      <w:r>
        <w:rPr>
          <w:rFonts w:ascii="Calibri" w:cs="Calibri" w:eastAsia="Calibri" w:hAnsi="Calibri"/>
          <w:sz w:val="19"/>
          <w:szCs w:val="19"/>
          <w:b w:val="1"/>
          <w:bCs w:val="1"/>
          <w:color w:val="auto"/>
        </w:rPr>
        <w:t>September 30, 2024</w:t>
      </w:r>
    </w:p>
    <w:p>
      <w:pPr>
        <w:spacing w:after="0" w:line="3" w:lineRule="exact"/>
        <w:rPr>
          <w:sz w:val="20"/>
          <w:szCs w:val="20"/>
          <w:color w:val="auto"/>
        </w:rPr>
      </w:pPr>
    </w:p>
    <w:p>
      <w:pPr>
        <w:ind w:right="200"/>
        <w:spacing w:after="0" w:line="234" w:lineRule="auto"/>
        <w:rPr>
          <w:sz w:val="20"/>
          <w:szCs w:val="20"/>
          <w:color w:val="auto"/>
        </w:rPr>
      </w:pPr>
      <w:r>
        <w:rPr>
          <w:rFonts w:ascii="Calibri" w:cs="Calibri" w:eastAsia="Calibri" w:hAnsi="Calibri"/>
          <w:sz w:val="18"/>
          <w:szCs w:val="18"/>
          <w:b w:val="1"/>
          <w:bCs w:val="1"/>
          <w:color w:val="auto"/>
        </w:rPr>
        <w:t>(All amounts expressed in thousands of Canadian dollars, except share and per share amounts, and those otherwise stated in US dollars, Euros and Great Britain pounds which are in thousands.)</w:t>
      </w:r>
    </w:p>
    <w:p>
      <w:pPr>
        <w:spacing w:after="0" w:line="224" w:lineRule="auto"/>
        <w:rPr>
          <w:sz w:val="20"/>
          <w:szCs w:val="20"/>
          <w:color w:val="auto"/>
        </w:rPr>
      </w:pPr>
      <w:r>
        <w:rPr>
          <w:rFonts w:ascii="Calibri" w:cs="Calibri" w:eastAsia="Calibri" w:hAnsi="Calibri"/>
          <w:sz w:val="18"/>
          <w:szCs w:val="18"/>
          <w:b w:val="1"/>
          <w:bCs w:val="1"/>
          <w:color w:val="auto"/>
        </w:rPr>
        <w:t>(Unaudited)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-39370</wp:posOffset>
            </wp:positionH>
            <wp:positionV relativeFrom="paragraph">
              <wp:posOffset>48895</wp:posOffset>
            </wp:positionV>
            <wp:extent cx="7146925" cy="762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46925" cy="76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jc w:val="both"/>
        <w:ind w:left="220"/>
        <w:spacing w:after="0" w:line="276" w:lineRule="auto"/>
        <w:rPr>
          <w:sz w:val="20"/>
          <w:szCs w:val="20"/>
          <w:color w:val="auto"/>
        </w:rPr>
      </w:pPr>
      <w:r>
        <w:rPr>
          <w:rFonts w:ascii="Calibri" w:cs="Calibri" w:eastAsia="Calibri" w:hAnsi="Calibri"/>
          <w:sz w:val="16"/>
          <w:szCs w:val="16"/>
          <w:color w:val="auto"/>
        </w:rPr>
        <w:t>On August 27, 2024, the Company, upon receiving shareholder approval, extended the expiry dates of the warrants originally expiring on June 15, 2025, August 20 , 2025, and November 15, 2025 to June 15, 2030, August 20, 2030, and November 15, 2030, respectvely. The Company extended the expiry date of 405,924 warrants, of which 260,527 related to ofcers and directors of the Company. No other changes to the terms of the warrants were made. As a result of the modifcaton, the Company recorded an additonal expense, related to the incremental fair value, of $1,955 in the statement of income as "Share-based compensaton ".</w:t>
      </w:r>
    </w:p>
    <w:p>
      <w:pPr>
        <w:spacing w:after="0" w:line="223" w:lineRule="exact"/>
        <w:rPr>
          <w:sz w:val="20"/>
          <w:szCs w:val="20"/>
          <w:color w:val="auto"/>
        </w:rPr>
      </w:pPr>
    </w:p>
    <w:p>
      <w:pPr>
        <w:ind w:left="220"/>
        <w:spacing w:after="0"/>
        <w:rPr>
          <w:sz w:val="20"/>
          <w:szCs w:val="20"/>
          <w:color w:val="auto"/>
        </w:rPr>
      </w:pPr>
      <w:r>
        <w:rPr>
          <w:rFonts w:ascii="Calibri" w:cs="Calibri" w:eastAsia="Calibri" w:hAnsi="Calibri"/>
          <w:sz w:val="16"/>
          <w:szCs w:val="16"/>
          <w:color w:val="auto"/>
        </w:rPr>
        <w:t>As at September 30, 2024, the Company has no Common Share purchase warrants subject to transfer restrictons (2023 - nil).</w:t>
      </w:r>
    </w:p>
    <w:p>
      <w:pPr>
        <w:spacing w:after="0" w:line="179" w:lineRule="exact"/>
        <w:rPr>
          <w:sz w:val="20"/>
          <w:szCs w:val="20"/>
          <w:color w:val="auto"/>
        </w:rPr>
      </w:pPr>
    </w:p>
    <w:p>
      <w:pPr>
        <w:ind w:left="220"/>
        <w:spacing w:after="0"/>
        <w:rPr>
          <w:sz w:val="20"/>
          <w:szCs w:val="20"/>
          <w:color w:val="auto"/>
        </w:rPr>
      </w:pPr>
      <w:r>
        <w:rPr>
          <w:rFonts w:ascii="Calibri" w:cs="Calibri" w:eastAsia="Calibri" w:hAnsi="Calibri"/>
          <w:sz w:val="16"/>
          <w:szCs w:val="16"/>
          <w:b w:val="1"/>
          <w:bCs w:val="1"/>
          <w:color w:val="auto"/>
        </w:rPr>
        <w:t>d</w:t>
      </w:r>
      <w:r>
        <w:rPr>
          <w:rFonts w:ascii="Calibri" w:cs="Calibri" w:eastAsia="Calibri" w:hAnsi="Calibri"/>
          <w:sz w:val="16"/>
          <w:szCs w:val="16"/>
          <w:color w:val="auto"/>
        </w:rPr>
        <w:t>)</w:t>
      </w:r>
      <w:r>
        <w:rPr>
          <w:rFonts w:ascii="Calibri" w:cs="Calibri" w:eastAsia="Calibri" w:hAnsi="Calibri"/>
          <w:sz w:val="16"/>
          <w:szCs w:val="16"/>
          <w:b w:val="1"/>
          <w:bCs w:val="1"/>
          <w:color w:val="auto"/>
        </w:rPr>
        <w:t xml:space="preserve"> </w:t>
      </w:r>
      <w:r>
        <w:rPr>
          <w:rFonts w:ascii="Calibri" w:cs="Calibri" w:eastAsia="Calibri" w:hAnsi="Calibri"/>
          <w:sz w:val="16"/>
          <w:szCs w:val="16"/>
          <w:b w:val="1"/>
          <w:bCs w:val="1"/>
          <w:u w:val="single" w:color="auto"/>
          <w:color w:val="auto"/>
        </w:rPr>
        <w:t>Stock optons</w:t>
      </w:r>
    </w:p>
    <w:p>
      <w:pPr>
        <w:spacing w:after="0" w:line="194" w:lineRule="exact"/>
        <w:rPr>
          <w:sz w:val="20"/>
          <w:szCs w:val="20"/>
          <w:color w:val="auto"/>
        </w:rPr>
      </w:pPr>
    </w:p>
    <w:p>
      <w:pPr>
        <w:jc w:val="both"/>
        <w:ind w:left="220"/>
        <w:spacing w:after="0" w:line="274" w:lineRule="auto"/>
        <w:rPr>
          <w:sz w:val="20"/>
          <w:szCs w:val="20"/>
          <w:color w:val="auto"/>
        </w:rPr>
      </w:pPr>
      <w:r>
        <w:rPr>
          <w:rFonts w:ascii="Calibri" w:cs="Calibri" w:eastAsia="Calibri" w:hAnsi="Calibri"/>
          <w:sz w:val="16"/>
          <w:szCs w:val="16"/>
          <w:color w:val="auto"/>
        </w:rPr>
        <w:t>On November 5, 2020, Cybin adopted an equity incentve plan. Under the plan, the board of directors may grant share-based awards to acquire such number of Common Shares as is equal to up to 20% of the total number of issued and outstanding Common Shares at the tme such awards are granted. Optons granted under the plan vest over a period of tme at the discreton of the board of directors. On August 27, 2024, the board of directors and the shareholders re-approved the equity incentve plan and approved certain amendments to the plan, including an increase to the fxed number of Incentve Stock Optons (as defned in the plan), certain changes to the board of director's authority to amend existng awards, and certain other housekeeping amendments.</w:t>
      </w:r>
    </w:p>
    <w:p>
      <w:pPr>
        <w:spacing w:after="0" w:line="164" w:lineRule="exact"/>
        <w:rPr>
          <w:sz w:val="20"/>
          <w:szCs w:val="20"/>
          <w:color w:val="auto"/>
        </w:rPr>
      </w:pPr>
    </w:p>
    <w:tbl>
      <w:tblPr>
        <w:tblLayout w:type="fixed"/>
        <w:tblInd w:w="220" w:type="dxa"/>
        <w:tblCellMar>
          <w:top w:w="0" w:type="dxa"/>
          <w:left w:w="0" w:type="dxa"/>
          <w:bottom w:w="0" w:type="dxa"/>
          <w:right w:w="0" w:type="dxa"/>
        </w:tblCellMar>
      </w:tblPr>
      <w:tr>
        <w:trPr>
          <w:trHeight w:val="195"/>
        </w:trPr>
        <w:tc>
          <w:tcPr>
            <w:tcW w:w="6660" w:type="dxa"/>
            <w:vAlign w:val="bottom"/>
          </w:tcPr>
          <w:p>
            <w:pPr>
              <w:spacing w:after="0"/>
              <w:rPr>
                <w:sz w:val="20"/>
                <w:szCs w:val="20"/>
                <w:color w:val="auto"/>
              </w:rPr>
            </w:pPr>
            <w:r>
              <w:rPr>
                <w:rFonts w:ascii="Calibri" w:cs="Calibri" w:eastAsia="Calibri" w:hAnsi="Calibri"/>
                <w:sz w:val="16"/>
                <w:szCs w:val="16"/>
                <w:color w:val="auto"/>
              </w:rPr>
              <w:t>The changes in optons for the six-month period ended September 30, 2024 are as follows:</w:t>
            </w:r>
          </w:p>
        </w:tc>
        <w:tc>
          <w:tcPr>
            <w:tcW w:w="2420" w:type="dxa"/>
            <w:vAlign w:val="bottom"/>
          </w:tcPr>
          <w:p>
            <w:pPr>
              <w:spacing w:after="0"/>
              <w:rPr>
                <w:sz w:val="16"/>
                <w:szCs w:val="16"/>
                <w:color w:val="auto"/>
              </w:rPr>
            </w:pPr>
          </w:p>
        </w:tc>
        <w:tc>
          <w:tcPr>
            <w:tcW w:w="1460" w:type="dxa"/>
            <w:vAlign w:val="bottom"/>
          </w:tcPr>
          <w:p>
            <w:pPr>
              <w:spacing w:after="0"/>
              <w:rPr>
                <w:sz w:val="16"/>
                <w:szCs w:val="16"/>
                <w:color w:val="auto"/>
              </w:rPr>
            </w:pPr>
          </w:p>
        </w:tc>
      </w:tr>
      <w:tr>
        <w:trPr>
          <w:trHeight w:val="471"/>
        </w:trPr>
        <w:tc>
          <w:tcPr>
            <w:tcW w:w="6660" w:type="dxa"/>
            <w:vAlign w:val="bottom"/>
          </w:tcPr>
          <w:p>
            <w:pPr>
              <w:spacing w:after="0"/>
              <w:rPr>
                <w:sz w:val="24"/>
                <w:szCs w:val="24"/>
                <w:color w:val="auto"/>
              </w:rPr>
            </w:pPr>
          </w:p>
        </w:tc>
        <w:tc>
          <w:tcPr>
            <w:tcW w:w="2420" w:type="dxa"/>
            <w:vAlign w:val="bottom"/>
          </w:tcPr>
          <w:p>
            <w:pPr>
              <w:spacing w:after="0"/>
              <w:rPr>
                <w:sz w:val="24"/>
                <w:szCs w:val="24"/>
                <w:color w:val="auto"/>
              </w:rPr>
            </w:pPr>
          </w:p>
        </w:tc>
        <w:tc>
          <w:tcPr>
            <w:tcW w:w="1460" w:type="dxa"/>
            <w:vAlign w:val="bottom"/>
          </w:tcPr>
          <w:p>
            <w:pPr>
              <w:jc w:val="right"/>
              <w:spacing w:after="0"/>
              <w:rPr>
                <w:sz w:val="20"/>
                <w:szCs w:val="20"/>
                <w:color w:val="auto"/>
              </w:rPr>
            </w:pPr>
            <w:r>
              <w:rPr>
                <w:rFonts w:ascii="Calibri" w:cs="Calibri" w:eastAsia="Calibri" w:hAnsi="Calibri"/>
                <w:sz w:val="16"/>
                <w:szCs w:val="16"/>
                <w:b w:val="1"/>
                <w:bCs w:val="1"/>
                <w:color w:val="auto"/>
              </w:rPr>
              <w:t>Weighted average</w:t>
            </w:r>
          </w:p>
        </w:tc>
      </w:tr>
      <w:tr>
        <w:trPr>
          <w:trHeight w:val="193"/>
        </w:trPr>
        <w:tc>
          <w:tcPr>
            <w:tcW w:w="6660" w:type="dxa"/>
            <w:vAlign w:val="bottom"/>
          </w:tcPr>
          <w:p>
            <w:pPr>
              <w:spacing w:after="0"/>
              <w:rPr>
                <w:sz w:val="16"/>
                <w:szCs w:val="16"/>
                <w:color w:val="auto"/>
              </w:rPr>
            </w:pPr>
          </w:p>
        </w:tc>
        <w:tc>
          <w:tcPr>
            <w:tcW w:w="2420" w:type="dxa"/>
            <w:vAlign w:val="bottom"/>
          </w:tcPr>
          <w:p>
            <w:pPr>
              <w:jc w:val="right"/>
              <w:ind w:right="179"/>
              <w:spacing w:after="0" w:line="193" w:lineRule="exact"/>
              <w:rPr>
                <w:sz w:val="20"/>
                <w:szCs w:val="20"/>
                <w:color w:val="auto"/>
              </w:rPr>
            </w:pPr>
            <w:r>
              <w:rPr>
                <w:rFonts w:ascii="Calibri" w:cs="Calibri" w:eastAsia="Calibri" w:hAnsi="Calibri"/>
                <w:sz w:val="16"/>
                <w:szCs w:val="16"/>
                <w:b w:val="1"/>
                <w:bCs w:val="1"/>
                <w:color w:val="auto"/>
              </w:rPr>
              <w:t>Number of Optons</w:t>
            </w:r>
          </w:p>
        </w:tc>
        <w:tc>
          <w:tcPr>
            <w:tcW w:w="1460" w:type="dxa"/>
            <w:vAlign w:val="bottom"/>
          </w:tcPr>
          <w:p>
            <w:pPr>
              <w:jc w:val="right"/>
              <w:spacing w:after="0" w:line="193" w:lineRule="exact"/>
              <w:rPr>
                <w:sz w:val="20"/>
                <w:szCs w:val="20"/>
                <w:color w:val="auto"/>
              </w:rPr>
            </w:pPr>
            <w:r>
              <w:rPr>
                <w:rFonts w:ascii="Calibri" w:cs="Calibri" w:eastAsia="Calibri" w:hAnsi="Calibri"/>
                <w:sz w:val="16"/>
                <w:szCs w:val="16"/>
                <w:b w:val="1"/>
                <w:bCs w:val="1"/>
                <w:color w:val="auto"/>
              </w:rPr>
              <w:t>exercise price</w:t>
            </w:r>
          </w:p>
        </w:tc>
      </w:tr>
      <w:tr>
        <w:trPr>
          <w:trHeight w:val="69"/>
        </w:trPr>
        <w:tc>
          <w:tcPr>
            <w:tcW w:w="6660" w:type="dxa"/>
            <w:vAlign w:val="bottom"/>
            <w:tcBorders>
              <w:bottom w:val="single" w:sz="8" w:color="auto"/>
            </w:tcBorders>
          </w:tcPr>
          <w:p>
            <w:pPr>
              <w:spacing w:after="0"/>
              <w:rPr>
                <w:sz w:val="5"/>
                <w:szCs w:val="5"/>
                <w:color w:val="auto"/>
              </w:rPr>
            </w:pPr>
          </w:p>
        </w:tc>
        <w:tc>
          <w:tcPr>
            <w:tcW w:w="2420" w:type="dxa"/>
            <w:vAlign w:val="bottom"/>
            <w:tcBorders>
              <w:bottom w:val="single" w:sz="8" w:color="auto"/>
            </w:tcBorders>
          </w:tcPr>
          <w:p>
            <w:pPr>
              <w:spacing w:after="0"/>
              <w:rPr>
                <w:sz w:val="5"/>
                <w:szCs w:val="5"/>
                <w:color w:val="auto"/>
              </w:rPr>
            </w:pPr>
          </w:p>
        </w:tc>
        <w:tc>
          <w:tcPr>
            <w:tcW w:w="1460" w:type="dxa"/>
            <w:vAlign w:val="bottom"/>
            <w:tcBorders>
              <w:bottom w:val="single" w:sz="8" w:color="auto"/>
            </w:tcBorders>
          </w:tcPr>
          <w:p>
            <w:pPr>
              <w:spacing w:after="0"/>
              <w:rPr>
                <w:sz w:val="5"/>
                <w:szCs w:val="5"/>
                <w:color w:val="auto"/>
              </w:rPr>
            </w:pPr>
          </w:p>
        </w:tc>
      </w:tr>
      <w:tr>
        <w:trPr>
          <w:trHeight w:val="213"/>
        </w:trPr>
        <w:tc>
          <w:tcPr>
            <w:tcW w:w="6660" w:type="dxa"/>
            <w:vAlign w:val="bottom"/>
          </w:tcPr>
          <w:p>
            <w:pPr>
              <w:spacing w:after="0"/>
              <w:rPr>
                <w:sz w:val="18"/>
                <w:szCs w:val="18"/>
                <w:color w:val="auto"/>
              </w:rPr>
            </w:pPr>
          </w:p>
        </w:tc>
        <w:tc>
          <w:tcPr>
            <w:tcW w:w="242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Calibri" w:cs="Calibri" w:eastAsia="Calibri" w:hAnsi="Calibri"/>
                <w:sz w:val="16"/>
                <w:szCs w:val="16"/>
                <w:b w:val="1"/>
                <w:bCs w:val="1"/>
                <w:color w:val="auto"/>
              </w:rPr>
              <w:t>$</w:t>
            </w:r>
          </w:p>
        </w:tc>
      </w:tr>
      <w:tr>
        <w:trPr>
          <w:trHeight w:val="69"/>
        </w:trPr>
        <w:tc>
          <w:tcPr>
            <w:tcW w:w="6660" w:type="dxa"/>
            <w:vAlign w:val="bottom"/>
            <w:tcBorders>
              <w:bottom w:val="single" w:sz="8" w:color="auto"/>
            </w:tcBorders>
          </w:tcPr>
          <w:p>
            <w:pPr>
              <w:spacing w:after="0"/>
              <w:rPr>
                <w:sz w:val="5"/>
                <w:szCs w:val="5"/>
                <w:color w:val="auto"/>
              </w:rPr>
            </w:pPr>
          </w:p>
        </w:tc>
        <w:tc>
          <w:tcPr>
            <w:tcW w:w="2420" w:type="dxa"/>
            <w:vAlign w:val="bottom"/>
            <w:tcBorders>
              <w:bottom w:val="single" w:sz="8" w:color="auto"/>
            </w:tcBorders>
          </w:tcPr>
          <w:p>
            <w:pPr>
              <w:spacing w:after="0"/>
              <w:rPr>
                <w:sz w:val="5"/>
                <w:szCs w:val="5"/>
                <w:color w:val="auto"/>
              </w:rPr>
            </w:pPr>
          </w:p>
        </w:tc>
        <w:tc>
          <w:tcPr>
            <w:tcW w:w="1460" w:type="dxa"/>
            <w:vAlign w:val="bottom"/>
            <w:tcBorders>
              <w:bottom w:val="single" w:sz="8" w:color="auto"/>
            </w:tcBorders>
          </w:tcPr>
          <w:p>
            <w:pPr>
              <w:spacing w:after="0"/>
              <w:rPr>
                <w:sz w:val="5"/>
                <w:szCs w:val="5"/>
                <w:color w:val="auto"/>
              </w:rPr>
            </w:pPr>
          </w:p>
        </w:tc>
      </w:tr>
      <w:tr>
        <w:trPr>
          <w:trHeight w:val="185"/>
        </w:trPr>
        <w:tc>
          <w:tcPr>
            <w:tcW w:w="6660" w:type="dxa"/>
            <w:vAlign w:val="bottom"/>
          </w:tcPr>
          <w:p>
            <w:pPr>
              <w:ind w:left="20"/>
              <w:spacing w:after="0" w:line="185" w:lineRule="exact"/>
              <w:rPr>
                <w:sz w:val="20"/>
                <w:szCs w:val="20"/>
                <w:color w:val="auto"/>
              </w:rPr>
            </w:pPr>
            <w:r>
              <w:rPr>
                <w:rFonts w:ascii="Calibri" w:cs="Calibri" w:eastAsia="Calibri" w:hAnsi="Calibri"/>
                <w:sz w:val="16"/>
                <w:szCs w:val="16"/>
                <w:color w:val="auto"/>
              </w:rPr>
              <w:t>As at March 31, 2024</w:t>
            </w:r>
          </w:p>
        </w:tc>
        <w:tc>
          <w:tcPr>
            <w:tcW w:w="2420" w:type="dxa"/>
            <w:vAlign w:val="bottom"/>
          </w:tcPr>
          <w:p>
            <w:pPr>
              <w:jc w:val="right"/>
              <w:ind w:right="179"/>
              <w:spacing w:after="0" w:line="185" w:lineRule="exact"/>
              <w:rPr>
                <w:sz w:val="20"/>
                <w:szCs w:val="20"/>
                <w:color w:val="auto"/>
              </w:rPr>
            </w:pPr>
            <w:r>
              <w:rPr>
                <w:rFonts w:ascii="Calibri" w:cs="Calibri" w:eastAsia="Calibri" w:hAnsi="Calibri"/>
                <w:sz w:val="16"/>
                <w:szCs w:val="16"/>
                <w:color w:val="auto"/>
              </w:rPr>
              <w:t>1,742,139</w:t>
            </w:r>
          </w:p>
        </w:tc>
        <w:tc>
          <w:tcPr>
            <w:tcW w:w="1460" w:type="dxa"/>
            <w:vAlign w:val="bottom"/>
          </w:tcPr>
          <w:p>
            <w:pPr>
              <w:jc w:val="right"/>
              <w:spacing w:after="0" w:line="185" w:lineRule="exact"/>
              <w:rPr>
                <w:sz w:val="20"/>
                <w:szCs w:val="20"/>
                <w:color w:val="auto"/>
              </w:rPr>
            </w:pPr>
            <w:r>
              <w:rPr>
                <w:rFonts w:ascii="Calibri" w:cs="Calibri" w:eastAsia="Calibri" w:hAnsi="Calibri"/>
                <w:sz w:val="16"/>
                <w:szCs w:val="16"/>
                <w:color w:val="auto"/>
              </w:rPr>
              <w:t>35.17</w:t>
            </w:r>
          </w:p>
        </w:tc>
      </w:tr>
      <w:tr>
        <w:trPr>
          <w:trHeight w:val="198"/>
        </w:trPr>
        <w:tc>
          <w:tcPr>
            <w:tcW w:w="6660" w:type="dxa"/>
            <w:vAlign w:val="bottom"/>
          </w:tcPr>
          <w:p>
            <w:pPr>
              <w:ind w:left="20"/>
              <w:spacing w:after="0"/>
              <w:rPr>
                <w:sz w:val="20"/>
                <w:szCs w:val="20"/>
                <w:color w:val="auto"/>
              </w:rPr>
            </w:pPr>
            <w:r>
              <w:rPr>
                <w:rFonts w:ascii="Calibri" w:cs="Calibri" w:eastAsia="Calibri" w:hAnsi="Calibri"/>
                <w:sz w:val="16"/>
                <w:szCs w:val="16"/>
                <w:color w:val="auto"/>
              </w:rPr>
              <w:t>Granted</w:t>
            </w:r>
          </w:p>
        </w:tc>
        <w:tc>
          <w:tcPr>
            <w:tcW w:w="2420" w:type="dxa"/>
            <w:vAlign w:val="bottom"/>
          </w:tcPr>
          <w:p>
            <w:pPr>
              <w:jc w:val="right"/>
              <w:ind w:right="179"/>
              <w:spacing w:after="0"/>
              <w:rPr>
                <w:sz w:val="20"/>
                <w:szCs w:val="20"/>
                <w:color w:val="auto"/>
              </w:rPr>
            </w:pPr>
            <w:r>
              <w:rPr>
                <w:rFonts w:ascii="Calibri" w:cs="Calibri" w:eastAsia="Calibri" w:hAnsi="Calibri"/>
                <w:sz w:val="16"/>
                <w:szCs w:val="16"/>
                <w:color w:val="auto"/>
              </w:rPr>
              <w:t>3,369,526</w:t>
            </w:r>
          </w:p>
        </w:tc>
        <w:tc>
          <w:tcPr>
            <w:tcW w:w="1460" w:type="dxa"/>
            <w:vAlign w:val="bottom"/>
          </w:tcPr>
          <w:p>
            <w:pPr>
              <w:jc w:val="right"/>
              <w:spacing w:after="0"/>
              <w:rPr>
                <w:sz w:val="20"/>
                <w:szCs w:val="20"/>
                <w:color w:val="auto"/>
              </w:rPr>
            </w:pPr>
            <w:r>
              <w:rPr>
                <w:rFonts w:ascii="Calibri" w:cs="Calibri" w:eastAsia="Calibri" w:hAnsi="Calibri"/>
                <w:sz w:val="16"/>
                <w:szCs w:val="16"/>
                <w:color w:val="auto"/>
              </w:rPr>
              <w:t>13.92</w:t>
            </w:r>
          </w:p>
        </w:tc>
      </w:tr>
      <w:tr>
        <w:trPr>
          <w:trHeight w:val="206"/>
        </w:trPr>
        <w:tc>
          <w:tcPr>
            <w:tcW w:w="6660" w:type="dxa"/>
            <w:vAlign w:val="bottom"/>
          </w:tcPr>
          <w:p>
            <w:pPr>
              <w:ind w:left="20"/>
              <w:spacing w:after="0"/>
              <w:rPr>
                <w:sz w:val="20"/>
                <w:szCs w:val="20"/>
                <w:color w:val="auto"/>
              </w:rPr>
            </w:pPr>
            <w:r>
              <w:rPr>
                <w:rFonts w:ascii="Calibri" w:cs="Calibri" w:eastAsia="Calibri" w:hAnsi="Calibri"/>
                <w:sz w:val="16"/>
                <w:szCs w:val="16"/>
                <w:color w:val="auto"/>
              </w:rPr>
              <w:t>Exercised</w:t>
            </w:r>
          </w:p>
        </w:tc>
        <w:tc>
          <w:tcPr>
            <w:tcW w:w="2420" w:type="dxa"/>
            <w:vAlign w:val="bottom"/>
          </w:tcPr>
          <w:p>
            <w:pPr>
              <w:jc w:val="right"/>
              <w:ind w:right="179"/>
              <w:spacing w:after="0"/>
              <w:rPr>
                <w:sz w:val="20"/>
                <w:szCs w:val="20"/>
                <w:color w:val="auto"/>
              </w:rPr>
            </w:pPr>
            <w:r>
              <w:rPr>
                <w:rFonts w:ascii="Calibri" w:cs="Calibri" w:eastAsia="Calibri" w:hAnsi="Calibri"/>
                <w:sz w:val="16"/>
                <w:szCs w:val="16"/>
                <w:color w:val="auto"/>
              </w:rPr>
              <w:t>—</w:t>
            </w:r>
          </w:p>
        </w:tc>
        <w:tc>
          <w:tcPr>
            <w:tcW w:w="1460" w:type="dxa"/>
            <w:vAlign w:val="bottom"/>
          </w:tcPr>
          <w:p>
            <w:pPr>
              <w:jc w:val="right"/>
              <w:spacing w:after="0"/>
              <w:rPr>
                <w:sz w:val="20"/>
                <w:szCs w:val="20"/>
                <w:color w:val="auto"/>
              </w:rPr>
            </w:pPr>
            <w:r>
              <w:rPr>
                <w:rFonts w:ascii="Calibri" w:cs="Calibri" w:eastAsia="Calibri" w:hAnsi="Calibri"/>
                <w:sz w:val="16"/>
                <w:szCs w:val="16"/>
                <w:color w:val="auto"/>
              </w:rPr>
              <w:t>—</w:t>
            </w:r>
          </w:p>
        </w:tc>
      </w:tr>
      <w:tr>
        <w:trPr>
          <w:trHeight w:val="206"/>
        </w:trPr>
        <w:tc>
          <w:tcPr>
            <w:tcW w:w="6660" w:type="dxa"/>
            <w:vAlign w:val="bottom"/>
          </w:tcPr>
          <w:p>
            <w:pPr>
              <w:ind w:left="20"/>
              <w:spacing w:after="0"/>
              <w:rPr>
                <w:sz w:val="20"/>
                <w:szCs w:val="20"/>
                <w:color w:val="auto"/>
              </w:rPr>
            </w:pPr>
            <w:r>
              <w:rPr>
                <w:rFonts w:ascii="Calibri" w:cs="Calibri" w:eastAsia="Calibri" w:hAnsi="Calibri"/>
                <w:sz w:val="16"/>
                <w:szCs w:val="16"/>
                <w:color w:val="auto"/>
              </w:rPr>
              <w:t>Forfeited/Expired</w:t>
            </w:r>
          </w:p>
        </w:tc>
        <w:tc>
          <w:tcPr>
            <w:tcW w:w="2420" w:type="dxa"/>
            <w:vAlign w:val="bottom"/>
          </w:tcPr>
          <w:p>
            <w:pPr>
              <w:jc w:val="right"/>
              <w:ind w:right="179"/>
              <w:spacing w:after="0"/>
              <w:rPr>
                <w:sz w:val="20"/>
                <w:szCs w:val="20"/>
                <w:color w:val="auto"/>
              </w:rPr>
            </w:pPr>
            <w:r>
              <w:rPr>
                <w:rFonts w:ascii="Calibri" w:cs="Calibri" w:eastAsia="Calibri" w:hAnsi="Calibri"/>
                <w:sz w:val="16"/>
                <w:szCs w:val="16"/>
                <w:color w:val="auto"/>
              </w:rPr>
              <w:t>—</w:t>
            </w:r>
          </w:p>
        </w:tc>
        <w:tc>
          <w:tcPr>
            <w:tcW w:w="1460" w:type="dxa"/>
            <w:vAlign w:val="bottom"/>
          </w:tcPr>
          <w:p>
            <w:pPr>
              <w:jc w:val="right"/>
              <w:spacing w:after="0"/>
              <w:rPr>
                <w:sz w:val="20"/>
                <w:szCs w:val="20"/>
                <w:color w:val="auto"/>
              </w:rPr>
            </w:pPr>
            <w:r>
              <w:rPr>
                <w:rFonts w:ascii="Calibri" w:cs="Calibri" w:eastAsia="Calibri" w:hAnsi="Calibri"/>
                <w:sz w:val="16"/>
                <w:szCs w:val="16"/>
                <w:color w:val="auto"/>
              </w:rPr>
              <w:t>—</w:t>
            </w:r>
          </w:p>
        </w:tc>
      </w:tr>
      <w:tr>
        <w:trPr>
          <w:trHeight w:val="206"/>
        </w:trPr>
        <w:tc>
          <w:tcPr>
            <w:tcW w:w="6660" w:type="dxa"/>
            <w:vAlign w:val="bottom"/>
          </w:tcPr>
          <w:p>
            <w:pPr>
              <w:ind w:left="20"/>
              <w:spacing w:after="0"/>
              <w:rPr>
                <w:sz w:val="20"/>
                <w:szCs w:val="20"/>
                <w:color w:val="auto"/>
              </w:rPr>
            </w:pPr>
            <w:r>
              <w:rPr>
                <w:rFonts w:ascii="Calibri" w:cs="Calibri" w:eastAsia="Calibri" w:hAnsi="Calibri"/>
                <w:sz w:val="16"/>
                <w:szCs w:val="16"/>
                <w:color w:val="auto"/>
              </w:rPr>
              <w:t>Cancelled</w:t>
            </w:r>
          </w:p>
        </w:tc>
        <w:tc>
          <w:tcPr>
            <w:tcW w:w="2420" w:type="dxa"/>
            <w:vAlign w:val="bottom"/>
          </w:tcPr>
          <w:p>
            <w:pPr>
              <w:jc w:val="right"/>
              <w:ind w:right="139"/>
              <w:spacing w:after="0"/>
              <w:rPr>
                <w:sz w:val="20"/>
                <w:szCs w:val="20"/>
                <w:color w:val="auto"/>
              </w:rPr>
            </w:pPr>
            <w:r>
              <w:rPr>
                <w:rFonts w:ascii="Calibri" w:cs="Calibri" w:eastAsia="Calibri" w:hAnsi="Calibri"/>
                <w:sz w:val="16"/>
                <w:szCs w:val="16"/>
                <w:color w:val="auto"/>
              </w:rPr>
              <w:t>(1,199,655)</w:t>
            </w:r>
          </w:p>
        </w:tc>
        <w:tc>
          <w:tcPr>
            <w:tcW w:w="1460" w:type="dxa"/>
            <w:vAlign w:val="bottom"/>
          </w:tcPr>
          <w:p>
            <w:pPr>
              <w:jc w:val="right"/>
              <w:spacing w:after="0"/>
              <w:rPr>
                <w:sz w:val="20"/>
                <w:szCs w:val="20"/>
                <w:color w:val="auto"/>
              </w:rPr>
            </w:pPr>
            <w:r>
              <w:rPr>
                <w:rFonts w:ascii="Calibri" w:cs="Calibri" w:eastAsia="Calibri" w:hAnsi="Calibri"/>
                <w:sz w:val="16"/>
                <w:szCs w:val="16"/>
                <w:color w:val="auto"/>
              </w:rPr>
              <w:t>39.65</w:t>
            </w:r>
          </w:p>
        </w:tc>
      </w:tr>
      <w:tr>
        <w:trPr>
          <w:trHeight w:val="20"/>
        </w:trPr>
        <w:tc>
          <w:tcPr>
            <w:tcW w:w="6660" w:type="dxa"/>
            <w:vAlign w:val="bottom"/>
            <w:tcBorders>
              <w:bottom w:val="single" w:sz="8" w:color="auto"/>
            </w:tcBorders>
          </w:tcPr>
          <w:p>
            <w:pPr>
              <w:spacing w:after="0" w:line="20" w:lineRule="exact"/>
              <w:rPr>
                <w:sz w:val="1"/>
                <w:szCs w:val="1"/>
                <w:color w:val="auto"/>
              </w:rPr>
            </w:pPr>
          </w:p>
        </w:tc>
        <w:tc>
          <w:tcPr>
            <w:tcW w:w="242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r>
      <w:tr>
        <w:trPr>
          <w:trHeight w:val="191"/>
        </w:trPr>
        <w:tc>
          <w:tcPr>
            <w:tcW w:w="6660" w:type="dxa"/>
            <w:vAlign w:val="bottom"/>
            <w:tcBorders>
              <w:bottom w:val="single" w:sz="8" w:color="auto"/>
            </w:tcBorders>
          </w:tcPr>
          <w:p>
            <w:pPr>
              <w:ind w:left="20"/>
              <w:spacing w:after="0" w:line="192" w:lineRule="exact"/>
              <w:rPr>
                <w:sz w:val="20"/>
                <w:szCs w:val="20"/>
                <w:color w:val="auto"/>
              </w:rPr>
            </w:pPr>
            <w:r>
              <w:rPr>
                <w:rFonts w:ascii="Calibri" w:cs="Calibri" w:eastAsia="Calibri" w:hAnsi="Calibri"/>
                <w:sz w:val="16"/>
                <w:szCs w:val="16"/>
                <w:b w:val="1"/>
                <w:bCs w:val="1"/>
                <w:color w:val="auto"/>
              </w:rPr>
              <w:t>Outstanding as at September 30, 2024</w:t>
            </w:r>
          </w:p>
        </w:tc>
        <w:tc>
          <w:tcPr>
            <w:tcW w:w="2420" w:type="dxa"/>
            <w:vAlign w:val="bottom"/>
            <w:tcBorders>
              <w:bottom w:val="single" w:sz="8" w:color="auto"/>
            </w:tcBorders>
          </w:tcPr>
          <w:p>
            <w:pPr>
              <w:jc w:val="right"/>
              <w:ind w:right="179"/>
              <w:spacing w:after="0" w:line="192" w:lineRule="exact"/>
              <w:rPr>
                <w:sz w:val="20"/>
                <w:szCs w:val="20"/>
                <w:color w:val="auto"/>
              </w:rPr>
            </w:pPr>
            <w:r>
              <w:rPr>
                <w:rFonts w:ascii="Calibri" w:cs="Calibri" w:eastAsia="Calibri" w:hAnsi="Calibri"/>
                <w:sz w:val="16"/>
                <w:szCs w:val="16"/>
                <w:b w:val="1"/>
                <w:bCs w:val="1"/>
                <w:color w:val="auto"/>
              </w:rPr>
              <w:t>3,912,010</w:t>
            </w:r>
          </w:p>
        </w:tc>
        <w:tc>
          <w:tcPr>
            <w:tcW w:w="1460" w:type="dxa"/>
            <w:vAlign w:val="bottom"/>
            <w:tcBorders>
              <w:bottom w:val="single" w:sz="8" w:color="auto"/>
            </w:tcBorders>
          </w:tcPr>
          <w:p>
            <w:pPr>
              <w:jc w:val="right"/>
              <w:spacing w:after="0" w:line="192" w:lineRule="exact"/>
              <w:rPr>
                <w:sz w:val="20"/>
                <w:szCs w:val="20"/>
                <w:color w:val="auto"/>
              </w:rPr>
            </w:pPr>
            <w:r>
              <w:rPr>
                <w:rFonts w:ascii="Calibri" w:cs="Calibri" w:eastAsia="Calibri" w:hAnsi="Calibri"/>
                <w:sz w:val="16"/>
                <w:szCs w:val="16"/>
                <w:b w:val="1"/>
                <w:bCs w:val="1"/>
                <w:color w:val="auto"/>
              </w:rPr>
              <w:t>15.31</w:t>
            </w:r>
          </w:p>
        </w:tc>
      </w:tr>
      <w:tr>
        <w:trPr>
          <w:trHeight w:val="198"/>
        </w:trPr>
        <w:tc>
          <w:tcPr>
            <w:tcW w:w="6660" w:type="dxa"/>
            <w:vAlign w:val="bottom"/>
            <w:tcBorders>
              <w:bottom w:val="single" w:sz="8" w:color="auto"/>
            </w:tcBorders>
          </w:tcPr>
          <w:p>
            <w:pPr>
              <w:ind w:left="20"/>
              <w:spacing w:after="0" w:line="193" w:lineRule="exact"/>
              <w:rPr>
                <w:sz w:val="20"/>
                <w:szCs w:val="20"/>
                <w:color w:val="auto"/>
              </w:rPr>
            </w:pPr>
            <w:r>
              <w:rPr>
                <w:rFonts w:ascii="Calibri" w:cs="Calibri" w:eastAsia="Calibri" w:hAnsi="Calibri"/>
                <w:sz w:val="16"/>
                <w:szCs w:val="16"/>
                <w:b w:val="1"/>
                <w:bCs w:val="1"/>
                <w:color w:val="auto"/>
              </w:rPr>
              <w:t>Exercisable as at September 30, 2024</w:t>
            </w:r>
          </w:p>
        </w:tc>
        <w:tc>
          <w:tcPr>
            <w:tcW w:w="2420" w:type="dxa"/>
            <w:vAlign w:val="bottom"/>
            <w:tcBorders>
              <w:bottom w:val="single" w:sz="8" w:color="auto"/>
            </w:tcBorders>
          </w:tcPr>
          <w:p>
            <w:pPr>
              <w:jc w:val="right"/>
              <w:ind w:right="179"/>
              <w:spacing w:after="0" w:line="193" w:lineRule="exact"/>
              <w:rPr>
                <w:sz w:val="20"/>
                <w:szCs w:val="20"/>
                <w:color w:val="auto"/>
              </w:rPr>
            </w:pPr>
            <w:r>
              <w:rPr>
                <w:rFonts w:ascii="Calibri" w:cs="Calibri" w:eastAsia="Calibri" w:hAnsi="Calibri"/>
                <w:sz w:val="16"/>
                <w:szCs w:val="16"/>
                <w:b w:val="1"/>
                <w:bCs w:val="1"/>
                <w:color w:val="auto"/>
              </w:rPr>
              <w:t>3,174,626</w:t>
            </w:r>
          </w:p>
        </w:tc>
        <w:tc>
          <w:tcPr>
            <w:tcW w:w="1460" w:type="dxa"/>
            <w:vAlign w:val="bottom"/>
            <w:tcBorders>
              <w:bottom w:val="single" w:sz="8" w:color="auto"/>
            </w:tcBorders>
          </w:tcPr>
          <w:p>
            <w:pPr>
              <w:jc w:val="right"/>
              <w:spacing w:after="0" w:line="193" w:lineRule="exact"/>
              <w:rPr>
                <w:sz w:val="20"/>
                <w:szCs w:val="20"/>
                <w:color w:val="auto"/>
              </w:rPr>
            </w:pPr>
            <w:r>
              <w:rPr>
                <w:rFonts w:ascii="Calibri" w:cs="Calibri" w:eastAsia="Calibri" w:hAnsi="Calibri"/>
                <w:sz w:val="16"/>
                <w:szCs w:val="16"/>
                <w:b w:val="1"/>
                <w:bCs w:val="1"/>
                <w:color w:val="auto"/>
              </w:rPr>
              <w:t>15.21</w:t>
            </w:r>
          </w:p>
        </w:tc>
      </w:tr>
    </w:tbl>
    <w:p>
      <w:pPr>
        <w:spacing w:after="0" w:line="234" w:lineRule="exact"/>
        <w:rPr>
          <w:sz w:val="20"/>
          <w:szCs w:val="20"/>
          <w:color w:val="auto"/>
        </w:rPr>
      </w:pPr>
    </w:p>
    <w:p>
      <w:pPr>
        <w:jc w:val="both"/>
        <w:ind w:left="220"/>
        <w:spacing w:after="0" w:line="276" w:lineRule="auto"/>
        <w:rPr>
          <w:sz w:val="20"/>
          <w:szCs w:val="20"/>
          <w:color w:val="auto"/>
        </w:rPr>
      </w:pPr>
      <w:r>
        <w:rPr>
          <w:rFonts w:ascii="Calibri" w:cs="Calibri" w:eastAsia="Calibri" w:hAnsi="Calibri"/>
          <w:sz w:val="16"/>
          <w:szCs w:val="16"/>
          <w:color w:val="auto"/>
        </w:rPr>
        <w:t>On April 5, 2024, the Company granted optons to purchase up to 308,294 Common Shares, of which 111,188 were granted to employees, 171,054 were granted to ofcers of the Company and 26,052 were granted to consultants. The granted optons have an exercise price of $21.28 per Common Share and expire on April 5, 2029. The granted optons vest over two years. The aggregate estmated grant date fair value was determined to be $4,619 calculated using the Black-Scholes opton pricing model with the following assumptons: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jc w:val="center"/>
        <w:ind w:right="200"/>
        <w:spacing w:after="0"/>
        <w:rPr>
          <w:sz w:val="20"/>
          <w:szCs w:val="20"/>
          <w:color w:val="auto"/>
        </w:rPr>
      </w:pPr>
      <w:r>
        <w:rPr>
          <w:rFonts w:ascii="Calibri" w:cs="Calibri" w:eastAsia="Calibri" w:hAnsi="Calibri"/>
          <w:sz w:val="16"/>
          <w:szCs w:val="16"/>
          <w:b w:val="1"/>
          <w:bCs w:val="1"/>
          <w:color w:val="auto"/>
        </w:rPr>
        <w:t>Page 13 of 23</w:t>
      </w:r>
    </w:p>
    <w:p>
      <w:pPr>
        <w:sectPr>
          <w:pgSz w:w="11900" w:h="16838" w:orient="portrait"/>
          <w:cols w:equalWidth="0" w:num="1">
            <w:col w:w="11200"/>
          </w:cols>
          <w:pgMar w:left="380" w:top="209" w:right="319" w:bottom="1440" w:gutter="0" w:footer="0" w:header="0"/>
        </w:sectPr>
      </w:pPr>
    </w:p>
    <w:bookmarkStart w:id="16" w:name="page17"/>
    <w:bookmarkEnd w:id="16"/>
    <w:p>
      <w:pPr>
        <w:spacing w:after="0"/>
        <w:rPr>
          <w:sz w:val="20"/>
          <w:szCs w:val="20"/>
          <w:color w:val="auto"/>
        </w:rPr>
      </w:pPr>
      <w:r>
        <w:rPr>
          <w:rFonts w:ascii="Calibri" w:cs="Calibri" w:eastAsia="Calibri" w:hAnsi="Calibri"/>
          <w:sz w:val="19"/>
          <w:szCs w:val="19"/>
          <w:b w:val="1"/>
          <w:bCs w:val="1"/>
          <w:color w:val="auto"/>
        </w:rPr>
        <w:t>CYBIN INC.</w:t>
      </w:r>
    </w:p>
    <w:p>
      <w:pPr>
        <w:spacing w:after="0" w:line="237" w:lineRule="auto"/>
        <w:rPr>
          <w:sz w:val="20"/>
          <w:szCs w:val="20"/>
          <w:color w:val="auto"/>
        </w:rPr>
      </w:pPr>
      <w:r>
        <w:rPr>
          <w:rFonts w:ascii="Calibri" w:cs="Calibri" w:eastAsia="Calibri" w:hAnsi="Calibri"/>
          <w:sz w:val="19"/>
          <w:szCs w:val="19"/>
          <w:b w:val="1"/>
          <w:bCs w:val="1"/>
          <w:color w:val="auto"/>
        </w:rPr>
        <w:t>NOTES TO THE CONDENSED INTERIM CONSOLIDATED FINANCIAL STATEMENTS</w:t>
      </w:r>
    </w:p>
    <w:p>
      <w:pPr>
        <w:spacing w:after="0" w:line="238" w:lineRule="auto"/>
        <w:rPr>
          <w:sz w:val="20"/>
          <w:szCs w:val="20"/>
          <w:color w:val="auto"/>
        </w:rPr>
      </w:pPr>
      <w:r>
        <w:rPr>
          <w:rFonts w:ascii="Calibri" w:cs="Calibri" w:eastAsia="Calibri" w:hAnsi="Calibri"/>
          <w:sz w:val="19"/>
          <w:szCs w:val="19"/>
          <w:b w:val="1"/>
          <w:bCs w:val="1"/>
          <w:color w:val="auto"/>
        </w:rPr>
        <w:t>September 30, 2024</w:t>
      </w:r>
    </w:p>
    <w:p>
      <w:pPr>
        <w:spacing w:after="0" w:line="3" w:lineRule="exact"/>
        <w:rPr>
          <w:sz w:val="20"/>
          <w:szCs w:val="20"/>
          <w:color w:val="auto"/>
        </w:rPr>
      </w:pPr>
    </w:p>
    <w:p>
      <w:pPr>
        <w:ind w:right="200"/>
        <w:spacing w:after="0" w:line="234" w:lineRule="auto"/>
        <w:rPr>
          <w:sz w:val="20"/>
          <w:szCs w:val="20"/>
          <w:color w:val="auto"/>
        </w:rPr>
      </w:pPr>
      <w:r>
        <w:rPr>
          <w:rFonts w:ascii="Calibri" w:cs="Calibri" w:eastAsia="Calibri" w:hAnsi="Calibri"/>
          <w:sz w:val="18"/>
          <w:szCs w:val="18"/>
          <w:b w:val="1"/>
          <w:bCs w:val="1"/>
          <w:color w:val="auto"/>
        </w:rPr>
        <w:t>(All amounts expressed in thousands of Canadian dollars, except share and per share amounts, and those otherwise stated in US dollars, Euros and Great Britain pounds which are in thousands.)</w:t>
      </w:r>
    </w:p>
    <w:p>
      <w:pPr>
        <w:spacing w:after="0" w:line="224" w:lineRule="auto"/>
        <w:rPr>
          <w:sz w:val="20"/>
          <w:szCs w:val="20"/>
          <w:color w:val="auto"/>
        </w:rPr>
      </w:pPr>
      <w:r>
        <w:rPr>
          <w:rFonts w:ascii="Calibri" w:cs="Calibri" w:eastAsia="Calibri" w:hAnsi="Calibri"/>
          <w:sz w:val="18"/>
          <w:szCs w:val="18"/>
          <w:b w:val="1"/>
          <w:bCs w:val="1"/>
          <w:color w:val="auto"/>
        </w:rPr>
        <w:t>(Unaudited)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-39370</wp:posOffset>
            </wp:positionH>
            <wp:positionV relativeFrom="paragraph">
              <wp:posOffset>48895</wp:posOffset>
            </wp:positionV>
            <wp:extent cx="7146925" cy="762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46925" cy="76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tbl>
      <w:tblPr>
        <w:tblLayout w:type="fixed"/>
        <w:tblInd w:w="220" w:type="dxa"/>
        <w:tblCellMar>
          <w:top w:w="0" w:type="dxa"/>
          <w:left w:w="0" w:type="dxa"/>
          <w:bottom w:w="0" w:type="dxa"/>
          <w:right w:w="0" w:type="dxa"/>
        </w:tblCellMar>
      </w:tblPr>
      <w:tr>
        <w:trPr>
          <w:trHeight w:val="195"/>
        </w:trPr>
        <w:tc>
          <w:tcPr>
            <w:tcW w:w="6740" w:type="dxa"/>
            <w:vAlign w:val="bottom"/>
          </w:tcPr>
          <w:p>
            <w:pPr>
              <w:ind w:left="60"/>
              <w:spacing w:after="0"/>
              <w:rPr>
                <w:sz w:val="20"/>
                <w:szCs w:val="20"/>
                <w:color w:val="auto"/>
              </w:rPr>
            </w:pPr>
            <w:r>
              <w:rPr>
                <w:rFonts w:ascii="Calibri" w:cs="Calibri" w:eastAsia="Calibri" w:hAnsi="Calibri"/>
                <w:sz w:val="16"/>
                <w:szCs w:val="16"/>
                <w:color w:val="auto"/>
              </w:rPr>
              <w:t>Risk-free interest rate</w:t>
            </w:r>
          </w:p>
        </w:tc>
        <w:tc>
          <w:tcPr>
            <w:tcW w:w="2580" w:type="dxa"/>
            <w:vAlign w:val="bottom"/>
          </w:tcPr>
          <w:p>
            <w:pPr>
              <w:spacing w:after="0"/>
              <w:rPr>
                <w:sz w:val="16"/>
                <w:szCs w:val="16"/>
                <w:color w:val="auto"/>
              </w:rPr>
            </w:pPr>
          </w:p>
        </w:tc>
        <w:tc>
          <w:tcPr>
            <w:tcW w:w="1280" w:type="dxa"/>
            <w:vAlign w:val="bottom"/>
          </w:tcPr>
          <w:p>
            <w:pPr>
              <w:jc w:val="right"/>
              <w:spacing w:after="0"/>
              <w:rPr>
                <w:sz w:val="20"/>
                <w:szCs w:val="20"/>
                <w:color w:val="auto"/>
              </w:rPr>
            </w:pPr>
            <w:r>
              <w:rPr>
                <w:rFonts w:ascii="Calibri" w:cs="Calibri" w:eastAsia="Calibri" w:hAnsi="Calibri"/>
                <w:sz w:val="16"/>
                <w:szCs w:val="16"/>
                <w:color w:val="auto"/>
              </w:rPr>
              <w:t>3.62%</w:t>
            </w:r>
          </w:p>
        </w:tc>
      </w:tr>
      <w:tr>
        <w:trPr>
          <w:trHeight w:val="206"/>
        </w:trPr>
        <w:tc>
          <w:tcPr>
            <w:tcW w:w="6740" w:type="dxa"/>
            <w:vAlign w:val="bottom"/>
          </w:tcPr>
          <w:p>
            <w:pPr>
              <w:ind w:left="60"/>
              <w:spacing w:after="0"/>
              <w:rPr>
                <w:sz w:val="20"/>
                <w:szCs w:val="20"/>
                <w:color w:val="auto"/>
              </w:rPr>
            </w:pPr>
            <w:r>
              <w:rPr>
                <w:rFonts w:ascii="Calibri" w:cs="Calibri" w:eastAsia="Calibri" w:hAnsi="Calibri"/>
                <w:sz w:val="16"/>
                <w:szCs w:val="16"/>
                <w:color w:val="auto"/>
              </w:rPr>
              <w:t>Expected annual volatlity, based on historical share price of the Company</w:t>
            </w:r>
          </w:p>
        </w:tc>
        <w:tc>
          <w:tcPr>
            <w:tcW w:w="2580" w:type="dxa"/>
            <w:vAlign w:val="bottom"/>
          </w:tcPr>
          <w:p>
            <w:pPr>
              <w:spacing w:after="0"/>
              <w:rPr>
                <w:sz w:val="17"/>
                <w:szCs w:val="17"/>
                <w:color w:val="auto"/>
              </w:rPr>
            </w:pPr>
          </w:p>
        </w:tc>
        <w:tc>
          <w:tcPr>
            <w:tcW w:w="1280" w:type="dxa"/>
            <w:vAlign w:val="bottom"/>
          </w:tcPr>
          <w:p>
            <w:pPr>
              <w:jc w:val="right"/>
              <w:spacing w:after="0"/>
              <w:rPr>
                <w:sz w:val="20"/>
                <w:szCs w:val="20"/>
                <w:color w:val="auto"/>
              </w:rPr>
            </w:pPr>
            <w:r>
              <w:rPr>
                <w:rFonts w:ascii="Calibri" w:cs="Calibri" w:eastAsia="Calibri" w:hAnsi="Calibri"/>
                <w:sz w:val="16"/>
                <w:szCs w:val="16"/>
                <w:color w:val="auto"/>
              </w:rPr>
              <w:t>88.13%</w:t>
            </w:r>
          </w:p>
        </w:tc>
      </w:tr>
      <w:tr>
        <w:trPr>
          <w:trHeight w:val="206"/>
        </w:trPr>
        <w:tc>
          <w:tcPr>
            <w:tcW w:w="6740" w:type="dxa"/>
            <w:vAlign w:val="bottom"/>
          </w:tcPr>
          <w:p>
            <w:pPr>
              <w:ind w:left="60"/>
              <w:spacing w:after="0"/>
              <w:rPr>
                <w:sz w:val="20"/>
                <w:szCs w:val="20"/>
                <w:color w:val="auto"/>
              </w:rPr>
            </w:pPr>
            <w:r>
              <w:rPr>
                <w:rFonts w:ascii="Calibri" w:cs="Calibri" w:eastAsia="Calibri" w:hAnsi="Calibri"/>
                <w:sz w:val="16"/>
                <w:szCs w:val="16"/>
                <w:color w:val="auto"/>
              </w:rPr>
              <w:t>Expected life (in years)</w:t>
            </w:r>
          </w:p>
        </w:tc>
        <w:tc>
          <w:tcPr>
            <w:tcW w:w="2580" w:type="dxa"/>
            <w:vAlign w:val="bottom"/>
          </w:tcPr>
          <w:p>
            <w:pPr>
              <w:spacing w:after="0"/>
              <w:rPr>
                <w:sz w:val="17"/>
                <w:szCs w:val="17"/>
                <w:color w:val="auto"/>
              </w:rPr>
            </w:pPr>
          </w:p>
        </w:tc>
        <w:tc>
          <w:tcPr>
            <w:tcW w:w="1280" w:type="dxa"/>
            <w:vAlign w:val="bottom"/>
          </w:tcPr>
          <w:p>
            <w:pPr>
              <w:jc w:val="right"/>
              <w:spacing w:after="0"/>
              <w:rPr>
                <w:sz w:val="20"/>
                <w:szCs w:val="20"/>
                <w:color w:val="auto"/>
              </w:rPr>
            </w:pPr>
            <w:r>
              <w:rPr>
                <w:rFonts w:ascii="Calibri" w:cs="Calibri" w:eastAsia="Calibri" w:hAnsi="Calibri"/>
                <w:sz w:val="16"/>
                <w:szCs w:val="16"/>
                <w:color w:val="auto"/>
              </w:rPr>
              <w:t>5.00</w:t>
            </w:r>
          </w:p>
        </w:tc>
      </w:tr>
      <w:tr>
        <w:trPr>
          <w:trHeight w:val="206"/>
        </w:trPr>
        <w:tc>
          <w:tcPr>
            <w:tcW w:w="6740" w:type="dxa"/>
            <w:vAlign w:val="bottom"/>
          </w:tcPr>
          <w:p>
            <w:pPr>
              <w:ind w:left="60"/>
              <w:spacing w:after="0"/>
              <w:rPr>
                <w:sz w:val="20"/>
                <w:szCs w:val="20"/>
                <w:color w:val="auto"/>
              </w:rPr>
            </w:pPr>
            <w:r>
              <w:rPr>
                <w:rFonts w:ascii="Calibri" w:cs="Calibri" w:eastAsia="Calibri" w:hAnsi="Calibri"/>
                <w:sz w:val="16"/>
                <w:szCs w:val="16"/>
                <w:color w:val="auto"/>
              </w:rPr>
              <w:t>Expected dividend yield</w:t>
            </w:r>
          </w:p>
        </w:tc>
        <w:tc>
          <w:tcPr>
            <w:tcW w:w="2580" w:type="dxa"/>
            <w:vAlign w:val="bottom"/>
          </w:tcPr>
          <w:p>
            <w:pPr>
              <w:spacing w:after="0"/>
              <w:rPr>
                <w:sz w:val="17"/>
                <w:szCs w:val="17"/>
                <w:color w:val="auto"/>
              </w:rPr>
            </w:pPr>
          </w:p>
        </w:tc>
        <w:tc>
          <w:tcPr>
            <w:tcW w:w="1280" w:type="dxa"/>
            <w:vAlign w:val="bottom"/>
          </w:tcPr>
          <w:p>
            <w:pPr>
              <w:jc w:val="right"/>
              <w:spacing w:after="0"/>
              <w:rPr>
                <w:sz w:val="20"/>
                <w:szCs w:val="20"/>
                <w:color w:val="auto"/>
              </w:rPr>
            </w:pPr>
            <w:r>
              <w:rPr>
                <w:rFonts w:ascii="Calibri" w:cs="Calibri" w:eastAsia="Calibri" w:hAnsi="Calibri"/>
                <w:sz w:val="16"/>
                <w:szCs w:val="16"/>
                <w:color w:val="auto"/>
              </w:rPr>
              <w:t>0.00%</w:t>
            </w:r>
          </w:p>
        </w:tc>
      </w:tr>
      <w:tr>
        <w:trPr>
          <w:trHeight w:val="206"/>
        </w:trPr>
        <w:tc>
          <w:tcPr>
            <w:tcW w:w="6740" w:type="dxa"/>
            <w:vAlign w:val="bottom"/>
          </w:tcPr>
          <w:p>
            <w:pPr>
              <w:ind w:left="60"/>
              <w:spacing w:after="0"/>
              <w:rPr>
                <w:sz w:val="20"/>
                <w:szCs w:val="20"/>
                <w:color w:val="auto"/>
              </w:rPr>
            </w:pPr>
            <w:r>
              <w:rPr>
                <w:rFonts w:ascii="Calibri" w:cs="Calibri" w:eastAsia="Calibri" w:hAnsi="Calibri"/>
                <w:sz w:val="16"/>
                <w:szCs w:val="16"/>
                <w:color w:val="auto"/>
              </w:rPr>
              <w:t>Unvested forfeiture rate</w:t>
            </w:r>
          </w:p>
        </w:tc>
        <w:tc>
          <w:tcPr>
            <w:tcW w:w="2580" w:type="dxa"/>
            <w:vAlign w:val="bottom"/>
          </w:tcPr>
          <w:p>
            <w:pPr>
              <w:spacing w:after="0"/>
              <w:rPr>
                <w:sz w:val="17"/>
                <w:szCs w:val="17"/>
                <w:color w:val="auto"/>
              </w:rPr>
            </w:pPr>
          </w:p>
        </w:tc>
        <w:tc>
          <w:tcPr>
            <w:tcW w:w="1280" w:type="dxa"/>
            <w:vAlign w:val="bottom"/>
          </w:tcPr>
          <w:p>
            <w:pPr>
              <w:jc w:val="right"/>
              <w:spacing w:after="0"/>
              <w:rPr>
                <w:sz w:val="20"/>
                <w:szCs w:val="20"/>
                <w:color w:val="auto"/>
              </w:rPr>
            </w:pPr>
            <w:r>
              <w:rPr>
                <w:rFonts w:ascii="Calibri" w:cs="Calibri" w:eastAsia="Calibri" w:hAnsi="Calibri"/>
                <w:sz w:val="16"/>
                <w:szCs w:val="16"/>
                <w:color w:val="auto"/>
              </w:rPr>
              <w:t>0% to 3.4%</w:t>
            </w:r>
          </w:p>
        </w:tc>
      </w:tr>
      <w:tr>
        <w:trPr>
          <w:trHeight w:val="206"/>
        </w:trPr>
        <w:tc>
          <w:tcPr>
            <w:tcW w:w="6740" w:type="dxa"/>
            <w:vAlign w:val="bottom"/>
          </w:tcPr>
          <w:p>
            <w:pPr>
              <w:ind w:left="60"/>
              <w:spacing w:after="0"/>
              <w:rPr>
                <w:sz w:val="20"/>
                <w:szCs w:val="20"/>
                <w:color w:val="auto"/>
              </w:rPr>
            </w:pPr>
            <w:r>
              <w:rPr>
                <w:rFonts w:ascii="Calibri" w:cs="Calibri" w:eastAsia="Calibri" w:hAnsi="Calibri"/>
                <w:sz w:val="16"/>
                <w:szCs w:val="16"/>
                <w:color w:val="auto"/>
              </w:rPr>
              <w:t>Share price</w:t>
            </w:r>
          </w:p>
        </w:tc>
        <w:tc>
          <w:tcPr>
            <w:tcW w:w="2580" w:type="dxa"/>
            <w:vAlign w:val="bottom"/>
          </w:tcPr>
          <w:p>
            <w:pPr>
              <w:jc w:val="right"/>
              <w:ind w:right="439"/>
              <w:spacing w:after="0"/>
              <w:rPr>
                <w:sz w:val="20"/>
                <w:szCs w:val="20"/>
                <w:color w:val="auto"/>
              </w:rPr>
            </w:pPr>
            <w:r>
              <w:rPr>
                <w:rFonts w:ascii="Calibri" w:cs="Calibri" w:eastAsia="Calibri" w:hAnsi="Calibri"/>
                <w:sz w:val="16"/>
                <w:szCs w:val="16"/>
                <w:color w:val="auto"/>
              </w:rPr>
              <w:t>$</w:t>
            </w:r>
          </w:p>
        </w:tc>
        <w:tc>
          <w:tcPr>
            <w:tcW w:w="1280" w:type="dxa"/>
            <w:vAlign w:val="bottom"/>
          </w:tcPr>
          <w:p>
            <w:pPr>
              <w:jc w:val="right"/>
              <w:spacing w:after="0"/>
              <w:rPr>
                <w:sz w:val="20"/>
                <w:szCs w:val="20"/>
                <w:color w:val="auto"/>
              </w:rPr>
            </w:pPr>
            <w:r>
              <w:rPr>
                <w:rFonts w:ascii="Calibri" w:cs="Calibri" w:eastAsia="Calibri" w:hAnsi="Calibri"/>
                <w:sz w:val="16"/>
                <w:szCs w:val="16"/>
                <w:color w:val="auto"/>
              </w:rPr>
              <w:t>21.28</w:t>
            </w:r>
          </w:p>
        </w:tc>
      </w:tr>
      <w:tr>
        <w:trPr>
          <w:trHeight w:val="206"/>
        </w:trPr>
        <w:tc>
          <w:tcPr>
            <w:tcW w:w="6740" w:type="dxa"/>
            <w:vAlign w:val="bottom"/>
          </w:tcPr>
          <w:p>
            <w:pPr>
              <w:ind w:left="60"/>
              <w:spacing w:after="0"/>
              <w:rPr>
                <w:sz w:val="20"/>
                <w:szCs w:val="20"/>
                <w:color w:val="auto"/>
              </w:rPr>
            </w:pPr>
            <w:r>
              <w:rPr>
                <w:rFonts w:ascii="Calibri" w:cs="Calibri" w:eastAsia="Calibri" w:hAnsi="Calibri"/>
                <w:sz w:val="16"/>
                <w:szCs w:val="16"/>
                <w:color w:val="auto"/>
              </w:rPr>
              <w:t>Exercise price</w:t>
            </w:r>
          </w:p>
        </w:tc>
        <w:tc>
          <w:tcPr>
            <w:tcW w:w="2580" w:type="dxa"/>
            <w:vAlign w:val="bottom"/>
          </w:tcPr>
          <w:p>
            <w:pPr>
              <w:jc w:val="right"/>
              <w:ind w:right="439"/>
              <w:spacing w:after="0"/>
              <w:rPr>
                <w:sz w:val="20"/>
                <w:szCs w:val="20"/>
                <w:color w:val="auto"/>
              </w:rPr>
            </w:pPr>
            <w:r>
              <w:rPr>
                <w:rFonts w:ascii="Calibri" w:cs="Calibri" w:eastAsia="Calibri" w:hAnsi="Calibri"/>
                <w:sz w:val="16"/>
                <w:szCs w:val="16"/>
                <w:color w:val="auto"/>
              </w:rPr>
              <w:t>$</w:t>
            </w:r>
          </w:p>
        </w:tc>
        <w:tc>
          <w:tcPr>
            <w:tcW w:w="1280" w:type="dxa"/>
            <w:vAlign w:val="bottom"/>
          </w:tcPr>
          <w:p>
            <w:pPr>
              <w:jc w:val="right"/>
              <w:spacing w:after="0"/>
              <w:rPr>
                <w:sz w:val="20"/>
                <w:szCs w:val="20"/>
                <w:color w:val="auto"/>
              </w:rPr>
            </w:pPr>
            <w:r>
              <w:rPr>
                <w:rFonts w:ascii="Calibri" w:cs="Calibri" w:eastAsia="Calibri" w:hAnsi="Calibri"/>
                <w:sz w:val="16"/>
                <w:szCs w:val="16"/>
                <w:color w:val="auto"/>
              </w:rPr>
              <w:t>21.28</w:t>
            </w:r>
          </w:p>
        </w:tc>
      </w:tr>
      <w:tr>
        <w:trPr>
          <w:trHeight w:val="20"/>
        </w:trPr>
        <w:tc>
          <w:tcPr>
            <w:tcW w:w="6740" w:type="dxa"/>
            <w:vAlign w:val="bottom"/>
            <w:tcBorders>
              <w:bottom w:val="single" w:sz="8" w:color="auto"/>
            </w:tcBorders>
          </w:tcPr>
          <w:p>
            <w:pPr>
              <w:spacing w:after="0" w:line="20" w:lineRule="exact"/>
              <w:rPr>
                <w:sz w:val="1"/>
                <w:szCs w:val="1"/>
                <w:color w:val="auto"/>
              </w:rPr>
            </w:pPr>
          </w:p>
        </w:tc>
        <w:tc>
          <w:tcPr>
            <w:tcW w:w="258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r>
    </w:tbl>
    <w:p>
      <w:pPr>
        <w:spacing w:after="0" w:line="270" w:lineRule="exact"/>
        <w:rPr>
          <w:sz w:val="20"/>
          <w:szCs w:val="20"/>
          <w:color w:val="auto"/>
        </w:rPr>
      </w:pPr>
    </w:p>
    <w:p>
      <w:pPr>
        <w:jc w:val="both"/>
        <w:ind w:left="220" w:right="20"/>
        <w:spacing w:after="0" w:line="279" w:lineRule="auto"/>
        <w:rPr>
          <w:sz w:val="20"/>
          <w:szCs w:val="20"/>
          <w:color w:val="auto"/>
        </w:rPr>
      </w:pPr>
      <w:r>
        <w:rPr>
          <w:rFonts w:ascii="Calibri" w:cs="Calibri" w:eastAsia="Calibri" w:hAnsi="Calibri"/>
          <w:sz w:val="16"/>
          <w:szCs w:val="16"/>
          <w:color w:val="auto"/>
        </w:rPr>
        <w:t>On May 5, 2024, the Company cancelled optons to purchase up to 1,199,655 Common Shares (exercise prices ranged from $27.17 to $119.70). The unvested optons were vested based on an accelerated cancellaton criteria which resulted in $2,060 share based compensaton expense.</w:t>
      </w:r>
    </w:p>
    <w:p>
      <w:pPr>
        <w:spacing w:after="0" w:line="211" w:lineRule="exact"/>
        <w:rPr>
          <w:sz w:val="20"/>
          <w:szCs w:val="20"/>
          <w:color w:val="auto"/>
        </w:rPr>
      </w:pPr>
    </w:p>
    <w:p>
      <w:pPr>
        <w:jc w:val="both"/>
        <w:ind w:left="220"/>
        <w:spacing w:after="0" w:line="276" w:lineRule="auto"/>
        <w:rPr>
          <w:sz w:val="20"/>
          <w:szCs w:val="20"/>
          <w:color w:val="auto"/>
        </w:rPr>
      </w:pPr>
      <w:r>
        <w:rPr>
          <w:rFonts w:ascii="Calibri" w:cs="Calibri" w:eastAsia="Calibri" w:hAnsi="Calibri"/>
          <w:sz w:val="16"/>
          <w:szCs w:val="16"/>
          <w:color w:val="auto"/>
        </w:rPr>
        <w:t>On August 15, 2024, the Company granted optons to purchase up to 3,061,232 Common Shares, of which 940,168 were granted to employees, 1,980,888 were granted to ofcers and directors and 140,176 were granted to consultants. The granted optons have an exercise price of $13.11 per Common Share and expire on August 15, 2034. Certain optons vested immediately, while others vest over periods of up to two years. The aggregate estmated grant date fair value was determined to be $34,822 calculated using the Black-Scholes opton pricing model with the following assumptons:</w:t>
      </w:r>
    </w:p>
    <w:p>
      <w:pPr>
        <w:spacing w:after="0" w:line="235" w:lineRule="exact"/>
        <w:rPr>
          <w:sz w:val="20"/>
          <w:szCs w:val="20"/>
          <w:color w:val="auto"/>
        </w:rPr>
      </w:pPr>
    </w:p>
    <w:tbl>
      <w:tblPr>
        <w:tblLayout w:type="fixed"/>
        <w:tblInd w:w="220" w:type="dxa"/>
        <w:tblCellMar>
          <w:top w:w="0" w:type="dxa"/>
          <w:left w:w="0" w:type="dxa"/>
          <w:bottom w:w="0" w:type="dxa"/>
          <w:right w:w="0" w:type="dxa"/>
        </w:tblCellMar>
      </w:tblPr>
      <w:tr>
        <w:trPr>
          <w:trHeight w:val="195"/>
        </w:trPr>
        <w:tc>
          <w:tcPr>
            <w:tcW w:w="6360" w:type="dxa"/>
            <w:vAlign w:val="bottom"/>
          </w:tcPr>
          <w:p>
            <w:pPr>
              <w:ind w:left="60"/>
              <w:spacing w:after="0"/>
              <w:rPr>
                <w:sz w:val="20"/>
                <w:szCs w:val="20"/>
                <w:color w:val="auto"/>
              </w:rPr>
            </w:pPr>
            <w:r>
              <w:rPr>
                <w:rFonts w:ascii="Calibri" w:cs="Calibri" w:eastAsia="Calibri" w:hAnsi="Calibri"/>
                <w:sz w:val="16"/>
                <w:szCs w:val="16"/>
                <w:color w:val="auto"/>
              </w:rPr>
              <w:t>Risk-free interest rate</w:t>
            </w:r>
          </w:p>
        </w:tc>
        <w:tc>
          <w:tcPr>
            <w:tcW w:w="2540" w:type="dxa"/>
            <w:vAlign w:val="bottom"/>
          </w:tcPr>
          <w:p>
            <w:pPr>
              <w:spacing w:after="0"/>
              <w:rPr>
                <w:sz w:val="16"/>
                <w:szCs w:val="16"/>
                <w:color w:val="auto"/>
              </w:rPr>
            </w:pPr>
          </w:p>
        </w:tc>
        <w:tc>
          <w:tcPr>
            <w:tcW w:w="1640" w:type="dxa"/>
            <w:vAlign w:val="bottom"/>
          </w:tcPr>
          <w:p>
            <w:pPr>
              <w:jc w:val="right"/>
              <w:spacing w:after="0"/>
              <w:rPr>
                <w:sz w:val="20"/>
                <w:szCs w:val="20"/>
                <w:color w:val="auto"/>
              </w:rPr>
            </w:pPr>
            <w:r>
              <w:rPr>
                <w:rFonts w:ascii="Calibri" w:cs="Calibri" w:eastAsia="Calibri" w:hAnsi="Calibri"/>
                <w:sz w:val="16"/>
                <w:szCs w:val="16"/>
                <w:color w:val="auto"/>
              </w:rPr>
              <w:t>3.07%</w:t>
            </w:r>
          </w:p>
        </w:tc>
      </w:tr>
      <w:tr>
        <w:trPr>
          <w:trHeight w:val="206"/>
        </w:trPr>
        <w:tc>
          <w:tcPr>
            <w:tcW w:w="6360" w:type="dxa"/>
            <w:vAlign w:val="bottom"/>
          </w:tcPr>
          <w:p>
            <w:pPr>
              <w:ind w:left="60"/>
              <w:spacing w:after="0"/>
              <w:rPr>
                <w:sz w:val="20"/>
                <w:szCs w:val="20"/>
                <w:color w:val="auto"/>
              </w:rPr>
            </w:pPr>
            <w:r>
              <w:rPr>
                <w:rFonts w:ascii="Calibri" w:cs="Calibri" w:eastAsia="Calibri" w:hAnsi="Calibri"/>
                <w:sz w:val="16"/>
                <w:szCs w:val="16"/>
                <w:color w:val="auto"/>
              </w:rPr>
              <w:t>Expected annual volatlity, based on historical share price of the Company</w:t>
            </w:r>
          </w:p>
        </w:tc>
        <w:tc>
          <w:tcPr>
            <w:tcW w:w="2540" w:type="dxa"/>
            <w:vAlign w:val="bottom"/>
          </w:tcPr>
          <w:p>
            <w:pPr>
              <w:spacing w:after="0"/>
              <w:rPr>
                <w:sz w:val="17"/>
                <w:szCs w:val="17"/>
                <w:color w:val="auto"/>
              </w:rPr>
            </w:pPr>
          </w:p>
        </w:tc>
        <w:tc>
          <w:tcPr>
            <w:tcW w:w="1640" w:type="dxa"/>
            <w:vAlign w:val="bottom"/>
          </w:tcPr>
          <w:p>
            <w:pPr>
              <w:jc w:val="right"/>
              <w:spacing w:after="0"/>
              <w:rPr>
                <w:sz w:val="20"/>
                <w:szCs w:val="20"/>
                <w:color w:val="auto"/>
              </w:rPr>
            </w:pPr>
            <w:r>
              <w:rPr>
                <w:rFonts w:ascii="Calibri" w:cs="Calibri" w:eastAsia="Calibri" w:hAnsi="Calibri"/>
                <w:sz w:val="16"/>
                <w:szCs w:val="16"/>
                <w:color w:val="auto"/>
              </w:rPr>
              <w:t>86.69%</w:t>
            </w:r>
          </w:p>
        </w:tc>
      </w:tr>
      <w:tr>
        <w:trPr>
          <w:trHeight w:val="206"/>
        </w:trPr>
        <w:tc>
          <w:tcPr>
            <w:tcW w:w="6360" w:type="dxa"/>
            <w:vAlign w:val="bottom"/>
          </w:tcPr>
          <w:p>
            <w:pPr>
              <w:ind w:left="60"/>
              <w:spacing w:after="0"/>
              <w:rPr>
                <w:sz w:val="20"/>
                <w:szCs w:val="20"/>
                <w:color w:val="auto"/>
              </w:rPr>
            </w:pPr>
            <w:r>
              <w:rPr>
                <w:rFonts w:ascii="Calibri" w:cs="Calibri" w:eastAsia="Calibri" w:hAnsi="Calibri"/>
                <w:sz w:val="16"/>
                <w:szCs w:val="16"/>
                <w:color w:val="auto"/>
              </w:rPr>
              <w:t>Expected life (in years)</w:t>
            </w:r>
          </w:p>
        </w:tc>
        <w:tc>
          <w:tcPr>
            <w:tcW w:w="2540" w:type="dxa"/>
            <w:vAlign w:val="bottom"/>
          </w:tcPr>
          <w:p>
            <w:pPr>
              <w:spacing w:after="0"/>
              <w:rPr>
                <w:sz w:val="17"/>
                <w:szCs w:val="17"/>
                <w:color w:val="auto"/>
              </w:rPr>
            </w:pPr>
          </w:p>
        </w:tc>
        <w:tc>
          <w:tcPr>
            <w:tcW w:w="1640" w:type="dxa"/>
            <w:vAlign w:val="bottom"/>
          </w:tcPr>
          <w:p>
            <w:pPr>
              <w:jc w:val="right"/>
              <w:spacing w:after="0"/>
              <w:rPr>
                <w:sz w:val="20"/>
                <w:szCs w:val="20"/>
                <w:color w:val="auto"/>
              </w:rPr>
            </w:pPr>
            <w:r>
              <w:rPr>
                <w:rFonts w:ascii="Calibri" w:cs="Calibri" w:eastAsia="Calibri" w:hAnsi="Calibri"/>
                <w:sz w:val="16"/>
                <w:szCs w:val="16"/>
                <w:color w:val="auto"/>
              </w:rPr>
              <w:t>10.00</w:t>
            </w:r>
          </w:p>
        </w:tc>
      </w:tr>
      <w:tr>
        <w:trPr>
          <w:trHeight w:val="206"/>
        </w:trPr>
        <w:tc>
          <w:tcPr>
            <w:tcW w:w="6360" w:type="dxa"/>
            <w:vAlign w:val="bottom"/>
          </w:tcPr>
          <w:p>
            <w:pPr>
              <w:ind w:left="60"/>
              <w:spacing w:after="0"/>
              <w:rPr>
                <w:sz w:val="20"/>
                <w:szCs w:val="20"/>
                <w:color w:val="auto"/>
              </w:rPr>
            </w:pPr>
            <w:r>
              <w:rPr>
                <w:rFonts w:ascii="Calibri" w:cs="Calibri" w:eastAsia="Calibri" w:hAnsi="Calibri"/>
                <w:sz w:val="16"/>
                <w:szCs w:val="16"/>
                <w:color w:val="auto"/>
              </w:rPr>
              <w:t>Expected dividend yield</w:t>
            </w:r>
          </w:p>
        </w:tc>
        <w:tc>
          <w:tcPr>
            <w:tcW w:w="2540" w:type="dxa"/>
            <w:vAlign w:val="bottom"/>
          </w:tcPr>
          <w:p>
            <w:pPr>
              <w:spacing w:after="0"/>
              <w:rPr>
                <w:sz w:val="17"/>
                <w:szCs w:val="17"/>
                <w:color w:val="auto"/>
              </w:rPr>
            </w:pPr>
          </w:p>
        </w:tc>
        <w:tc>
          <w:tcPr>
            <w:tcW w:w="1640" w:type="dxa"/>
            <w:vAlign w:val="bottom"/>
          </w:tcPr>
          <w:p>
            <w:pPr>
              <w:jc w:val="right"/>
              <w:spacing w:after="0"/>
              <w:rPr>
                <w:sz w:val="20"/>
                <w:szCs w:val="20"/>
                <w:color w:val="auto"/>
              </w:rPr>
            </w:pPr>
            <w:r>
              <w:rPr>
                <w:rFonts w:ascii="Calibri" w:cs="Calibri" w:eastAsia="Calibri" w:hAnsi="Calibri"/>
                <w:sz w:val="16"/>
                <w:szCs w:val="16"/>
                <w:color w:val="auto"/>
              </w:rPr>
              <w:t>0.00%</w:t>
            </w:r>
          </w:p>
        </w:tc>
      </w:tr>
      <w:tr>
        <w:trPr>
          <w:trHeight w:val="206"/>
        </w:trPr>
        <w:tc>
          <w:tcPr>
            <w:tcW w:w="6360" w:type="dxa"/>
            <w:vAlign w:val="bottom"/>
          </w:tcPr>
          <w:p>
            <w:pPr>
              <w:ind w:left="60"/>
              <w:spacing w:after="0"/>
              <w:rPr>
                <w:sz w:val="20"/>
                <w:szCs w:val="20"/>
                <w:color w:val="auto"/>
              </w:rPr>
            </w:pPr>
            <w:r>
              <w:rPr>
                <w:rFonts w:ascii="Calibri" w:cs="Calibri" w:eastAsia="Calibri" w:hAnsi="Calibri"/>
                <w:sz w:val="16"/>
                <w:szCs w:val="16"/>
                <w:color w:val="auto"/>
              </w:rPr>
              <w:t>Unvested forfeiture rate</w:t>
            </w:r>
          </w:p>
        </w:tc>
        <w:tc>
          <w:tcPr>
            <w:tcW w:w="2540" w:type="dxa"/>
            <w:vAlign w:val="bottom"/>
          </w:tcPr>
          <w:p>
            <w:pPr>
              <w:spacing w:after="0"/>
              <w:rPr>
                <w:sz w:val="17"/>
                <w:szCs w:val="17"/>
                <w:color w:val="auto"/>
              </w:rPr>
            </w:pPr>
          </w:p>
        </w:tc>
        <w:tc>
          <w:tcPr>
            <w:tcW w:w="1640" w:type="dxa"/>
            <w:vAlign w:val="bottom"/>
          </w:tcPr>
          <w:p>
            <w:pPr>
              <w:jc w:val="right"/>
              <w:spacing w:after="0"/>
              <w:rPr>
                <w:sz w:val="20"/>
                <w:szCs w:val="20"/>
                <w:color w:val="auto"/>
              </w:rPr>
            </w:pPr>
            <w:r>
              <w:rPr>
                <w:rFonts w:ascii="Calibri" w:cs="Calibri" w:eastAsia="Calibri" w:hAnsi="Calibri"/>
                <w:sz w:val="16"/>
                <w:szCs w:val="16"/>
                <w:color w:val="auto"/>
              </w:rPr>
              <w:t>0% to 3.4%</w:t>
            </w:r>
          </w:p>
        </w:tc>
      </w:tr>
      <w:tr>
        <w:trPr>
          <w:trHeight w:val="206"/>
        </w:trPr>
        <w:tc>
          <w:tcPr>
            <w:tcW w:w="6360" w:type="dxa"/>
            <w:vAlign w:val="bottom"/>
          </w:tcPr>
          <w:p>
            <w:pPr>
              <w:ind w:left="60"/>
              <w:spacing w:after="0"/>
              <w:rPr>
                <w:sz w:val="20"/>
                <w:szCs w:val="20"/>
                <w:color w:val="auto"/>
              </w:rPr>
            </w:pPr>
            <w:r>
              <w:rPr>
                <w:rFonts w:ascii="Calibri" w:cs="Calibri" w:eastAsia="Calibri" w:hAnsi="Calibri"/>
                <w:sz w:val="16"/>
                <w:szCs w:val="16"/>
                <w:color w:val="auto"/>
              </w:rPr>
              <w:t>Share price</w:t>
            </w:r>
          </w:p>
        </w:tc>
        <w:tc>
          <w:tcPr>
            <w:tcW w:w="2540" w:type="dxa"/>
            <w:vAlign w:val="bottom"/>
          </w:tcPr>
          <w:p>
            <w:pPr>
              <w:jc w:val="right"/>
              <w:ind w:right="779"/>
              <w:spacing w:after="0"/>
              <w:rPr>
                <w:sz w:val="20"/>
                <w:szCs w:val="20"/>
                <w:color w:val="auto"/>
              </w:rPr>
            </w:pPr>
            <w:r>
              <w:rPr>
                <w:rFonts w:ascii="Calibri" w:cs="Calibri" w:eastAsia="Calibri" w:hAnsi="Calibri"/>
                <w:sz w:val="16"/>
                <w:szCs w:val="16"/>
                <w:color w:val="auto"/>
              </w:rPr>
              <w:t>$</w:t>
            </w:r>
          </w:p>
        </w:tc>
        <w:tc>
          <w:tcPr>
            <w:tcW w:w="1640" w:type="dxa"/>
            <w:vAlign w:val="bottom"/>
          </w:tcPr>
          <w:p>
            <w:pPr>
              <w:jc w:val="right"/>
              <w:spacing w:after="0"/>
              <w:rPr>
                <w:sz w:val="20"/>
                <w:szCs w:val="20"/>
                <w:color w:val="auto"/>
              </w:rPr>
            </w:pPr>
            <w:r>
              <w:rPr>
                <w:rFonts w:ascii="Calibri" w:cs="Calibri" w:eastAsia="Calibri" w:hAnsi="Calibri"/>
                <w:sz w:val="16"/>
                <w:szCs w:val="16"/>
                <w:color w:val="auto"/>
              </w:rPr>
              <w:t>13.30</w:t>
            </w:r>
          </w:p>
        </w:tc>
      </w:tr>
      <w:tr>
        <w:trPr>
          <w:trHeight w:val="206"/>
        </w:trPr>
        <w:tc>
          <w:tcPr>
            <w:tcW w:w="6360" w:type="dxa"/>
            <w:vAlign w:val="bottom"/>
          </w:tcPr>
          <w:p>
            <w:pPr>
              <w:ind w:left="60"/>
              <w:spacing w:after="0"/>
              <w:rPr>
                <w:sz w:val="20"/>
                <w:szCs w:val="20"/>
                <w:color w:val="auto"/>
              </w:rPr>
            </w:pPr>
            <w:r>
              <w:rPr>
                <w:rFonts w:ascii="Calibri" w:cs="Calibri" w:eastAsia="Calibri" w:hAnsi="Calibri"/>
                <w:sz w:val="16"/>
                <w:szCs w:val="16"/>
                <w:color w:val="auto"/>
              </w:rPr>
              <w:t>Exercise price</w:t>
            </w:r>
          </w:p>
        </w:tc>
        <w:tc>
          <w:tcPr>
            <w:tcW w:w="2540" w:type="dxa"/>
            <w:vAlign w:val="bottom"/>
          </w:tcPr>
          <w:p>
            <w:pPr>
              <w:jc w:val="right"/>
              <w:ind w:right="779"/>
              <w:spacing w:after="0"/>
              <w:rPr>
                <w:sz w:val="20"/>
                <w:szCs w:val="20"/>
                <w:color w:val="auto"/>
              </w:rPr>
            </w:pPr>
            <w:r>
              <w:rPr>
                <w:rFonts w:ascii="Calibri" w:cs="Calibri" w:eastAsia="Calibri" w:hAnsi="Calibri"/>
                <w:sz w:val="16"/>
                <w:szCs w:val="16"/>
                <w:color w:val="auto"/>
              </w:rPr>
              <w:t>$</w:t>
            </w:r>
          </w:p>
        </w:tc>
        <w:tc>
          <w:tcPr>
            <w:tcW w:w="1640" w:type="dxa"/>
            <w:vAlign w:val="bottom"/>
          </w:tcPr>
          <w:p>
            <w:pPr>
              <w:jc w:val="right"/>
              <w:spacing w:after="0"/>
              <w:rPr>
                <w:sz w:val="20"/>
                <w:szCs w:val="20"/>
                <w:color w:val="auto"/>
              </w:rPr>
            </w:pPr>
            <w:r>
              <w:rPr>
                <w:rFonts w:ascii="Calibri" w:cs="Calibri" w:eastAsia="Calibri" w:hAnsi="Calibri"/>
                <w:sz w:val="16"/>
                <w:szCs w:val="16"/>
                <w:color w:val="auto"/>
              </w:rPr>
              <w:t>13.11</w:t>
            </w:r>
          </w:p>
        </w:tc>
      </w:tr>
      <w:tr>
        <w:trPr>
          <w:trHeight w:val="20"/>
        </w:trPr>
        <w:tc>
          <w:tcPr>
            <w:tcW w:w="6360" w:type="dxa"/>
            <w:vAlign w:val="bottom"/>
            <w:tcBorders>
              <w:bottom w:val="single" w:sz="8" w:color="auto"/>
            </w:tcBorders>
          </w:tcPr>
          <w:p>
            <w:pPr>
              <w:spacing w:after="0" w:line="20" w:lineRule="exact"/>
              <w:rPr>
                <w:sz w:val="1"/>
                <w:szCs w:val="1"/>
                <w:color w:val="auto"/>
              </w:rPr>
            </w:pPr>
          </w:p>
        </w:tc>
        <w:tc>
          <w:tcPr>
            <w:tcW w:w="2540" w:type="dxa"/>
            <w:vAlign w:val="bottom"/>
            <w:tcBorders>
              <w:bottom w:val="single" w:sz="8" w:color="auto"/>
            </w:tcBorders>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center"/>
        <w:ind w:right="200"/>
        <w:spacing w:after="0"/>
        <w:rPr>
          <w:sz w:val="20"/>
          <w:szCs w:val="20"/>
          <w:color w:val="auto"/>
        </w:rPr>
      </w:pPr>
      <w:r>
        <w:rPr>
          <w:rFonts w:ascii="Calibri" w:cs="Calibri" w:eastAsia="Calibri" w:hAnsi="Calibri"/>
          <w:sz w:val="16"/>
          <w:szCs w:val="16"/>
          <w:b w:val="1"/>
          <w:bCs w:val="1"/>
          <w:color w:val="auto"/>
        </w:rPr>
        <w:t>Page 14 of 23</w:t>
      </w:r>
    </w:p>
    <w:p>
      <w:pPr>
        <w:sectPr>
          <w:pgSz w:w="11900" w:h="16838" w:orient="portrait"/>
          <w:cols w:equalWidth="0" w:num="1">
            <w:col w:w="11200"/>
          </w:cols>
          <w:pgMar w:left="380" w:top="209" w:right="319" w:bottom="1440" w:gutter="0" w:footer="0" w:header="0"/>
        </w:sectPr>
      </w:pPr>
    </w:p>
    <w:bookmarkStart w:id="17" w:name="page18"/>
    <w:bookmarkEnd w:id="17"/>
    <w:p>
      <w:pPr>
        <w:spacing w:after="0"/>
        <w:rPr>
          <w:sz w:val="20"/>
          <w:szCs w:val="20"/>
          <w:color w:val="auto"/>
        </w:rPr>
      </w:pPr>
      <w:r>
        <w:rPr>
          <w:rFonts w:ascii="Calibri" w:cs="Calibri" w:eastAsia="Calibri" w:hAnsi="Calibri"/>
          <w:sz w:val="19"/>
          <w:szCs w:val="19"/>
          <w:b w:val="1"/>
          <w:bCs w:val="1"/>
          <w:color w:val="auto"/>
        </w:rPr>
        <w:t>CYBIN INC.</w:t>
      </w:r>
    </w:p>
    <w:p>
      <w:pPr>
        <w:spacing w:after="0" w:line="237" w:lineRule="auto"/>
        <w:rPr>
          <w:sz w:val="20"/>
          <w:szCs w:val="20"/>
          <w:color w:val="auto"/>
        </w:rPr>
      </w:pPr>
      <w:r>
        <w:rPr>
          <w:rFonts w:ascii="Calibri" w:cs="Calibri" w:eastAsia="Calibri" w:hAnsi="Calibri"/>
          <w:sz w:val="19"/>
          <w:szCs w:val="19"/>
          <w:b w:val="1"/>
          <w:bCs w:val="1"/>
          <w:color w:val="auto"/>
        </w:rPr>
        <w:t>NOTES TO THE CONDENSED INTERIM CONSOLIDATED FINANCIAL STATEMENTS</w:t>
      </w:r>
    </w:p>
    <w:p>
      <w:pPr>
        <w:spacing w:after="0" w:line="238" w:lineRule="auto"/>
        <w:rPr>
          <w:sz w:val="20"/>
          <w:szCs w:val="20"/>
          <w:color w:val="auto"/>
        </w:rPr>
      </w:pPr>
      <w:r>
        <w:rPr>
          <w:rFonts w:ascii="Calibri" w:cs="Calibri" w:eastAsia="Calibri" w:hAnsi="Calibri"/>
          <w:sz w:val="19"/>
          <w:szCs w:val="19"/>
          <w:b w:val="1"/>
          <w:bCs w:val="1"/>
          <w:color w:val="auto"/>
        </w:rPr>
        <w:t>September 30, 2024</w:t>
      </w:r>
    </w:p>
    <w:p>
      <w:pPr>
        <w:spacing w:after="0" w:line="3" w:lineRule="exact"/>
        <w:rPr>
          <w:sz w:val="20"/>
          <w:szCs w:val="20"/>
          <w:color w:val="auto"/>
        </w:rPr>
      </w:pPr>
    </w:p>
    <w:p>
      <w:pPr>
        <w:ind w:right="180"/>
        <w:spacing w:after="0" w:line="234" w:lineRule="auto"/>
        <w:rPr>
          <w:sz w:val="20"/>
          <w:szCs w:val="20"/>
          <w:color w:val="auto"/>
        </w:rPr>
      </w:pPr>
      <w:r>
        <w:rPr>
          <w:rFonts w:ascii="Calibri" w:cs="Calibri" w:eastAsia="Calibri" w:hAnsi="Calibri"/>
          <w:sz w:val="18"/>
          <w:szCs w:val="18"/>
          <w:b w:val="1"/>
          <w:bCs w:val="1"/>
          <w:color w:val="auto"/>
        </w:rPr>
        <w:t>(All amounts expressed in thousands of Canadian dollars, except share and per share amounts, and those otherwise stated in US dollars, Euros and Great Britain pounds which are in thousands.)</w:t>
      </w:r>
    </w:p>
    <w:p>
      <w:pPr>
        <w:spacing w:after="0" w:line="224" w:lineRule="auto"/>
        <w:rPr>
          <w:sz w:val="20"/>
          <w:szCs w:val="20"/>
          <w:color w:val="auto"/>
        </w:rPr>
      </w:pPr>
      <w:r>
        <w:rPr>
          <w:rFonts w:ascii="Calibri" w:cs="Calibri" w:eastAsia="Calibri" w:hAnsi="Calibri"/>
          <w:sz w:val="18"/>
          <w:szCs w:val="18"/>
          <w:b w:val="1"/>
          <w:bCs w:val="1"/>
          <w:color w:val="auto"/>
        </w:rPr>
        <w:t>(Unaudited)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-39370</wp:posOffset>
            </wp:positionH>
            <wp:positionV relativeFrom="paragraph">
              <wp:posOffset>48895</wp:posOffset>
            </wp:positionV>
            <wp:extent cx="7146925" cy="762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46925" cy="76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ind w:left="220"/>
        <w:spacing w:after="0"/>
        <w:rPr>
          <w:sz w:val="20"/>
          <w:szCs w:val="20"/>
          <w:color w:val="auto"/>
        </w:rPr>
      </w:pPr>
      <w:r>
        <w:rPr>
          <w:rFonts w:ascii="Calibri" w:cs="Calibri" w:eastAsia="Calibri" w:hAnsi="Calibri"/>
          <w:sz w:val="16"/>
          <w:szCs w:val="16"/>
          <w:color w:val="auto"/>
        </w:rPr>
        <w:t>The following summarizes informaton about stock optons outstanding on September 30, 2024:</w:t>
      </w:r>
    </w:p>
    <w:p>
      <w:pPr>
        <w:spacing w:after="0" w:line="77" w:lineRule="exact"/>
        <w:rPr>
          <w:sz w:val="20"/>
          <w:szCs w:val="20"/>
          <w:color w:val="auto"/>
        </w:rPr>
      </w:pPr>
    </w:p>
    <w:tbl>
      <w:tblPr>
        <w:tblLayout w:type="fixed"/>
        <w:tblInd w:w="220" w:type="dxa"/>
        <w:tblCellMar>
          <w:top w:w="0" w:type="dxa"/>
          <w:left w:w="0" w:type="dxa"/>
          <w:bottom w:w="0" w:type="dxa"/>
          <w:right w:w="0" w:type="dxa"/>
        </w:tblCellMar>
      </w:tblPr>
      <w:tr>
        <w:trPr>
          <w:trHeight w:val="391"/>
        </w:trPr>
        <w:tc>
          <w:tcPr>
            <w:tcW w:w="2380" w:type="dxa"/>
            <w:vAlign w:val="bottom"/>
          </w:tcPr>
          <w:p>
            <w:pPr>
              <w:spacing w:after="0"/>
              <w:rPr>
                <w:sz w:val="24"/>
                <w:szCs w:val="24"/>
                <w:color w:val="auto"/>
              </w:rPr>
            </w:pPr>
          </w:p>
        </w:tc>
        <w:tc>
          <w:tcPr>
            <w:tcW w:w="2080" w:type="dxa"/>
            <w:vAlign w:val="bottom"/>
          </w:tcPr>
          <w:p>
            <w:pPr>
              <w:spacing w:after="0"/>
              <w:rPr>
                <w:sz w:val="24"/>
                <w:szCs w:val="24"/>
                <w:color w:val="auto"/>
              </w:rPr>
            </w:pPr>
          </w:p>
        </w:tc>
        <w:tc>
          <w:tcPr>
            <w:tcW w:w="1440" w:type="dxa"/>
            <w:vAlign w:val="bottom"/>
          </w:tcPr>
          <w:p>
            <w:pPr>
              <w:jc w:val="right"/>
              <w:ind w:right="39"/>
              <w:spacing w:after="0"/>
              <w:rPr>
                <w:sz w:val="20"/>
                <w:szCs w:val="20"/>
                <w:color w:val="auto"/>
              </w:rPr>
            </w:pPr>
            <w:r>
              <w:rPr>
                <w:rFonts w:ascii="Calibri" w:cs="Calibri" w:eastAsia="Calibri" w:hAnsi="Calibri"/>
                <w:sz w:val="16"/>
                <w:szCs w:val="16"/>
                <w:b w:val="1"/>
                <w:bCs w:val="1"/>
                <w:color w:val="auto"/>
              </w:rPr>
              <w:t>Number of optons</w:t>
            </w:r>
          </w:p>
        </w:tc>
        <w:tc>
          <w:tcPr>
            <w:tcW w:w="1500" w:type="dxa"/>
            <w:vAlign w:val="bottom"/>
          </w:tcPr>
          <w:p>
            <w:pPr>
              <w:jc w:val="right"/>
              <w:ind w:right="99"/>
              <w:spacing w:after="0"/>
              <w:rPr>
                <w:sz w:val="20"/>
                <w:szCs w:val="20"/>
                <w:color w:val="auto"/>
              </w:rPr>
            </w:pPr>
            <w:r>
              <w:rPr>
                <w:rFonts w:ascii="Calibri" w:cs="Calibri" w:eastAsia="Calibri" w:hAnsi="Calibri"/>
                <w:sz w:val="16"/>
                <w:szCs w:val="16"/>
                <w:b w:val="1"/>
                <w:bCs w:val="1"/>
                <w:color w:val="auto"/>
              </w:rPr>
              <w:t>Number of optons</w:t>
            </w:r>
          </w:p>
        </w:tc>
        <w:tc>
          <w:tcPr>
            <w:tcW w:w="3140" w:type="dxa"/>
            <w:vAlign w:val="bottom"/>
            <w:gridSpan w:val="2"/>
          </w:tcPr>
          <w:p>
            <w:pPr>
              <w:jc w:val="right"/>
              <w:ind w:right="19"/>
              <w:spacing w:after="0"/>
              <w:rPr>
                <w:sz w:val="20"/>
                <w:szCs w:val="20"/>
                <w:color w:val="auto"/>
              </w:rPr>
            </w:pPr>
            <w:r>
              <w:rPr>
                <w:rFonts w:ascii="Calibri" w:cs="Calibri" w:eastAsia="Calibri" w:hAnsi="Calibri"/>
                <w:sz w:val="32"/>
                <w:szCs w:val="32"/>
                <w:b w:val="1"/>
                <w:bCs w:val="1"/>
                <w:color w:val="auto"/>
                <w:w w:val="92"/>
                <w:vertAlign w:val="superscript"/>
              </w:rPr>
              <w:t>Weighted average</w:t>
            </w:r>
            <w:r>
              <w:rPr>
                <w:rFonts w:ascii="Calibri" w:cs="Calibri" w:eastAsia="Calibri" w:hAnsi="Calibri"/>
                <w:sz w:val="16"/>
                <w:szCs w:val="16"/>
                <w:b w:val="1"/>
                <w:bCs w:val="1"/>
                <w:color w:val="auto"/>
                <w:w w:val="92"/>
              </w:rPr>
              <w:t xml:space="preserve"> Estmated grant date fair</w:t>
            </w:r>
          </w:p>
        </w:tc>
        <w:tc>
          <w:tcPr>
            <w:tcW w:w="0" w:type="dxa"/>
            <w:vAlign w:val="bottom"/>
          </w:tcPr>
          <w:p>
            <w:pPr>
              <w:spacing w:after="0"/>
              <w:rPr>
                <w:sz w:val="1"/>
                <w:szCs w:val="1"/>
                <w:color w:val="auto"/>
              </w:rPr>
            </w:pPr>
          </w:p>
        </w:tc>
      </w:tr>
      <w:tr>
        <w:trPr>
          <w:trHeight w:val="242"/>
        </w:trPr>
        <w:tc>
          <w:tcPr>
            <w:tcW w:w="2380" w:type="dxa"/>
            <w:vAlign w:val="bottom"/>
            <w:tcBorders>
              <w:bottom w:val="single" w:sz="8" w:color="auto"/>
            </w:tcBorders>
          </w:tcPr>
          <w:p>
            <w:pPr>
              <w:spacing w:after="0"/>
              <w:rPr>
                <w:sz w:val="21"/>
                <w:szCs w:val="21"/>
                <w:color w:val="auto"/>
              </w:rPr>
            </w:pPr>
          </w:p>
        </w:tc>
        <w:tc>
          <w:tcPr>
            <w:tcW w:w="2080" w:type="dxa"/>
            <w:vAlign w:val="bottom"/>
            <w:tcBorders>
              <w:bottom w:val="single" w:sz="8" w:color="auto"/>
            </w:tcBorders>
          </w:tcPr>
          <w:p>
            <w:pPr>
              <w:jc w:val="right"/>
              <w:ind w:right="59"/>
              <w:spacing w:after="0" w:line="193" w:lineRule="exact"/>
              <w:rPr>
                <w:sz w:val="20"/>
                <w:szCs w:val="20"/>
                <w:color w:val="auto"/>
              </w:rPr>
            </w:pPr>
            <w:r>
              <w:rPr>
                <w:rFonts w:ascii="Calibri" w:cs="Calibri" w:eastAsia="Calibri" w:hAnsi="Calibri"/>
                <w:sz w:val="16"/>
                <w:szCs w:val="16"/>
                <w:b w:val="1"/>
                <w:bCs w:val="1"/>
                <w:color w:val="auto"/>
              </w:rPr>
              <w:t>Exercise Price</w:t>
            </w:r>
          </w:p>
        </w:tc>
        <w:tc>
          <w:tcPr>
            <w:tcW w:w="1440" w:type="dxa"/>
            <w:vAlign w:val="bottom"/>
            <w:tcBorders>
              <w:bottom w:val="single" w:sz="8" w:color="auto"/>
            </w:tcBorders>
          </w:tcPr>
          <w:p>
            <w:pPr>
              <w:jc w:val="right"/>
              <w:ind w:right="39"/>
              <w:spacing w:after="0" w:line="193" w:lineRule="exact"/>
              <w:rPr>
                <w:sz w:val="20"/>
                <w:szCs w:val="20"/>
                <w:color w:val="auto"/>
              </w:rPr>
            </w:pPr>
            <w:r>
              <w:rPr>
                <w:rFonts w:ascii="Calibri" w:cs="Calibri" w:eastAsia="Calibri" w:hAnsi="Calibri"/>
                <w:sz w:val="16"/>
                <w:szCs w:val="16"/>
                <w:b w:val="1"/>
                <w:bCs w:val="1"/>
                <w:color w:val="auto"/>
              </w:rPr>
              <w:t>outstanding</w:t>
            </w:r>
          </w:p>
        </w:tc>
        <w:tc>
          <w:tcPr>
            <w:tcW w:w="1500" w:type="dxa"/>
            <w:vAlign w:val="bottom"/>
            <w:tcBorders>
              <w:bottom w:val="single" w:sz="8" w:color="auto"/>
            </w:tcBorders>
          </w:tcPr>
          <w:p>
            <w:pPr>
              <w:jc w:val="right"/>
              <w:ind w:right="99"/>
              <w:spacing w:after="0" w:line="193" w:lineRule="exact"/>
              <w:rPr>
                <w:sz w:val="20"/>
                <w:szCs w:val="20"/>
                <w:color w:val="auto"/>
              </w:rPr>
            </w:pPr>
            <w:r>
              <w:rPr>
                <w:rFonts w:ascii="Calibri" w:cs="Calibri" w:eastAsia="Calibri" w:hAnsi="Calibri"/>
                <w:sz w:val="16"/>
                <w:szCs w:val="16"/>
                <w:b w:val="1"/>
                <w:bCs w:val="1"/>
                <w:color w:val="auto"/>
              </w:rPr>
              <w:t>exercisable</w:t>
            </w:r>
          </w:p>
        </w:tc>
        <w:tc>
          <w:tcPr>
            <w:tcW w:w="2220" w:type="dxa"/>
            <w:vAlign w:val="bottom"/>
            <w:tcBorders>
              <w:bottom w:val="single" w:sz="8" w:color="auto"/>
            </w:tcBorders>
          </w:tcPr>
          <w:p>
            <w:pPr>
              <w:jc w:val="right"/>
              <w:ind w:right="360"/>
              <w:spacing w:after="0" w:line="241" w:lineRule="exact"/>
              <w:rPr>
                <w:sz w:val="20"/>
                <w:szCs w:val="20"/>
                <w:color w:val="auto"/>
              </w:rPr>
            </w:pPr>
            <w:r>
              <w:rPr>
                <w:rFonts w:ascii="Calibri" w:cs="Calibri" w:eastAsia="Calibri" w:hAnsi="Calibri"/>
                <w:sz w:val="14"/>
                <w:szCs w:val="14"/>
                <w:b w:val="1"/>
                <w:bCs w:val="1"/>
                <w:color w:val="auto"/>
              </w:rPr>
              <w:t xml:space="preserve">remaining life </w:t>
            </w:r>
            <w:r>
              <w:rPr>
                <w:rFonts w:ascii="Calibri" w:cs="Calibri" w:eastAsia="Calibri" w:hAnsi="Calibri"/>
                <w:sz w:val="26"/>
                <w:szCs w:val="26"/>
                <w:b w:val="1"/>
                <w:bCs w:val="1"/>
                <w:color w:val="auto"/>
                <w:vertAlign w:val="subscript"/>
              </w:rPr>
              <w:t>value</w:t>
            </w:r>
          </w:p>
        </w:tc>
        <w:tc>
          <w:tcPr>
            <w:tcW w:w="920" w:type="dxa"/>
            <w:vAlign w:val="bottom"/>
            <w:tcBorders>
              <w:bottom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185"/>
        </w:trPr>
        <w:tc>
          <w:tcPr>
            <w:tcW w:w="2380" w:type="dxa"/>
            <w:vAlign w:val="bottom"/>
          </w:tcPr>
          <w:p>
            <w:pPr>
              <w:ind w:left="60"/>
              <w:spacing w:after="0" w:line="185" w:lineRule="exact"/>
              <w:rPr>
                <w:sz w:val="20"/>
                <w:szCs w:val="20"/>
                <w:color w:val="auto"/>
              </w:rPr>
            </w:pPr>
            <w:r>
              <w:rPr>
                <w:rFonts w:ascii="Calibri" w:cs="Calibri" w:eastAsia="Calibri" w:hAnsi="Calibri"/>
                <w:sz w:val="16"/>
                <w:szCs w:val="16"/>
                <w:b w:val="1"/>
                <w:bCs w:val="1"/>
                <w:color w:val="auto"/>
              </w:rPr>
              <w:t>Expiry date</w:t>
            </w:r>
          </w:p>
        </w:tc>
        <w:tc>
          <w:tcPr>
            <w:tcW w:w="2080" w:type="dxa"/>
            <w:vAlign w:val="bottom"/>
            <w:vMerge w:val="restart"/>
          </w:tcPr>
          <w:p>
            <w:pPr>
              <w:jc w:val="right"/>
              <w:ind w:right="59"/>
              <w:spacing w:after="0"/>
              <w:rPr>
                <w:sz w:val="20"/>
                <w:szCs w:val="20"/>
                <w:color w:val="auto"/>
              </w:rPr>
            </w:pPr>
            <w:r>
              <w:rPr>
                <w:rFonts w:ascii="Calibri" w:cs="Calibri" w:eastAsia="Calibri" w:hAnsi="Calibri"/>
                <w:sz w:val="16"/>
                <w:szCs w:val="16"/>
                <w:b w:val="1"/>
                <w:bCs w:val="1"/>
                <w:color w:val="auto"/>
              </w:rPr>
              <w:t>$</w:t>
            </w:r>
          </w:p>
        </w:tc>
        <w:tc>
          <w:tcPr>
            <w:tcW w:w="1440" w:type="dxa"/>
            <w:vAlign w:val="bottom"/>
          </w:tcPr>
          <w:p>
            <w:pPr>
              <w:spacing w:after="0"/>
              <w:rPr>
                <w:sz w:val="16"/>
                <w:szCs w:val="16"/>
                <w:color w:val="auto"/>
              </w:rPr>
            </w:pPr>
          </w:p>
        </w:tc>
        <w:tc>
          <w:tcPr>
            <w:tcW w:w="1500" w:type="dxa"/>
            <w:vAlign w:val="bottom"/>
          </w:tcPr>
          <w:p>
            <w:pPr>
              <w:spacing w:after="0"/>
              <w:rPr>
                <w:sz w:val="16"/>
                <w:szCs w:val="16"/>
                <w:color w:val="auto"/>
              </w:rPr>
            </w:pPr>
          </w:p>
        </w:tc>
        <w:tc>
          <w:tcPr>
            <w:tcW w:w="2220" w:type="dxa"/>
            <w:vAlign w:val="bottom"/>
            <w:vMerge w:val="restart"/>
          </w:tcPr>
          <w:p>
            <w:pPr>
              <w:jc w:val="right"/>
              <w:ind w:right="800"/>
              <w:spacing w:after="0"/>
              <w:rPr>
                <w:sz w:val="20"/>
                <w:szCs w:val="20"/>
                <w:color w:val="auto"/>
              </w:rPr>
            </w:pPr>
            <w:r>
              <w:rPr>
                <w:rFonts w:ascii="Calibri" w:cs="Calibri" w:eastAsia="Calibri" w:hAnsi="Calibri"/>
                <w:sz w:val="16"/>
                <w:szCs w:val="16"/>
                <w:b w:val="1"/>
                <w:bCs w:val="1"/>
                <w:color w:val="auto"/>
              </w:rPr>
              <w:t>Years</w:t>
            </w:r>
          </w:p>
        </w:tc>
        <w:tc>
          <w:tcPr>
            <w:tcW w:w="920" w:type="dxa"/>
            <w:vAlign w:val="bottom"/>
            <w:vMerge w:val="restart"/>
          </w:tcPr>
          <w:p>
            <w:pPr>
              <w:jc w:val="right"/>
              <w:spacing w:after="0"/>
              <w:rPr>
                <w:sz w:val="20"/>
                <w:szCs w:val="20"/>
                <w:color w:val="auto"/>
              </w:rPr>
            </w:pPr>
            <w:r>
              <w:rPr>
                <w:rFonts w:ascii="Calibri" w:cs="Calibri" w:eastAsia="Calibri" w:hAnsi="Calibri"/>
                <w:sz w:val="16"/>
                <w:szCs w:val="16"/>
                <w:b w:val="1"/>
                <w:bCs w:val="1"/>
                <w:color w:val="auto"/>
              </w:rPr>
              <w:t>$000’s</w:t>
            </w:r>
          </w:p>
        </w:tc>
        <w:tc>
          <w:tcPr>
            <w:tcW w:w="0" w:type="dxa"/>
            <w:vAlign w:val="bottom"/>
          </w:tcPr>
          <w:p>
            <w:pPr>
              <w:spacing w:after="0"/>
              <w:rPr>
                <w:sz w:val="1"/>
                <w:szCs w:val="1"/>
                <w:color w:val="auto"/>
              </w:rPr>
            </w:pPr>
          </w:p>
        </w:tc>
      </w:tr>
      <w:tr>
        <w:trPr>
          <w:trHeight w:val="41"/>
        </w:trPr>
        <w:tc>
          <w:tcPr>
            <w:tcW w:w="2380" w:type="dxa"/>
            <w:vAlign w:val="bottom"/>
          </w:tcPr>
          <w:p>
            <w:pPr>
              <w:spacing w:after="0"/>
              <w:rPr>
                <w:sz w:val="3"/>
                <w:szCs w:val="3"/>
                <w:color w:val="auto"/>
              </w:rPr>
            </w:pPr>
          </w:p>
        </w:tc>
        <w:tc>
          <w:tcPr>
            <w:tcW w:w="2080" w:type="dxa"/>
            <w:vAlign w:val="bottom"/>
            <w:vMerge w:val="continue"/>
          </w:tcPr>
          <w:p>
            <w:pPr>
              <w:spacing w:after="0"/>
              <w:rPr>
                <w:sz w:val="3"/>
                <w:szCs w:val="3"/>
                <w:color w:val="auto"/>
              </w:rPr>
            </w:pPr>
          </w:p>
        </w:tc>
        <w:tc>
          <w:tcPr>
            <w:tcW w:w="1440" w:type="dxa"/>
            <w:vAlign w:val="bottom"/>
          </w:tcPr>
          <w:p>
            <w:pPr>
              <w:spacing w:after="0"/>
              <w:rPr>
                <w:sz w:val="3"/>
                <w:szCs w:val="3"/>
                <w:color w:val="auto"/>
              </w:rPr>
            </w:pPr>
          </w:p>
        </w:tc>
        <w:tc>
          <w:tcPr>
            <w:tcW w:w="1500" w:type="dxa"/>
            <w:vAlign w:val="bottom"/>
          </w:tcPr>
          <w:p>
            <w:pPr>
              <w:spacing w:after="0"/>
              <w:rPr>
                <w:sz w:val="3"/>
                <w:szCs w:val="3"/>
                <w:color w:val="auto"/>
              </w:rPr>
            </w:pPr>
          </w:p>
        </w:tc>
        <w:tc>
          <w:tcPr>
            <w:tcW w:w="2220" w:type="dxa"/>
            <w:vAlign w:val="bottom"/>
            <w:vMerge w:val="continue"/>
          </w:tcPr>
          <w:p>
            <w:pPr>
              <w:spacing w:after="0"/>
              <w:rPr>
                <w:sz w:val="3"/>
                <w:szCs w:val="3"/>
                <w:color w:val="auto"/>
              </w:rPr>
            </w:pPr>
          </w:p>
        </w:tc>
        <w:tc>
          <w:tcPr>
            <w:tcW w:w="920" w:type="dxa"/>
            <w:vAlign w:val="bottom"/>
            <w:vMerge w:val="continue"/>
          </w:tcPr>
          <w:p>
            <w:pPr>
              <w:spacing w:after="0"/>
              <w:rPr>
                <w:sz w:val="3"/>
                <w:szCs w:val="3"/>
                <w:color w:val="auto"/>
              </w:rPr>
            </w:pPr>
          </w:p>
        </w:tc>
        <w:tc>
          <w:tcPr>
            <w:tcW w:w="0" w:type="dxa"/>
            <w:vAlign w:val="bottom"/>
          </w:tcPr>
          <w:p>
            <w:pPr>
              <w:spacing w:after="0"/>
              <w:rPr>
                <w:sz w:val="1"/>
                <w:szCs w:val="1"/>
                <w:color w:val="auto"/>
              </w:rPr>
            </w:pPr>
          </w:p>
        </w:tc>
      </w:tr>
      <w:tr>
        <w:trPr>
          <w:trHeight w:val="242"/>
        </w:trPr>
        <w:tc>
          <w:tcPr>
            <w:tcW w:w="2380" w:type="dxa"/>
            <w:vAlign w:val="bottom"/>
          </w:tcPr>
          <w:p>
            <w:pPr>
              <w:ind w:left="20"/>
              <w:spacing w:after="0"/>
              <w:rPr>
                <w:sz w:val="20"/>
                <w:szCs w:val="20"/>
                <w:color w:val="auto"/>
              </w:rPr>
            </w:pPr>
            <w:r>
              <w:rPr>
                <w:rFonts w:ascii="Calibri" w:cs="Calibri" w:eastAsia="Calibri" w:hAnsi="Calibri"/>
                <w:sz w:val="16"/>
                <w:szCs w:val="16"/>
                <w:color w:val="auto"/>
              </w:rPr>
              <w:t>June 15, 2025</w:t>
            </w:r>
          </w:p>
        </w:tc>
        <w:tc>
          <w:tcPr>
            <w:tcW w:w="2080" w:type="dxa"/>
            <w:vAlign w:val="bottom"/>
          </w:tcPr>
          <w:p>
            <w:pPr>
              <w:jc w:val="right"/>
              <w:ind w:right="19"/>
              <w:spacing w:after="0"/>
              <w:rPr>
                <w:sz w:val="20"/>
                <w:szCs w:val="20"/>
                <w:color w:val="auto"/>
              </w:rPr>
            </w:pPr>
            <w:r>
              <w:rPr>
                <w:rFonts w:ascii="Calibri" w:cs="Calibri" w:eastAsia="Calibri" w:hAnsi="Calibri"/>
                <w:sz w:val="16"/>
                <w:szCs w:val="16"/>
                <w:color w:val="auto"/>
              </w:rPr>
              <w:t>9.50</w:t>
            </w:r>
          </w:p>
        </w:tc>
        <w:tc>
          <w:tcPr>
            <w:tcW w:w="1440" w:type="dxa"/>
            <w:vAlign w:val="bottom"/>
          </w:tcPr>
          <w:p>
            <w:pPr>
              <w:jc w:val="right"/>
              <w:ind w:right="39"/>
              <w:spacing w:after="0"/>
              <w:rPr>
                <w:sz w:val="20"/>
                <w:szCs w:val="20"/>
                <w:color w:val="auto"/>
              </w:rPr>
            </w:pPr>
            <w:r>
              <w:rPr>
                <w:rFonts w:ascii="Calibri" w:cs="Calibri" w:eastAsia="Calibri" w:hAnsi="Calibri"/>
                <w:sz w:val="16"/>
                <w:szCs w:val="16"/>
                <w:color w:val="auto"/>
              </w:rPr>
              <w:t>61,842</w:t>
            </w:r>
          </w:p>
        </w:tc>
        <w:tc>
          <w:tcPr>
            <w:tcW w:w="1500" w:type="dxa"/>
            <w:vAlign w:val="bottom"/>
          </w:tcPr>
          <w:p>
            <w:pPr>
              <w:jc w:val="right"/>
              <w:ind w:right="99"/>
              <w:spacing w:after="0"/>
              <w:rPr>
                <w:sz w:val="20"/>
                <w:szCs w:val="20"/>
                <w:color w:val="auto"/>
              </w:rPr>
            </w:pPr>
            <w:r>
              <w:rPr>
                <w:rFonts w:ascii="Calibri" w:cs="Calibri" w:eastAsia="Calibri" w:hAnsi="Calibri"/>
                <w:sz w:val="16"/>
                <w:szCs w:val="16"/>
                <w:color w:val="auto"/>
              </w:rPr>
              <w:t>61,842</w:t>
            </w:r>
          </w:p>
        </w:tc>
        <w:tc>
          <w:tcPr>
            <w:tcW w:w="2220" w:type="dxa"/>
            <w:vAlign w:val="bottom"/>
          </w:tcPr>
          <w:p>
            <w:pPr>
              <w:jc w:val="right"/>
              <w:ind w:right="800"/>
              <w:spacing w:after="0"/>
              <w:rPr>
                <w:sz w:val="20"/>
                <w:szCs w:val="20"/>
                <w:color w:val="auto"/>
              </w:rPr>
            </w:pPr>
            <w:r>
              <w:rPr>
                <w:rFonts w:ascii="Calibri" w:cs="Calibri" w:eastAsia="Calibri" w:hAnsi="Calibri"/>
                <w:sz w:val="16"/>
                <w:szCs w:val="16"/>
                <w:color w:val="auto"/>
              </w:rPr>
              <w:t>0.71</w:t>
            </w:r>
          </w:p>
        </w:tc>
        <w:tc>
          <w:tcPr>
            <w:tcW w:w="920" w:type="dxa"/>
            <w:vAlign w:val="bottom"/>
          </w:tcPr>
          <w:p>
            <w:pPr>
              <w:jc w:val="right"/>
              <w:spacing w:after="0"/>
              <w:rPr>
                <w:sz w:val="20"/>
                <w:szCs w:val="20"/>
                <w:color w:val="auto"/>
              </w:rPr>
            </w:pPr>
            <w:r>
              <w:rPr>
                <w:rFonts w:ascii="Calibri" w:cs="Calibri" w:eastAsia="Calibri" w:hAnsi="Calibri"/>
                <w:sz w:val="16"/>
                <w:szCs w:val="16"/>
                <w:color w:val="auto"/>
              </w:rPr>
              <w:t>420</w:t>
            </w:r>
          </w:p>
        </w:tc>
        <w:tc>
          <w:tcPr>
            <w:tcW w:w="0" w:type="dxa"/>
            <w:vAlign w:val="bottom"/>
          </w:tcPr>
          <w:p>
            <w:pPr>
              <w:spacing w:after="0"/>
              <w:rPr>
                <w:sz w:val="1"/>
                <w:szCs w:val="1"/>
                <w:color w:val="auto"/>
              </w:rPr>
            </w:pPr>
          </w:p>
        </w:tc>
      </w:tr>
      <w:tr>
        <w:trPr>
          <w:trHeight w:val="206"/>
        </w:trPr>
        <w:tc>
          <w:tcPr>
            <w:tcW w:w="2380" w:type="dxa"/>
            <w:vAlign w:val="bottom"/>
          </w:tcPr>
          <w:p>
            <w:pPr>
              <w:ind w:left="20"/>
              <w:spacing w:after="0"/>
              <w:rPr>
                <w:sz w:val="20"/>
                <w:szCs w:val="20"/>
                <w:color w:val="auto"/>
              </w:rPr>
            </w:pPr>
            <w:r>
              <w:rPr>
                <w:rFonts w:ascii="Calibri" w:cs="Calibri" w:eastAsia="Calibri" w:hAnsi="Calibri"/>
                <w:sz w:val="16"/>
                <w:szCs w:val="16"/>
                <w:color w:val="auto"/>
              </w:rPr>
              <w:t>June 30, 2025</w:t>
            </w:r>
          </w:p>
        </w:tc>
        <w:tc>
          <w:tcPr>
            <w:tcW w:w="2080" w:type="dxa"/>
            <w:vAlign w:val="bottom"/>
          </w:tcPr>
          <w:p>
            <w:pPr>
              <w:jc w:val="right"/>
              <w:ind w:right="19"/>
              <w:spacing w:after="0"/>
              <w:rPr>
                <w:sz w:val="20"/>
                <w:szCs w:val="20"/>
                <w:color w:val="auto"/>
              </w:rPr>
            </w:pPr>
            <w:r>
              <w:rPr>
                <w:rFonts w:ascii="Calibri" w:cs="Calibri" w:eastAsia="Calibri" w:hAnsi="Calibri"/>
                <w:sz w:val="16"/>
                <w:szCs w:val="16"/>
                <w:color w:val="auto"/>
              </w:rPr>
              <w:t>34.20</w:t>
            </w:r>
          </w:p>
        </w:tc>
        <w:tc>
          <w:tcPr>
            <w:tcW w:w="1440" w:type="dxa"/>
            <w:vAlign w:val="bottom"/>
          </w:tcPr>
          <w:p>
            <w:pPr>
              <w:jc w:val="right"/>
              <w:ind w:right="39"/>
              <w:spacing w:after="0"/>
              <w:rPr>
                <w:sz w:val="20"/>
                <w:szCs w:val="20"/>
                <w:color w:val="auto"/>
              </w:rPr>
            </w:pPr>
            <w:r>
              <w:rPr>
                <w:rFonts w:ascii="Calibri" w:cs="Calibri" w:eastAsia="Calibri" w:hAnsi="Calibri"/>
                <w:sz w:val="16"/>
                <w:szCs w:val="16"/>
                <w:color w:val="auto"/>
              </w:rPr>
              <w:t>13,158</w:t>
            </w:r>
          </w:p>
        </w:tc>
        <w:tc>
          <w:tcPr>
            <w:tcW w:w="1500" w:type="dxa"/>
            <w:vAlign w:val="bottom"/>
          </w:tcPr>
          <w:p>
            <w:pPr>
              <w:jc w:val="right"/>
              <w:ind w:right="99"/>
              <w:spacing w:after="0"/>
              <w:rPr>
                <w:sz w:val="20"/>
                <w:szCs w:val="20"/>
                <w:color w:val="auto"/>
              </w:rPr>
            </w:pPr>
            <w:r>
              <w:rPr>
                <w:rFonts w:ascii="Calibri" w:cs="Calibri" w:eastAsia="Calibri" w:hAnsi="Calibri"/>
                <w:sz w:val="16"/>
                <w:szCs w:val="16"/>
                <w:color w:val="auto"/>
              </w:rPr>
              <w:t>13,158</w:t>
            </w:r>
          </w:p>
        </w:tc>
        <w:tc>
          <w:tcPr>
            <w:tcW w:w="2220" w:type="dxa"/>
            <w:vAlign w:val="bottom"/>
          </w:tcPr>
          <w:p>
            <w:pPr>
              <w:jc w:val="right"/>
              <w:ind w:right="740"/>
              <w:spacing w:after="0"/>
              <w:rPr>
                <w:sz w:val="20"/>
                <w:szCs w:val="20"/>
                <w:color w:val="auto"/>
              </w:rPr>
            </w:pPr>
            <w:r>
              <w:rPr>
                <w:rFonts w:ascii="Calibri" w:cs="Calibri" w:eastAsia="Calibri" w:hAnsi="Calibri"/>
                <w:sz w:val="16"/>
                <w:szCs w:val="16"/>
                <w:color w:val="auto"/>
              </w:rPr>
              <w:t>0.75</w:t>
            </w:r>
          </w:p>
        </w:tc>
        <w:tc>
          <w:tcPr>
            <w:tcW w:w="920" w:type="dxa"/>
            <w:vAlign w:val="bottom"/>
          </w:tcPr>
          <w:p>
            <w:pPr>
              <w:jc w:val="right"/>
              <w:spacing w:after="0"/>
              <w:rPr>
                <w:sz w:val="20"/>
                <w:szCs w:val="20"/>
                <w:color w:val="auto"/>
              </w:rPr>
            </w:pPr>
            <w:r>
              <w:rPr>
                <w:rFonts w:ascii="Calibri" w:cs="Calibri" w:eastAsia="Calibri" w:hAnsi="Calibri"/>
                <w:sz w:val="16"/>
                <w:szCs w:val="16"/>
                <w:color w:val="auto"/>
              </w:rPr>
              <w:t>183</w:t>
            </w:r>
          </w:p>
        </w:tc>
        <w:tc>
          <w:tcPr>
            <w:tcW w:w="0" w:type="dxa"/>
            <w:vAlign w:val="bottom"/>
          </w:tcPr>
          <w:p>
            <w:pPr>
              <w:spacing w:after="0"/>
              <w:rPr>
                <w:sz w:val="1"/>
                <w:szCs w:val="1"/>
                <w:color w:val="auto"/>
              </w:rPr>
            </w:pPr>
          </w:p>
        </w:tc>
      </w:tr>
      <w:tr>
        <w:trPr>
          <w:trHeight w:val="206"/>
        </w:trPr>
        <w:tc>
          <w:tcPr>
            <w:tcW w:w="2380" w:type="dxa"/>
            <w:vAlign w:val="bottom"/>
          </w:tcPr>
          <w:p>
            <w:pPr>
              <w:ind w:left="20"/>
              <w:spacing w:after="0"/>
              <w:rPr>
                <w:sz w:val="20"/>
                <w:szCs w:val="20"/>
                <w:color w:val="auto"/>
              </w:rPr>
            </w:pPr>
            <w:r>
              <w:rPr>
                <w:rFonts w:ascii="Calibri" w:cs="Calibri" w:eastAsia="Calibri" w:hAnsi="Calibri"/>
                <w:sz w:val="16"/>
                <w:szCs w:val="16"/>
                <w:color w:val="auto"/>
              </w:rPr>
              <w:t>August 14, 2025</w:t>
            </w:r>
          </w:p>
        </w:tc>
        <w:tc>
          <w:tcPr>
            <w:tcW w:w="2080" w:type="dxa"/>
            <w:vAlign w:val="bottom"/>
          </w:tcPr>
          <w:p>
            <w:pPr>
              <w:jc w:val="right"/>
              <w:ind w:right="19"/>
              <w:spacing w:after="0"/>
              <w:rPr>
                <w:sz w:val="20"/>
                <w:szCs w:val="20"/>
                <w:color w:val="auto"/>
              </w:rPr>
            </w:pPr>
            <w:r>
              <w:rPr>
                <w:rFonts w:ascii="Calibri" w:cs="Calibri" w:eastAsia="Calibri" w:hAnsi="Calibri"/>
                <w:sz w:val="16"/>
                <w:szCs w:val="16"/>
                <w:color w:val="auto"/>
              </w:rPr>
              <w:t>38.00</w:t>
            </w:r>
          </w:p>
        </w:tc>
        <w:tc>
          <w:tcPr>
            <w:tcW w:w="1440" w:type="dxa"/>
            <w:vAlign w:val="bottom"/>
          </w:tcPr>
          <w:p>
            <w:pPr>
              <w:jc w:val="right"/>
              <w:ind w:right="39"/>
              <w:spacing w:after="0"/>
              <w:rPr>
                <w:sz w:val="20"/>
                <w:szCs w:val="20"/>
                <w:color w:val="auto"/>
              </w:rPr>
            </w:pPr>
            <w:r>
              <w:rPr>
                <w:rFonts w:ascii="Calibri" w:cs="Calibri" w:eastAsia="Calibri" w:hAnsi="Calibri"/>
                <w:sz w:val="16"/>
                <w:szCs w:val="16"/>
                <w:color w:val="auto"/>
              </w:rPr>
              <w:t>6,250</w:t>
            </w:r>
          </w:p>
        </w:tc>
        <w:tc>
          <w:tcPr>
            <w:tcW w:w="1500" w:type="dxa"/>
            <w:vAlign w:val="bottom"/>
          </w:tcPr>
          <w:p>
            <w:pPr>
              <w:jc w:val="right"/>
              <w:ind w:right="99"/>
              <w:spacing w:after="0"/>
              <w:rPr>
                <w:sz w:val="20"/>
                <w:szCs w:val="20"/>
                <w:color w:val="auto"/>
              </w:rPr>
            </w:pPr>
            <w:r>
              <w:rPr>
                <w:rFonts w:ascii="Calibri" w:cs="Calibri" w:eastAsia="Calibri" w:hAnsi="Calibri"/>
                <w:sz w:val="16"/>
                <w:szCs w:val="16"/>
                <w:color w:val="auto"/>
              </w:rPr>
              <w:t>6,250</w:t>
            </w:r>
          </w:p>
        </w:tc>
        <w:tc>
          <w:tcPr>
            <w:tcW w:w="2220" w:type="dxa"/>
            <w:vAlign w:val="bottom"/>
          </w:tcPr>
          <w:p>
            <w:pPr>
              <w:jc w:val="right"/>
              <w:ind w:right="740"/>
              <w:spacing w:after="0"/>
              <w:rPr>
                <w:sz w:val="20"/>
                <w:szCs w:val="20"/>
                <w:color w:val="auto"/>
              </w:rPr>
            </w:pPr>
            <w:r>
              <w:rPr>
                <w:rFonts w:ascii="Calibri" w:cs="Calibri" w:eastAsia="Calibri" w:hAnsi="Calibri"/>
                <w:sz w:val="16"/>
                <w:szCs w:val="16"/>
                <w:color w:val="auto"/>
              </w:rPr>
              <w:t>0.87</w:t>
            </w:r>
          </w:p>
        </w:tc>
        <w:tc>
          <w:tcPr>
            <w:tcW w:w="920" w:type="dxa"/>
            <w:vAlign w:val="bottom"/>
          </w:tcPr>
          <w:p>
            <w:pPr>
              <w:jc w:val="right"/>
              <w:spacing w:after="0"/>
              <w:rPr>
                <w:sz w:val="20"/>
                <w:szCs w:val="20"/>
                <w:color w:val="auto"/>
              </w:rPr>
            </w:pPr>
            <w:r>
              <w:rPr>
                <w:rFonts w:ascii="Calibri" w:cs="Calibri" w:eastAsia="Calibri" w:hAnsi="Calibri"/>
                <w:sz w:val="16"/>
                <w:szCs w:val="16"/>
                <w:color w:val="auto"/>
              </w:rPr>
              <w:t>127</w:t>
            </w:r>
          </w:p>
        </w:tc>
        <w:tc>
          <w:tcPr>
            <w:tcW w:w="0" w:type="dxa"/>
            <w:vAlign w:val="bottom"/>
          </w:tcPr>
          <w:p>
            <w:pPr>
              <w:spacing w:after="0"/>
              <w:rPr>
                <w:sz w:val="1"/>
                <w:szCs w:val="1"/>
                <w:color w:val="auto"/>
              </w:rPr>
            </w:pPr>
          </w:p>
        </w:tc>
      </w:tr>
      <w:tr>
        <w:trPr>
          <w:trHeight w:val="206"/>
        </w:trPr>
        <w:tc>
          <w:tcPr>
            <w:tcW w:w="2380" w:type="dxa"/>
            <w:vAlign w:val="bottom"/>
          </w:tcPr>
          <w:p>
            <w:pPr>
              <w:ind w:left="20"/>
              <w:spacing w:after="0"/>
              <w:rPr>
                <w:sz w:val="20"/>
                <w:szCs w:val="20"/>
                <w:color w:val="auto"/>
              </w:rPr>
            </w:pPr>
            <w:r>
              <w:rPr>
                <w:rFonts w:ascii="Calibri" w:cs="Calibri" w:eastAsia="Calibri" w:hAnsi="Calibri"/>
                <w:sz w:val="16"/>
                <w:szCs w:val="16"/>
                <w:color w:val="auto"/>
              </w:rPr>
              <w:t>September 30, 2025</w:t>
            </w:r>
          </w:p>
        </w:tc>
        <w:tc>
          <w:tcPr>
            <w:tcW w:w="2080" w:type="dxa"/>
            <w:vAlign w:val="bottom"/>
          </w:tcPr>
          <w:p>
            <w:pPr>
              <w:jc w:val="right"/>
              <w:ind w:right="19"/>
              <w:spacing w:after="0"/>
              <w:rPr>
                <w:sz w:val="20"/>
                <w:szCs w:val="20"/>
                <w:color w:val="auto"/>
              </w:rPr>
            </w:pPr>
            <w:r>
              <w:rPr>
                <w:rFonts w:ascii="Calibri" w:cs="Calibri" w:eastAsia="Calibri" w:hAnsi="Calibri"/>
                <w:sz w:val="16"/>
                <w:szCs w:val="16"/>
                <w:color w:val="auto"/>
              </w:rPr>
              <w:t>28.50</w:t>
            </w:r>
          </w:p>
        </w:tc>
        <w:tc>
          <w:tcPr>
            <w:tcW w:w="1440" w:type="dxa"/>
            <w:vAlign w:val="bottom"/>
          </w:tcPr>
          <w:p>
            <w:pPr>
              <w:jc w:val="right"/>
              <w:ind w:right="39"/>
              <w:spacing w:after="0"/>
              <w:rPr>
                <w:sz w:val="20"/>
                <w:szCs w:val="20"/>
                <w:color w:val="auto"/>
              </w:rPr>
            </w:pPr>
            <w:r>
              <w:rPr>
                <w:rFonts w:ascii="Calibri" w:cs="Calibri" w:eastAsia="Calibri" w:hAnsi="Calibri"/>
                <w:sz w:val="16"/>
                <w:szCs w:val="16"/>
                <w:color w:val="auto"/>
              </w:rPr>
              <w:t>7,106</w:t>
            </w:r>
          </w:p>
        </w:tc>
        <w:tc>
          <w:tcPr>
            <w:tcW w:w="1500" w:type="dxa"/>
            <w:vAlign w:val="bottom"/>
          </w:tcPr>
          <w:p>
            <w:pPr>
              <w:jc w:val="right"/>
              <w:ind w:right="99"/>
              <w:spacing w:after="0"/>
              <w:rPr>
                <w:sz w:val="20"/>
                <w:szCs w:val="20"/>
                <w:color w:val="auto"/>
              </w:rPr>
            </w:pPr>
            <w:r>
              <w:rPr>
                <w:rFonts w:ascii="Calibri" w:cs="Calibri" w:eastAsia="Calibri" w:hAnsi="Calibri"/>
                <w:sz w:val="16"/>
                <w:szCs w:val="16"/>
                <w:color w:val="auto"/>
              </w:rPr>
              <w:t>7,106</w:t>
            </w:r>
          </w:p>
        </w:tc>
        <w:tc>
          <w:tcPr>
            <w:tcW w:w="2220" w:type="dxa"/>
            <w:vAlign w:val="bottom"/>
          </w:tcPr>
          <w:p>
            <w:pPr>
              <w:jc w:val="right"/>
              <w:ind w:right="740"/>
              <w:spacing w:after="0"/>
              <w:rPr>
                <w:sz w:val="20"/>
                <w:szCs w:val="20"/>
                <w:color w:val="auto"/>
              </w:rPr>
            </w:pPr>
            <w:r>
              <w:rPr>
                <w:rFonts w:ascii="Calibri" w:cs="Calibri" w:eastAsia="Calibri" w:hAnsi="Calibri"/>
                <w:sz w:val="16"/>
                <w:szCs w:val="16"/>
                <w:color w:val="auto"/>
              </w:rPr>
              <w:t>1.00</w:t>
            </w:r>
          </w:p>
        </w:tc>
        <w:tc>
          <w:tcPr>
            <w:tcW w:w="920" w:type="dxa"/>
            <w:vAlign w:val="bottom"/>
          </w:tcPr>
          <w:p>
            <w:pPr>
              <w:jc w:val="right"/>
              <w:spacing w:after="0"/>
              <w:rPr>
                <w:sz w:val="20"/>
                <w:szCs w:val="20"/>
                <w:color w:val="auto"/>
              </w:rPr>
            </w:pPr>
            <w:r>
              <w:rPr>
                <w:rFonts w:ascii="Calibri" w:cs="Calibri" w:eastAsia="Calibri" w:hAnsi="Calibri"/>
                <w:sz w:val="16"/>
                <w:szCs w:val="16"/>
                <w:color w:val="auto"/>
              </w:rPr>
              <w:t>97</w:t>
            </w:r>
          </w:p>
        </w:tc>
        <w:tc>
          <w:tcPr>
            <w:tcW w:w="0" w:type="dxa"/>
            <w:vAlign w:val="bottom"/>
          </w:tcPr>
          <w:p>
            <w:pPr>
              <w:spacing w:after="0"/>
              <w:rPr>
                <w:sz w:val="1"/>
                <w:szCs w:val="1"/>
                <w:color w:val="auto"/>
              </w:rPr>
            </w:pPr>
          </w:p>
        </w:tc>
      </w:tr>
      <w:tr>
        <w:trPr>
          <w:trHeight w:val="206"/>
        </w:trPr>
        <w:tc>
          <w:tcPr>
            <w:tcW w:w="2380" w:type="dxa"/>
            <w:vAlign w:val="bottom"/>
          </w:tcPr>
          <w:p>
            <w:pPr>
              <w:ind w:left="20"/>
              <w:spacing w:after="0"/>
              <w:rPr>
                <w:sz w:val="20"/>
                <w:szCs w:val="20"/>
                <w:color w:val="auto"/>
              </w:rPr>
            </w:pPr>
            <w:r>
              <w:rPr>
                <w:rFonts w:ascii="Calibri" w:cs="Calibri" w:eastAsia="Calibri" w:hAnsi="Calibri"/>
                <w:sz w:val="16"/>
                <w:szCs w:val="16"/>
                <w:color w:val="auto"/>
              </w:rPr>
              <w:t>November 4, 2025</w:t>
            </w:r>
          </w:p>
        </w:tc>
        <w:tc>
          <w:tcPr>
            <w:tcW w:w="2080" w:type="dxa"/>
            <w:vAlign w:val="bottom"/>
          </w:tcPr>
          <w:p>
            <w:pPr>
              <w:jc w:val="right"/>
              <w:ind w:right="19"/>
              <w:spacing w:after="0"/>
              <w:rPr>
                <w:sz w:val="20"/>
                <w:szCs w:val="20"/>
                <w:color w:val="auto"/>
              </w:rPr>
            </w:pPr>
            <w:r>
              <w:rPr>
                <w:rFonts w:ascii="Calibri" w:cs="Calibri" w:eastAsia="Calibri" w:hAnsi="Calibri"/>
                <w:sz w:val="16"/>
                <w:szCs w:val="16"/>
                <w:color w:val="auto"/>
              </w:rPr>
              <w:t>28.50</w:t>
            </w:r>
          </w:p>
        </w:tc>
        <w:tc>
          <w:tcPr>
            <w:tcW w:w="1440" w:type="dxa"/>
            <w:vAlign w:val="bottom"/>
          </w:tcPr>
          <w:p>
            <w:pPr>
              <w:jc w:val="right"/>
              <w:ind w:right="39"/>
              <w:spacing w:after="0"/>
              <w:rPr>
                <w:sz w:val="20"/>
                <w:szCs w:val="20"/>
                <w:color w:val="auto"/>
              </w:rPr>
            </w:pPr>
            <w:r>
              <w:rPr>
                <w:rFonts w:ascii="Calibri" w:cs="Calibri" w:eastAsia="Calibri" w:hAnsi="Calibri"/>
                <w:sz w:val="16"/>
                <w:szCs w:val="16"/>
                <w:color w:val="auto"/>
              </w:rPr>
              <w:t>25,000</w:t>
            </w:r>
          </w:p>
        </w:tc>
        <w:tc>
          <w:tcPr>
            <w:tcW w:w="1500" w:type="dxa"/>
            <w:vAlign w:val="bottom"/>
          </w:tcPr>
          <w:p>
            <w:pPr>
              <w:jc w:val="right"/>
              <w:ind w:right="99"/>
              <w:spacing w:after="0"/>
              <w:rPr>
                <w:sz w:val="20"/>
                <w:szCs w:val="20"/>
                <w:color w:val="auto"/>
              </w:rPr>
            </w:pPr>
            <w:r>
              <w:rPr>
                <w:rFonts w:ascii="Calibri" w:cs="Calibri" w:eastAsia="Calibri" w:hAnsi="Calibri"/>
                <w:sz w:val="16"/>
                <w:szCs w:val="16"/>
                <w:color w:val="auto"/>
              </w:rPr>
              <w:t>25,000</w:t>
            </w:r>
          </w:p>
        </w:tc>
        <w:tc>
          <w:tcPr>
            <w:tcW w:w="2220" w:type="dxa"/>
            <w:vAlign w:val="bottom"/>
          </w:tcPr>
          <w:p>
            <w:pPr>
              <w:jc w:val="right"/>
              <w:ind w:right="740"/>
              <w:spacing w:after="0"/>
              <w:rPr>
                <w:sz w:val="20"/>
                <w:szCs w:val="20"/>
                <w:color w:val="auto"/>
              </w:rPr>
            </w:pPr>
            <w:r>
              <w:rPr>
                <w:rFonts w:ascii="Calibri" w:cs="Calibri" w:eastAsia="Calibri" w:hAnsi="Calibri"/>
                <w:sz w:val="16"/>
                <w:szCs w:val="16"/>
                <w:color w:val="auto"/>
              </w:rPr>
              <w:t>1.10</w:t>
            </w:r>
          </w:p>
        </w:tc>
        <w:tc>
          <w:tcPr>
            <w:tcW w:w="920" w:type="dxa"/>
            <w:vAlign w:val="bottom"/>
          </w:tcPr>
          <w:p>
            <w:pPr>
              <w:jc w:val="right"/>
              <w:spacing w:after="0"/>
              <w:rPr>
                <w:sz w:val="20"/>
                <w:szCs w:val="20"/>
                <w:color w:val="auto"/>
              </w:rPr>
            </w:pPr>
            <w:r>
              <w:rPr>
                <w:rFonts w:ascii="Calibri" w:cs="Calibri" w:eastAsia="Calibri" w:hAnsi="Calibri"/>
                <w:sz w:val="16"/>
                <w:szCs w:val="16"/>
                <w:color w:val="auto"/>
              </w:rPr>
              <w:t>509</w:t>
            </w:r>
          </w:p>
        </w:tc>
        <w:tc>
          <w:tcPr>
            <w:tcW w:w="0" w:type="dxa"/>
            <w:vAlign w:val="bottom"/>
          </w:tcPr>
          <w:p>
            <w:pPr>
              <w:spacing w:after="0"/>
              <w:rPr>
                <w:sz w:val="1"/>
                <w:szCs w:val="1"/>
                <w:color w:val="auto"/>
              </w:rPr>
            </w:pPr>
          </w:p>
        </w:tc>
      </w:tr>
      <w:tr>
        <w:trPr>
          <w:trHeight w:val="206"/>
        </w:trPr>
        <w:tc>
          <w:tcPr>
            <w:tcW w:w="2380" w:type="dxa"/>
            <w:vAlign w:val="bottom"/>
          </w:tcPr>
          <w:p>
            <w:pPr>
              <w:ind w:left="20"/>
              <w:spacing w:after="0"/>
              <w:rPr>
                <w:sz w:val="20"/>
                <w:szCs w:val="20"/>
                <w:color w:val="auto"/>
              </w:rPr>
            </w:pPr>
            <w:r>
              <w:rPr>
                <w:rFonts w:ascii="Calibri" w:cs="Calibri" w:eastAsia="Calibri" w:hAnsi="Calibri"/>
                <w:sz w:val="16"/>
                <w:szCs w:val="16"/>
                <w:color w:val="auto"/>
              </w:rPr>
              <w:t>November 15, 2025</w:t>
            </w:r>
          </w:p>
        </w:tc>
        <w:tc>
          <w:tcPr>
            <w:tcW w:w="2080" w:type="dxa"/>
            <w:vAlign w:val="bottom"/>
          </w:tcPr>
          <w:p>
            <w:pPr>
              <w:jc w:val="right"/>
              <w:ind w:right="19"/>
              <w:spacing w:after="0"/>
              <w:rPr>
                <w:sz w:val="20"/>
                <w:szCs w:val="20"/>
                <w:color w:val="auto"/>
              </w:rPr>
            </w:pPr>
            <w:r>
              <w:rPr>
                <w:rFonts w:ascii="Calibri" w:cs="Calibri" w:eastAsia="Calibri" w:hAnsi="Calibri"/>
                <w:sz w:val="16"/>
                <w:szCs w:val="16"/>
                <w:color w:val="auto"/>
              </w:rPr>
              <w:t>28.50</w:t>
            </w:r>
          </w:p>
        </w:tc>
        <w:tc>
          <w:tcPr>
            <w:tcW w:w="1440" w:type="dxa"/>
            <w:vAlign w:val="bottom"/>
          </w:tcPr>
          <w:p>
            <w:pPr>
              <w:jc w:val="right"/>
              <w:ind w:right="39"/>
              <w:spacing w:after="0"/>
              <w:rPr>
                <w:sz w:val="20"/>
                <w:szCs w:val="20"/>
                <w:color w:val="auto"/>
              </w:rPr>
            </w:pPr>
            <w:r>
              <w:rPr>
                <w:rFonts w:ascii="Calibri" w:cs="Calibri" w:eastAsia="Calibri" w:hAnsi="Calibri"/>
                <w:sz w:val="16"/>
                <w:szCs w:val="16"/>
                <w:color w:val="auto"/>
              </w:rPr>
              <w:t>9,869</w:t>
            </w:r>
          </w:p>
        </w:tc>
        <w:tc>
          <w:tcPr>
            <w:tcW w:w="1500" w:type="dxa"/>
            <w:vAlign w:val="bottom"/>
          </w:tcPr>
          <w:p>
            <w:pPr>
              <w:jc w:val="right"/>
              <w:ind w:right="99"/>
              <w:spacing w:after="0"/>
              <w:rPr>
                <w:sz w:val="20"/>
                <w:szCs w:val="20"/>
                <w:color w:val="auto"/>
              </w:rPr>
            </w:pPr>
            <w:r>
              <w:rPr>
                <w:rFonts w:ascii="Calibri" w:cs="Calibri" w:eastAsia="Calibri" w:hAnsi="Calibri"/>
                <w:sz w:val="16"/>
                <w:szCs w:val="16"/>
                <w:color w:val="auto"/>
              </w:rPr>
              <w:t>9,869</w:t>
            </w:r>
          </w:p>
        </w:tc>
        <w:tc>
          <w:tcPr>
            <w:tcW w:w="2220" w:type="dxa"/>
            <w:vAlign w:val="bottom"/>
          </w:tcPr>
          <w:p>
            <w:pPr>
              <w:jc w:val="right"/>
              <w:ind w:right="740"/>
              <w:spacing w:after="0"/>
              <w:rPr>
                <w:sz w:val="20"/>
                <w:szCs w:val="20"/>
                <w:color w:val="auto"/>
              </w:rPr>
            </w:pPr>
            <w:r>
              <w:rPr>
                <w:rFonts w:ascii="Calibri" w:cs="Calibri" w:eastAsia="Calibri" w:hAnsi="Calibri"/>
                <w:sz w:val="16"/>
                <w:szCs w:val="16"/>
                <w:color w:val="auto"/>
              </w:rPr>
              <w:t>1.13</w:t>
            </w:r>
          </w:p>
        </w:tc>
        <w:tc>
          <w:tcPr>
            <w:tcW w:w="920" w:type="dxa"/>
            <w:vAlign w:val="bottom"/>
          </w:tcPr>
          <w:p>
            <w:pPr>
              <w:jc w:val="right"/>
              <w:spacing w:after="0"/>
              <w:rPr>
                <w:sz w:val="20"/>
                <w:szCs w:val="20"/>
                <w:color w:val="auto"/>
              </w:rPr>
            </w:pPr>
            <w:r>
              <w:rPr>
                <w:rFonts w:ascii="Calibri" w:cs="Calibri" w:eastAsia="Calibri" w:hAnsi="Calibri"/>
                <w:sz w:val="16"/>
                <w:szCs w:val="16"/>
                <w:color w:val="auto"/>
              </w:rPr>
              <w:t>110</w:t>
            </w:r>
          </w:p>
        </w:tc>
        <w:tc>
          <w:tcPr>
            <w:tcW w:w="0" w:type="dxa"/>
            <w:vAlign w:val="bottom"/>
          </w:tcPr>
          <w:p>
            <w:pPr>
              <w:spacing w:after="0"/>
              <w:rPr>
                <w:sz w:val="1"/>
                <w:szCs w:val="1"/>
                <w:color w:val="auto"/>
              </w:rPr>
            </w:pPr>
          </w:p>
        </w:tc>
      </w:tr>
      <w:tr>
        <w:trPr>
          <w:trHeight w:val="206"/>
        </w:trPr>
        <w:tc>
          <w:tcPr>
            <w:tcW w:w="2380" w:type="dxa"/>
            <w:vAlign w:val="bottom"/>
          </w:tcPr>
          <w:p>
            <w:pPr>
              <w:ind w:left="20"/>
              <w:spacing w:after="0"/>
              <w:rPr>
                <w:sz w:val="20"/>
                <w:szCs w:val="20"/>
                <w:color w:val="auto"/>
              </w:rPr>
            </w:pPr>
            <w:r>
              <w:rPr>
                <w:rFonts w:ascii="Calibri" w:cs="Calibri" w:eastAsia="Calibri" w:hAnsi="Calibri"/>
                <w:sz w:val="16"/>
                <w:szCs w:val="16"/>
                <w:color w:val="auto"/>
              </w:rPr>
              <w:t>November 15, 2025</w:t>
            </w:r>
          </w:p>
        </w:tc>
        <w:tc>
          <w:tcPr>
            <w:tcW w:w="2080" w:type="dxa"/>
            <w:vAlign w:val="bottom"/>
          </w:tcPr>
          <w:p>
            <w:pPr>
              <w:jc w:val="right"/>
              <w:ind w:right="19"/>
              <w:spacing w:after="0"/>
              <w:rPr>
                <w:sz w:val="20"/>
                <w:szCs w:val="20"/>
                <w:color w:val="auto"/>
              </w:rPr>
            </w:pPr>
            <w:r>
              <w:rPr>
                <w:rFonts w:ascii="Calibri" w:cs="Calibri" w:eastAsia="Calibri" w:hAnsi="Calibri"/>
                <w:sz w:val="16"/>
                <w:szCs w:val="16"/>
                <w:color w:val="auto"/>
              </w:rPr>
              <w:t>34.58</w:t>
            </w:r>
          </w:p>
        </w:tc>
        <w:tc>
          <w:tcPr>
            <w:tcW w:w="1440" w:type="dxa"/>
            <w:vAlign w:val="bottom"/>
          </w:tcPr>
          <w:p>
            <w:pPr>
              <w:jc w:val="right"/>
              <w:ind w:right="39"/>
              <w:spacing w:after="0"/>
              <w:rPr>
                <w:sz w:val="20"/>
                <w:szCs w:val="20"/>
                <w:color w:val="auto"/>
              </w:rPr>
            </w:pPr>
            <w:r>
              <w:rPr>
                <w:rFonts w:ascii="Calibri" w:cs="Calibri" w:eastAsia="Calibri" w:hAnsi="Calibri"/>
                <w:sz w:val="16"/>
                <w:szCs w:val="16"/>
                <w:color w:val="auto"/>
              </w:rPr>
              <w:t>5,263</w:t>
            </w:r>
          </w:p>
        </w:tc>
        <w:tc>
          <w:tcPr>
            <w:tcW w:w="1500" w:type="dxa"/>
            <w:vAlign w:val="bottom"/>
          </w:tcPr>
          <w:p>
            <w:pPr>
              <w:jc w:val="right"/>
              <w:ind w:right="99"/>
              <w:spacing w:after="0"/>
              <w:rPr>
                <w:sz w:val="20"/>
                <w:szCs w:val="20"/>
                <w:color w:val="auto"/>
              </w:rPr>
            </w:pPr>
            <w:r>
              <w:rPr>
                <w:rFonts w:ascii="Calibri" w:cs="Calibri" w:eastAsia="Calibri" w:hAnsi="Calibri"/>
                <w:sz w:val="16"/>
                <w:szCs w:val="16"/>
                <w:color w:val="auto"/>
              </w:rPr>
              <w:t>5,263</w:t>
            </w:r>
          </w:p>
        </w:tc>
        <w:tc>
          <w:tcPr>
            <w:tcW w:w="2220" w:type="dxa"/>
            <w:vAlign w:val="bottom"/>
          </w:tcPr>
          <w:p>
            <w:pPr>
              <w:jc w:val="right"/>
              <w:ind w:right="740"/>
              <w:spacing w:after="0"/>
              <w:rPr>
                <w:sz w:val="20"/>
                <w:szCs w:val="20"/>
                <w:color w:val="auto"/>
              </w:rPr>
            </w:pPr>
            <w:r>
              <w:rPr>
                <w:rFonts w:ascii="Calibri" w:cs="Calibri" w:eastAsia="Calibri" w:hAnsi="Calibri"/>
                <w:sz w:val="16"/>
                <w:szCs w:val="16"/>
                <w:color w:val="auto"/>
              </w:rPr>
              <w:t>1.13</w:t>
            </w:r>
          </w:p>
        </w:tc>
        <w:tc>
          <w:tcPr>
            <w:tcW w:w="920" w:type="dxa"/>
            <w:vAlign w:val="bottom"/>
          </w:tcPr>
          <w:p>
            <w:pPr>
              <w:jc w:val="right"/>
              <w:spacing w:after="0"/>
              <w:rPr>
                <w:sz w:val="20"/>
                <w:szCs w:val="20"/>
                <w:color w:val="auto"/>
              </w:rPr>
            </w:pPr>
            <w:r>
              <w:rPr>
                <w:rFonts w:ascii="Calibri" w:cs="Calibri" w:eastAsia="Calibri" w:hAnsi="Calibri"/>
                <w:sz w:val="16"/>
                <w:szCs w:val="16"/>
                <w:color w:val="auto"/>
              </w:rPr>
              <w:t>53</w:t>
            </w:r>
          </w:p>
        </w:tc>
        <w:tc>
          <w:tcPr>
            <w:tcW w:w="0" w:type="dxa"/>
            <w:vAlign w:val="bottom"/>
          </w:tcPr>
          <w:p>
            <w:pPr>
              <w:spacing w:after="0"/>
              <w:rPr>
                <w:sz w:val="1"/>
                <w:szCs w:val="1"/>
                <w:color w:val="auto"/>
              </w:rPr>
            </w:pPr>
          </w:p>
        </w:tc>
      </w:tr>
      <w:tr>
        <w:trPr>
          <w:trHeight w:val="206"/>
        </w:trPr>
        <w:tc>
          <w:tcPr>
            <w:tcW w:w="2380" w:type="dxa"/>
            <w:vAlign w:val="bottom"/>
          </w:tcPr>
          <w:p>
            <w:pPr>
              <w:ind w:left="20"/>
              <w:spacing w:after="0"/>
              <w:rPr>
                <w:sz w:val="20"/>
                <w:szCs w:val="20"/>
                <w:color w:val="auto"/>
              </w:rPr>
            </w:pPr>
            <w:r>
              <w:rPr>
                <w:rFonts w:ascii="Calibri" w:cs="Calibri" w:eastAsia="Calibri" w:hAnsi="Calibri"/>
                <w:sz w:val="16"/>
                <w:szCs w:val="16"/>
                <w:color w:val="auto"/>
              </w:rPr>
              <w:t>December 11, 2025</w:t>
            </w:r>
          </w:p>
        </w:tc>
        <w:tc>
          <w:tcPr>
            <w:tcW w:w="2080" w:type="dxa"/>
            <w:vAlign w:val="bottom"/>
          </w:tcPr>
          <w:p>
            <w:pPr>
              <w:jc w:val="right"/>
              <w:ind w:right="19"/>
              <w:spacing w:after="0"/>
              <w:rPr>
                <w:sz w:val="20"/>
                <w:szCs w:val="20"/>
                <w:color w:val="auto"/>
              </w:rPr>
            </w:pPr>
            <w:r>
              <w:rPr>
                <w:rFonts w:ascii="Calibri" w:cs="Calibri" w:eastAsia="Calibri" w:hAnsi="Calibri"/>
                <w:sz w:val="16"/>
                <w:szCs w:val="16"/>
                <w:color w:val="auto"/>
              </w:rPr>
              <w:t>56.24</w:t>
            </w:r>
          </w:p>
        </w:tc>
        <w:tc>
          <w:tcPr>
            <w:tcW w:w="1440" w:type="dxa"/>
            <w:vAlign w:val="bottom"/>
          </w:tcPr>
          <w:p>
            <w:pPr>
              <w:jc w:val="right"/>
              <w:ind w:right="39"/>
              <w:spacing w:after="0"/>
              <w:rPr>
                <w:sz w:val="20"/>
                <w:szCs w:val="20"/>
                <w:color w:val="auto"/>
              </w:rPr>
            </w:pPr>
            <w:r>
              <w:rPr>
                <w:rFonts w:ascii="Calibri" w:cs="Calibri" w:eastAsia="Calibri" w:hAnsi="Calibri"/>
                <w:sz w:val="16"/>
                <w:szCs w:val="16"/>
                <w:color w:val="auto"/>
              </w:rPr>
              <w:t>5,263</w:t>
            </w:r>
          </w:p>
        </w:tc>
        <w:tc>
          <w:tcPr>
            <w:tcW w:w="1500" w:type="dxa"/>
            <w:vAlign w:val="bottom"/>
          </w:tcPr>
          <w:p>
            <w:pPr>
              <w:jc w:val="right"/>
              <w:ind w:right="99"/>
              <w:spacing w:after="0"/>
              <w:rPr>
                <w:sz w:val="20"/>
                <w:szCs w:val="20"/>
                <w:color w:val="auto"/>
              </w:rPr>
            </w:pPr>
            <w:r>
              <w:rPr>
                <w:rFonts w:ascii="Calibri" w:cs="Calibri" w:eastAsia="Calibri" w:hAnsi="Calibri"/>
                <w:sz w:val="16"/>
                <w:szCs w:val="16"/>
                <w:color w:val="auto"/>
              </w:rPr>
              <w:t>5,263</w:t>
            </w:r>
          </w:p>
        </w:tc>
        <w:tc>
          <w:tcPr>
            <w:tcW w:w="2220" w:type="dxa"/>
            <w:vAlign w:val="bottom"/>
          </w:tcPr>
          <w:p>
            <w:pPr>
              <w:jc w:val="right"/>
              <w:ind w:right="740"/>
              <w:spacing w:after="0"/>
              <w:rPr>
                <w:sz w:val="20"/>
                <w:szCs w:val="20"/>
                <w:color w:val="auto"/>
              </w:rPr>
            </w:pPr>
            <w:r>
              <w:rPr>
                <w:rFonts w:ascii="Calibri" w:cs="Calibri" w:eastAsia="Calibri" w:hAnsi="Calibri"/>
                <w:sz w:val="16"/>
                <w:szCs w:val="16"/>
                <w:color w:val="auto"/>
              </w:rPr>
              <w:t>1.20</w:t>
            </w:r>
          </w:p>
        </w:tc>
        <w:tc>
          <w:tcPr>
            <w:tcW w:w="920" w:type="dxa"/>
            <w:vAlign w:val="bottom"/>
          </w:tcPr>
          <w:p>
            <w:pPr>
              <w:jc w:val="right"/>
              <w:spacing w:after="0"/>
              <w:rPr>
                <w:sz w:val="20"/>
                <w:szCs w:val="20"/>
                <w:color w:val="auto"/>
              </w:rPr>
            </w:pPr>
            <w:r>
              <w:rPr>
                <w:rFonts w:ascii="Calibri" w:cs="Calibri" w:eastAsia="Calibri" w:hAnsi="Calibri"/>
                <w:sz w:val="16"/>
                <w:szCs w:val="16"/>
                <w:color w:val="auto"/>
              </w:rPr>
              <w:t>212</w:t>
            </w:r>
          </w:p>
        </w:tc>
        <w:tc>
          <w:tcPr>
            <w:tcW w:w="0" w:type="dxa"/>
            <w:vAlign w:val="bottom"/>
          </w:tcPr>
          <w:p>
            <w:pPr>
              <w:spacing w:after="0"/>
              <w:rPr>
                <w:sz w:val="1"/>
                <w:szCs w:val="1"/>
                <w:color w:val="auto"/>
              </w:rPr>
            </w:pPr>
          </w:p>
        </w:tc>
      </w:tr>
      <w:tr>
        <w:trPr>
          <w:trHeight w:val="206"/>
        </w:trPr>
        <w:tc>
          <w:tcPr>
            <w:tcW w:w="2380" w:type="dxa"/>
            <w:vAlign w:val="bottom"/>
          </w:tcPr>
          <w:p>
            <w:pPr>
              <w:ind w:left="20"/>
              <w:spacing w:after="0"/>
              <w:rPr>
                <w:sz w:val="20"/>
                <w:szCs w:val="20"/>
                <w:color w:val="auto"/>
              </w:rPr>
            </w:pPr>
            <w:r>
              <w:rPr>
                <w:rFonts w:ascii="Calibri" w:cs="Calibri" w:eastAsia="Calibri" w:hAnsi="Calibri"/>
                <w:sz w:val="16"/>
                <w:szCs w:val="16"/>
                <w:color w:val="auto"/>
              </w:rPr>
              <w:t>December 14, 2025</w:t>
            </w:r>
          </w:p>
        </w:tc>
        <w:tc>
          <w:tcPr>
            <w:tcW w:w="2080" w:type="dxa"/>
            <w:vAlign w:val="bottom"/>
          </w:tcPr>
          <w:p>
            <w:pPr>
              <w:jc w:val="right"/>
              <w:ind w:right="19"/>
              <w:spacing w:after="0"/>
              <w:rPr>
                <w:sz w:val="20"/>
                <w:szCs w:val="20"/>
                <w:color w:val="auto"/>
              </w:rPr>
            </w:pPr>
            <w:r>
              <w:rPr>
                <w:rFonts w:ascii="Calibri" w:cs="Calibri" w:eastAsia="Calibri" w:hAnsi="Calibri"/>
                <w:sz w:val="16"/>
                <w:szCs w:val="16"/>
                <w:color w:val="auto"/>
              </w:rPr>
              <w:t>66.12</w:t>
            </w:r>
          </w:p>
        </w:tc>
        <w:tc>
          <w:tcPr>
            <w:tcW w:w="1440" w:type="dxa"/>
            <w:vAlign w:val="bottom"/>
          </w:tcPr>
          <w:p>
            <w:pPr>
              <w:jc w:val="right"/>
              <w:ind w:right="39"/>
              <w:spacing w:after="0"/>
              <w:rPr>
                <w:sz w:val="20"/>
                <w:szCs w:val="20"/>
                <w:color w:val="auto"/>
              </w:rPr>
            </w:pPr>
            <w:r>
              <w:rPr>
                <w:rFonts w:ascii="Calibri" w:cs="Calibri" w:eastAsia="Calibri" w:hAnsi="Calibri"/>
                <w:sz w:val="16"/>
                <w:szCs w:val="16"/>
                <w:color w:val="auto"/>
              </w:rPr>
              <w:t>3,990</w:t>
            </w:r>
          </w:p>
        </w:tc>
        <w:tc>
          <w:tcPr>
            <w:tcW w:w="1500" w:type="dxa"/>
            <w:vAlign w:val="bottom"/>
          </w:tcPr>
          <w:p>
            <w:pPr>
              <w:jc w:val="right"/>
              <w:ind w:right="99"/>
              <w:spacing w:after="0"/>
              <w:rPr>
                <w:sz w:val="20"/>
                <w:szCs w:val="20"/>
                <w:color w:val="auto"/>
              </w:rPr>
            </w:pPr>
            <w:r>
              <w:rPr>
                <w:rFonts w:ascii="Calibri" w:cs="Calibri" w:eastAsia="Calibri" w:hAnsi="Calibri"/>
                <w:sz w:val="16"/>
                <w:szCs w:val="16"/>
                <w:color w:val="auto"/>
              </w:rPr>
              <w:t>3,990</w:t>
            </w:r>
          </w:p>
        </w:tc>
        <w:tc>
          <w:tcPr>
            <w:tcW w:w="2220" w:type="dxa"/>
            <w:vAlign w:val="bottom"/>
          </w:tcPr>
          <w:p>
            <w:pPr>
              <w:jc w:val="right"/>
              <w:ind w:right="740"/>
              <w:spacing w:after="0"/>
              <w:rPr>
                <w:sz w:val="20"/>
                <w:szCs w:val="20"/>
                <w:color w:val="auto"/>
              </w:rPr>
            </w:pPr>
            <w:r>
              <w:rPr>
                <w:rFonts w:ascii="Calibri" w:cs="Calibri" w:eastAsia="Calibri" w:hAnsi="Calibri"/>
                <w:sz w:val="16"/>
                <w:szCs w:val="16"/>
                <w:color w:val="auto"/>
              </w:rPr>
              <w:t>1.20</w:t>
            </w:r>
          </w:p>
        </w:tc>
        <w:tc>
          <w:tcPr>
            <w:tcW w:w="920" w:type="dxa"/>
            <w:vAlign w:val="bottom"/>
          </w:tcPr>
          <w:p>
            <w:pPr>
              <w:jc w:val="right"/>
              <w:spacing w:after="0"/>
              <w:rPr>
                <w:sz w:val="20"/>
                <w:szCs w:val="20"/>
                <w:color w:val="auto"/>
              </w:rPr>
            </w:pPr>
            <w:r>
              <w:rPr>
                <w:rFonts w:ascii="Calibri" w:cs="Calibri" w:eastAsia="Calibri" w:hAnsi="Calibri"/>
                <w:sz w:val="16"/>
                <w:szCs w:val="16"/>
                <w:color w:val="auto"/>
              </w:rPr>
              <w:t>186</w:t>
            </w:r>
          </w:p>
        </w:tc>
        <w:tc>
          <w:tcPr>
            <w:tcW w:w="0" w:type="dxa"/>
            <w:vAlign w:val="bottom"/>
          </w:tcPr>
          <w:p>
            <w:pPr>
              <w:spacing w:after="0"/>
              <w:rPr>
                <w:sz w:val="1"/>
                <w:szCs w:val="1"/>
                <w:color w:val="auto"/>
              </w:rPr>
            </w:pPr>
          </w:p>
        </w:tc>
      </w:tr>
      <w:tr>
        <w:trPr>
          <w:trHeight w:val="206"/>
        </w:trPr>
        <w:tc>
          <w:tcPr>
            <w:tcW w:w="2380" w:type="dxa"/>
            <w:vAlign w:val="bottom"/>
          </w:tcPr>
          <w:p>
            <w:pPr>
              <w:ind w:left="20"/>
              <w:spacing w:after="0"/>
              <w:rPr>
                <w:sz w:val="20"/>
                <w:szCs w:val="20"/>
                <w:color w:val="auto"/>
              </w:rPr>
            </w:pPr>
            <w:r>
              <w:rPr>
                <w:rFonts w:ascii="Calibri" w:cs="Calibri" w:eastAsia="Calibri" w:hAnsi="Calibri"/>
                <w:sz w:val="16"/>
                <w:szCs w:val="16"/>
                <w:color w:val="auto"/>
              </w:rPr>
              <w:t>February 15, 2026</w:t>
            </w:r>
          </w:p>
        </w:tc>
        <w:tc>
          <w:tcPr>
            <w:tcW w:w="2080" w:type="dxa"/>
            <w:vAlign w:val="bottom"/>
          </w:tcPr>
          <w:p>
            <w:pPr>
              <w:jc w:val="right"/>
              <w:ind w:right="19"/>
              <w:spacing w:after="0"/>
              <w:rPr>
                <w:sz w:val="20"/>
                <w:szCs w:val="20"/>
                <w:color w:val="auto"/>
              </w:rPr>
            </w:pPr>
            <w:r>
              <w:rPr>
                <w:rFonts w:ascii="Calibri" w:cs="Calibri" w:eastAsia="Calibri" w:hAnsi="Calibri"/>
                <w:sz w:val="16"/>
                <w:szCs w:val="16"/>
                <w:color w:val="auto"/>
              </w:rPr>
              <w:t>77.14</w:t>
            </w:r>
          </w:p>
        </w:tc>
        <w:tc>
          <w:tcPr>
            <w:tcW w:w="1440" w:type="dxa"/>
            <w:vAlign w:val="bottom"/>
          </w:tcPr>
          <w:p>
            <w:pPr>
              <w:jc w:val="right"/>
              <w:ind w:right="39"/>
              <w:spacing w:after="0"/>
              <w:rPr>
                <w:sz w:val="20"/>
                <w:szCs w:val="20"/>
                <w:color w:val="auto"/>
              </w:rPr>
            </w:pPr>
            <w:r>
              <w:rPr>
                <w:rFonts w:ascii="Calibri" w:cs="Calibri" w:eastAsia="Calibri" w:hAnsi="Calibri"/>
                <w:sz w:val="16"/>
                <w:szCs w:val="16"/>
                <w:color w:val="auto"/>
              </w:rPr>
              <w:t>1,974</w:t>
            </w:r>
          </w:p>
        </w:tc>
        <w:tc>
          <w:tcPr>
            <w:tcW w:w="1500" w:type="dxa"/>
            <w:vAlign w:val="bottom"/>
          </w:tcPr>
          <w:p>
            <w:pPr>
              <w:jc w:val="right"/>
              <w:ind w:right="99"/>
              <w:spacing w:after="0"/>
              <w:rPr>
                <w:sz w:val="20"/>
                <w:szCs w:val="20"/>
                <w:color w:val="auto"/>
              </w:rPr>
            </w:pPr>
            <w:r>
              <w:rPr>
                <w:rFonts w:ascii="Calibri" w:cs="Calibri" w:eastAsia="Calibri" w:hAnsi="Calibri"/>
                <w:sz w:val="16"/>
                <w:szCs w:val="16"/>
                <w:color w:val="auto"/>
              </w:rPr>
              <w:t>1,974</w:t>
            </w:r>
          </w:p>
        </w:tc>
        <w:tc>
          <w:tcPr>
            <w:tcW w:w="2220" w:type="dxa"/>
            <w:vAlign w:val="bottom"/>
          </w:tcPr>
          <w:p>
            <w:pPr>
              <w:jc w:val="right"/>
              <w:ind w:right="740"/>
              <w:spacing w:after="0"/>
              <w:rPr>
                <w:sz w:val="20"/>
                <w:szCs w:val="20"/>
                <w:color w:val="auto"/>
              </w:rPr>
            </w:pPr>
            <w:r>
              <w:rPr>
                <w:rFonts w:ascii="Calibri" w:cs="Calibri" w:eastAsia="Calibri" w:hAnsi="Calibri"/>
                <w:sz w:val="16"/>
                <w:szCs w:val="16"/>
                <w:color w:val="auto"/>
              </w:rPr>
              <w:t>1.38</w:t>
            </w:r>
          </w:p>
        </w:tc>
        <w:tc>
          <w:tcPr>
            <w:tcW w:w="920" w:type="dxa"/>
            <w:vAlign w:val="bottom"/>
          </w:tcPr>
          <w:p>
            <w:pPr>
              <w:jc w:val="right"/>
              <w:spacing w:after="0"/>
              <w:rPr>
                <w:sz w:val="20"/>
                <w:szCs w:val="20"/>
                <w:color w:val="auto"/>
              </w:rPr>
            </w:pPr>
            <w:r>
              <w:rPr>
                <w:rFonts w:ascii="Calibri" w:cs="Calibri" w:eastAsia="Calibri" w:hAnsi="Calibri"/>
                <w:sz w:val="16"/>
                <w:szCs w:val="16"/>
                <w:color w:val="auto"/>
              </w:rPr>
              <w:t>109</w:t>
            </w:r>
          </w:p>
        </w:tc>
        <w:tc>
          <w:tcPr>
            <w:tcW w:w="0" w:type="dxa"/>
            <w:vAlign w:val="bottom"/>
          </w:tcPr>
          <w:p>
            <w:pPr>
              <w:spacing w:after="0"/>
              <w:rPr>
                <w:sz w:val="1"/>
                <w:szCs w:val="1"/>
                <w:color w:val="auto"/>
              </w:rPr>
            </w:pPr>
          </w:p>
        </w:tc>
      </w:tr>
      <w:tr>
        <w:trPr>
          <w:trHeight w:val="206"/>
        </w:trPr>
        <w:tc>
          <w:tcPr>
            <w:tcW w:w="2380" w:type="dxa"/>
            <w:vAlign w:val="bottom"/>
          </w:tcPr>
          <w:p>
            <w:pPr>
              <w:ind w:left="20"/>
              <w:spacing w:after="0"/>
              <w:rPr>
                <w:sz w:val="20"/>
                <w:szCs w:val="20"/>
                <w:color w:val="auto"/>
              </w:rPr>
            </w:pPr>
            <w:r>
              <w:rPr>
                <w:rFonts w:ascii="Calibri" w:cs="Calibri" w:eastAsia="Calibri" w:hAnsi="Calibri"/>
                <w:sz w:val="16"/>
                <w:szCs w:val="16"/>
                <w:color w:val="auto"/>
              </w:rPr>
              <w:t>March 10, 2026</w:t>
            </w:r>
          </w:p>
        </w:tc>
        <w:tc>
          <w:tcPr>
            <w:tcW w:w="2080" w:type="dxa"/>
            <w:vAlign w:val="bottom"/>
          </w:tcPr>
          <w:p>
            <w:pPr>
              <w:jc w:val="right"/>
              <w:ind w:right="19"/>
              <w:spacing w:after="0"/>
              <w:rPr>
                <w:sz w:val="20"/>
                <w:szCs w:val="20"/>
                <w:color w:val="auto"/>
              </w:rPr>
            </w:pPr>
            <w:r>
              <w:rPr>
                <w:rFonts w:ascii="Calibri" w:cs="Calibri" w:eastAsia="Calibri" w:hAnsi="Calibri"/>
                <w:sz w:val="16"/>
                <w:szCs w:val="16"/>
                <w:color w:val="auto"/>
              </w:rPr>
              <w:t>52.82</w:t>
            </w:r>
          </w:p>
        </w:tc>
        <w:tc>
          <w:tcPr>
            <w:tcW w:w="1440" w:type="dxa"/>
            <w:vAlign w:val="bottom"/>
          </w:tcPr>
          <w:p>
            <w:pPr>
              <w:jc w:val="right"/>
              <w:ind w:right="39"/>
              <w:spacing w:after="0"/>
              <w:rPr>
                <w:sz w:val="20"/>
                <w:szCs w:val="20"/>
                <w:color w:val="auto"/>
              </w:rPr>
            </w:pPr>
            <w:r>
              <w:rPr>
                <w:rFonts w:ascii="Calibri" w:cs="Calibri" w:eastAsia="Calibri" w:hAnsi="Calibri"/>
                <w:sz w:val="16"/>
                <w:szCs w:val="16"/>
                <w:color w:val="auto"/>
              </w:rPr>
              <w:t>5,725</w:t>
            </w:r>
          </w:p>
        </w:tc>
        <w:tc>
          <w:tcPr>
            <w:tcW w:w="1500" w:type="dxa"/>
            <w:vAlign w:val="bottom"/>
          </w:tcPr>
          <w:p>
            <w:pPr>
              <w:jc w:val="right"/>
              <w:ind w:right="99"/>
              <w:spacing w:after="0"/>
              <w:rPr>
                <w:sz w:val="20"/>
                <w:szCs w:val="20"/>
                <w:color w:val="auto"/>
              </w:rPr>
            </w:pPr>
            <w:r>
              <w:rPr>
                <w:rFonts w:ascii="Calibri" w:cs="Calibri" w:eastAsia="Calibri" w:hAnsi="Calibri"/>
                <w:sz w:val="16"/>
                <w:szCs w:val="16"/>
                <w:color w:val="auto"/>
              </w:rPr>
              <w:t>5,725</w:t>
            </w:r>
          </w:p>
        </w:tc>
        <w:tc>
          <w:tcPr>
            <w:tcW w:w="2220" w:type="dxa"/>
            <w:vAlign w:val="bottom"/>
          </w:tcPr>
          <w:p>
            <w:pPr>
              <w:jc w:val="right"/>
              <w:ind w:right="740"/>
              <w:spacing w:after="0"/>
              <w:rPr>
                <w:sz w:val="20"/>
                <w:szCs w:val="20"/>
                <w:color w:val="auto"/>
              </w:rPr>
            </w:pPr>
            <w:r>
              <w:rPr>
                <w:rFonts w:ascii="Calibri" w:cs="Calibri" w:eastAsia="Calibri" w:hAnsi="Calibri"/>
                <w:sz w:val="16"/>
                <w:szCs w:val="16"/>
                <w:color w:val="auto"/>
              </w:rPr>
              <w:t>1.44</w:t>
            </w:r>
          </w:p>
        </w:tc>
        <w:tc>
          <w:tcPr>
            <w:tcW w:w="920" w:type="dxa"/>
            <w:vAlign w:val="bottom"/>
          </w:tcPr>
          <w:p>
            <w:pPr>
              <w:jc w:val="right"/>
              <w:spacing w:after="0"/>
              <w:rPr>
                <w:sz w:val="20"/>
                <w:szCs w:val="20"/>
                <w:color w:val="auto"/>
              </w:rPr>
            </w:pPr>
            <w:r>
              <w:rPr>
                <w:rFonts w:ascii="Calibri" w:cs="Calibri" w:eastAsia="Calibri" w:hAnsi="Calibri"/>
                <w:sz w:val="16"/>
                <w:szCs w:val="16"/>
                <w:color w:val="auto"/>
              </w:rPr>
              <w:t>217</w:t>
            </w:r>
          </w:p>
        </w:tc>
        <w:tc>
          <w:tcPr>
            <w:tcW w:w="0" w:type="dxa"/>
            <w:vAlign w:val="bottom"/>
          </w:tcPr>
          <w:p>
            <w:pPr>
              <w:spacing w:after="0"/>
              <w:rPr>
                <w:sz w:val="1"/>
                <w:szCs w:val="1"/>
                <w:color w:val="auto"/>
              </w:rPr>
            </w:pPr>
          </w:p>
        </w:tc>
      </w:tr>
      <w:tr>
        <w:trPr>
          <w:trHeight w:val="206"/>
        </w:trPr>
        <w:tc>
          <w:tcPr>
            <w:tcW w:w="2380" w:type="dxa"/>
            <w:vAlign w:val="bottom"/>
          </w:tcPr>
          <w:p>
            <w:pPr>
              <w:ind w:left="20"/>
              <w:spacing w:after="0"/>
              <w:rPr>
                <w:sz w:val="20"/>
                <w:szCs w:val="20"/>
                <w:color w:val="auto"/>
              </w:rPr>
            </w:pPr>
            <w:r>
              <w:rPr>
                <w:rFonts w:ascii="Calibri" w:cs="Calibri" w:eastAsia="Calibri" w:hAnsi="Calibri"/>
                <w:sz w:val="16"/>
                <w:szCs w:val="16"/>
                <w:color w:val="auto"/>
              </w:rPr>
              <w:t>March 15, 2026</w:t>
            </w:r>
          </w:p>
        </w:tc>
        <w:tc>
          <w:tcPr>
            <w:tcW w:w="2080" w:type="dxa"/>
            <w:vAlign w:val="bottom"/>
          </w:tcPr>
          <w:p>
            <w:pPr>
              <w:jc w:val="right"/>
              <w:ind w:right="19"/>
              <w:spacing w:after="0"/>
              <w:rPr>
                <w:sz w:val="20"/>
                <w:szCs w:val="20"/>
                <w:color w:val="auto"/>
              </w:rPr>
            </w:pPr>
            <w:r>
              <w:rPr>
                <w:rFonts w:ascii="Calibri" w:cs="Calibri" w:eastAsia="Calibri" w:hAnsi="Calibri"/>
                <w:sz w:val="16"/>
                <w:szCs w:val="16"/>
                <w:color w:val="auto"/>
              </w:rPr>
              <w:t>58.90</w:t>
            </w:r>
          </w:p>
        </w:tc>
        <w:tc>
          <w:tcPr>
            <w:tcW w:w="1440" w:type="dxa"/>
            <w:vAlign w:val="bottom"/>
          </w:tcPr>
          <w:p>
            <w:pPr>
              <w:jc w:val="right"/>
              <w:ind w:right="39"/>
              <w:spacing w:after="0"/>
              <w:rPr>
                <w:sz w:val="20"/>
                <w:szCs w:val="20"/>
                <w:color w:val="auto"/>
              </w:rPr>
            </w:pPr>
            <w:r>
              <w:rPr>
                <w:rFonts w:ascii="Calibri" w:cs="Calibri" w:eastAsia="Calibri" w:hAnsi="Calibri"/>
                <w:sz w:val="16"/>
                <w:szCs w:val="16"/>
                <w:color w:val="auto"/>
              </w:rPr>
              <w:t>7,895</w:t>
            </w:r>
          </w:p>
        </w:tc>
        <w:tc>
          <w:tcPr>
            <w:tcW w:w="1500" w:type="dxa"/>
            <w:vAlign w:val="bottom"/>
          </w:tcPr>
          <w:p>
            <w:pPr>
              <w:jc w:val="right"/>
              <w:ind w:right="99"/>
              <w:spacing w:after="0"/>
              <w:rPr>
                <w:sz w:val="20"/>
                <w:szCs w:val="20"/>
                <w:color w:val="auto"/>
              </w:rPr>
            </w:pPr>
            <w:r>
              <w:rPr>
                <w:rFonts w:ascii="Calibri" w:cs="Calibri" w:eastAsia="Calibri" w:hAnsi="Calibri"/>
                <w:sz w:val="16"/>
                <w:szCs w:val="16"/>
                <w:color w:val="auto"/>
              </w:rPr>
              <w:t>7,895</w:t>
            </w:r>
          </w:p>
        </w:tc>
        <w:tc>
          <w:tcPr>
            <w:tcW w:w="2220" w:type="dxa"/>
            <w:vAlign w:val="bottom"/>
          </w:tcPr>
          <w:p>
            <w:pPr>
              <w:jc w:val="right"/>
              <w:ind w:right="740"/>
              <w:spacing w:after="0"/>
              <w:rPr>
                <w:sz w:val="20"/>
                <w:szCs w:val="20"/>
                <w:color w:val="auto"/>
              </w:rPr>
            </w:pPr>
            <w:r>
              <w:rPr>
                <w:rFonts w:ascii="Calibri" w:cs="Calibri" w:eastAsia="Calibri" w:hAnsi="Calibri"/>
                <w:sz w:val="16"/>
                <w:szCs w:val="16"/>
                <w:color w:val="auto"/>
              </w:rPr>
              <w:t>1.45</w:t>
            </w:r>
          </w:p>
        </w:tc>
        <w:tc>
          <w:tcPr>
            <w:tcW w:w="920" w:type="dxa"/>
            <w:vAlign w:val="bottom"/>
          </w:tcPr>
          <w:p>
            <w:pPr>
              <w:jc w:val="right"/>
              <w:spacing w:after="0"/>
              <w:rPr>
                <w:sz w:val="20"/>
                <w:szCs w:val="20"/>
                <w:color w:val="auto"/>
              </w:rPr>
            </w:pPr>
            <w:r>
              <w:rPr>
                <w:rFonts w:ascii="Calibri" w:cs="Calibri" w:eastAsia="Calibri" w:hAnsi="Calibri"/>
                <w:sz w:val="16"/>
                <w:szCs w:val="16"/>
                <w:color w:val="auto"/>
              </w:rPr>
              <w:t>360</w:t>
            </w:r>
          </w:p>
        </w:tc>
        <w:tc>
          <w:tcPr>
            <w:tcW w:w="0" w:type="dxa"/>
            <w:vAlign w:val="bottom"/>
          </w:tcPr>
          <w:p>
            <w:pPr>
              <w:spacing w:after="0"/>
              <w:rPr>
                <w:sz w:val="1"/>
                <w:szCs w:val="1"/>
                <w:color w:val="auto"/>
              </w:rPr>
            </w:pPr>
          </w:p>
        </w:tc>
      </w:tr>
      <w:tr>
        <w:trPr>
          <w:trHeight w:val="206"/>
        </w:trPr>
        <w:tc>
          <w:tcPr>
            <w:tcW w:w="2380" w:type="dxa"/>
            <w:vAlign w:val="bottom"/>
          </w:tcPr>
          <w:p>
            <w:pPr>
              <w:ind w:left="20"/>
              <w:spacing w:after="0"/>
              <w:rPr>
                <w:sz w:val="20"/>
                <w:szCs w:val="20"/>
                <w:color w:val="auto"/>
              </w:rPr>
            </w:pPr>
            <w:r>
              <w:rPr>
                <w:rFonts w:ascii="Calibri" w:cs="Calibri" w:eastAsia="Calibri" w:hAnsi="Calibri"/>
                <w:sz w:val="16"/>
                <w:szCs w:val="16"/>
                <w:color w:val="auto"/>
              </w:rPr>
              <w:t>March 29, 2026</w:t>
            </w:r>
          </w:p>
        </w:tc>
        <w:tc>
          <w:tcPr>
            <w:tcW w:w="2080" w:type="dxa"/>
            <w:vAlign w:val="bottom"/>
          </w:tcPr>
          <w:p>
            <w:pPr>
              <w:jc w:val="right"/>
              <w:ind w:right="19"/>
              <w:spacing w:after="0"/>
              <w:rPr>
                <w:sz w:val="20"/>
                <w:szCs w:val="20"/>
                <w:color w:val="auto"/>
              </w:rPr>
            </w:pPr>
            <w:r>
              <w:rPr>
                <w:rFonts w:ascii="Calibri" w:cs="Calibri" w:eastAsia="Calibri" w:hAnsi="Calibri"/>
                <w:sz w:val="16"/>
                <w:szCs w:val="16"/>
                <w:color w:val="auto"/>
              </w:rPr>
              <w:t>50.16</w:t>
            </w:r>
          </w:p>
        </w:tc>
        <w:tc>
          <w:tcPr>
            <w:tcW w:w="1440" w:type="dxa"/>
            <w:vAlign w:val="bottom"/>
          </w:tcPr>
          <w:p>
            <w:pPr>
              <w:jc w:val="right"/>
              <w:ind w:right="39"/>
              <w:spacing w:after="0"/>
              <w:rPr>
                <w:sz w:val="20"/>
                <w:szCs w:val="20"/>
                <w:color w:val="auto"/>
              </w:rPr>
            </w:pPr>
            <w:r>
              <w:rPr>
                <w:rFonts w:ascii="Calibri" w:cs="Calibri" w:eastAsia="Calibri" w:hAnsi="Calibri"/>
                <w:sz w:val="16"/>
                <w:szCs w:val="16"/>
                <w:color w:val="auto"/>
              </w:rPr>
              <w:t>987</w:t>
            </w:r>
          </w:p>
        </w:tc>
        <w:tc>
          <w:tcPr>
            <w:tcW w:w="1500" w:type="dxa"/>
            <w:vAlign w:val="bottom"/>
          </w:tcPr>
          <w:p>
            <w:pPr>
              <w:jc w:val="right"/>
              <w:ind w:right="99"/>
              <w:spacing w:after="0"/>
              <w:rPr>
                <w:sz w:val="20"/>
                <w:szCs w:val="20"/>
                <w:color w:val="auto"/>
              </w:rPr>
            </w:pPr>
            <w:r>
              <w:rPr>
                <w:rFonts w:ascii="Calibri" w:cs="Calibri" w:eastAsia="Calibri" w:hAnsi="Calibri"/>
                <w:sz w:val="16"/>
                <w:szCs w:val="16"/>
                <w:color w:val="auto"/>
              </w:rPr>
              <w:t>987</w:t>
            </w:r>
          </w:p>
        </w:tc>
        <w:tc>
          <w:tcPr>
            <w:tcW w:w="2220" w:type="dxa"/>
            <w:vAlign w:val="bottom"/>
          </w:tcPr>
          <w:p>
            <w:pPr>
              <w:jc w:val="right"/>
              <w:ind w:right="740"/>
              <w:spacing w:after="0"/>
              <w:rPr>
                <w:sz w:val="20"/>
                <w:szCs w:val="20"/>
                <w:color w:val="auto"/>
              </w:rPr>
            </w:pPr>
            <w:r>
              <w:rPr>
                <w:rFonts w:ascii="Calibri" w:cs="Calibri" w:eastAsia="Calibri" w:hAnsi="Calibri"/>
                <w:sz w:val="16"/>
                <w:szCs w:val="16"/>
                <w:color w:val="auto"/>
              </w:rPr>
              <w:t>1.49</w:t>
            </w:r>
          </w:p>
        </w:tc>
        <w:tc>
          <w:tcPr>
            <w:tcW w:w="920" w:type="dxa"/>
            <w:vAlign w:val="bottom"/>
          </w:tcPr>
          <w:p>
            <w:pPr>
              <w:jc w:val="right"/>
              <w:spacing w:after="0"/>
              <w:rPr>
                <w:sz w:val="20"/>
                <w:szCs w:val="20"/>
                <w:color w:val="auto"/>
              </w:rPr>
            </w:pPr>
            <w:r>
              <w:rPr>
                <w:rFonts w:ascii="Calibri" w:cs="Calibri" w:eastAsia="Calibri" w:hAnsi="Calibri"/>
                <w:sz w:val="16"/>
                <w:szCs w:val="16"/>
                <w:color w:val="auto"/>
              </w:rPr>
              <w:t>36</w:t>
            </w:r>
          </w:p>
        </w:tc>
        <w:tc>
          <w:tcPr>
            <w:tcW w:w="0" w:type="dxa"/>
            <w:vAlign w:val="bottom"/>
          </w:tcPr>
          <w:p>
            <w:pPr>
              <w:spacing w:after="0"/>
              <w:rPr>
                <w:sz w:val="1"/>
                <w:szCs w:val="1"/>
                <w:color w:val="auto"/>
              </w:rPr>
            </w:pPr>
          </w:p>
        </w:tc>
      </w:tr>
      <w:tr>
        <w:trPr>
          <w:trHeight w:val="206"/>
        </w:trPr>
        <w:tc>
          <w:tcPr>
            <w:tcW w:w="2380" w:type="dxa"/>
            <w:vAlign w:val="bottom"/>
          </w:tcPr>
          <w:p>
            <w:pPr>
              <w:ind w:left="20"/>
              <w:spacing w:after="0"/>
              <w:rPr>
                <w:sz w:val="20"/>
                <w:szCs w:val="20"/>
                <w:color w:val="auto"/>
              </w:rPr>
            </w:pPr>
            <w:r>
              <w:rPr>
                <w:rFonts w:ascii="Calibri" w:cs="Calibri" w:eastAsia="Calibri" w:hAnsi="Calibri"/>
                <w:sz w:val="16"/>
                <w:szCs w:val="16"/>
                <w:color w:val="auto"/>
              </w:rPr>
              <w:t>June 28, 2026</w:t>
            </w:r>
          </w:p>
        </w:tc>
        <w:tc>
          <w:tcPr>
            <w:tcW w:w="2080" w:type="dxa"/>
            <w:vAlign w:val="bottom"/>
          </w:tcPr>
          <w:p>
            <w:pPr>
              <w:jc w:val="right"/>
              <w:ind w:right="19"/>
              <w:spacing w:after="0"/>
              <w:rPr>
                <w:sz w:val="20"/>
                <w:szCs w:val="20"/>
                <w:color w:val="auto"/>
              </w:rPr>
            </w:pPr>
            <w:r>
              <w:rPr>
                <w:rFonts w:ascii="Calibri" w:cs="Calibri" w:eastAsia="Calibri" w:hAnsi="Calibri"/>
                <w:sz w:val="16"/>
                <w:szCs w:val="16"/>
                <w:color w:val="auto"/>
              </w:rPr>
              <w:t>110.20</w:t>
            </w:r>
          </w:p>
        </w:tc>
        <w:tc>
          <w:tcPr>
            <w:tcW w:w="1440" w:type="dxa"/>
            <w:vAlign w:val="bottom"/>
          </w:tcPr>
          <w:p>
            <w:pPr>
              <w:jc w:val="right"/>
              <w:ind w:right="39"/>
              <w:spacing w:after="0"/>
              <w:rPr>
                <w:sz w:val="20"/>
                <w:szCs w:val="20"/>
                <w:color w:val="auto"/>
              </w:rPr>
            </w:pPr>
            <w:r>
              <w:rPr>
                <w:rFonts w:ascii="Calibri" w:cs="Calibri" w:eastAsia="Calibri" w:hAnsi="Calibri"/>
                <w:sz w:val="16"/>
                <w:szCs w:val="16"/>
                <w:color w:val="auto"/>
              </w:rPr>
              <w:t>4,475</w:t>
            </w:r>
          </w:p>
        </w:tc>
        <w:tc>
          <w:tcPr>
            <w:tcW w:w="1500" w:type="dxa"/>
            <w:vAlign w:val="bottom"/>
          </w:tcPr>
          <w:p>
            <w:pPr>
              <w:jc w:val="right"/>
              <w:ind w:right="99"/>
              <w:spacing w:after="0"/>
              <w:rPr>
                <w:sz w:val="20"/>
                <w:szCs w:val="20"/>
                <w:color w:val="auto"/>
              </w:rPr>
            </w:pPr>
            <w:r>
              <w:rPr>
                <w:rFonts w:ascii="Calibri" w:cs="Calibri" w:eastAsia="Calibri" w:hAnsi="Calibri"/>
                <w:sz w:val="16"/>
                <w:szCs w:val="16"/>
                <w:color w:val="auto"/>
              </w:rPr>
              <w:t>4,475</w:t>
            </w:r>
          </w:p>
        </w:tc>
        <w:tc>
          <w:tcPr>
            <w:tcW w:w="2220" w:type="dxa"/>
            <w:vAlign w:val="bottom"/>
          </w:tcPr>
          <w:p>
            <w:pPr>
              <w:jc w:val="right"/>
              <w:ind w:right="740"/>
              <w:spacing w:after="0"/>
              <w:rPr>
                <w:sz w:val="20"/>
                <w:szCs w:val="20"/>
                <w:color w:val="auto"/>
              </w:rPr>
            </w:pPr>
            <w:r>
              <w:rPr>
                <w:rFonts w:ascii="Calibri" w:cs="Calibri" w:eastAsia="Calibri" w:hAnsi="Calibri"/>
                <w:sz w:val="16"/>
                <w:szCs w:val="16"/>
                <w:color w:val="auto"/>
              </w:rPr>
              <w:t>1.74</w:t>
            </w:r>
          </w:p>
        </w:tc>
        <w:tc>
          <w:tcPr>
            <w:tcW w:w="920" w:type="dxa"/>
            <w:vAlign w:val="bottom"/>
          </w:tcPr>
          <w:p>
            <w:pPr>
              <w:jc w:val="right"/>
              <w:spacing w:after="0"/>
              <w:rPr>
                <w:sz w:val="20"/>
                <w:szCs w:val="20"/>
                <w:color w:val="auto"/>
              </w:rPr>
            </w:pPr>
            <w:r>
              <w:rPr>
                <w:rFonts w:ascii="Calibri" w:cs="Calibri" w:eastAsia="Calibri" w:hAnsi="Calibri"/>
                <w:sz w:val="16"/>
                <w:szCs w:val="16"/>
                <w:color w:val="auto"/>
              </w:rPr>
              <w:t>354</w:t>
            </w:r>
          </w:p>
        </w:tc>
        <w:tc>
          <w:tcPr>
            <w:tcW w:w="0" w:type="dxa"/>
            <w:vAlign w:val="bottom"/>
          </w:tcPr>
          <w:p>
            <w:pPr>
              <w:spacing w:after="0"/>
              <w:rPr>
                <w:sz w:val="1"/>
                <w:szCs w:val="1"/>
                <w:color w:val="auto"/>
              </w:rPr>
            </w:pPr>
          </w:p>
        </w:tc>
      </w:tr>
      <w:tr>
        <w:trPr>
          <w:trHeight w:val="206"/>
        </w:trPr>
        <w:tc>
          <w:tcPr>
            <w:tcW w:w="2380" w:type="dxa"/>
            <w:vAlign w:val="bottom"/>
          </w:tcPr>
          <w:p>
            <w:pPr>
              <w:ind w:left="20"/>
              <w:spacing w:after="0"/>
              <w:rPr>
                <w:sz w:val="20"/>
                <w:szCs w:val="20"/>
                <w:color w:val="auto"/>
              </w:rPr>
            </w:pPr>
            <w:r>
              <w:rPr>
                <w:rFonts w:ascii="Calibri" w:cs="Calibri" w:eastAsia="Calibri" w:hAnsi="Calibri"/>
                <w:sz w:val="16"/>
                <w:szCs w:val="16"/>
                <w:color w:val="auto"/>
              </w:rPr>
              <w:t>September 26, 2026</w:t>
            </w:r>
          </w:p>
        </w:tc>
        <w:tc>
          <w:tcPr>
            <w:tcW w:w="2080" w:type="dxa"/>
            <w:vAlign w:val="bottom"/>
          </w:tcPr>
          <w:p>
            <w:pPr>
              <w:jc w:val="right"/>
              <w:ind w:right="19"/>
              <w:spacing w:after="0"/>
              <w:rPr>
                <w:sz w:val="20"/>
                <w:szCs w:val="20"/>
                <w:color w:val="auto"/>
              </w:rPr>
            </w:pPr>
            <w:r>
              <w:rPr>
                <w:rFonts w:ascii="Calibri" w:cs="Calibri" w:eastAsia="Calibri" w:hAnsi="Calibri"/>
                <w:sz w:val="16"/>
                <w:szCs w:val="16"/>
                <w:color w:val="auto"/>
              </w:rPr>
              <w:t>30.02</w:t>
            </w:r>
          </w:p>
        </w:tc>
        <w:tc>
          <w:tcPr>
            <w:tcW w:w="1440" w:type="dxa"/>
            <w:vAlign w:val="bottom"/>
          </w:tcPr>
          <w:p>
            <w:pPr>
              <w:jc w:val="right"/>
              <w:ind w:right="39"/>
              <w:spacing w:after="0"/>
              <w:rPr>
                <w:sz w:val="20"/>
                <w:szCs w:val="20"/>
                <w:color w:val="auto"/>
              </w:rPr>
            </w:pPr>
            <w:r>
              <w:rPr>
                <w:rFonts w:ascii="Calibri" w:cs="Calibri" w:eastAsia="Calibri" w:hAnsi="Calibri"/>
                <w:sz w:val="16"/>
                <w:szCs w:val="16"/>
                <w:color w:val="auto"/>
              </w:rPr>
              <w:t>25,657</w:t>
            </w:r>
          </w:p>
        </w:tc>
        <w:tc>
          <w:tcPr>
            <w:tcW w:w="1500" w:type="dxa"/>
            <w:vAlign w:val="bottom"/>
          </w:tcPr>
          <w:p>
            <w:pPr>
              <w:jc w:val="right"/>
              <w:ind w:right="99"/>
              <w:spacing w:after="0"/>
              <w:rPr>
                <w:sz w:val="20"/>
                <w:szCs w:val="20"/>
                <w:color w:val="auto"/>
              </w:rPr>
            </w:pPr>
            <w:r>
              <w:rPr>
                <w:rFonts w:ascii="Calibri" w:cs="Calibri" w:eastAsia="Calibri" w:hAnsi="Calibri"/>
                <w:sz w:val="16"/>
                <w:szCs w:val="16"/>
                <w:color w:val="auto"/>
              </w:rPr>
              <w:t>25,657</w:t>
            </w:r>
          </w:p>
        </w:tc>
        <w:tc>
          <w:tcPr>
            <w:tcW w:w="2220" w:type="dxa"/>
            <w:vAlign w:val="bottom"/>
          </w:tcPr>
          <w:p>
            <w:pPr>
              <w:jc w:val="right"/>
              <w:ind w:right="740"/>
              <w:spacing w:after="0"/>
              <w:rPr>
                <w:sz w:val="20"/>
                <w:szCs w:val="20"/>
                <w:color w:val="auto"/>
              </w:rPr>
            </w:pPr>
            <w:r>
              <w:rPr>
                <w:rFonts w:ascii="Calibri" w:cs="Calibri" w:eastAsia="Calibri" w:hAnsi="Calibri"/>
                <w:sz w:val="16"/>
                <w:szCs w:val="16"/>
                <w:color w:val="auto"/>
              </w:rPr>
              <w:t>1.99</w:t>
            </w:r>
          </w:p>
        </w:tc>
        <w:tc>
          <w:tcPr>
            <w:tcW w:w="920" w:type="dxa"/>
            <w:vAlign w:val="bottom"/>
          </w:tcPr>
          <w:p>
            <w:pPr>
              <w:jc w:val="right"/>
              <w:spacing w:after="0"/>
              <w:rPr>
                <w:sz w:val="20"/>
                <w:szCs w:val="20"/>
                <w:color w:val="auto"/>
              </w:rPr>
            </w:pPr>
            <w:r>
              <w:rPr>
                <w:rFonts w:ascii="Calibri" w:cs="Calibri" w:eastAsia="Calibri" w:hAnsi="Calibri"/>
                <w:sz w:val="16"/>
                <w:szCs w:val="16"/>
                <w:color w:val="auto"/>
              </w:rPr>
              <w:t>439</w:t>
            </w:r>
          </w:p>
        </w:tc>
        <w:tc>
          <w:tcPr>
            <w:tcW w:w="0" w:type="dxa"/>
            <w:vAlign w:val="bottom"/>
          </w:tcPr>
          <w:p>
            <w:pPr>
              <w:spacing w:after="0"/>
              <w:rPr>
                <w:sz w:val="1"/>
                <w:szCs w:val="1"/>
                <w:color w:val="auto"/>
              </w:rPr>
            </w:pPr>
          </w:p>
        </w:tc>
      </w:tr>
      <w:tr>
        <w:trPr>
          <w:trHeight w:val="206"/>
        </w:trPr>
        <w:tc>
          <w:tcPr>
            <w:tcW w:w="2380" w:type="dxa"/>
            <w:vAlign w:val="bottom"/>
          </w:tcPr>
          <w:p>
            <w:pPr>
              <w:ind w:left="20"/>
              <w:spacing w:after="0"/>
              <w:rPr>
                <w:sz w:val="20"/>
                <w:szCs w:val="20"/>
                <w:color w:val="auto"/>
              </w:rPr>
            </w:pPr>
            <w:r>
              <w:rPr>
                <w:rFonts w:ascii="Calibri" w:cs="Calibri" w:eastAsia="Calibri" w:hAnsi="Calibri"/>
                <w:sz w:val="16"/>
                <w:szCs w:val="16"/>
                <w:color w:val="auto"/>
              </w:rPr>
              <w:t>November 16, 2026</w:t>
            </w:r>
          </w:p>
        </w:tc>
        <w:tc>
          <w:tcPr>
            <w:tcW w:w="2080" w:type="dxa"/>
            <w:vAlign w:val="bottom"/>
          </w:tcPr>
          <w:p>
            <w:pPr>
              <w:jc w:val="right"/>
              <w:ind w:right="19"/>
              <w:spacing w:after="0"/>
              <w:rPr>
                <w:sz w:val="20"/>
                <w:szCs w:val="20"/>
                <w:color w:val="auto"/>
              </w:rPr>
            </w:pPr>
            <w:r>
              <w:rPr>
                <w:rFonts w:ascii="Calibri" w:cs="Calibri" w:eastAsia="Calibri" w:hAnsi="Calibri"/>
                <w:sz w:val="16"/>
                <w:szCs w:val="16"/>
                <w:color w:val="auto"/>
              </w:rPr>
              <w:t>27.17</w:t>
            </w:r>
          </w:p>
        </w:tc>
        <w:tc>
          <w:tcPr>
            <w:tcW w:w="1440" w:type="dxa"/>
            <w:vAlign w:val="bottom"/>
          </w:tcPr>
          <w:p>
            <w:pPr>
              <w:jc w:val="right"/>
              <w:ind w:right="39"/>
              <w:spacing w:after="0"/>
              <w:rPr>
                <w:sz w:val="20"/>
                <w:szCs w:val="20"/>
                <w:color w:val="auto"/>
              </w:rPr>
            </w:pPr>
            <w:r>
              <w:rPr>
                <w:rFonts w:ascii="Calibri" w:cs="Calibri" w:eastAsia="Calibri" w:hAnsi="Calibri"/>
                <w:sz w:val="16"/>
                <w:szCs w:val="16"/>
                <w:color w:val="auto"/>
              </w:rPr>
              <w:t>13,158</w:t>
            </w:r>
          </w:p>
        </w:tc>
        <w:tc>
          <w:tcPr>
            <w:tcW w:w="1500" w:type="dxa"/>
            <w:vAlign w:val="bottom"/>
          </w:tcPr>
          <w:p>
            <w:pPr>
              <w:jc w:val="right"/>
              <w:ind w:right="99"/>
              <w:spacing w:after="0"/>
              <w:rPr>
                <w:sz w:val="20"/>
                <w:szCs w:val="20"/>
                <w:color w:val="auto"/>
              </w:rPr>
            </w:pPr>
            <w:r>
              <w:rPr>
                <w:rFonts w:ascii="Calibri" w:cs="Calibri" w:eastAsia="Calibri" w:hAnsi="Calibri"/>
                <w:sz w:val="16"/>
                <w:szCs w:val="16"/>
                <w:color w:val="auto"/>
              </w:rPr>
              <w:t>6,578</w:t>
            </w:r>
          </w:p>
        </w:tc>
        <w:tc>
          <w:tcPr>
            <w:tcW w:w="2220" w:type="dxa"/>
            <w:vAlign w:val="bottom"/>
          </w:tcPr>
          <w:p>
            <w:pPr>
              <w:jc w:val="right"/>
              <w:ind w:right="740"/>
              <w:spacing w:after="0"/>
              <w:rPr>
                <w:sz w:val="20"/>
                <w:szCs w:val="20"/>
                <w:color w:val="auto"/>
              </w:rPr>
            </w:pPr>
            <w:r>
              <w:rPr>
                <w:rFonts w:ascii="Calibri" w:cs="Calibri" w:eastAsia="Calibri" w:hAnsi="Calibri"/>
                <w:sz w:val="16"/>
                <w:szCs w:val="16"/>
                <w:color w:val="auto"/>
              </w:rPr>
              <w:t>2.13</w:t>
            </w:r>
          </w:p>
        </w:tc>
        <w:tc>
          <w:tcPr>
            <w:tcW w:w="920" w:type="dxa"/>
            <w:vAlign w:val="bottom"/>
          </w:tcPr>
          <w:p>
            <w:pPr>
              <w:jc w:val="right"/>
              <w:spacing w:after="0"/>
              <w:rPr>
                <w:sz w:val="20"/>
                <w:szCs w:val="20"/>
                <w:color w:val="auto"/>
              </w:rPr>
            </w:pPr>
            <w:r>
              <w:rPr>
                <w:rFonts w:ascii="Calibri" w:cs="Calibri" w:eastAsia="Calibri" w:hAnsi="Calibri"/>
                <w:sz w:val="16"/>
                <w:szCs w:val="16"/>
                <w:color w:val="auto"/>
              </w:rPr>
              <w:t>127</w:t>
            </w:r>
          </w:p>
        </w:tc>
        <w:tc>
          <w:tcPr>
            <w:tcW w:w="0" w:type="dxa"/>
            <w:vAlign w:val="bottom"/>
          </w:tcPr>
          <w:p>
            <w:pPr>
              <w:spacing w:after="0"/>
              <w:rPr>
                <w:sz w:val="1"/>
                <w:szCs w:val="1"/>
                <w:color w:val="auto"/>
              </w:rPr>
            </w:pPr>
          </w:p>
        </w:tc>
      </w:tr>
      <w:tr>
        <w:trPr>
          <w:trHeight w:val="206"/>
        </w:trPr>
        <w:tc>
          <w:tcPr>
            <w:tcW w:w="2380" w:type="dxa"/>
            <w:vAlign w:val="bottom"/>
          </w:tcPr>
          <w:p>
            <w:pPr>
              <w:ind w:left="20"/>
              <w:spacing w:after="0"/>
              <w:rPr>
                <w:sz w:val="20"/>
                <w:szCs w:val="20"/>
                <w:color w:val="auto"/>
              </w:rPr>
            </w:pPr>
            <w:r>
              <w:rPr>
                <w:rFonts w:ascii="Calibri" w:cs="Calibri" w:eastAsia="Calibri" w:hAnsi="Calibri"/>
                <w:sz w:val="16"/>
                <w:szCs w:val="16"/>
                <w:color w:val="auto"/>
              </w:rPr>
              <w:t>December 31, 2026</w:t>
            </w:r>
          </w:p>
        </w:tc>
        <w:tc>
          <w:tcPr>
            <w:tcW w:w="2080" w:type="dxa"/>
            <w:vAlign w:val="bottom"/>
          </w:tcPr>
          <w:p>
            <w:pPr>
              <w:jc w:val="right"/>
              <w:ind w:right="19"/>
              <w:spacing w:after="0"/>
              <w:rPr>
                <w:sz w:val="20"/>
                <w:szCs w:val="20"/>
                <w:color w:val="auto"/>
              </w:rPr>
            </w:pPr>
            <w:r>
              <w:rPr>
                <w:rFonts w:ascii="Calibri" w:cs="Calibri" w:eastAsia="Calibri" w:hAnsi="Calibri"/>
                <w:sz w:val="16"/>
                <w:szCs w:val="16"/>
                <w:color w:val="auto"/>
              </w:rPr>
              <w:t>57.00</w:t>
            </w:r>
          </w:p>
        </w:tc>
        <w:tc>
          <w:tcPr>
            <w:tcW w:w="1440" w:type="dxa"/>
            <w:vAlign w:val="bottom"/>
          </w:tcPr>
          <w:p>
            <w:pPr>
              <w:jc w:val="right"/>
              <w:ind w:right="39"/>
              <w:spacing w:after="0"/>
              <w:rPr>
                <w:sz w:val="20"/>
                <w:szCs w:val="20"/>
                <w:color w:val="auto"/>
              </w:rPr>
            </w:pPr>
            <w:r>
              <w:rPr>
                <w:rFonts w:ascii="Calibri" w:cs="Calibri" w:eastAsia="Calibri" w:hAnsi="Calibri"/>
                <w:sz w:val="16"/>
                <w:szCs w:val="16"/>
                <w:color w:val="auto"/>
              </w:rPr>
              <w:t>32,896</w:t>
            </w:r>
          </w:p>
        </w:tc>
        <w:tc>
          <w:tcPr>
            <w:tcW w:w="1500" w:type="dxa"/>
            <w:vAlign w:val="bottom"/>
          </w:tcPr>
          <w:p>
            <w:pPr>
              <w:jc w:val="right"/>
              <w:ind w:right="99"/>
              <w:spacing w:after="0"/>
              <w:rPr>
                <w:sz w:val="20"/>
                <w:szCs w:val="20"/>
                <w:color w:val="auto"/>
              </w:rPr>
            </w:pPr>
            <w:r>
              <w:rPr>
                <w:rFonts w:ascii="Calibri" w:cs="Calibri" w:eastAsia="Calibri" w:hAnsi="Calibri"/>
                <w:sz w:val="16"/>
                <w:szCs w:val="16"/>
                <w:color w:val="auto"/>
              </w:rPr>
              <w:t>32,896</w:t>
            </w:r>
          </w:p>
        </w:tc>
        <w:tc>
          <w:tcPr>
            <w:tcW w:w="2220" w:type="dxa"/>
            <w:vAlign w:val="bottom"/>
          </w:tcPr>
          <w:p>
            <w:pPr>
              <w:jc w:val="right"/>
              <w:ind w:right="740"/>
              <w:spacing w:after="0"/>
              <w:rPr>
                <w:sz w:val="20"/>
                <w:szCs w:val="20"/>
                <w:color w:val="auto"/>
              </w:rPr>
            </w:pPr>
            <w:r>
              <w:rPr>
                <w:rFonts w:ascii="Calibri" w:cs="Calibri" w:eastAsia="Calibri" w:hAnsi="Calibri"/>
                <w:sz w:val="16"/>
                <w:szCs w:val="16"/>
                <w:color w:val="auto"/>
              </w:rPr>
              <w:t>2.25</w:t>
            </w:r>
          </w:p>
        </w:tc>
        <w:tc>
          <w:tcPr>
            <w:tcW w:w="920" w:type="dxa"/>
            <w:vAlign w:val="bottom"/>
          </w:tcPr>
          <w:p>
            <w:pPr>
              <w:jc w:val="right"/>
              <w:spacing w:after="0"/>
              <w:rPr>
                <w:sz w:val="20"/>
                <w:szCs w:val="20"/>
                <w:color w:val="auto"/>
              </w:rPr>
            </w:pPr>
            <w:r>
              <w:rPr>
                <w:rFonts w:ascii="Calibri" w:cs="Calibri" w:eastAsia="Calibri" w:hAnsi="Calibri"/>
                <w:sz w:val="16"/>
                <w:szCs w:val="16"/>
                <w:color w:val="auto"/>
              </w:rPr>
              <w:t>1,352</w:t>
            </w:r>
          </w:p>
        </w:tc>
        <w:tc>
          <w:tcPr>
            <w:tcW w:w="0" w:type="dxa"/>
            <w:vAlign w:val="bottom"/>
          </w:tcPr>
          <w:p>
            <w:pPr>
              <w:spacing w:after="0"/>
              <w:rPr>
                <w:sz w:val="1"/>
                <w:szCs w:val="1"/>
                <w:color w:val="auto"/>
              </w:rPr>
            </w:pPr>
          </w:p>
        </w:tc>
      </w:tr>
      <w:tr>
        <w:trPr>
          <w:trHeight w:val="206"/>
        </w:trPr>
        <w:tc>
          <w:tcPr>
            <w:tcW w:w="2380" w:type="dxa"/>
            <w:vAlign w:val="bottom"/>
          </w:tcPr>
          <w:p>
            <w:pPr>
              <w:ind w:left="20"/>
              <w:spacing w:after="0"/>
              <w:rPr>
                <w:sz w:val="20"/>
                <w:szCs w:val="20"/>
                <w:color w:val="auto"/>
              </w:rPr>
            </w:pPr>
            <w:r>
              <w:rPr>
                <w:rFonts w:ascii="Calibri" w:cs="Calibri" w:eastAsia="Calibri" w:hAnsi="Calibri"/>
                <w:sz w:val="16"/>
                <w:szCs w:val="16"/>
                <w:color w:val="auto"/>
              </w:rPr>
              <w:t>March 4, 2027</w:t>
            </w:r>
          </w:p>
        </w:tc>
        <w:tc>
          <w:tcPr>
            <w:tcW w:w="2080" w:type="dxa"/>
            <w:vAlign w:val="bottom"/>
          </w:tcPr>
          <w:p>
            <w:pPr>
              <w:jc w:val="right"/>
              <w:ind w:right="19"/>
              <w:spacing w:after="0"/>
              <w:rPr>
                <w:sz w:val="20"/>
                <w:szCs w:val="20"/>
                <w:color w:val="auto"/>
              </w:rPr>
            </w:pPr>
            <w:r>
              <w:rPr>
                <w:rFonts w:ascii="Calibri" w:cs="Calibri" w:eastAsia="Calibri" w:hAnsi="Calibri"/>
                <w:sz w:val="16"/>
                <w:szCs w:val="16"/>
                <w:color w:val="auto"/>
              </w:rPr>
              <w:t>42.94</w:t>
            </w:r>
          </w:p>
        </w:tc>
        <w:tc>
          <w:tcPr>
            <w:tcW w:w="1440" w:type="dxa"/>
            <w:vAlign w:val="bottom"/>
          </w:tcPr>
          <w:p>
            <w:pPr>
              <w:jc w:val="right"/>
              <w:ind w:right="39"/>
              <w:spacing w:after="0"/>
              <w:rPr>
                <w:sz w:val="20"/>
                <w:szCs w:val="20"/>
                <w:color w:val="auto"/>
              </w:rPr>
            </w:pPr>
            <w:r>
              <w:rPr>
                <w:rFonts w:ascii="Calibri" w:cs="Calibri" w:eastAsia="Calibri" w:hAnsi="Calibri"/>
                <w:sz w:val="16"/>
                <w:szCs w:val="16"/>
                <w:color w:val="auto"/>
              </w:rPr>
              <w:t>526</w:t>
            </w:r>
          </w:p>
        </w:tc>
        <w:tc>
          <w:tcPr>
            <w:tcW w:w="1500" w:type="dxa"/>
            <w:vAlign w:val="bottom"/>
          </w:tcPr>
          <w:p>
            <w:pPr>
              <w:jc w:val="right"/>
              <w:ind w:right="99"/>
              <w:spacing w:after="0"/>
              <w:rPr>
                <w:sz w:val="20"/>
                <w:szCs w:val="20"/>
                <w:color w:val="auto"/>
              </w:rPr>
            </w:pPr>
            <w:r>
              <w:rPr>
                <w:rFonts w:ascii="Calibri" w:cs="Calibri" w:eastAsia="Calibri" w:hAnsi="Calibri"/>
                <w:sz w:val="16"/>
                <w:szCs w:val="16"/>
                <w:color w:val="auto"/>
              </w:rPr>
              <w:t>526</w:t>
            </w:r>
          </w:p>
        </w:tc>
        <w:tc>
          <w:tcPr>
            <w:tcW w:w="2220" w:type="dxa"/>
            <w:vAlign w:val="bottom"/>
          </w:tcPr>
          <w:p>
            <w:pPr>
              <w:jc w:val="right"/>
              <w:ind w:right="740"/>
              <w:spacing w:after="0"/>
              <w:rPr>
                <w:sz w:val="20"/>
                <w:szCs w:val="20"/>
                <w:color w:val="auto"/>
              </w:rPr>
            </w:pPr>
            <w:r>
              <w:rPr>
                <w:rFonts w:ascii="Calibri" w:cs="Calibri" w:eastAsia="Calibri" w:hAnsi="Calibri"/>
                <w:sz w:val="16"/>
                <w:szCs w:val="16"/>
                <w:color w:val="auto"/>
              </w:rPr>
              <w:t>2.42</w:t>
            </w:r>
          </w:p>
        </w:tc>
        <w:tc>
          <w:tcPr>
            <w:tcW w:w="920" w:type="dxa"/>
            <w:vAlign w:val="bottom"/>
          </w:tcPr>
          <w:p>
            <w:pPr>
              <w:jc w:val="right"/>
              <w:spacing w:after="0"/>
              <w:rPr>
                <w:sz w:val="20"/>
                <w:szCs w:val="20"/>
                <w:color w:val="auto"/>
              </w:rPr>
            </w:pPr>
            <w:r>
              <w:rPr>
                <w:rFonts w:ascii="Calibri" w:cs="Calibri" w:eastAsia="Calibri" w:hAnsi="Calibri"/>
                <w:sz w:val="16"/>
                <w:szCs w:val="16"/>
                <w:color w:val="auto"/>
              </w:rPr>
              <w:t>16</w:t>
            </w:r>
          </w:p>
        </w:tc>
        <w:tc>
          <w:tcPr>
            <w:tcW w:w="0" w:type="dxa"/>
            <w:vAlign w:val="bottom"/>
          </w:tcPr>
          <w:p>
            <w:pPr>
              <w:spacing w:after="0"/>
              <w:rPr>
                <w:sz w:val="1"/>
                <w:szCs w:val="1"/>
                <w:color w:val="auto"/>
              </w:rPr>
            </w:pPr>
          </w:p>
        </w:tc>
      </w:tr>
      <w:tr>
        <w:trPr>
          <w:trHeight w:val="206"/>
        </w:trPr>
        <w:tc>
          <w:tcPr>
            <w:tcW w:w="2380" w:type="dxa"/>
            <w:vAlign w:val="bottom"/>
          </w:tcPr>
          <w:p>
            <w:pPr>
              <w:ind w:left="20"/>
              <w:spacing w:after="0"/>
              <w:rPr>
                <w:sz w:val="20"/>
                <w:szCs w:val="20"/>
                <w:color w:val="auto"/>
              </w:rPr>
            </w:pPr>
            <w:r>
              <w:rPr>
                <w:rFonts w:ascii="Calibri" w:cs="Calibri" w:eastAsia="Calibri" w:hAnsi="Calibri"/>
                <w:sz w:val="16"/>
                <w:szCs w:val="16"/>
                <w:color w:val="auto"/>
              </w:rPr>
              <w:t>March 8, 2027</w:t>
            </w:r>
          </w:p>
        </w:tc>
        <w:tc>
          <w:tcPr>
            <w:tcW w:w="2080" w:type="dxa"/>
            <w:vAlign w:val="bottom"/>
          </w:tcPr>
          <w:p>
            <w:pPr>
              <w:jc w:val="right"/>
              <w:ind w:right="19"/>
              <w:spacing w:after="0"/>
              <w:rPr>
                <w:sz w:val="20"/>
                <w:szCs w:val="20"/>
                <w:color w:val="auto"/>
              </w:rPr>
            </w:pPr>
            <w:r>
              <w:rPr>
                <w:rFonts w:ascii="Calibri" w:cs="Calibri" w:eastAsia="Calibri" w:hAnsi="Calibri"/>
                <w:sz w:val="16"/>
                <w:szCs w:val="16"/>
                <w:color w:val="auto"/>
              </w:rPr>
              <w:t>38.76</w:t>
            </w:r>
          </w:p>
        </w:tc>
        <w:tc>
          <w:tcPr>
            <w:tcW w:w="1440" w:type="dxa"/>
            <w:vAlign w:val="bottom"/>
          </w:tcPr>
          <w:p>
            <w:pPr>
              <w:jc w:val="right"/>
              <w:ind w:right="39"/>
              <w:spacing w:after="0"/>
              <w:rPr>
                <w:sz w:val="20"/>
                <w:szCs w:val="20"/>
                <w:color w:val="auto"/>
              </w:rPr>
            </w:pPr>
            <w:r>
              <w:rPr>
                <w:rFonts w:ascii="Calibri" w:cs="Calibri" w:eastAsia="Calibri" w:hAnsi="Calibri"/>
                <w:sz w:val="16"/>
                <w:szCs w:val="16"/>
                <w:color w:val="auto"/>
              </w:rPr>
              <w:t>10,526</w:t>
            </w:r>
          </w:p>
        </w:tc>
        <w:tc>
          <w:tcPr>
            <w:tcW w:w="1500" w:type="dxa"/>
            <w:vAlign w:val="bottom"/>
          </w:tcPr>
          <w:p>
            <w:pPr>
              <w:jc w:val="right"/>
              <w:ind w:right="99"/>
              <w:spacing w:after="0"/>
              <w:rPr>
                <w:sz w:val="20"/>
                <w:szCs w:val="20"/>
                <w:color w:val="auto"/>
              </w:rPr>
            </w:pPr>
            <w:r>
              <w:rPr>
                <w:rFonts w:ascii="Calibri" w:cs="Calibri" w:eastAsia="Calibri" w:hAnsi="Calibri"/>
                <w:sz w:val="16"/>
                <w:szCs w:val="16"/>
                <w:color w:val="auto"/>
              </w:rPr>
              <w:t>10,526</w:t>
            </w:r>
          </w:p>
        </w:tc>
        <w:tc>
          <w:tcPr>
            <w:tcW w:w="2220" w:type="dxa"/>
            <w:vAlign w:val="bottom"/>
          </w:tcPr>
          <w:p>
            <w:pPr>
              <w:jc w:val="right"/>
              <w:ind w:right="740"/>
              <w:spacing w:after="0"/>
              <w:rPr>
                <w:sz w:val="20"/>
                <w:szCs w:val="20"/>
                <w:color w:val="auto"/>
              </w:rPr>
            </w:pPr>
            <w:r>
              <w:rPr>
                <w:rFonts w:ascii="Calibri" w:cs="Calibri" w:eastAsia="Calibri" w:hAnsi="Calibri"/>
                <w:sz w:val="16"/>
                <w:szCs w:val="16"/>
                <w:color w:val="auto"/>
              </w:rPr>
              <w:t>2.43</w:t>
            </w:r>
          </w:p>
        </w:tc>
        <w:tc>
          <w:tcPr>
            <w:tcW w:w="920" w:type="dxa"/>
            <w:vAlign w:val="bottom"/>
          </w:tcPr>
          <w:p>
            <w:pPr>
              <w:jc w:val="right"/>
              <w:spacing w:after="0"/>
              <w:rPr>
                <w:sz w:val="20"/>
                <w:szCs w:val="20"/>
                <w:color w:val="auto"/>
              </w:rPr>
            </w:pPr>
            <w:r>
              <w:rPr>
                <w:rFonts w:ascii="Calibri" w:cs="Calibri" w:eastAsia="Calibri" w:hAnsi="Calibri"/>
                <w:sz w:val="16"/>
                <w:szCs w:val="16"/>
                <w:color w:val="auto"/>
              </w:rPr>
              <w:t>295</w:t>
            </w:r>
          </w:p>
        </w:tc>
        <w:tc>
          <w:tcPr>
            <w:tcW w:w="0" w:type="dxa"/>
            <w:vAlign w:val="bottom"/>
          </w:tcPr>
          <w:p>
            <w:pPr>
              <w:spacing w:after="0"/>
              <w:rPr>
                <w:sz w:val="1"/>
                <w:szCs w:val="1"/>
                <w:color w:val="auto"/>
              </w:rPr>
            </w:pPr>
          </w:p>
        </w:tc>
      </w:tr>
      <w:tr>
        <w:trPr>
          <w:trHeight w:val="206"/>
        </w:trPr>
        <w:tc>
          <w:tcPr>
            <w:tcW w:w="2380" w:type="dxa"/>
            <w:vAlign w:val="bottom"/>
          </w:tcPr>
          <w:p>
            <w:pPr>
              <w:ind w:left="20"/>
              <w:spacing w:after="0"/>
              <w:rPr>
                <w:sz w:val="20"/>
                <w:szCs w:val="20"/>
                <w:color w:val="auto"/>
              </w:rPr>
            </w:pPr>
            <w:r>
              <w:rPr>
                <w:rFonts w:ascii="Calibri" w:cs="Calibri" w:eastAsia="Calibri" w:hAnsi="Calibri"/>
                <w:sz w:val="16"/>
                <w:szCs w:val="16"/>
                <w:color w:val="auto"/>
              </w:rPr>
              <w:t>September 30, 2027</w:t>
            </w:r>
          </w:p>
        </w:tc>
        <w:tc>
          <w:tcPr>
            <w:tcW w:w="2080" w:type="dxa"/>
            <w:vAlign w:val="bottom"/>
          </w:tcPr>
          <w:p>
            <w:pPr>
              <w:jc w:val="right"/>
              <w:ind w:right="19"/>
              <w:spacing w:after="0"/>
              <w:rPr>
                <w:sz w:val="20"/>
                <w:szCs w:val="20"/>
                <w:color w:val="auto"/>
              </w:rPr>
            </w:pPr>
            <w:r>
              <w:rPr>
                <w:rFonts w:ascii="Calibri" w:cs="Calibri" w:eastAsia="Calibri" w:hAnsi="Calibri"/>
                <w:sz w:val="16"/>
                <w:szCs w:val="16"/>
                <w:color w:val="auto"/>
              </w:rPr>
              <w:t>38.00</w:t>
            </w:r>
          </w:p>
        </w:tc>
        <w:tc>
          <w:tcPr>
            <w:tcW w:w="1440" w:type="dxa"/>
            <w:vAlign w:val="bottom"/>
          </w:tcPr>
          <w:p>
            <w:pPr>
              <w:jc w:val="right"/>
              <w:ind w:right="39"/>
              <w:spacing w:after="0"/>
              <w:rPr>
                <w:sz w:val="20"/>
                <w:szCs w:val="20"/>
                <w:color w:val="auto"/>
              </w:rPr>
            </w:pPr>
            <w:r>
              <w:rPr>
                <w:rFonts w:ascii="Calibri" w:cs="Calibri" w:eastAsia="Calibri" w:hAnsi="Calibri"/>
                <w:sz w:val="16"/>
                <w:szCs w:val="16"/>
                <w:color w:val="auto"/>
              </w:rPr>
              <w:t>132</w:t>
            </w:r>
          </w:p>
        </w:tc>
        <w:tc>
          <w:tcPr>
            <w:tcW w:w="1500" w:type="dxa"/>
            <w:vAlign w:val="bottom"/>
          </w:tcPr>
          <w:p>
            <w:pPr>
              <w:jc w:val="right"/>
              <w:ind w:right="99"/>
              <w:spacing w:after="0"/>
              <w:rPr>
                <w:sz w:val="20"/>
                <w:szCs w:val="20"/>
                <w:color w:val="auto"/>
              </w:rPr>
            </w:pPr>
            <w:r>
              <w:rPr>
                <w:rFonts w:ascii="Calibri" w:cs="Calibri" w:eastAsia="Calibri" w:hAnsi="Calibri"/>
                <w:sz w:val="16"/>
                <w:szCs w:val="16"/>
                <w:color w:val="auto"/>
              </w:rPr>
              <w:t>132</w:t>
            </w:r>
          </w:p>
        </w:tc>
        <w:tc>
          <w:tcPr>
            <w:tcW w:w="2220" w:type="dxa"/>
            <w:vAlign w:val="bottom"/>
          </w:tcPr>
          <w:p>
            <w:pPr>
              <w:jc w:val="right"/>
              <w:ind w:right="740"/>
              <w:spacing w:after="0"/>
              <w:rPr>
                <w:sz w:val="20"/>
                <w:szCs w:val="20"/>
                <w:color w:val="auto"/>
              </w:rPr>
            </w:pPr>
            <w:r>
              <w:rPr>
                <w:rFonts w:ascii="Calibri" w:cs="Calibri" w:eastAsia="Calibri" w:hAnsi="Calibri"/>
                <w:sz w:val="16"/>
                <w:szCs w:val="16"/>
                <w:color w:val="auto"/>
              </w:rPr>
              <w:t>3.00</w:t>
            </w:r>
          </w:p>
        </w:tc>
        <w:tc>
          <w:tcPr>
            <w:tcW w:w="920" w:type="dxa"/>
            <w:vAlign w:val="bottom"/>
          </w:tcPr>
          <w:p>
            <w:pPr>
              <w:jc w:val="right"/>
              <w:spacing w:after="0"/>
              <w:rPr>
                <w:sz w:val="20"/>
                <w:szCs w:val="20"/>
                <w:color w:val="auto"/>
              </w:rPr>
            </w:pPr>
            <w:r>
              <w:rPr>
                <w:rFonts w:ascii="Calibri" w:cs="Calibri" w:eastAsia="Calibri" w:hAnsi="Calibri"/>
                <w:sz w:val="16"/>
                <w:szCs w:val="16"/>
                <w:color w:val="auto"/>
              </w:rPr>
              <w:t>2</w:t>
            </w:r>
          </w:p>
        </w:tc>
        <w:tc>
          <w:tcPr>
            <w:tcW w:w="0" w:type="dxa"/>
            <w:vAlign w:val="bottom"/>
          </w:tcPr>
          <w:p>
            <w:pPr>
              <w:spacing w:after="0"/>
              <w:rPr>
                <w:sz w:val="1"/>
                <w:szCs w:val="1"/>
                <w:color w:val="auto"/>
              </w:rPr>
            </w:pPr>
          </w:p>
        </w:tc>
      </w:tr>
      <w:tr>
        <w:trPr>
          <w:trHeight w:val="206"/>
        </w:trPr>
        <w:tc>
          <w:tcPr>
            <w:tcW w:w="2380" w:type="dxa"/>
            <w:vAlign w:val="bottom"/>
          </w:tcPr>
          <w:p>
            <w:pPr>
              <w:ind w:left="20"/>
              <w:spacing w:after="0"/>
              <w:rPr>
                <w:sz w:val="20"/>
                <w:szCs w:val="20"/>
                <w:color w:val="auto"/>
              </w:rPr>
            </w:pPr>
            <w:r>
              <w:rPr>
                <w:rFonts w:ascii="Calibri" w:cs="Calibri" w:eastAsia="Calibri" w:hAnsi="Calibri"/>
                <w:sz w:val="16"/>
                <w:szCs w:val="16"/>
                <w:color w:val="auto"/>
              </w:rPr>
              <w:t>June 30, 2028</w:t>
            </w:r>
          </w:p>
        </w:tc>
        <w:tc>
          <w:tcPr>
            <w:tcW w:w="2080" w:type="dxa"/>
            <w:vAlign w:val="bottom"/>
          </w:tcPr>
          <w:p>
            <w:pPr>
              <w:jc w:val="right"/>
              <w:ind w:right="19"/>
              <w:spacing w:after="0"/>
              <w:rPr>
                <w:sz w:val="20"/>
                <w:szCs w:val="20"/>
                <w:color w:val="auto"/>
              </w:rPr>
            </w:pPr>
            <w:r>
              <w:rPr>
                <w:rFonts w:ascii="Calibri" w:cs="Calibri" w:eastAsia="Calibri" w:hAnsi="Calibri"/>
                <w:sz w:val="16"/>
                <w:szCs w:val="16"/>
                <w:color w:val="auto"/>
              </w:rPr>
              <w:t>16.72</w:t>
            </w:r>
          </w:p>
        </w:tc>
        <w:tc>
          <w:tcPr>
            <w:tcW w:w="1440" w:type="dxa"/>
            <w:vAlign w:val="bottom"/>
          </w:tcPr>
          <w:p>
            <w:pPr>
              <w:jc w:val="right"/>
              <w:ind w:right="39"/>
              <w:spacing w:after="0"/>
              <w:rPr>
                <w:sz w:val="20"/>
                <w:szCs w:val="20"/>
                <w:color w:val="auto"/>
              </w:rPr>
            </w:pPr>
            <w:r>
              <w:rPr>
                <w:rFonts w:ascii="Calibri" w:cs="Calibri" w:eastAsia="Calibri" w:hAnsi="Calibri"/>
                <w:sz w:val="16"/>
                <w:szCs w:val="16"/>
                <w:color w:val="auto"/>
              </w:rPr>
              <w:t>297,634</w:t>
            </w:r>
          </w:p>
        </w:tc>
        <w:tc>
          <w:tcPr>
            <w:tcW w:w="1500" w:type="dxa"/>
            <w:vAlign w:val="bottom"/>
          </w:tcPr>
          <w:p>
            <w:pPr>
              <w:jc w:val="right"/>
              <w:ind w:right="99"/>
              <w:spacing w:after="0"/>
              <w:rPr>
                <w:sz w:val="20"/>
                <w:szCs w:val="20"/>
                <w:color w:val="auto"/>
              </w:rPr>
            </w:pPr>
            <w:r>
              <w:rPr>
                <w:rFonts w:ascii="Calibri" w:cs="Calibri" w:eastAsia="Calibri" w:hAnsi="Calibri"/>
                <w:sz w:val="16"/>
                <w:szCs w:val="16"/>
                <w:color w:val="auto"/>
              </w:rPr>
              <w:t>238,331</w:t>
            </w:r>
          </w:p>
        </w:tc>
        <w:tc>
          <w:tcPr>
            <w:tcW w:w="2220" w:type="dxa"/>
            <w:vAlign w:val="bottom"/>
          </w:tcPr>
          <w:p>
            <w:pPr>
              <w:jc w:val="right"/>
              <w:ind w:right="740"/>
              <w:spacing w:after="0"/>
              <w:rPr>
                <w:sz w:val="20"/>
                <w:szCs w:val="20"/>
                <w:color w:val="auto"/>
              </w:rPr>
            </w:pPr>
            <w:r>
              <w:rPr>
                <w:rFonts w:ascii="Calibri" w:cs="Calibri" w:eastAsia="Calibri" w:hAnsi="Calibri"/>
                <w:sz w:val="16"/>
                <w:szCs w:val="16"/>
                <w:color w:val="auto"/>
              </w:rPr>
              <w:t>3.75</w:t>
            </w:r>
          </w:p>
        </w:tc>
        <w:tc>
          <w:tcPr>
            <w:tcW w:w="920" w:type="dxa"/>
            <w:vAlign w:val="bottom"/>
          </w:tcPr>
          <w:p>
            <w:pPr>
              <w:jc w:val="right"/>
              <w:spacing w:after="0"/>
              <w:rPr>
                <w:sz w:val="20"/>
                <w:szCs w:val="20"/>
                <w:color w:val="auto"/>
              </w:rPr>
            </w:pPr>
            <w:r>
              <w:rPr>
                <w:rFonts w:ascii="Calibri" w:cs="Calibri" w:eastAsia="Calibri" w:hAnsi="Calibri"/>
                <w:sz w:val="16"/>
                <w:szCs w:val="16"/>
                <w:color w:val="auto"/>
              </w:rPr>
              <w:t>3,795</w:t>
            </w:r>
          </w:p>
        </w:tc>
        <w:tc>
          <w:tcPr>
            <w:tcW w:w="0" w:type="dxa"/>
            <w:vAlign w:val="bottom"/>
          </w:tcPr>
          <w:p>
            <w:pPr>
              <w:spacing w:after="0"/>
              <w:rPr>
                <w:sz w:val="1"/>
                <w:szCs w:val="1"/>
                <w:color w:val="auto"/>
              </w:rPr>
            </w:pPr>
          </w:p>
        </w:tc>
      </w:tr>
      <w:tr>
        <w:trPr>
          <w:trHeight w:val="206"/>
        </w:trPr>
        <w:tc>
          <w:tcPr>
            <w:tcW w:w="2380" w:type="dxa"/>
            <w:vAlign w:val="bottom"/>
          </w:tcPr>
          <w:p>
            <w:pPr>
              <w:ind w:left="20"/>
              <w:spacing w:after="0"/>
              <w:rPr>
                <w:sz w:val="20"/>
                <w:szCs w:val="20"/>
                <w:color w:val="auto"/>
              </w:rPr>
            </w:pPr>
            <w:r>
              <w:rPr>
                <w:rFonts w:ascii="Calibri" w:cs="Calibri" w:eastAsia="Calibri" w:hAnsi="Calibri"/>
                <w:sz w:val="16"/>
                <w:szCs w:val="16"/>
                <w:color w:val="auto"/>
              </w:rPr>
              <w:t>September 26, 2028</w:t>
            </w:r>
          </w:p>
        </w:tc>
        <w:tc>
          <w:tcPr>
            <w:tcW w:w="2080" w:type="dxa"/>
            <w:vAlign w:val="bottom"/>
          </w:tcPr>
          <w:p>
            <w:pPr>
              <w:jc w:val="right"/>
              <w:ind w:right="19"/>
              <w:spacing w:after="0"/>
              <w:rPr>
                <w:sz w:val="20"/>
                <w:szCs w:val="20"/>
                <w:color w:val="auto"/>
              </w:rPr>
            </w:pPr>
            <w:r>
              <w:rPr>
                <w:rFonts w:ascii="Calibri" w:cs="Calibri" w:eastAsia="Calibri" w:hAnsi="Calibri"/>
                <w:sz w:val="16"/>
                <w:szCs w:val="16"/>
                <w:color w:val="auto"/>
              </w:rPr>
              <w:t>30.02</w:t>
            </w:r>
          </w:p>
        </w:tc>
        <w:tc>
          <w:tcPr>
            <w:tcW w:w="1440" w:type="dxa"/>
            <w:vAlign w:val="bottom"/>
          </w:tcPr>
          <w:p>
            <w:pPr>
              <w:jc w:val="right"/>
              <w:ind w:right="39"/>
              <w:spacing w:after="0"/>
              <w:rPr>
                <w:sz w:val="20"/>
                <w:szCs w:val="20"/>
                <w:color w:val="auto"/>
              </w:rPr>
            </w:pPr>
            <w:r>
              <w:rPr>
                <w:rFonts w:ascii="Calibri" w:cs="Calibri" w:eastAsia="Calibri" w:hAnsi="Calibri"/>
                <w:sz w:val="16"/>
                <w:szCs w:val="16"/>
                <w:color w:val="auto"/>
              </w:rPr>
              <w:t>2,632</w:t>
            </w:r>
          </w:p>
        </w:tc>
        <w:tc>
          <w:tcPr>
            <w:tcW w:w="1500" w:type="dxa"/>
            <w:vAlign w:val="bottom"/>
          </w:tcPr>
          <w:p>
            <w:pPr>
              <w:jc w:val="right"/>
              <w:ind w:right="99"/>
              <w:spacing w:after="0"/>
              <w:rPr>
                <w:sz w:val="20"/>
                <w:szCs w:val="20"/>
                <w:color w:val="auto"/>
              </w:rPr>
            </w:pPr>
            <w:r>
              <w:rPr>
                <w:rFonts w:ascii="Calibri" w:cs="Calibri" w:eastAsia="Calibri" w:hAnsi="Calibri"/>
                <w:sz w:val="16"/>
                <w:szCs w:val="16"/>
                <w:color w:val="auto"/>
              </w:rPr>
              <w:t>1,645</w:t>
            </w:r>
          </w:p>
        </w:tc>
        <w:tc>
          <w:tcPr>
            <w:tcW w:w="2220" w:type="dxa"/>
            <w:vAlign w:val="bottom"/>
          </w:tcPr>
          <w:p>
            <w:pPr>
              <w:jc w:val="right"/>
              <w:ind w:right="740"/>
              <w:spacing w:after="0"/>
              <w:rPr>
                <w:sz w:val="20"/>
                <w:szCs w:val="20"/>
                <w:color w:val="auto"/>
              </w:rPr>
            </w:pPr>
            <w:r>
              <w:rPr>
                <w:rFonts w:ascii="Calibri" w:cs="Calibri" w:eastAsia="Calibri" w:hAnsi="Calibri"/>
                <w:sz w:val="16"/>
                <w:szCs w:val="16"/>
                <w:color w:val="auto"/>
              </w:rPr>
              <w:t>3.99</w:t>
            </w:r>
          </w:p>
        </w:tc>
        <w:tc>
          <w:tcPr>
            <w:tcW w:w="920" w:type="dxa"/>
            <w:vAlign w:val="bottom"/>
          </w:tcPr>
          <w:p>
            <w:pPr>
              <w:jc w:val="right"/>
              <w:spacing w:after="0"/>
              <w:rPr>
                <w:sz w:val="20"/>
                <w:szCs w:val="20"/>
                <w:color w:val="auto"/>
              </w:rPr>
            </w:pPr>
            <w:r>
              <w:rPr>
                <w:rFonts w:ascii="Calibri" w:cs="Calibri" w:eastAsia="Calibri" w:hAnsi="Calibri"/>
                <w:sz w:val="16"/>
                <w:szCs w:val="16"/>
                <w:color w:val="auto"/>
              </w:rPr>
              <w:t>54</w:t>
            </w:r>
          </w:p>
        </w:tc>
        <w:tc>
          <w:tcPr>
            <w:tcW w:w="0" w:type="dxa"/>
            <w:vAlign w:val="bottom"/>
          </w:tcPr>
          <w:p>
            <w:pPr>
              <w:spacing w:after="0"/>
              <w:rPr>
                <w:sz w:val="1"/>
                <w:szCs w:val="1"/>
                <w:color w:val="auto"/>
              </w:rPr>
            </w:pPr>
          </w:p>
        </w:tc>
      </w:tr>
      <w:tr>
        <w:trPr>
          <w:trHeight w:val="206"/>
        </w:trPr>
        <w:tc>
          <w:tcPr>
            <w:tcW w:w="2380" w:type="dxa"/>
            <w:vAlign w:val="bottom"/>
          </w:tcPr>
          <w:p>
            <w:pPr>
              <w:ind w:left="20"/>
              <w:spacing w:after="0"/>
              <w:rPr>
                <w:sz w:val="20"/>
                <w:szCs w:val="20"/>
                <w:color w:val="auto"/>
              </w:rPr>
            </w:pPr>
            <w:r>
              <w:rPr>
                <w:rFonts w:ascii="Calibri" w:cs="Calibri" w:eastAsia="Calibri" w:hAnsi="Calibri"/>
                <w:sz w:val="16"/>
                <w:szCs w:val="16"/>
                <w:color w:val="auto"/>
              </w:rPr>
              <w:t>March 20, 2029</w:t>
            </w:r>
          </w:p>
        </w:tc>
        <w:tc>
          <w:tcPr>
            <w:tcW w:w="2080" w:type="dxa"/>
            <w:vAlign w:val="bottom"/>
          </w:tcPr>
          <w:p>
            <w:pPr>
              <w:jc w:val="right"/>
              <w:ind w:right="19"/>
              <w:spacing w:after="0"/>
              <w:rPr>
                <w:sz w:val="20"/>
                <w:szCs w:val="20"/>
                <w:color w:val="auto"/>
              </w:rPr>
            </w:pPr>
            <w:r>
              <w:rPr>
                <w:rFonts w:ascii="Calibri" w:cs="Calibri" w:eastAsia="Calibri" w:hAnsi="Calibri"/>
                <w:sz w:val="16"/>
                <w:szCs w:val="16"/>
                <w:color w:val="auto"/>
              </w:rPr>
              <w:t>21.28</w:t>
            </w:r>
          </w:p>
        </w:tc>
        <w:tc>
          <w:tcPr>
            <w:tcW w:w="1440" w:type="dxa"/>
            <w:vAlign w:val="bottom"/>
          </w:tcPr>
          <w:p>
            <w:pPr>
              <w:jc w:val="right"/>
              <w:ind w:right="39"/>
              <w:spacing w:after="0"/>
              <w:rPr>
                <w:sz w:val="20"/>
                <w:szCs w:val="20"/>
                <w:color w:val="auto"/>
              </w:rPr>
            </w:pPr>
            <w:r>
              <w:rPr>
                <w:rFonts w:ascii="Calibri" w:cs="Calibri" w:eastAsia="Calibri" w:hAnsi="Calibri"/>
                <w:sz w:val="16"/>
                <w:szCs w:val="16"/>
                <w:color w:val="auto"/>
              </w:rPr>
              <w:t>526</w:t>
            </w:r>
          </w:p>
        </w:tc>
        <w:tc>
          <w:tcPr>
            <w:tcW w:w="1500" w:type="dxa"/>
            <w:vAlign w:val="bottom"/>
          </w:tcPr>
          <w:p>
            <w:pPr>
              <w:jc w:val="right"/>
              <w:ind w:right="99"/>
              <w:spacing w:after="0"/>
              <w:rPr>
                <w:sz w:val="20"/>
                <w:szCs w:val="20"/>
                <w:color w:val="auto"/>
              </w:rPr>
            </w:pPr>
            <w:r>
              <w:rPr>
                <w:rFonts w:ascii="Calibri" w:cs="Calibri" w:eastAsia="Calibri" w:hAnsi="Calibri"/>
                <w:sz w:val="16"/>
                <w:szCs w:val="16"/>
                <w:color w:val="auto"/>
              </w:rPr>
              <w:t>262</w:t>
            </w:r>
          </w:p>
        </w:tc>
        <w:tc>
          <w:tcPr>
            <w:tcW w:w="2220" w:type="dxa"/>
            <w:vAlign w:val="bottom"/>
          </w:tcPr>
          <w:p>
            <w:pPr>
              <w:jc w:val="right"/>
              <w:ind w:right="740"/>
              <w:spacing w:after="0"/>
              <w:rPr>
                <w:sz w:val="20"/>
                <w:szCs w:val="20"/>
                <w:color w:val="auto"/>
              </w:rPr>
            </w:pPr>
            <w:r>
              <w:rPr>
                <w:rFonts w:ascii="Calibri" w:cs="Calibri" w:eastAsia="Calibri" w:hAnsi="Calibri"/>
                <w:sz w:val="16"/>
                <w:szCs w:val="16"/>
                <w:color w:val="auto"/>
              </w:rPr>
              <w:t>4.47</w:t>
            </w:r>
          </w:p>
        </w:tc>
        <w:tc>
          <w:tcPr>
            <w:tcW w:w="920" w:type="dxa"/>
            <w:vAlign w:val="bottom"/>
          </w:tcPr>
          <w:p>
            <w:pPr>
              <w:jc w:val="right"/>
              <w:spacing w:after="0"/>
              <w:rPr>
                <w:sz w:val="20"/>
                <w:szCs w:val="20"/>
                <w:color w:val="auto"/>
              </w:rPr>
            </w:pPr>
            <w:r>
              <w:rPr>
                <w:rFonts w:ascii="Calibri" w:cs="Calibri" w:eastAsia="Calibri" w:hAnsi="Calibri"/>
                <w:sz w:val="16"/>
                <w:szCs w:val="16"/>
                <w:color w:val="auto"/>
              </w:rPr>
              <w:t>6</w:t>
            </w:r>
          </w:p>
        </w:tc>
        <w:tc>
          <w:tcPr>
            <w:tcW w:w="0" w:type="dxa"/>
            <w:vAlign w:val="bottom"/>
          </w:tcPr>
          <w:p>
            <w:pPr>
              <w:spacing w:after="0"/>
              <w:rPr>
                <w:sz w:val="1"/>
                <w:szCs w:val="1"/>
                <w:color w:val="auto"/>
              </w:rPr>
            </w:pPr>
          </w:p>
        </w:tc>
      </w:tr>
      <w:tr>
        <w:trPr>
          <w:trHeight w:val="206"/>
        </w:trPr>
        <w:tc>
          <w:tcPr>
            <w:tcW w:w="2380" w:type="dxa"/>
            <w:vAlign w:val="bottom"/>
          </w:tcPr>
          <w:p>
            <w:pPr>
              <w:ind w:left="20"/>
              <w:spacing w:after="0"/>
              <w:rPr>
                <w:sz w:val="20"/>
                <w:szCs w:val="20"/>
                <w:color w:val="auto"/>
              </w:rPr>
            </w:pPr>
            <w:r>
              <w:rPr>
                <w:rFonts w:ascii="Calibri" w:cs="Calibri" w:eastAsia="Calibri" w:hAnsi="Calibri"/>
                <w:sz w:val="16"/>
                <w:szCs w:val="16"/>
                <w:color w:val="auto"/>
              </w:rPr>
              <w:t>April 5, 2029</w:t>
            </w:r>
          </w:p>
        </w:tc>
        <w:tc>
          <w:tcPr>
            <w:tcW w:w="2080" w:type="dxa"/>
            <w:vAlign w:val="bottom"/>
          </w:tcPr>
          <w:p>
            <w:pPr>
              <w:jc w:val="right"/>
              <w:ind w:right="19"/>
              <w:spacing w:after="0"/>
              <w:rPr>
                <w:sz w:val="20"/>
                <w:szCs w:val="20"/>
                <w:color w:val="auto"/>
              </w:rPr>
            </w:pPr>
            <w:r>
              <w:rPr>
                <w:rFonts w:ascii="Calibri" w:cs="Calibri" w:eastAsia="Calibri" w:hAnsi="Calibri"/>
                <w:sz w:val="16"/>
                <w:szCs w:val="16"/>
                <w:color w:val="auto"/>
              </w:rPr>
              <w:t>21.28</w:t>
            </w:r>
          </w:p>
        </w:tc>
        <w:tc>
          <w:tcPr>
            <w:tcW w:w="1440" w:type="dxa"/>
            <w:vAlign w:val="bottom"/>
          </w:tcPr>
          <w:p>
            <w:pPr>
              <w:jc w:val="right"/>
              <w:ind w:right="39"/>
              <w:spacing w:after="0"/>
              <w:rPr>
                <w:sz w:val="20"/>
                <w:szCs w:val="20"/>
                <w:color w:val="auto"/>
              </w:rPr>
            </w:pPr>
            <w:r>
              <w:rPr>
                <w:rFonts w:ascii="Calibri" w:cs="Calibri" w:eastAsia="Calibri" w:hAnsi="Calibri"/>
                <w:sz w:val="16"/>
                <w:szCs w:val="16"/>
                <w:color w:val="auto"/>
              </w:rPr>
              <w:t>308,294</w:t>
            </w:r>
          </w:p>
        </w:tc>
        <w:tc>
          <w:tcPr>
            <w:tcW w:w="1500" w:type="dxa"/>
            <w:vAlign w:val="bottom"/>
          </w:tcPr>
          <w:p>
            <w:pPr>
              <w:jc w:val="right"/>
              <w:ind w:right="99"/>
              <w:spacing w:after="0"/>
              <w:rPr>
                <w:sz w:val="20"/>
                <w:szCs w:val="20"/>
                <w:color w:val="auto"/>
              </w:rPr>
            </w:pPr>
            <w:r>
              <w:rPr>
                <w:rFonts w:ascii="Calibri" w:cs="Calibri" w:eastAsia="Calibri" w:hAnsi="Calibri"/>
                <w:sz w:val="16"/>
                <w:szCs w:val="16"/>
                <w:color w:val="auto"/>
              </w:rPr>
              <w:t>115,548</w:t>
            </w:r>
          </w:p>
        </w:tc>
        <w:tc>
          <w:tcPr>
            <w:tcW w:w="2220" w:type="dxa"/>
            <w:vAlign w:val="bottom"/>
          </w:tcPr>
          <w:p>
            <w:pPr>
              <w:jc w:val="right"/>
              <w:ind w:right="740"/>
              <w:spacing w:after="0"/>
              <w:rPr>
                <w:sz w:val="20"/>
                <w:szCs w:val="20"/>
                <w:color w:val="auto"/>
              </w:rPr>
            </w:pPr>
            <w:r>
              <w:rPr>
                <w:rFonts w:ascii="Calibri" w:cs="Calibri" w:eastAsia="Calibri" w:hAnsi="Calibri"/>
                <w:sz w:val="16"/>
                <w:szCs w:val="16"/>
                <w:color w:val="auto"/>
              </w:rPr>
              <w:t>4.51</w:t>
            </w:r>
          </w:p>
        </w:tc>
        <w:tc>
          <w:tcPr>
            <w:tcW w:w="920" w:type="dxa"/>
            <w:vAlign w:val="bottom"/>
          </w:tcPr>
          <w:p>
            <w:pPr>
              <w:jc w:val="right"/>
              <w:spacing w:after="0"/>
              <w:rPr>
                <w:sz w:val="20"/>
                <w:szCs w:val="20"/>
                <w:color w:val="auto"/>
              </w:rPr>
            </w:pPr>
            <w:r>
              <w:rPr>
                <w:rFonts w:ascii="Calibri" w:cs="Calibri" w:eastAsia="Calibri" w:hAnsi="Calibri"/>
                <w:sz w:val="16"/>
                <w:szCs w:val="16"/>
                <w:color w:val="auto"/>
              </w:rPr>
              <w:t>2,970</w:t>
            </w:r>
          </w:p>
        </w:tc>
        <w:tc>
          <w:tcPr>
            <w:tcW w:w="0" w:type="dxa"/>
            <w:vAlign w:val="bottom"/>
          </w:tcPr>
          <w:p>
            <w:pPr>
              <w:spacing w:after="0"/>
              <w:rPr>
                <w:sz w:val="1"/>
                <w:szCs w:val="1"/>
                <w:color w:val="auto"/>
              </w:rPr>
            </w:pPr>
          </w:p>
        </w:tc>
      </w:tr>
      <w:tr>
        <w:trPr>
          <w:trHeight w:val="206"/>
        </w:trPr>
        <w:tc>
          <w:tcPr>
            <w:tcW w:w="2380" w:type="dxa"/>
            <w:vAlign w:val="bottom"/>
          </w:tcPr>
          <w:p>
            <w:pPr>
              <w:ind w:left="20"/>
              <w:spacing w:after="0"/>
              <w:rPr>
                <w:sz w:val="20"/>
                <w:szCs w:val="20"/>
                <w:color w:val="auto"/>
              </w:rPr>
            </w:pPr>
            <w:r>
              <w:rPr>
                <w:rFonts w:ascii="Calibri" w:cs="Calibri" w:eastAsia="Calibri" w:hAnsi="Calibri"/>
                <w:sz w:val="16"/>
                <w:szCs w:val="16"/>
                <w:color w:val="auto"/>
              </w:rPr>
              <w:t>August 15, 2034</w:t>
            </w:r>
          </w:p>
        </w:tc>
        <w:tc>
          <w:tcPr>
            <w:tcW w:w="2080" w:type="dxa"/>
            <w:vAlign w:val="bottom"/>
          </w:tcPr>
          <w:p>
            <w:pPr>
              <w:jc w:val="right"/>
              <w:ind w:right="19"/>
              <w:spacing w:after="0"/>
              <w:rPr>
                <w:sz w:val="20"/>
                <w:szCs w:val="20"/>
                <w:color w:val="auto"/>
              </w:rPr>
            </w:pPr>
            <w:r>
              <w:rPr>
                <w:rFonts w:ascii="Calibri" w:cs="Calibri" w:eastAsia="Calibri" w:hAnsi="Calibri"/>
                <w:sz w:val="16"/>
                <w:szCs w:val="16"/>
                <w:color w:val="auto"/>
              </w:rPr>
              <w:t>13.11</w:t>
            </w:r>
          </w:p>
        </w:tc>
        <w:tc>
          <w:tcPr>
            <w:tcW w:w="1440" w:type="dxa"/>
            <w:vAlign w:val="bottom"/>
          </w:tcPr>
          <w:p>
            <w:pPr>
              <w:jc w:val="right"/>
              <w:ind w:right="39"/>
              <w:spacing w:after="0"/>
              <w:rPr>
                <w:sz w:val="20"/>
                <w:szCs w:val="20"/>
                <w:color w:val="auto"/>
              </w:rPr>
            </w:pPr>
            <w:r>
              <w:rPr>
                <w:rFonts w:ascii="Calibri" w:cs="Calibri" w:eastAsia="Calibri" w:hAnsi="Calibri"/>
                <w:sz w:val="16"/>
                <w:szCs w:val="16"/>
                <w:color w:val="auto"/>
              </w:rPr>
              <w:t>3,061,232</w:t>
            </w:r>
          </w:p>
        </w:tc>
        <w:tc>
          <w:tcPr>
            <w:tcW w:w="1500" w:type="dxa"/>
            <w:vAlign w:val="bottom"/>
          </w:tcPr>
          <w:p>
            <w:pPr>
              <w:jc w:val="right"/>
              <w:ind w:right="99"/>
              <w:spacing w:after="0"/>
              <w:rPr>
                <w:sz w:val="20"/>
                <w:szCs w:val="20"/>
                <w:color w:val="auto"/>
              </w:rPr>
            </w:pPr>
            <w:r>
              <w:rPr>
                <w:rFonts w:ascii="Calibri" w:cs="Calibri" w:eastAsia="Calibri" w:hAnsi="Calibri"/>
                <w:sz w:val="16"/>
                <w:szCs w:val="16"/>
                <w:color w:val="auto"/>
              </w:rPr>
              <w:t>2,583,728</w:t>
            </w:r>
          </w:p>
        </w:tc>
        <w:tc>
          <w:tcPr>
            <w:tcW w:w="2220" w:type="dxa"/>
            <w:vAlign w:val="bottom"/>
          </w:tcPr>
          <w:p>
            <w:pPr>
              <w:jc w:val="right"/>
              <w:ind w:right="740"/>
              <w:spacing w:after="0"/>
              <w:rPr>
                <w:sz w:val="20"/>
                <w:szCs w:val="20"/>
                <w:color w:val="auto"/>
              </w:rPr>
            </w:pPr>
            <w:r>
              <w:rPr>
                <w:rFonts w:ascii="Calibri" w:cs="Calibri" w:eastAsia="Calibri" w:hAnsi="Calibri"/>
                <w:sz w:val="16"/>
                <w:szCs w:val="16"/>
                <w:color w:val="auto"/>
              </w:rPr>
              <w:t>9.87</w:t>
            </w:r>
          </w:p>
        </w:tc>
        <w:tc>
          <w:tcPr>
            <w:tcW w:w="920" w:type="dxa"/>
            <w:vAlign w:val="bottom"/>
          </w:tcPr>
          <w:p>
            <w:pPr>
              <w:jc w:val="right"/>
              <w:spacing w:after="0"/>
              <w:rPr>
                <w:sz w:val="20"/>
                <w:szCs w:val="20"/>
                <w:color w:val="auto"/>
              </w:rPr>
            </w:pPr>
            <w:r>
              <w:rPr>
                <w:rFonts w:ascii="Calibri" w:cs="Calibri" w:eastAsia="Calibri" w:hAnsi="Calibri"/>
                <w:sz w:val="16"/>
                <w:szCs w:val="16"/>
                <w:color w:val="auto"/>
              </w:rPr>
              <w:t>30,586</w:t>
            </w:r>
          </w:p>
        </w:tc>
        <w:tc>
          <w:tcPr>
            <w:tcW w:w="0" w:type="dxa"/>
            <w:vAlign w:val="bottom"/>
          </w:tcPr>
          <w:p>
            <w:pPr>
              <w:spacing w:after="0"/>
              <w:rPr>
                <w:sz w:val="1"/>
                <w:szCs w:val="1"/>
                <w:color w:val="auto"/>
              </w:rPr>
            </w:pPr>
          </w:p>
        </w:tc>
      </w:tr>
      <w:tr>
        <w:trPr>
          <w:trHeight w:val="20"/>
        </w:trPr>
        <w:tc>
          <w:tcPr>
            <w:tcW w:w="2380" w:type="dxa"/>
            <w:vAlign w:val="bottom"/>
            <w:tcBorders>
              <w:bottom w:val="single" w:sz="8" w:color="auto"/>
            </w:tcBorders>
          </w:tcPr>
          <w:p>
            <w:pPr>
              <w:spacing w:after="0" w:line="20" w:lineRule="exact"/>
              <w:rPr>
                <w:sz w:val="1"/>
                <w:szCs w:val="1"/>
                <w:color w:val="auto"/>
              </w:rPr>
            </w:pPr>
          </w:p>
        </w:tc>
        <w:tc>
          <w:tcPr>
            <w:tcW w:w="208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22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1"/>
        </w:trPr>
        <w:tc>
          <w:tcPr>
            <w:tcW w:w="2380" w:type="dxa"/>
            <w:vAlign w:val="bottom"/>
            <w:tcBorders>
              <w:bottom w:val="single" w:sz="8" w:color="auto"/>
            </w:tcBorders>
          </w:tcPr>
          <w:p>
            <w:pPr>
              <w:spacing w:after="0"/>
              <w:rPr>
                <w:sz w:val="16"/>
                <w:szCs w:val="16"/>
                <w:color w:val="auto"/>
              </w:rPr>
            </w:pPr>
          </w:p>
        </w:tc>
        <w:tc>
          <w:tcPr>
            <w:tcW w:w="208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tcPr>
          <w:p>
            <w:pPr>
              <w:jc w:val="right"/>
              <w:ind w:right="39"/>
              <w:spacing w:after="0" w:line="192" w:lineRule="exact"/>
              <w:rPr>
                <w:sz w:val="20"/>
                <w:szCs w:val="20"/>
                <w:color w:val="auto"/>
              </w:rPr>
            </w:pPr>
            <w:r>
              <w:rPr>
                <w:rFonts w:ascii="Calibri" w:cs="Calibri" w:eastAsia="Calibri" w:hAnsi="Calibri"/>
                <w:sz w:val="16"/>
                <w:szCs w:val="16"/>
                <w:b w:val="1"/>
                <w:bCs w:val="1"/>
                <w:color w:val="auto"/>
              </w:rPr>
              <w:t>3,912,010</w:t>
            </w:r>
          </w:p>
        </w:tc>
        <w:tc>
          <w:tcPr>
            <w:tcW w:w="1500" w:type="dxa"/>
            <w:vAlign w:val="bottom"/>
            <w:tcBorders>
              <w:bottom w:val="single" w:sz="8" w:color="auto"/>
            </w:tcBorders>
          </w:tcPr>
          <w:p>
            <w:pPr>
              <w:jc w:val="right"/>
              <w:ind w:right="99"/>
              <w:spacing w:after="0" w:line="192" w:lineRule="exact"/>
              <w:rPr>
                <w:sz w:val="20"/>
                <w:szCs w:val="20"/>
                <w:color w:val="auto"/>
              </w:rPr>
            </w:pPr>
            <w:r>
              <w:rPr>
                <w:rFonts w:ascii="Calibri" w:cs="Calibri" w:eastAsia="Calibri" w:hAnsi="Calibri"/>
                <w:sz w:val="16"/>
                <w:szCs w:val="16"/>
                <w:b w:val="1"/>
                <w:bCs w:val="1"/>
                <w:color w:val="auto"/>
              </w:rPr>
              <w:t>3,174,626</w:t>
            </w:r>
          </w:p>
        </w:tc>
        <w:tc>
          <w:tcPr>
            <w:tcW w:w="2220" w:type="dxa"/>
            <w:vAlign w:val="bottom"/>
            <w:tcBorders>
              <w:bottom w:val="single" w:sz="8" w:color="auto"/>
            </w:tcBorders>
          </w:tcPr>
          <w:p>
            <w:pPr>
              <w:jc w:val="right"/>
              <w:ind w:right="800"/>
              <w:spacing w:after="0" w:line="192" w:lineRule="exact"/>
              <w:rPr>
                <w:sz w:val="20"/>
                <w:szCs w:val="20"/>
                <w:color w:val="auto"/>
              </w:rPr>
            </w:pPr>
            <w:r>
              <w:rPr>
                <w:rFonts w:ascii="Calibri" w:cs="Calibri" w:eastAsia="Calibri" w:hAnsi="Calibri"/>
                <w:sz w:val="16"/>
                <w:szCs w:val="16"/>
                <w:b w:val="1"/>
                <w:bCs w:val="1"/>
                <w:color w:val="auto"/>
              </w:rPr>
              <w:t>8.45</w:t>
            </w:r>
          </w:p>
        </w:tc>
        <w:tc>
          <w:tcPr>
            <w:tcW w:w="920" w:type="dxa"/>
            <w:vAlign w:val="bottom"/>
            <w:tcBorders>
              <w:bottom w:val="single" w:sz="8" w:color="auto"/>
            </w:tcBorders>
          </w:tcPr>
          <w:p>
            <w:pPr>
              <w:jc w:val="right"/>
              <w:spacing w:after="0" w:line="192" w:lineRule="exact"/>
              <w:rPr>
                <w:sz w:val="20"/>
                <w:szCs w:val="20"/>
                <w:color w:val="auto"/>
              </w:rPr>
            </w:pPr>
            <w:r>
              <w:rPr>
                <w:rFonts w:ascii="Calibri" w:cs="Calibri" w:eastAsia="Calibri" w:hAnsi="Calibri"/>
                <w:sz w:val="16"/>
                <w:szCs w:val="16"/>
                <w:b w:val="1"/>
                <w:bCs w:val="1"/>
                <w:color w:val="auto"/>
              </w:rPr>
              <w:t>42,615</w:t>
            </w:r>
          </w:p>
        </w:tc>
        <w:tc>
          <w:tcPr>
            <w:tcW w:w="0" w:type="dxa"/>
            <w:vAlign w:val="bottom"/>
          </w:tcPr>
          <w:p>
            <w:pPr>
              <w:spacing w:after="0"/>
              <w:rPr>
                <w:sz w:val="1"/>
                <w:szCs w:val="1"/>
                <w:color w:val="auto"/>
              </w:rPr>
            </w:pPr>
          </w:p>
        </w:tc>
      </w:tr>
    </w:tbl>
    <w:p>
      <w:pPr>
        <w:spacing w:after="0" w:line="282" w:lineRule="exact"/>
        <w:rPr>
          <w:sz w:val="20"/>
          <w:szCs w:val="20"/>
          <w:color w:val="auto"/>
        </w:rPr>
      </w:pPr>
    </w:p>
    <w:p>
      <w:pPr>
        <w:ind w:left="220"/>
        <w:spacing w:after="0" w:line="279" w:lineRule="auto"/>
        <w:rPr>
          <w:sz w:val="20"/>
          <w:szCs w:val="20"/>
          <w:color w:val="auto"/>
        </w:rPr>
      </w:pPr>
      <w:r>
        <w:rPr>
          <w:rFonts w:ascii="Calibri" w:cs="Calibri" w:eastAsia="Calibri" w:hAnsi="Calibri"/>
          <w:sz w:val="16"/>
          <w:szCs w:val="16"/>
          <w:color w:val="auto"/>
        </w:rPr>
        <w:t>The Company recognized share-based payments expense related to the issuance of stock optons for the three and six months ended September 30, 2024 of $31,506 and $35,479 (2023 - $1,414 and $2,689), respectvely.</w:t>
      </w:r>
    </w:p>
    <w:p>
      <w:pPr>
        <w:spacing w:after="0" w:line="162" w:lineRule="exact"/>
        <w:rPr>
          <w:sz w:val="20"/>
          <w:szCs w:val="20"/>
          <w:color w:val="auto"/>
        </w:rPr>
      </w:pPr>
    </w:p>
    <w:p>
      <w:pPr>
        <w:ind w:left="220"/>
        <w:spacing w:after="0" w:line="264" w:lineRule="auto"/>
        <w:rPr>
          <w:sz w:val="20"/>
          <w:szCs w:val="20"/>
          <w:color w:val="auto"/>
        </w:rPr>
      </w:pPr>
      <w:r>
        <w:rPr>
          <w:rFonts w:ascii="Calibri" w:cs="Calibri" w:eastAsia="Calibri" w:hAnsi="Calibri"/>
          <w:sz w:val="16"/>
          <w:szCs w:val="16"/>
          <w:color w:val="auto"/>
        </w:rPr>
        <w:t>The outstanding optons and warrants disclosed above were ant-dilutve for the three and six months ended September 30, 2024 and 2023 and did not impact the calculaton of the loss per share.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jc w:val="center"/>
        <w:ind w:right="180"/>
        <w:spacing w:after="0"/>
        <w:rPr>
          <w:sz w:val="20"/>
          <w:szCs w:val="20"/>
          <w:color w:val="auto"/>
        </w:rPr>
      </w:pPr>
      <w:r>
        <w:rPr>
          <w:rFonts w:ascii="Calibri" w:cs="Calibri" w:eastAsia="Calibri" w:hAnsi="Calibri"/>
          <w:sz w:val="16"/>
          <w:szCs w:val="16"/>
          <w:b w:val="1"/>
          <w:bCs w:val="1"/>
          <w:color w:val="auto"/>
        </w:rPr>
        <w:t>Page 15 of 23</w:t>
      </w:r>
    </w:p>
    <w:p>
      <w:pPr>
        <w:sectPr>
          <w:pgSz w:w="11900" w:h="16838" w:orient="portrait"/>
          <w:cols w:equalWidth="0" w:num="1">
            <w:col w:w="11180"/>
          </w:cols>
          <w:pgMar w:left="380" w:top="209" w:right="339" w:bottom="1440" w:gutter="0" w:footer="0" w:header="0"/>
        </w:sectPr>
      </w:pPr>
    </w:p>
    <w:bookmarkStart w:id="18" w:name="page19"/>
    <w:bookmarkEnd w:id="18"/>
    <w:p>
      <w:pPr>
        <w:ind w:left="63"/>
        <w:spacing w:after="0"/>
        <w:rPr>
          <w:sz w:val="20"/>
          <w:szCs w:val="20"/>
          <w:color w:val="auto"/>
        </w:rPr>
      </w:pPr>
      <w:r>
        <w:rPr>
          <w:rFonts w:ascii="Calibri" w:cs="Calibri" w:eastAsia="Calibri" w:hAnsi="Calibri"/>
          <w:sz w:val="19"/>
          <w:szCs w:val="19"/>
          <w:b w:val="1"/>
          <w:bCs w:val="1"/>
          <w:color w:val="auto"/>
        </w:rPr>
        <w:t>CYBIN INC.</w:t>
      </w:r>
    </w:p>
    <w:p>
      <w:pPr>
        <w:ind w:left="63"/>
        <w:spacing w:after="0" w:line="237" w:lineRule="auto"/>
        <w:rPr>
          <w:sz w:val="20"/>
          <w:szCs w:val="20"/>
          <w:color w:val="auto"/>
        </w:rPr>
      </w:pPr>
      <w:r>
        <w:rPr>
          <w:rFonts w:ascii="Calibri" w:cs="Calibri" w:eastAsia="Calibri" w:hAnsi="Calibri"/>
          <w:sz w:val="19"/>
          <w:szCs w:val="19"/>
          <w:b w:val="1"/>
          <w:bCs w:val="1"/>
          <w:color w:val="auto"/>
        </w:rPr>
        <w:t>NOTES TO THE CONDENSED INTERIM CONSOLIDATED FINANCIAL STATEMENTS</w:t>
      </w:r>
    </w:p>
    <w:p>
      <w:pPr>
        <w:ind w:left="63"/>
        <w:spacing w:after="0" w:line="225" w:lineRule="auto"/>
        <w:rPr>
          <w:sz w:val="20"/>
          <w:szCs w:val="20"/>
          <w:color w:val="auto"/>
        </w:rPr>
      </w:pPr>
      <w:r>
        <w:rPr>
          <w:rFonts w:ascii="Calibri" w:cs="Calibri" w:eastAsia="Calibri" w:hAnsi="Calibri"/>
          <w:sz w:val="19"/>
          <w:szCs w:val="19"/>
          <w:b w:val="1"/>
          <w:bCs w:val="1"/>
          <w:color w:val="auto"/>
        </w:rPr>
        <w:t>September 30, 2024</w:t>
      </w:r>
    </w:p>
    <w:p>
      <w:pPr>
        <w:spacing w:after="0" w:line="1" w:lineRule="exact"/>
        <w:rPr>
          <w:sz w:val="20"/>
          <w:szCs w:val="20"/>
          <w:color w:val="auto"/>
        </w:rPr>
      </w:pPr>
    </w:p>
    <w:p>
      <w:pPr>
        <w:ind w:left="63" w:right="200"/>
        <w:spacing w:after="0" w:line="222" w:lineRule="auto"/>
        <w:rPr>
          <w:sz w:val="20"/>
          <w:szCs w:val="20"/>
          <w:color w:val="auto"/>
        </w:rPr>
      </w:pPr>
      <w:r>
        <w:rPr>
          <w:rFonts w:ascii="Calibri" w:cs="Calibri" w:eastAsia="Calibri" w:hAnsi="Calibri"/>
          <w:sz w:val="18"/>
          <w:szCs w:val="18"/>
          <w:b w:val="1"/>
          <w:bCs w:val="1"/>
          <w:color w:val="auto"/>
        </w:rPr>
        <w:t>(All amounts expressed in thousands of Canadian dollars, except share and per share amounts, and those otherwise stated in US dollars, Euros and Great Britain pounds which are in thousands.)</w:t>
      </w:r>
    </w:p>
    <w:p>
      <w:pPr>
        <w:ind w:left="23"/>
        <w:spacing w:after="0" w:line="225" w:lineRule="auto"/>
        <w:rPr>
          <w:sz w:val="20"/>
          <w:szCs w:val="20"/>
          <w:color w:val="auto"/>
        </w:rPr>
      </w:pPr>
      <w:r>
        <w:rPr>
          <w:rFonts w:ascii="Calibri" w:cs="Calibri" w:eastAsia="Calibri" w:hAnsi="Calibri"/>
          <w:sz w:val="18"/>
          <w:szCs w:val="18"/>
          <w:b w:val="1"/>
          <w:bCs w:val="1"/>
          <w:color w:val="auto"/>
        </w:rPr>
        <w:t>(Unaudited)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48895</wp:posOffset>
            </wp:positionV>
            <wp:extent cx="7146925" cy="762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46925" cy="76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ind w:left="3"/>
        <w:spacing w:after="0"/>
        <w:rPr>
          <w:sz w:val="20"/>
          <w:szCs w:val="20"/>
          <w:color w:val="auto"/>
        </w:rPr>
      </w:pPr>
      <w:r>
        <w:rPr>
          <w:rFonts w:ascii="Calibri" w:cs="Calibri" w:eastAsia="Calibri" w:hAnsi="Calibri"/>
          <w:sz w:val="16"/>
          <w:szCs w:val="16"/>
          <w:b w:val="1"/>
          <w:bCs w:val="1"/>
          <w:color w:val="2D5F91"/>
        </w:rPr>
        <w:t>8. RELATED PARTY TRANSACTIONS AND BALANCES</w:t>
      </w:r>
    </w:p>
    <w:p>
      <w:pPr>
        <w:spacing w:after="0" w:line="182" w:lineRule="exact"/>
        <w:rPr>
          <w:sz w:val="20"/>
          <w:szCs w:val="20"/>
          <w:color w:val="auto"/>
        </w:rPr>
      </w:pPr>
    </w:p>
    <w:p>
      <w:pPr>
        <w:ind w:left="283"/>
        <w:spacing w:after="0" w:line="279" w:lineRule="auto"/>
        <w:rPr>
          <w:sz w:val="20"/>
          <w:szCs w:val="20"/>
          <w:color w:val="auto"/>
        </w:rPr>
      </w:pPr>
      <w:r>
        <w:rPr>
          <w:rFonts w:ascii="Calibri" w:cs="Calibri" w:eastAsia="Calibri" w:hAnsi="Calibri"/>
          <w:sz w:val="16"/>
          <w:szCs w:val="16"/>
          <w:color w:val="auto"/>
        </w:rPr>
        <w:t>Key management personnel include persons having the authority and responsibility for planning, directng, and controlling the actvites of the Company as a whole. The Company has determined its key management personnel to be certain executve ofcers and directors of the Company.</w:t>
      </w:r>
    </w:p>
    <w:p>
      <w:pPr>
        <w:spacing w:after="0" w:line="160" w:lineRule="exact"/>
        <w:rPr>
          <w:sz w:val="20"/>
          <w:szCs w:val="20"/>
          <w:color w:val="auto"/>
        </w:rPr>
      </w:pPr>
    </w:p>
    <w:p>
      <w:pPr>
        <w:ind w:left="283"/>
        <w:spacing w:after="0"/>
        <w:rPr>
          <w:sz w:val="20"/>
          <w:szCs w:val="20"/>
          <w:color w:val="auto"/>
        </w:rPr>
      </w:pPr>
      <w:r>
        <w:rPr>
          <w:rFonts w:ascii="Calibri" w:cs="Calibri" w:eastAsia="Calibri" w:hAnsi="Calibri"/>
          <w:sz w:val="16"/>
          <w:szCs w:val="16"/>
          <w:color w:val="auto"/>
        </w:rPr>
        <w:t>The remuneraton of key management personnel for the three and six month periods ended September 30, 2024 and 2023 are as follows:</w:t>
      </w:r>
    </w:p>
    <w:p>
      <w:pPr>
        <w:spacing w:after="0" w:line="216" w:lineRule="exact"/>
        <w:rPr>
          <w:sz w:val="20"/>
          <w:szCs w:val="20"/>
          <w:color w:val="auto"/>
        </w:rPr>
      </w:pPr>
    </w:p>
    <w:tbl>
      <w:tblPr>
        <w:tblLayout w:type="fixed"/>
        <w:tblInd w:w="283" w:type="dxa"/>
        <w:tblCellMar>
          <w:top w:w="0" w:type="dxa"/>
          <w:left w:w="0" w:type="dxa"/>
          <w:bottom w:w="0" w:type="dxa"/>
          <w:right w:w="0" w:type="dxa"/>
        </w:tblCellMar>
      </w:tblPr>
      <w:tr>
        <w:trPr>
          <w:trHeight w:val="195"/>
        </w:trPr>
        <w:tc>
          <w:tcPr>
            <w:tcW w:w="3980" w:type="dxa"/>
            <w:vAlign w:val="bottom"/>
          </w:tcPr>
          <w:p>
            <w:pPr>
              <w:spacing w:after="0"/>
              <w:rPr>
                <w:sz w:val="16"/>
                <w:szCs w:val="16"/>
                <w:color w:val="auto"/>
              </w:rPr>
            </w:pPr>
          </w:p>
        </w:tc>
        <w:tc>
          <w:tcPr>
            <w:tcW w:w="3360" w:type="dxa"/>
            <w:vAlign w:val="bottom"/>
            <w:gridSpan w:val="3"/>
          </w:tcPr>
          <w:p>
            <w:pPr>
              <w:ind w:left="260"/>
              <w:spacing w:after="0"/>
              <w:rPr>
                <w:sz w:val="20"/>
                <w:szCs w:val="20"/>
                <w:color w:val="auto"/>
              </w:rPr>
            </w:pPr>
            <w:r>
              <w:rPr>
                <w:rFonts w:ascii="Calibri" w:cs="Calibri" w:eastAsia="Calibri" w:hAnsi="Calibri"/>
                <w:sz w:val="16"/>
                <w:szCs w:val="16"/>
                <w:b w:val="1"/>
                <w:bCs w:val="1"/>
                <w:color w:val="auto"/>
              </w:rPr>
              <w:t>Three month period ended September 30,</w:t>
            </w:r>
          </w:p>
        </w:tc>
        <w:tc>
          <w:tcPr>
            <w:tcW w:w="3260" w:type="dxa"/>
            <w:vAlign w:val="bottom"/>
            <w:gridSpan w:val="2"/>
          </w:tcPr>
          <w:p>
            <w:pPr>
              <w:jc w:val="right"/>
              <w:ind w:right="259"/>
              <w:spacing w:after="0"/>
              <w:rPr>
                <w:sz w:val="20"/>
                <w:szCs w:val="20"/>
                <w:color w:val="auto"/>
              </w:rPr>
            </w:pPr>
            <w:r>
              <w:rPr>
                <w:rFonts w:ascii="Calibri" w:cs="Calibri" w:eastAsia="Calibri" w:hAnsi="Calibri"/>
                <w:sz w:val="16"/>
                <w:szCs w:val="16"/>
                <w:b w:val="1"/>
                <w:bCs w:val="1"/>
                <w:color w:val="auto"/>
              </w:rPr>
              <w:t>Six month period ended September 30,</w:t>
            </w:r>
          </w:p>
        </w:tc>
        <w:tc>
          <w:tcPr>
            <w:tcW w:w="0" w:type="dxa"/>
            <w:vAlign w:val="bottom"/>
          </w:tcPr>
          <w:p>
            <w:pPr>
              <w:spacing w:after="0"/>
              <w:rPr>
                <w:sz w:val="1"/>
                <w:szCs w:val="1"/>
                <w:color w:val="auto"/>
              </w:rPr>
            </w:pPr>
          </w:p>
        </w:tc>
      </w:tr>
      <w:tr>
        <w:trPr>
          <w:trHeight w:val="20"/>
        </w:trPr>
        <w:tc>
          <w:tcPr>
            <w:tcW w:w="3980" w:type="dxa"/>
            <w:vAlign w:val="bottom"/>
          </w:tcPr>
          <w:p>
            <w:pPr>
              <w:spacing w:after="0" w:line="20" w:lineRule="exact"/>
              <w:rPr>
                <w:sz w:val="1"/>
                <w:szCs w:val="1"/>
                <w:color w:val="auto"/>
              </w:rPr>
            </w:pPr>
          </w:p>
        </w:tc>
        <w:tc>
          <w:tcPr>
            <w:tcW w:w="22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26"/>
        </w:trPr>
        <w:tc>
          <w:tcPr>
            <w:tcW w:w="3980" w:type="dxa"/>
            <w:vAlign w:val="bottom"/>
          </w:tcPr>
          <w:p>
            <w:pPr>
              <w:spacing w:after="0"/>
              <w:rPr>
                <w:sz w:val="19"/>
                <w:szCs w:val="19"/>
                <w:color w:val="auto"/>
              </w:rPr>
            </w:pPr>
          </w:p>
        </w:tc>
        <w:tc>
          <w:tcPr>
            <w:tcW w:w="2220" w:type="dxa"/>
            <w:vAlign w:val="bottom"/>
            <w:vMerge w:val="restart"/>
          </w:tcPr>
          <w:p>
            <w:pPr>
              <w:jc w:val="right"/>
              <w:ind w:right="559"/>
              <w:spacing w:after="0"/>
              <w:rPr>
                <w:sz w:val="20"/>
                <w:szCs w:val="20"/>
                <w:color w:val="auto"/>
              </w:rPr>
            </w:pPr>
            <w:r>
              <w:rPr>
                <w:rFonts w:ascii="Calibri" w:cs="Calibri" w:eastAsia="Calibri" w:hAnsi="Calibri"/>
                <w:sz w:val="16"/>
                <w:szCs w:val="16"/>
                <w:b w:val="1"/>
                <w:bCs w:val="1"/>
                <w:color w:val="auto"/>
              </w:rPr>
              <w:t>2024</w:t>
            </w:r>
          </w:p>
        </w:tc>
        <w:tc>
          <w:tcPr>
            <w:tcW w:w="1040" w:type="dxa"/>
            <w:vAlign w:val="bottom"/>
            <w:vMerge w:val="restart"/>
          </w:tcPr>
          <w:p>
            <w:pPr>
              <w:jc w:val="right"/>
              <w:spacing w:after="0"/>
              <w:rPr>
                <w:sz w:val="20"/>
                <w:szCs w:val="20"/>
                <w:color w:val="auto"/>
              </w:rPr>
            </w:pPr>
            <w:r>
              <w:rPr>
                <w:rFonts w:ascii="Calibri" w:cs="Calibri" w:eastAsia="Calibri" w:hAnsi="Calibri"/>
                <w:sz w:val="16"/>
                <w:szCs w:val="16"/>
                <w:color w:val="auto"/>
              </w:rPr>
              <w:t>2023</w:t>
            </w:r>
          </w:p>
        </w:tc>
        <w:tc>
          <w:tcPr>
            <w:tcW w:w="100" w:type="dxa"/>
            <w:vAlign w:val="bottom"/>
          </w:tcPr>
          <w:p>
            <w:pPr>
              <w:spacing w:after="0"/>
              <w:rPr>
                <w:sz w:val="19"/>
                <w:szCs w:val="19"/>
                <w:color w:val="auto"/>
              </w:rPr>
            </w:pPr>
          </w:p>
        </w:tc>
        <w:tc>
          <w:tcPr>
            <w:tcW w:w="2220" w:type="dxa"/>
            <w:vAlign w:val="bottom"/>
          </w:tcPr>
          <w:p>
            <w:pPr>
              <w:jc w:val="right"/>
              <w:ind w:right="559"/>
              <w:spacing w:after="0"/>
              <w:rPr>
                <w:sz w:val="20"/>
                <w:szCs w:val="20"/>
                <w:color w:val="auto"/>
              </w:rPr>
            </w:pPr>
            <w:r>
              <w:rPr>
                <w:rFonts w:ascii="Calibri" w:cs="Calibri" w:eastAsia="Calibri" w:hAnsi="Calibri"/>
                <w:sz w:val="16"/>
                <w:szCs w:val="16"/>
                <w:b w:val="1"/>
                <w:bCs w:val="1"/>
                <w:color w:val="auto"/>
              </w:rPr>
              <w:t>2024</w:t>
            </w:r>
          </w:p>
        </w:tc>
        <w:tc>
          <w:tcPr>
            <w:tcW w:w="1040" w:type="dxa"/>
            <w:vAlign w:val="bottom"/>
          </w:tcPr>
          <w:p>
            <w:pPr>
              <w:jc w:val="right"/>
              <w:spacing w:after="0"/>
              <w:rPr>
                <w:sz w:val="20"/>
                <w:szCs w:val="20"/>
                <w:color w:val="auto"/>
              </w:rPr>
            </w:pPr>
            <w:r>
              <w:rPr>
                <w:rFonts w:ascii="Calibri" w:cs="Calibri" w:eastAsia="Calibri" w:hAnsi="Calibri"/>
                <w:sz w:val="16"/>
                <w:szCs w:val="16"/>
                <w:b w:val="1"/>
                <w:bCs w:val="1"/>
                <w:color w:val="auto"/>
              </w:rPr>
              <w:t>2023</w:t>
            </w:r>
          </w:p>
        </w:tc>
        <w:tc>
          <w:tcPr>
            <w:tcW w:w="0" w:type="dxa"/>
            <w:vAlign w:val="bottom"/>
          </w:tcPr>
          <w:p>
            <w:pPr>
              <w:spacing w:after="0"/>
              <w:rPr>
                <w:sz w:val="1"/>
                <w:szCs w:val="1"/>
                <w:color w:val="auto"/>
              </w:rPr>
            </w:pPr>
          </w:p>
        </w:tc>
      </w:tr>
      <w:tr>
        <w:trPr>
          <w:trHeight w:val="60"/>
        </w:trPr>
        <w:tc>
          <w:tcPr>
            <w:tcW w:w="3980" w:type="dxa"/>
            <w:vAlign w:val="bottom"/>
          </w:tcPr>
          <w:p>
            <w:pPr>
              <w:spacing w:after="0"/>
              <w:rPr>
                <w:sz w:val="5"/>
                <w:szCs w:val="5"/>
                <w:color w:val="auto"/>
              </w:rPr>
            </w:pPr>
          </w:p>
        </w:tc>
        <w:tc>
          <w:tcPr>
            <w:tcW w:w="2220" w:type="dxa"/>
            <w:vAlign w:val="bottom"/>
            <w:vMerge w:val="continue"/>
          </w:tcPr>
          <w:p>
            <w:pPr>
              <w:spacing w:after="0"/>
              <w:rPr>
                <w:sz w:val="5"/>
                <w:szCs w:val="5"/>
                <w:color w:val="auto"/>
              </w:rPr>
            </w:pPr>
          </w:p>
        </w:tc>
        <w:tc>
          <w:tcPr>
            <w:tcW w:w="1040" w:type="dxa"/>
            <w:vAlign w:val="bottom"/>
            <w:vMerge w:val="continue"/>
          </w:tcPr>
          <w:p>
            <w:pPr>
              <w:spacing w:after="0"/>
              <w:rPr>
                <w:sz w:val="5"/>
                <w:szCs w:val="5"/>
                <w:color w:val="auto"/>
              </w:rPr>
            </w:pPr>
          </w:p>
        </w:tc>
        <w:tc>
          <w:tcPr>
            <w:tcW w:w="100" w:type="dxa"/>
            <w:vAlign w:val="bottom"/>
          </w:tcPr>
          <w:p>
            <w:pPr>
              <w:spacing w:after="0"/>
              <w:rPr>
                <w:sz w:val="5"/>
                <w:szCs w:val="5"/>
                <w:color w:val="auto"/>
              </w:rPr>
            </w:pPr>
          </w:p>
        </w:tc>
        <w:tc>
          <w:tcPr>
            <w:tcW w:w="2220" w:type="dxa"/>
            <w:vAlign w:val="bottom"/>
          </w:tcPr>
          <w:p>
            <w:pPr>
              <w:spacing w:after="0"/>
              <w:rPr>
                <w:sz w:val="5"/>
                <w:szCs w:val="5"/>
                <w:color w:val="auto"/>
              </w:rPr>
            </w:pPr>
          </w:p>
        </w:tc>
        <w:tc>
          <w:tcPr>
            <w:tcW w:w="10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06"/>
        </w:trPr>
        <w:tc>
          <w:tcPr>
            <w:tcW w:w="3980" w:type="dxa"/>
            <w:vAlign w:val="bottom"/>
          </w:tcPr>
          <w:p>
            <w:pPr>
              <w:spacing w:after="0"/>
              <w:rPr>
                <w:sz w:val="17"/>
                <w:szCs w:val="17"/>
                <w:color w:val="auto"/>
              </w:rPr>
            </w:pPr>
          </w:p>
        </w:tc>
        <w:tc>
          <w:tcPr>
            <w:tcW w:w="2220" w:type="dxa"/>
            <w:vAlign w:val="bottom"/>
          </w:tcPr>
          <w:p>
            <w:pPr>
              <w:jc w:val="right"/>
              <w:ind w:right="559"/>
              <w:spacing w:after="0"/>
              <w:rPr>
                <w:sz w:val="20"/>
                <w:szCs w:val="20"/>
                <w:color w:val="auto"/>
              </w:rPr>
            </w:pPr>
            <w:r>
              <w:rPr>
                <w:rFonts w:ascii="Calibri" w:cs="Calibri" w:eastAsia="Calibri" w:hAnsi="Calibri"/>
                <w:sz w:val="16"/>
                <w:szCs w:val="16"/>
                <w:b w:val="1"/>
                <w:bCs w:val="1"/>
                <w:color w:val="auto"/>
              </w:rPr>
              <w:t>$</w:t>
            </w:r>
          </w:p>
        </w:tc>
        <w:tc>
          <w:tcPr>
            <w:tcW w:w="1040" w:type="dxa"/>
            <w:vAlign w:val="bottom"/>
          </w:tcPr>
          <w:p>
            <w:pPr>
              <w:jc w:val="right"/>
              <w:spacing w:after="0"/>
              <w:rPr>
                <w:sz w:val="20"/>
                <w:szCs w:val="20"/>
                <w:color w:val="auto"/>
              </w:rPr>
            </w:pPr>
            <w:r>
              <w:rPr>
                <w:rFonts w:ascii="Calibri" w:cs="Calibri" w:eastAsia="Calibri" w:hAnsi="Calibri"/>
                <w:sz w:val="16"/>
                <w:szCs w:val="16"/>
                <w:color w:val="auto"/>
              </w:rPr>
              <w:t>$</w:t>
            </w:r>
          </w:p>
        </w:tc>
        <w:tc>
          <w:tcPr>
            <w:tcW w:w="100" w:type="dxa"/>
            <w:vAlign w:val="bottom"/>
          </w:tcPr>
          <w:p>
            <w:pPr>
              <w:spacing w:after="0"/>
              <w:rPr>
                <w:sz w:val="17"/>
                <w:szCs w:val="17"/>
                <w:color w:val="auto"/>
              </w:rPr>
            </w:pPr>
          </w:p>
        </w:tc>
        <w:tc>
          <w:tcPr>
            <w:tcW w:w="2220" w:type="dxa"/>
            <w:vAlign w:val="bottom"/>
            <w:vMerge w:val="restart"/>
          </w:tcPr>
          <w:p>
            <w:pPr>
              <w:jc w:val="right"/>
              <w:ind w:right="559"/>
              <w:spacing w:after="0"/>
              <w:rPr>
                <w:sz w:val="20"/>
                <w:szCs w:val="20"/>
                <w:color w:val="auto"/>
              </w:rPr>
            </w:pPr>
            <w:r>
              <w:rPr>
                <w:rFonts w:ascii="Calibri" w:cs="Calibri" w:eastAsia="Calibri" w:hAnsi="Calibri"/>
                <w:sz w:val="16"/>
                <w:szCs w:val="16"/>
                <w:b w:val="1"/>
                <w:bCs w:val="1"/>
                <w:color w:val="auto"/>
              </w:rPr>
              <w:t>$</w:t>
            </w:r>
          </w:p>
        </w:tc>
        <w:tc>
          <w:tcPr>
            <w:tcW w:w="1040" w:type="dxa"/>
            <w:vAlign w:val="bottom"/>
            <w:vMerge w:val="restart"/>
          </w:tcPr>
          <w:p>
            <w:pPr>
              <w:jc w:val="right"/>
              <w:spacing w:after="0"/>
              <w:rPr>
                <w:sz w:val="20"/>
                <w:szCs w:val="20"/>
                <w:color w:val="auto"/>
              </w:rPr>
            </w:pPr>
            <w:r>
              <w:rPr>
                <w:rFonts w:ascii="Calibri" w:cs="Calibri" w:eastAsia="Calibri" w:hAnsi="Calibri"/>
                <w:sz w:val="16"/>
                <w:szCs w:val="16"/>
                <w:b w:val="1"/>
                <w:bCs w:val="1"/>
                <w:color w:val="auto"/>
              </w:rPr>
              <w:t>$</w:t>
            </w:r>
          </w:p>
        </w:tc>
        <w:tc>
          <w:tcPr>
            <w:tcW w:w="0" w:type="dxa"/>
            <w:vAlign w:val="bottom"/>
          </w:tcPr>
          <w:p>
            <w:pPr>
              <w:spacing w:after="0"/>
              <w:rPr>
                <w:sz w:val="1"/>
                <w:szCs w:val="1"/>
                <w:color w:val="auto"/>
              </w:rPr>
            </w:pPr>
          </w:p>
        </w:tc>
      </w:tr>
      <w:tr>
        <w:trPr>
          <w:trHeight w:val="48"/>
        </w:trPr>
        <w:tc>
          <w:tcPr>
            <w:tcW w:w="3980" w:type="dxa"/>
            <w:vAlign w:val="bottom"/>
          </w:tcPr>
          <w:p>
            <w:pPr>
              <w:spacing w:after="0"/>
              <w:rPr>
                <w:sz w:val="4"/>
                <w:szCs w:val="4"/>
                <w:color w:val="auto"/>
              </w:rPr>
            </w:pPr>
          </w:p>
        </w:tc>
        <w:tc>
          <w:tcPr>
            <w:tcW w:w="2220" w:type="dxa"/>
            <w:vAlign w:val="bottom"/>
          </w:tcPr>
          <w:p>
            <w:pPr>
              <w:spacing w:after="0"/>
              <w:rPr>
                <w:sz w:val="4"/>
                <w:szCs w:val="4"/>
                <w:color w:val="auto"/>
              </w:rPr>
            </w:pPr>
          </w:p>
        </w:tc>
        <w:tc>
          <w:tcPr>
            <w:tcW w:w="1040" w:type="dxa"/>
            <w:vAlign w:val="bottom"/>
          </w:tcPr>
          <w:p>
            <w:pPr>
              <w:spacing w:after="0"/>
              <w:rPr>
                <w:sz w:val="4"/>
                <w:szCs w:val="4"/>
                <w:color w:val="auto"/>
              </w:rPr>
            </w:pPr>
          </w:p>
        </w:tc>
        <w:tc>
          <w:tcPr>
            <w:tcW w:w="100" w:type="dxa"/>
            <w:vAlign w:val="bottom"/>
          </w:tcPr>
          <w:p>
            <w:pPr>
              <w:spacing w:after="0"/>
              <w:rPr>
                <w:sz w:val="4"/>
                <w:szCs w:val="4"/>
                <w:color w:val="auto"/>
              </w:rPr>
            </w:pPr>
          </w:p>
        </w:tc>
        <w:tc>
          <w:tcPr>
            <w:tcW w:w="2220" w:type="dxa"/>
            <w:vAlign w:val="bottom"/>
            <w:vMerge w:val="continue"/>
          </w:tcPr>
          <w:p>
            <w:pPr>
              <w:spacing w:after="0"/>
              <w:rPr>
                <w:sz w:val="4"/>
                <w:szCs w:val="4"/>
                <w:color w:val="auto"/>
              </w:rPr>
            </w:pPr>
          </w:p>
        </w:tc>
        <w:tc>
          <w:tcPr>
            <w:tcW w:w="10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81"/>
        </w:trPr>
        <w:tc>
          <w:tcPr>
            <w:tcW w:w="3980" w:type="dxa"/>
            <w:vAlign w:val="bottom"/>
            <w:tcBorders>
              <w:bottom w:val="single" w:sz="8" w:color="auto"/>
            </w:tcBorders>
          </w:tcPr>
          <w:p>
            <w:pPr>
              <w:spacing w:after="0"/>
              <w:rPr>
                <w:sz w:val="7"/>
                <w:szCs w:val="7"/>
                <w:color w:val="auto"/>
              </w:rPr>
            </w:pPr>
          </w:p>
        </w:tc>
        <w:tc>
          <w:tcPr>
            <w:tcW w:w="2220" w:type="dxa"/>
            <w:vAlign w:val="bottom"/>
            <w:tcBorders>
              <w:bottom w:val="single" w:sz="8" w:color="auto"/>
            </w:tcBorders>
          </w:tcPr>
          <w:p>
            <w:pPr>
              <w:spacing w:after="0"/>
              <w:rPr>
                <w:sz w:val="7"/>
                <w:szCs w:val="7"/>
                <w:color w:val="auto"/>
              </w:rPr>
            </w:pPr>
          </w:p>
        </w:tc>
        <w:tc>
          <w:tcPr>
            <w:tcW w:w="1040" w:type="dxa"/>
            <w:vAlign w:val="bottom"/>
            <w:tcBorders>
              <w:bottom w:val="single" w:sz="8" w:color="auto"/>
            </w:tcBorders>
          </w:tcPr>
          <w:p>
            <w:pPr>
              <w:spacing w:after="0"/>
              <w:rPr>
                <w:sz w:val="7"/>
                <w:szCs w:val="7"/>
                <w:color w:val="auto"/>
              </w:rPr>
            </w:pPr>
          </w:p>
        </w:tc>
        <w:tc>
          <w:tcPr>
            <w:tcW w:w="100" w:type="dxa"/>
            <w:vAlign w:val="bottom"/>
            <w:tcBorders>
              <w:bottom w:val="single" w:sz="8" w:color="auto"/>
            </w:tcBorders>
          </w:tcPr>
          <w:p>
            <w:pPr>
              <w:spacing w:after="0"/>
              <w:rPr>
                <w:sz w:val="7"/>
                <w:szCs w:val="7"/>
                <w:color w:val="auto"/>
              </w:rPr>
            </w:pPr>
          </w:p>
        </w:tc>
        <w:tc>
          <w:tcPr>
            <w:tcW w:w="2220" w:type="dxa"/>
            <w:vAlign w:val="bottom"/>
            <w:tcBorders>
              <w:bottom w:val="single" w:sz="8" w:color="auto"/>
            </w:tcBorders>
          </w:tcPr>
          <w:p>
            <w:pPr>
              <w:spacing w:after="0"/>
              <w:rPr>
                <w:sz w:val="7"/>
                <w:szCs w:val="7"/>
                <w:color w:val="auto"/>
              </w:rPr>
            </w:pPr>
          </w:p>
        </w:tc>
        <w:tc>
          <w:tcPr>
            <w:tcW w:w="1040" w:type="dxa"/>
            <w:vAlign w:val="bottom"/>
            <w:tcBorders>
              <w:bottom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22"/>
        </w:trPr>
        <w:tc>
          <w:tcPr>
            <w:tcW w:w="3980" w:type="dxa"/>
            <w:vAlign w:val="bottom"/>
          </w:tcPr>
          <w:p>
            <w:pPr>
              <w:ind w:left="60"/>
              <w:spacing w:after="0" w:line="222" w:lineRule="exact"/>
              <w:rPr>
                <w:sz w:val="20"/>
                <w:szCs w:val="20"/>
                <w:color w:val="auto"/>
              </w:rPr>
            </w:pPr>
            <w:r>
              <w:rPr>
                <w:rFonts w:ascii="Calibri" w:cs="Calibri" w:eastAsia="Calibri" w:hAnsi="Calibri"/>
                <w:sz w:val="16"/>
                <w:szCs w:val="16"/>
                <w:color w:val="auto"/>
              </w:rPr>
              <w:t>Payroll, consultng and benefts</w:t>
            </w:r>
            <w:r>
              <w:rPr>
                <w:rFonts w:ascii="Calibri" w:cs="Calibri" w:eastAsia="Calibri" w:hAnsi="Calibri"/>
                <w:sz w:val="20"/>
                <w:szCs w:val="20"/>
                <w:color w:val="auto"/>
                <w:vertAlign w:val="superscript"/>
              </w:rPr>
              <w:t>(1)</w:t>
            </w:r>
          </w:p>
        </w:tc>
        <w:tc>
          <w:tcPr>
            <w:tcW w:w="2220" w:type="dxa"/>
            <w:vAlign w:val="bottom"/>
            <w:vMerge w:val="restart"/>
          </w:tcPr>
          <w:p>
            <w:pPr>
              <w:jc w:val="right"/>
              <w:ind w:right="559"/>
              <w:spacing w:after="0"/>
              <w:rPr>
                <w:sz w:val="20"/>
                <w:szCs w:val="20"/>
                <w:color w:val="auto"/>
              </w:rPr>
            </w:pPr>
            <w:r>
              <w:rPr>
                <w:rFonts w:ascii="Calibri" w:cs="Calibri" w:eastAsia="Calibri" w:hAnsi="Calibri"/>
                <w:sz w:val="16"/>
                <w:szCs w:val="16"/>
                <w:b w:val="1"/>
                <w:bCs w:val="1"/>
                <w:color w:val="auto"/>
              </w:rPr>
              <w:t>1,441</w:t>
            </w:r>
          </w:p>
        </w:tc>
        <w:tc>
          <w:tcPr>
            <w:tcW w:w="1040" w:type="dxa"/>
            <w:vAlign w:val="bottom"/>
            <w:vMerge w:val="restart"/>
          </w:tcPr>
          <w:p>
            <w:pPr>
              <w:jc w:val="right"/>
              <w:spacing w:after="0"/>
              <w:rPr>
                <w:sz w:val="20"/>
                <w:szCs w:val="20"/>
                <w:color w:val="auto"/>
              </w:rPr>
            </w:pPr>
            <w:r>
              <w:rPr>
                <w:rFonts w:ascii="Calibri" w:cs="Calibri" w:eastAsia="Calibri" w:hAnsi="Calibri"/>
                <w:sz w:val="16"/>
                <w:szCs w:val="16"/>
                <w:color w:val="auto"/>
              </w:rPr>
              <w:t>885</w:t>
            </w:r>
          </w:p>
        </w:tc>
        <w:tc>
          <w:tcPr>
            <w:tcW w:w="100" w:type="dxa"/>
            <w:vAlign w:val="bottom"/>
          </w:tcPr>
          <w:p>
            <w:pPr>
              <w:spacing w:after="0"/>
              <w:rPr>
                <w:sz w:val="19"/>
                <w:szCs w:val="19"/>
                <w:color w:val="auto"/>
              </w:rPr>
            </w:pPr>
          </w:p>
        </w:tc>
        <w:tc>
          <w:tcPr>
            <w:tcW w:w="2220" w:type="dxa"/>
            <w:vAlign w:val="bottom"/>
            <w:vMerge w:val="restart"/>
          </w:tcPr>
          <w:p>
            <w:pPr>
              <w:jc w:val="right"/>
              <w:ind w:right="559"/>
              <w:spacing w:after="0"/>
              <w:rPr>
                <w:sz w:val="20"/>
                <w:szCs w:val="20"/>
                <w:color w:val="auto"/>
              </w:rPr>
            </w:pPr>
            <w:r>
              <w:rPr>
                <w:rFonts w:ascii="Calibri" w:cs="Calibri" w:eastAsia="Calibri" w:hAnsi="Calibri"/>
                <w:sz w:val="16"/>
                <w:szCs w:val="16"/>
                <w:b w:val="1"/>
                <w:bCs w:val="1"/>
                <w:color w:val="auto"/>
              </w:rPr>
              <w:t>4,036</w:t>
            </w:r>
          </w:p>
        </w:tc>
        <w:tc>
          <w:tcPr>
            <w:tcW w:w="1040" w:type="dxa"/>
            <w:vAlign w:val="bottom"/>
            <w:vMerge w:val="restart"/>
          </w:tcPr>
          <w:p>
            <w:pPr>
              <w:jc w:val="right"/>
              <w:spacing w:after="0"/>
              <w:rPr>
                <w:sz w:val="20"/>
                <w:szCs w:val="20"/>
                <w:color w:val="auto"/>
              </w:rPr>
            </w:pPr>
            <w:r>
              <w:rPr>
                <w:rFonts w:ascii="Calibri" w:cs="Calibri" w:eastAsia="Calibri" w:hAnsi="Calibri"/>
                <w:sz w:val="16"/>
                <w:szCs w:val="16"/>
                <w:color w:val="auto"/>
              </w:rPr>
              <w:t>1,846</w:t>
            </w:r>
          </w:p>
        </w:tc>
        <w:tc>
          <w:tcPr>
            <w:tcW w:w="0" w:type="dxa"/>
            <w:vAlign w:val="bottom"/>
          </w:tcPr>
          <w:p>
            <w:pPr>
              <w:spacing w:after="0"/>
              <w:rPr>
                <w:sz w:val="1"/>
                <w:szCs w:val="1"/>
                <w:color w:val="auto"/>
              </w:rPr>
            </w:pPr>
          </w:p>
        </w:tc>
      </w:tr>
      <w:tr>
        <w:trPr>
          <w:trHeight w:val="40"/>
        </w:trPr>
        <w:tc>
          <w:tcPr>
            <w:tcW w:w="3980" w:type="dxa"/>
            <w:vAlign w:val="bottom"/>
          </w:tcPr>
          <w:p>
            <w:pPr>
              <w:spacing w:after="0"/>
              <w:rPr>
                <w:sz w:val="3"/>
                <w:szCs w:val="3"/>
                <w:color w:val="auto"/>
              </w:rPr>
            </w:pPr>
          </w:p>
        </w:tc>
        <w:tc>
          <w:tcPr>
            <w:tcW w:w="2220" w:type="dxa"/>
            <w:vAlign w:val="bottom"/>
            <w:vMerge w:val="continue"/>
          </w:tcPr>
          <w:p>
            <w:pPr>
              <w:spacing w:after="0"/>
              <w:rPr>
                <w:sz w:val="3"/>
                <w:szCs w:val="3"/>
                <w:color w:val="auto"/>
              </w:rPr>
            </w:pPr>
          </w:p>
        </w:tc>
        <w:tc>
          <w:tcPr>
            <w:tcW w:w="1040" w:type="dxa"/>
            <w:vAlign w:val="bottom"/>
            <w:vMerge w:val="continue"/>
          </w:tcPr>
          <w:p>
            <w:pPr>
              <w:spacing w:after="0"/>
              <w:rPr>
                <w:sz w:val="3"/>
                <w:szCs w:val="3"/>
                <w:color w:val="auto"/>
              </w:rPr>
            </w:pPr>
          </w:p>
        </w:tc>
        <w:tc>
          <w:tcPr>
            <w:tcW w:w="100" w:type="dxa"/>
            <w:vAlign w:val="bottom"/>
          </w:tcPr>
          <w:p>
            <w:pPr>
              <w:spacing w:after="0"/>
              <w:rPr>
                <w:sz w:val="3"/>
                <w:szCs w:val="3"/>
                <w:color w:val="auto"/>
              </w:rPr>
            </w:pPr>
          </w:p>
        </w:tc>
        <w:tc>
          <w:tcPr>
            <w:tcW w:w="2220" w:type="dxa"/>
            <w:vAlign w:val="bottom"/>
            <w:vMerge w:val="continue"/>
          </w:tcPr>
          <w:p>
            <w:pPr>
              <w:spacing w:after="0"/>
              <w:rPr>
                <w:sz w:val="3"/>
                <w:szCs w:val="3"/>
                <w:color w:val="auto"/>
              </w:rPr>
            </w:pPr>
          </w:p>
        </w:tc>
        <w:tc>
          <w:tcPr>
            <w:tcW w:w="1040" w:type="dxa"/>
            <w:vAlign w:val="bottom"/>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06"/>
        </w:trPr>
        <w:tc>
          <w:tcPr>
            <w:tcW w:w="3980" w:type="dxa"/>
            <w:vAlign w:val="bottom"/>
          </w:tcPr>
          <w:p>
            <w:pPr>
              <w:ind w:left="60"/>
              <w:spacing w:after="0"/>
              <w:rPr>
                <w:sz w:val="20"/>
                <w:szCs w:val="20"/>
                <w:color w:val="auto"/>
              </w:rPr>
            </w:pPr>
            <w:r>
              <w:rPr>
                <w:rFonts w:ascii="Calibri" w:cs="Calibri" w:eastAsia="Calibri" w:hAnsi="Calibri"/>
                <w:sz w:val="16"/>
                <w:szCs w:val="16"/>
                <w:color w:val="auto"/>
              </w:rPr>
              <w:t>Share-based compensaton</w:t>
            </w:r>
          </w:p>
        </w:tc>
        <w:tc>
          <w:tcPr>
            <w:tcW w:w="22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3980" w:type="dxa"/>
            <w:vAlign w:val="bottom"/>
          </w:tcPr>
          <w:p>
            <w:pPr>
              <w:ind w:left="260"/>
              <w:spacing w:after="0"/>
              <w:rPr>
                <w:sz w:val="20"/>
                <w:szCs w:val="20"/>
                <w:color w:val="auto"/>
              </w:rPr>
            </w:pPr>
            <w:r>
              <w:rPr>
                <w:rFonts w:ascii="Calibri" w:cs="Calibri" w:eastAsia="Calibri" w:hAnsi="Calibri"/>
                <w:sz w:val="16"/>
                <w:szCs w:val="16"/>
                <w:color w:val="auto"/>
              </w:rPr>
              <w:t>Optons</w:t>
            </w:r>
          </w:p>
        </w:tc>
        <w:tc>
          <w:tcPr>
            <w:tcW w:w="2220" w:type="dxa"/>
            <w:vAlign w:val="bottom"/>
          </w:tcPr>
          <w:p>
            <w:pPr>
              <w:jc w:val="right"/>
              <w:ind w:right="559"/>
              <w:spacing w:after="0"/>
              <w:rPr>
                <w:sz w:val="20"/>
                <w:szCs w:val="20"/>
                <w:color w:val="auto"/>
              </w:rPr>
            </w:pPr>
            <w:r>
              <w:rPr>
                <w:rFonts w:ascii="Calibri" w:cs="Calibri" w:eastAsia="Calibri" w:hAnsi="Calibri"/>
                <w:sz w:val="16"/>
                <w:szCs w:val="16"/>
                <w:b w:val="1"/>
                <w:bCs w:val="1"/>
                <w:color w:val="auto"/>
              </w:rPr>
              <w:t>20,726</w:t>
            </w:r>
          </w:p>
        </w:tc>
        <w:tc>
          <w:tcPr>
            <w:tcW w:w="1040" w:type="dxa"/>
            <w:vAlign w:val="bottom"/>
          </w:tcPr>
          <w:p>
            <w:pPr>
              <w:jc w:val="right"/>
              <w:spacing w:after="0"/>
              <w:rPr>
                <w:sz w:val="20"/>
                <w:szCs w:val="20"/>
                <w:color w:val="auto"/>
              </w:rPr>
            </w:pPr>
            <w:r>
              <w:rPr>
                <w:rFonts w:ascii="Calibri" w:cs="Calibri" w:eastAsia="Calibri" w:hAnsi="Calibri"/>
                <w:sz w:val="16"/>
                <w:szCs w:val="16"/>
                <w:color w:val="auto"/>
              </w:rPr>
              <w:t>444</w:t>
            </w:r>
          </w:p>
        </w:tc>
        <w:tc>
          <w:tcPr>
            <w:tcW w:w="100" w:type="dxa"/>
            <w:vAlign w:val="bottom"/>
          </w:tcPr>
          <w:p>
            <w:pPr>
              <w:spacing w:after="0"/>
              <w:rPr>
                <w:sz w:val="17"/>
                <w:szCs w:val="17"/>
                <w:color w:val="auto"/>
              </w:rPr>
            </w:pPr>
          </w:p>
        </w:tc>
        <w:tc>
          <w:tcPr>
            <w:tcW w:w="2220" w:type="dxa"/>
            <w:vAlign w:val="bottom"/>
          </w:tcPr>
          <w:p>
            <w:pPr>
              <w:jc w:val="right"/>
              <w:ind w:right="559"/>
              <w:spacing w:after="0"/>
              <w:rPr>
                <w:sz w:val="20"/>
                <w:szCs w:val="20"/>
                <w:color w:val="auto"/>
              </w:rPr>
            </w:pPr>
            <w:r>
              <w:rPr>
                <w:rFonts w:ascii="Calibri" w:cs="Calibri" w:eastAsia="Calibri" w:hAnsi="Calibri"/>
                <w:sz w:val="16"/>
                <w:szCs w:val="16"/>
                <w:b w:val="1"/>
                <w:bCs w:val="1"/>
                <w:color w:val="auto"/>
              </w:rPr>
              <w:t>22,702</w:t>
            </w:r>
          </w:p>
        </w:tc>
        <w:tc>
          <w:tcPr>
            <w:tcW w:w="1040" w:type="dxa"/>
            <w:vAlign w:val="bottom"/>
          </w:tcPr>
          <w:p>
            <w:pPr>
              <w:jc w:val="right"/>
              <w:spacing w:after="0"/>
              <w:rPr>
                <w:sz w:val="20"/>
                <w:szCs w:val="20"/>
                <w:color w:val="auto"/>
              </w:rPr>
            </w:pPr>
            <w:r>
              <w:rPr>
                <w:rFonts w:ascii="Calibri" w:cs="Calibri" w:eastAsia="Calibri" w:hAnsi="Calibri"/>
                <w:sz w:val="16"/>
                <w:szCs w:val="16"/>
                <w:color w:val="auto"/>
              </w:rPr>
              <w:t>663</w:t>
            </w:r>
          </w:p>
        </w:tc>
        <w:tc>
          <w:tcPr>
            <w:tcW w:w="0" w:type="dxa"/>
            <w:vAlign w:val="bottom"/>
          </w:tcPr>
          <w:p>
            <w:pPr>
              <w:spacing w:after="0"/>
              <w:rPr>
                <w:sz w:val="1"/>
                <w:szCs w:val="1"/>
                <w:color w:val="auto"/>
              </w:rPr>
            </w:pPr>
          </w:p>
        </w:tc>
      </w:tr>
      <w:tr>
        <w:trPr>
          <w:trHeight w:val="226"/>
        </w:trPr>
        <w:tc>
          <w:tcPr>
            <w:tcW w:w="3980" w:type="dxa"/>
            <w:vAlign w:val="bottom"/>
            <w:tcBorders>
              <w:bottom w:val="single" w:sz="8" w:color="auto"/>
            </w:tcBorders>
          </w:tcPr>
          <w:p>
            <w:pPr>
              <w:ind w:left="260"/>
              <w:spacing w:after="0"/>
              <w:rPr>
                <w:sz w:val="20"/>
                <w:szCs w:val="20"/>
                <w:color w:val="auto"/>
              </w:rPr>
            </w:pPr>
            <w:r>
              <w:rPr>
                <w:rFonts w:ascii="Calibri" w:cs="Calibri" w:eastAsia="Calibri" w:hAnsi="Calibri"/>
                <w:sz w:val="16"/>
                <w:szCs w:val="16"/>
                <w:color w:val="auto"/>
              </w:rPr>
              <w:t>Warrants</w:t>
            </w:r>
          </w:p>
        </w:tc>
        <w:tc>
          <w:tcPr>
            <w:tcW w:w="2220" w:type="dxa"/>
            <w:vAlign w:val="bottom"/>
            <w:tcBorders>
              <w:bottom w:val="single" w:sz="8" w:color="auto"/>
            </w:tcBorders>
          </w:tcPr>
          <w:p>
            <w:pPr>
              <w:jc w:val="right"/>
              <w:ind w:right="559"/>
              <w:spacing w:after="0"/>
              <w:rPr>
                <w:sz w:val="20"/>
                <w:szCs w:val="20"/>
                <w:color w:val="auto"/>
              </w:rPr>
            </w:pPr>
            <w:r>
              <w:rPr>
                <w:rFonts w:ascii="Calibri" w:cs="Calibri" w:eastAsia="Calibri" w:hAnsi="Calibri"/>
                <w:sz w:val="16"/>
                <w:szCs w:val="16"/>
                <w:b w:val="1"/>
                <w:bCs w:val="1"/>
                <w:color w:val="auto"/>
              </w:rPr>
              <w:t>1,239</w:t>
            </w:r>
          </w:p>
        </w:tc>
        <w:tc>
          <w:tcPr>
            <w:tcW w:w="1140" w:type="dxa"/>
            <w:vAlign w:val="bottom"/>
            <w:tcBorders>
              <w:bottom w:val="single" w:sz="8" w:color="auto"/>
            </w:tcBorders>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220" w:type="dxa"/>
            <w:vAlign w:val="bottom"/>
            <w:tcBorders>
              <w:bottom w:val="single" w:sz="8" w:color="auto"/>
            </w:tcBorders>
          </w:tcPr>
          <w:p>
            <w:pPr>
              <w:jc w:val="right"/>
              <w:ind w:right="559"/>
              <w:spacing w:after="0"/>
              <w:rPr>
                <w:sz w:val="20"/>
                <w:szCs w:val="20"/>
                <w:color w:val="auto"/>
              </w:rPr>
            </w:pPr>
            <w:r>
              <w:rPr>
                <w:rFonts w:ascii="Calibri" w:cs="Calibri" w:eastAsia="Calibri" w:hAnsi="Calibri"/>
                <w:sz w:val="16"/>
                <w:szCs w:val="16"/>
                <w:b w:val="1"/>
                <w:bCs w:val="1"/>
                <w:color w:val="auto"/>
              </w:rPr>
              <w:t>1,239</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191"/>
        </w:trPr>
        <w:tc>
          <w:tcPr>
            <w:tcW w:w="3980" w:type="dxa"/>
            <w:vAlign w:val="bottom"/>
            <w:tcBorders>
              <w:bottom w:val="single" w:sz="8" w:color="auto"/>
            </w:tcBorders>
          </w:tcPr>
          <w:p>
            <w:pPr>
              <w:ind w:left="60"/>
              <w:spacing w:after="0" w:line="192" w:lineRule="exact"/>
              <w:rPr>
                <w:sz w:val="20"/>
                <w:szCs w:val="20"/>
                <w:color w:val="auto"/>
              </w:rPr>
            </w:pPr>
            <w:r>
              <w:rPr>
                <w:rFonts w:ascii="Calibri" w:cs="Calibri" w:eastAsia="Calibri" w:hAnsi="Calibri"/>
                <w:sz w:val="16"/>
                <w:szCs w:val="16"/>
                <w:b w:val="1"/>
                <w:bCs w:val="1"/>
                <w:color w:val="auto"/>
              </w:rPr>
              <w:t>Total</w:t>
            </w:r>
          </w:p>
        </w:tc>
        <w:tc>
          <w:tcPr>
            <w:tcW w:w="2220" w:type="dxa"/>
            <w:vAlign w:val="bottom"/>
            <w:tcBorders>
              <w:bottom w:val="single" w:sz="8" w:color="auto"/>
            </w:tcBorders>
          </w:tcPr>
          <w:p>
            <w:pPr>
              <w:jc w:val="right"/>
              <w:ind w:right="559"/>
              <w:spacing w:after="0" w:line="192" w:lineRule="exact"/>
              <w:rPr>
                <w:sz w:val="20"/>
                <w:szCs w:val="20"/>
                <w:color w:val="auto"/>
              </w:rPr>
            </w:pPr>
            <w:r>
              <w:rPr>
                <w:rFonts w:ascii="Calibri" w:cs="Calibri" w:eastAsia="Calibri" w:hAnsi="Calibri"/>
                <w:sz w:val="16"/>
                <w:szCs w:val="16"/>
                <w:b w:val="1"/>
                <w:bCs w:val="1"/>
                <w:color w:val="auto"/>
              </w:rPr>
              <w:t>23,406</w:t>
            </w:r>
          </w:p>
        </w:tc>
        <w:tc>
          <w:tcPr>
            <w:tcW w:w="1040" w:type="dxa"/>
            <w:vAlign w:val="bottom"/>
            <w:tcBorders>
              <w:bottom w:val="single" w:sz="8" w:color="auto"/>
            </w:tcBorders>
          </w:tcPr>
          <w:p>
            <w:pPr>
              <w:jc w:val="right"/>
              <w:spacing w:after="0" w:line="192" w:lineRule="exact"/>
              <w:rPr>
                <w:sz w:val="20"/>
                <w:szCs w:val="20"/>
                <w:color w:val="auto"/>
              </w:rPr>
            </w:pPr>
            <w:r>
              <w:rPr>
                <w:rFonts w:ascii="Calibri" w:cs="Calibri" w:eastAsia="Calibri" w:hAnsi="Calibri"/>
                <w:sz w:val="16"/>
                <w:szCs w:val="16"/>
                <w:color w:val="auto"/>
              </w:rPr>
              <w:t>1,329</w:t>
            </w:r>
          </w:p>
        </w:tc>
        <w:tc>
          <w:tcPr>
            <w:tcW w:w="100" w:type="dxa"/>
            <w:vAlign w:val="bottom"/>
            <w:tcBorders>
              <w:bottom w:val="single" w:sz="8" w:color="auto"/>
            </w:tcBorders>
          </w:tcPr>
          <w:p>
            <w:pPr>
              <w:spacing w:after="0"/>
              <w:rPr>
                <w:sz w:val="16"/>
                <w:szCs w:val="16"/>
                <w:color w:val="auto"/>
              </w:rPr>
            </w:pPr>
          </w:p>
        </w:tc>
        <w:tc>
          <w:tcPr>
            <w:tcW w:w="2220" w:type="dxa"/>
            <w:vAlign w:val="bottom"/>
            <w:tcBorders>
              <w:bottom w:val="single" w:sz="8" w:color="auto"/>
            </w:tcBorders>
          </w:tcPr>
          <w:p>
            <w:pPr>
              <w:jc w:val="right"/>
              <w:ind w:right="559"/>
              <w:spacing w:after="0" w:line="192" w:lineRule="exact"/>
              <w:rPr>
                <w:sz w:val="20"/>
                <w:szCs w:val="20"/>
                <w:color w:val="auto"/>
              </w:rPr>
            </w:pPr>
            <w:r>
              <w:rPr>
                <w:rFonts w:ascii="Calibri" w:cs="Calibri" w:eastAsia="Calibri" w:hAnsi="Calibri"/>
                <w:sz w:val="16"/>
                <w:szCs w:val="16"/>
                <w:b w:val="1"/>
                <w:bCs w:val="1"/>
                <w:color w:val="auto"/>
              </w:rPr>
              <w:t>27,977</w:t>
            </w:r>
          </w:p>
        </w:tc>
        <w:tc>
          <w:tcPr>
            <w:tcW w:w="1040" w:type="dxa"/>
            <w:vAlign w:val="bottom"/>
            <w:tcBorders>
              <w:bottom w:val="single" w:sz="8" w:color="auto"/>
            </w:tcBorders>
          </w:tcPr>
          <w:p>
            <w:pPr>
              <w:jc w:val="right"/>
              <w:spacing w:after="0" w:line="192" w:lineRule="exact"/>
              <w:rPr>
                <w:sz w:val="20"/>
                <w:szCs w:val="20"/>
                <w:color w:val="auto"/>
              </w:rPr>
            </w:pPr>
            <w:r>
              <w:rPr>
                <w:rFonts w:ascii="Calibri" w:cs="Calibri" w:eastAsia="Calibri" w:hAnsi="Calibri"/>
                <w:sz w:val="16"/>
                <w:szCs w:val="16"/>
                <w:color w:val="auto"/>
              </w:rPr>
              <w:t>2,509</w:t>
            </w:r>
          </w:p>
        </w:tc>
        <w:tc>
          <w:tcPr>
            <w:tcW w:w="0" w:type="dxa"/>
            <w:vAlign w:val="bottom"/>
          </w:tcPr>
          <w:p>
            <w:pPr>
              <w:spacing w:after="0"/>
              <w:rPr>
                <w:sz w:val="1"/>
                <w:szCs w:val="1"/>
                <w:color w:val="auto"/>
              </w:rPr>
            </w:pPr>
          </w:p>
        </w:tc>
      </w:tr>
    </w:tbl>
    <w:p>
      <w:pPr>
        <w:spacing w:after="0" w:line="69" w:lineRule="exact"/>
        <w:rPr>
          <w:sz w:val="20"/>
          <w:szCs w:val="20"/>
          <w:color w:val="auto"/>
        </w:rPr>
      </w:pPr>
    </w:p>
    <w:p>
      <w:pPr>
        <w:jc w:val="both"/>
        <w:ind w:left="583" w:hanging="293"/>
        <w:spacing w:after="0" w:line="310" w:lineRule="auto"/>
        <w:tabs>
          <w:tab w:leader="none" w:pos="575" w:val="left"/>
        </w:tabs>
        <w:numPr>
          <w:ilvl w:val="1"/>
          <w:numId w:val="5"/>
        </w:numPr>
        <w:rPr>
          <w:rFonts w:ascii="Calibri" w:cs="Calibri" w:eastAsia="Calibri" w:hAnsi="Calibri"/>
          <w:sz w:val="13"/>
          <w:szCs w:val="13"/>
          <w:i w:val="1"/>
          <w:iCs w:val="1"/>
          <w:color w:val="auto"/>
        </w:rPr>
      </w:pPr>
      <w:r>
        <w:rPr>
          <w:rFonts w:ascii="Calibri" w:cs="Calibri" w:eastAsia="Calibri" w:hAnsi="Calibri"/>
          <w:sz w:val="13"/>
          <w:szCs w:val="13"/>
          <w:i w:val="1"/>
          <w:iCs w:val="1"/>
          <w:color w:val="auto"/>
        </w:rPr>
        <w:t xml:space="preserve">For the three months ended on </w:t>
      </w:r>
      <w:r>
        <w:rPr>
          <w:rFonts w:ascii="Calibri" w:cs="Calibri" w:eastAsia="Calibri" w:hAnsi="Calibri"/>
          <w:sz w:val="13"/>
          <w:szCs w:val="13"/>
          <w:color w:val="auto"/>
        </w:rPr>
        <w:t>September 30, 2024</w:t>
      </w:r>
      <w:r>
        <w:rPr>
          <w:rFonts w:ascii="Calibri" w:cs="Calibri" w:eastAsia="Calibri" w:hAnsi="Calibri"/>
          <w:sz w:val="13"/>
          <w:szCs w:val="13"/>
          <w:i w:val="1"/>
          <w:iCs w:val="1"/>
          <w:color w:val="auto"/>
        </w:rPr>
        <w:t>, includes $</w:t>
      </w:r>
      <w:r>
        <w:rPr>
          <w:rFonts w:ascii="Calibri" w:cs="Calibri" w:eastAsia="Calibri" w:hAnsi="Calibri"/>
          <w:sz w:val="13"/>
          <w:szCs w:val="13"/>
          <w:color w:val="auto"/>
        </w:rPr>
        <w:t>1,277</w:t>
      </w:r>
      <w:r>
        <w:rPr>
          <w:rFonts w:ascii="Calibri" w:cs="Calibri" w:eastAsia="Calibri" w:hAnsi="Calibri"/>
          <w:sz w:val="13"/>
          <w:szCs w:val="13"/>
          <w:i w:val="1"/>
          <w:iCs w:val="1"/>
          <w:color w:val="auto"/>
        </w:rPr>
        <w:t xml:space="preserve"> presented in the consolidated statement of loss and comprehensive loss as a part of “General and administratve costs” and $</w:t>
      </w:r>
      <w:r>
        <w:rPr>
          <w:rFonts w:ascii="Calibri" w:cs="Calibri" w:eastAsia="Calibri" w:hAnsi="Calibri"/>
          <w:sz w:val="13"/>
          <w:szCs w:val="13"/>
          <w:color w:val="auto"/>
        </w:rPr>
        <w:t>164</w:t>
      </w:r>
      <w:r>
        <w:rPr>
          <w:rFonts w:ascii="Calibri" w:cs="Calibri" w:eastAsia="Calibri" w:hAnsi="Calibri"/>
          <w:sz w:val="13"/>
          <w:szCs w:val="13"/>
          <w:i w:val="1"/>
          <w:iCs w:val="1"/>
          <w:color w:val="auto"/>
        </w:rPr>
        <w:t xml:space="preserve"> presented in the consolidated statement of loss and comprehensive loss as a part of “Research”. For the six months ended on </w:t>
      </w:r>
      <w:r>
        <w:rPr>
          <w:rFonts w:ascii="Calibri" w:cs="Calibri" w:eastAsia="Calibri" w:hAnsi="Calibri"/>
          <w:sz w:val="13"/>
          <w:szCs w:val="13"/>
          <w:color w:val="auto"/>
        </w:rPr>
        <w:t>September 30, 2024</w:t>
      </w:r>
      <w:r>
        <w:rPr>
          <w:rFonts w:ascii="Calibri" w:cs="Calibri" w:eastAsia="Calibri" w:hAnsi="Calibri"/>
          <w:sz w:val="13"/>
          <w:szCs w:val="13"/>
          <w:i w:val="1"/>
          <w:iCs w:val="1"/>
          <w:color w:val="auto"/>
        </w:rPr>
        <w:t>, includes $</w:t>
      </w:r>
      <w:r>
        <w:rPr>
          <w:rFonts w:ascii="Calibri" w:cs="Calibri" w:eastAsia="Calibri" w:hAnsi="Calibri"/>
          <w:sz w:val="13"/>
          <w:szCs w:val="13"/>
          <w:color w:val="auto"/>
        </w:rPr>
        <w:t>3,243</w:t>
      </w:r>
    </w:p>
    <w:p>
      <w:pPr>
        <w:spacing w:after="0" w:line="1" w:lineRule="exact"/>
        <w:rPr>
          <w:rFonts w:ascii="Calibri" w:cs="Calibri" w:eastAsia="Calibri" w:hAnsi="Calibri"/>
          <w:sz w:val="13"/>
          <w:szCs w:val="13"/>
          <w:i w:val="1"/>
          <w:iCs w:val="1"/>
          <w:color w:val="auto"/>
        </w:rPr>
      </w:pPr>
    </w:p>
    <w:p>
      <w:pPr>
        <w:ind w:left="583" w:right="20"/>
        <w:spacing w:after="0"/>
        <w:rPr>
          <w:rFonts w:ascii="Calibri" w:cs="Calibri" w:eastAsia="Calibri" w:hAnsi="Calibri"/>
          <w:sz w:val="13"/>
          <w:szCs w:val="13"/>
          <w:i w:val="1"/>
          <w:iCs w:val="1"/>
          <w:color w:val="auto"/>
        </w:rPr>
      </w:pPr>
      <w:r>
        <w:rPr>
          <w:rFonts w:ascii="Calibri" w:cs="Calibri" w:eastAsia="Calibri" w:hAnsi="Calibri"/>
          <w:sz w:val="15"/>
          <w:szCs w:val="15"/>
          <w:i w:val="1"/>
          <w:iCs w:val="1"/>
          <w:color w:val="auto"/>
        </w:rPr>
        <w:t>presented in the consolidated statement of loss and comprehensive loss as a part of “General and administratve costs” and $</w:t>
      </w:r>
      <w:r>
        <w:rPr>
          <w:rFonts w:ascii="Calibri" w:cs="Calibri" w:eastAsia="Calibri" w:hAnsi="Calibri"/>
          <w:sz w:val="15"/>
          <w:szCs w:val="15"/>
          <w:color w:val="auto"/>
        </w:rPr>
        <w:t>793</w:t>
      </w:r>
      <w:r>
        <w:rPr>
          <w:rFonts w:ascii="Calibri" w:cs="Calibri" w:eastAsia="Calibri" w:hAnsi="Calibri"/>
          <w:sz w:val="15"/>
          <w:szCs w:val="15"/>
          <w:i w:val="1"/>
          <w:iCs w:val="1"/>
          <w:color w:val="auto"/>
        </w:rPr>
        <w:t xml:space="preserve"> presented in the consolidated statement of loss and comprehensive loss as a part of “Research”.</w:t>
      </w:r>
    </w:p>
    <w:p>
      <w:pPr>
        <w:spacing w:after="0" w:line="219" w:lineRule="exact"/>
        <w:rPr>
          <w:rFonts w:ascii="Calibri" w:cs="Calibri" w:eastAsia="Calibri" w:hAnsi="Calibri"/>
          <w:sz w:val="13"/>
          <w:szCs w:val="13"/>
          <w:i w:val="1"/>
          <w:iCs w:val="1"/>
          <w:color w:val="auto"/>
        </w:rPr>
      </w:pPr>
    </w:p>
    <w:p>
      <w:pPr>
        <w:ind w:left="163" w:hanging="163"/>
        <w:spacing w:after="0"/>
        <w:tabs>
          <w:tab w:leader="none" w:pos="163" w:val="left"/>
        </w:tabs>
        <w:numPr>
          <w:ilvl w:val="0"/>
          <w:numId w:val="6"/>
        </w:numPr>
        <w:rPr>
          <w:rFonts w:ascii="Calibri" w:cs="Calibri" w:eastAsia="Calibri" w:hAnsi="Calibri"/>
          <w:sz w:val="16"/>
          <w:szCs w:val="16"/>
          <w:b w:val="1"/>
          <w:bCs w:val="1"/>
          <w:color w:val="2D5F91"/>
        </w:rPr>
      </w:pPr>
      <w:r>
        <w:rPr>
          <w:rFonts w:ascii="Calibri" w:cs="Calibri" w:eastAsia="Calibri" w:hAnsi="Calibri"/>
          <w:sz w:val="16"/>
          <w:szCs w:val="16"/>
          <w:b w:val="1"/>
          <w:bCs w:val="1"/>
          <w:color w:val="2D5F91"/>
        </w:rPr>
        <w:t>RESEARCH EXPENSES</w:t>
      </w:r>
    </w:p>
    <w:p>
      <w:pPr>
        <w:spacing w:after="0" w:line="228" w:lineRule="exact"/>
        <w:rPr>
          <w:sz w:val="20"/>
          <w:szCs w:val="20"/>
          <w:color w:val="auto"/>
        </w:rPr>
      </w:pPr>
    </w:p>
    <w:tbl>
      <w:tblPr>
        <w:tblLayout w:type="fixed"/>
        <w:tblInd w:w="223" w:type="dxa"/>
        <w:tblCellMar>
          <w:top w:w="0" w:type="dxa"/>
          <w:left w:w="0" w:type="dxa"/>
          <w:bottom w:w="0" w:type="dxa"/>
          <w:right w:w="0" w:type="dxa"/>
        </w:tblCellMar>
      </w:tblPr>
      <w:tr>
        <w:trPr>
          <w:trHeight w:val="195"/>
        </w:trPr>
        <w:tc>
          <w:tcPr>
            <w:tcW w:w="4060" w:type="dxa"/>
            <w:vAlign w:val="bottom"/>
          </w:tcPr>
          <w:p>
            <w:pPr>
              <w:spacing w:after="0"/>
              <w:rPr>
                <w:sz w:val="16"/>
                <w:szCs w:val="16"/>
                <w:color w:val="auto"/>
              </w:rPr>
            </w:pPr>
          </w:p>
        </w:tc>
        <w:tc>
          <w:tcPr>
            <w:tcW w:w="3400" w:type="dxa"/>
            <w:vAlign w:val="bottom"/>
            <w:gridSpan w:val="3"/>
          </w:tcPr>
          <w:p>
            <w:pPr>
              <w:ind w:left="280"/>
              <w:spacing w:after="0"/>
              <w:rPr>
                <w:sz w:val="20"/>
                <w:szCs w:val="20"/>
                <w:color w:val="auto"/>
              </w:rPr>
            </w:pPr>
            <w:r>
              <w:rPr>
                <w:rFonts w:ascii="Calibri" w:cs="Calibri" w:eastAsia="Calibri" w:hAnsi="Calibri"/>
                <w:sz w:val="16"/>
                <w:szCs w:val="16"/>
                <w:b w:val="1"/>
                <w:bCs w:val="1"/>
                <w:color w:val="auto"/>
              </w:rPr>
              <w:t>Three month period ended September 30,</w:t>
            </w:r>
          </w:p>
        </w:tc>
        <w:tc>
          <w:tcPr>
            <w:tcW w:w="3280" w:type="dxa"/>
            <w:vAlign w:val="bottom"/>
            <w:gridSpan w:val="2"/>
          </w:tcPr>
          <w:p>
            <w:pPr>
              <w:jc w:val="right"/>
              <w:ind w:right="279"/>
              <w:spacing w:after="0"/>
              <w:rPr>
                <w:sz w:val="20"/>
                <w:szCs w:val="20"/>
                <w:color w:val="auto"/>
              </w:rPr>
            </w:pPr>
            <w:r>
              <w:rPr>
                <w:rFonts w:ascii="Calibri" w:cs="Calibri" w:eastAsia="Calibri" w:hAnsi="Calibri"/>
                <w:sz w:val="16"/>
                <w:szCs w:val="16"/>
                <w:b w:val="1"/>
                <w:bCs w:val="1"/>
                <w:color w:val="auto"/>
              </w:rPr>
              <w:t>Six month period ended September 30,</w:t>
            </w:r>
          </w:p>
        </w:tc>
        <w:tc>
          <w:tcPr>
            <w:tcW w:w="0" w:type="dxa"/>
            <w:vAlign w:val="bottom"/>
          </w:tcPr>
          <w:p>
            <w:pPr>
              <w:spacing w:after="0"/>
              <w:rPr>
                <w:sz w:val="1"/>
                <w:szCs w:val="1"/>
                <w:color w:val="auto"/>
              </w:rPr>
            </w:pPr>
          </w:p>
        </w:tc>
      </w:tr>
      <w:tr>
        <w:trPr>
          <w:trHeight w:val="20"/>
        </w:trPr>
        <w:tc>
          <w:tcPr>
            <w:tcW w:w="4060" w:type="dxa"/>
            <w:vAlign w:val="bottom"/>
          </w:tcPr>
          <w:p>
            <w:pPr>
              <w:spacing w:after="0" w:line="20" w:lineRule="exact"/>
              <w:rPr>
                <w:sz w:val="1"/>
                <w:szCs w:val="1"/>
                <w:color w:val="auto"/>
              </w:rPr>
            </w:pPr>
          </w:p>
        </w:tc>
        <w:tc>
          <w:tcPr>
            <w:tcW w:w="22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18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62"/>
        </w:trPr>
        <w:tc>
          <w:tcPr>
            <w:tcW w:w="4060" w:type="dxa"/>
            <w:vAlign w:val="bottom"/>
          </w:tcPr>
          <w:p>
            <w:pPr>
              <w:spacing w:after="0"/>
              <w:rPr>
                <w:sz w:val="22"/>
                <w:szCs w:val="22"/>
                <w:color w:val="auto"/>
              </w:rPr>
            </w:pPr>
          </w:p>
        </w:tc>
        <w:tc>
          <w:tcPr>
            <w:tcW w:w="2240" w:type="dxa"/>
            <w:vAlign w:val="bottom"/>
          </w:tcPr>
          <w:p>
            <w:pPr>
              <w:jc w:val="right"/>
              <w:ind w:right="559"/>
              <w:spacing w:after="0"/>
              <w:rPr>
                <w:sz w:val="20"/>
                <w:szCs w:val="20"/>
                <w:color w:val="auto"/>
              </w:rPr>
            </w:pPr>
            <w:r>
              <w:rPr>
                <w:rFonts w:ascii="Calibri" w:cs="Calibri" w:eastAsia="Calibri" w:hAnsi="Calibri"/>
                <w:sz w:val="16"/>
                <w:szCs w:val="16"/>
                <w:b w:val="1"/>
                <w:bCs w:val="1"/>
                <w:color w:val="auto"/>
              </w:rPr>
              <w:t>2024</w:t>
            </w:r>
          </w:p>
        </w:tc>
        <w:tc>
          <w:tcPr>
            <w:tcW w:w="1060" w:type="dxa"/>
            <w:vAlign w:val="bottom"/>
          </w:tcPr>
          <w:p>
            <w:pPr>
              <w:jc w:val="right"/>
              <w:spacing w:after="0"/>
              <w:rPr>
                <w:sz w:val="20"/>
                <w:szCs w:val="20"/>
                <w:color w:val="auto"/>
              </w:rPr>
            </w:pPr>
            <w:r>
              <w:rPr>
                <w:rFonts w:ascii="Calibri" w:cs="Calibri" w:eastAsia="Calibri" w:hAnsi="Calibri"/>
                <w:sz w:val="16"/>
                <w:szCs w:val="16"/>
                <w:color w:val="auto"/>
              </w:rPr>
              <w:t>2023</w:t>
            </w:r>
          </w:p>
        </w:tc>
        <w:tc>
          <w:tcPr>
            <w:tcW w:w="100" w:type="dxa"/>
            <w:vAlign w:val="bottom"/>
          </w:tcPr>
          <w:p>
            <w:pPr>
              <w:spacing w:after="0"/>
              <w:rPr>
                <w:sz w:val="22"/>
                <w:szCs w:val="22"/>
                <w:color w:val="auto"/>
              </w:rPr>
            </w:pPr>
          </w:p>
        </w:tc>
        <w:tc>
          <w:tcPr>
            <w:tcW w:w="2180" w:type="dxa"/>
            <w:vAlign w:val="bottom"/>
          </w:tcPr>
          <w:p>
            <w:pPr>
              <w:jc w:val="right"/>
              <w:ind w:right="519"/>
              <w:spacing w:after="0"/>
              <w:rPr>
                <w:sz w:val="20"/>
                <w:szCs w:val="20"/>
                <w:color w:val="auto"/>
              </w:rPr>
            </w:pPr>
            <w:r>
              <w:rPr>
                <w:rFonts w:ascii="Calibri" w:cs="Calibri" w:eastAsia="Calibri" w:hAnsi="Calibri"/>
                <w:sz w:val="16"/>
                <w:szCs w:val="16"/>
                <w:b w:val="1"/>
                <w:bCs w:val="1"/>
                <w:color w:val="auto"/>
              </w:rPr>
              <w:t>2024</w:t>
            </w:r>
          </w:p>
        </w:tc>
        <w:tc>
          <w:tcPr>
            <w:tcW w:w="1100" w:type="dxa"/>
            <w:vAlign w:val="bottom"/>
          </w:tcPr>
          <w:p>
            <w:pPr>
              <w:jc w:val="right"/>
              <w:spacing w:after="0"/>
              <w:rPr>
                <w:sz w:val="20"/>
                <w:szCs w:val="20"/>
                <w:color w:val="auto"/>
              </w:rPr>
            </w:pPr>
            <w:r>
              <w:rPr>
                <w:rFonts w:ascii="Calibri" w:cs="Calibri" w:eastAsia="Calibri" w:hAnsi="Calibri"/>
                <w:sz w:val="16"/>
                <w:szCs w:val="16"/>
                <w:color w:val="auto"/>
              </w:rPr>
              <w:t>2023</w:t>
            </w:r>
          </w:p>
        </w:tc>
        <w:tc>
          <w:tcPr>
            <w:tcW w:w="0" w:type="dxa"/>
            <w:vAlign w:val="bottom"/>
          </w:tcPr>
          <w:p>
            <w:pPr>
              <w:spacing w:after="0"/>
              <w:rPr>
                <w:sz w:val="1"/>
                <w:szCs w:val="1"/>
                <w:color w:val="auto"/>
              </w:rPr>
            </w:pPr>
          </w:p>
        </w:tc>
      </w:tr>
      <w:tr>
        <w:trPr>
          <w:trHeight w:val="206"/>
        </w:trPr>
        <w:tc>
          <w:tcPr>
            <w:tcW w:w="4060" w:type="dxa"/>
            <w:vAlign w:val="bottom"/>
          </w:tcPr>
          <w:p>
            <w:pPr>
              <w:spacing w:after="0"/>
              <w:rPr>
                <w:sz w:val="17"/>
                <w:szCs w:val="17"/>
                <w:color w:val="auto"/>
              </w:rPr>
            </w:pPr>
          </w:p>
        </w:tc>
        <w:tc>
          <w:tcPr>
            <w:tcW w:w="2240" w:type="dxa"/>
            <w:vAlign w:val="bottom"/>
          </w:tcPr>
          <w:p>
            <w:pPr>
              <w:jc w:val="right"/>
              <w:ind w:right="559"/>
              <w:spacing w:after="0"/>
              <w:rPr>
                <w:sz w:val="20"/>
                <w:szCs w:val="20"/>
                <w:color w:val="auto"/>
              </w:rPr>
            </w:pPr>
            <w:r>
              <w:rPr>
                <w:rFonts w:ascii="Calibri" w:cs="Calibri" w:eastAsia="Calibri" w:hAnsi="Calibri"/>
                <w:sz w:val="16"/>
                <w:szCs w:val="16"/>
                <w:b w:val="1"/>
                <w:bCs w:val="1"/>
                <w:color w:val="auto"/>
              </w:rPr>
              <w:t>$</w:t>
            </w:r>
          </w:p>
        </w:tc>
        <w:tc>
          <w:tcPr>
            <w:tcW w:w="1060" w:type="dxa"/>
            <w:vAlign w:val="bottom"/>
          </w:tcPr>
          <w:p>
            <w:pPr>
              <w:jc w:val="right"/>
              <w:spacing w:after="0"/>
              <w:rPr>
                <w:sz w:val="20"/>
                <w:szCs w:val="20"/>
                <w:color w:val="auto"/>
              </w:rPr>
            </w:pPr>
            <w:r>
              <w:rPr>
                <w:rFonts w:ascii="Calibri" w:cs="Calibri" w:eastAsia="Calibri" w:hAnsi="Calibri"/>
                <w:sz w:val="16"/>
                <w:szCs w:val="16"/>
                <w:color w:val="auto"/>
              </w:rPr>
              <w:t>$</w:t>
            </w:r>
          </w:p>
        </w:tc>
        <w:tc>
          <w:tcPr>
            <w:tcW w:w="100" w:type="dxa"/>
            <w:vAlign w:val="bottom"/>
          </w:tcPr>
          <w:p>
            <w:pPr>
              <w:spacing w:after="0"/>
              <w:rPr>
                <w:sz w:val="17"/>
                <w:szCs w:val="17"/>
                <w:color w:val="auto"/>
              </w:rPr>
            </w:pPr>
          </w:p>
        </w:tc>
        <w:tc>
          <w:tcPr>
            <w:tcW w:w="2180" w:type="dxa"/>
            <w:vAlign w:val="bottom"/>
            <w:vMerge w:val="restart"/>
          </w:tcPr>
          <w:p>
            <w:pPr>
              <w:jc w:val="right"/>
              <w:ind w:right="519"/>
              <w:spacing w:after="0"/>
              <w:rPr>
                <w:sz w:val="20"/>
                <w:szCs w:val="20"/>
                <w:color w:val="auto"/>
              </w:rPr>
            </w:pPr>
            <w:r>
              <w:rPr>
                <w:rFonts w:ascii="Calibri" w:cs="Calibri" w:eastAsia="Calibri" w:hAnsi="Calibri"/>
                <w:sz w:val="16"/>
                <w:szCs w:val="16"/>
                <w:b w:val="1"/>
                <w:bCs w:val="1"/>
                <w:color w:val="auto"/>
              </w:rPr>
              <w:t>$</w:t>
            </w:r>
          </w:p>
        </w:tc>
        <w:tc>
          <w:tcPr>
            <w:tcW w:w="1100" w:type="dxa"/>
            <w:vAlign w:val="bottom"/>
            <w:vMerge w:val="restart"/>
          </w:tcPr>
          <w:p>
            <w:pPr>
              <w:jc w:val="right"/>
              <w:spacing w:after="0"/>
              <w:rPr>
                <w:sz w:val="20"/>
                <w:szCs w:val="20"/>
                <w:color w:val="auto"/>
              </w:rPr>
            </w:pPr>
            <w:r>
              <w:rPr>
                <w:rFonts w:ascii="Calibri" w:cs="Calibri" w:eastAsia="Calibri" w:hAnsi="Calibri"/>
                <w:sz w:val="16"/>
                <w:szCs w:val="16"/>
                <w:color w:val="auto"/>
              </w:rPr>
              <w:t>$</w:t>
            </w:r>
          </w:p>
        </w:tc>
        <w:tc>
          <w:tcPr>
            <w:tcW w:w="0" w:type="dxa"/>
            <w:vAlign w:val="bottom"/>
          </w:tcPr>
          <w:p>
            <w:pPr>
              <w:spacing w:after="0"/>
              <w:rPr>
                <w:sz w:val="1"/>
                <w:szCs w:val="1"/>
                <w:color w:val="auto"/>
              </w:rPr>
            </w:pPr>
          </w:p>
        </w:tc>
      </w:tr>
      <w:tr>
        <w:trPr>
          <w:trHeight w:val="60"/>
        </w:trPr>
        <w:tc>
          <w:tcPr>
            <w:tcW w:w="4060" w:type="dxa"/>
            <w:vAlign w:val="bottom"/>
          </w:tcPr>
          <w:p>
            <w:pPr>
              <w:spacing w:after="0"/>
              <w:rPr>
                <w:sz w:val="5"/>
                <w:szCs w:val="5"/>
                <w:color w:val="auto"/>
              </w:rPr>
            </w:pPr>
          </w:p>
        </w:tc>
        <w:tc>
          <w:tcPr>
            <w:tcW w:w="2240" w:type="dxa"/>
            <w:vAlign w:val="bottom"/>
          </w:tcPr>
          <w:p>
            <w:pPr>
              <w:spacing w:after="0"/>
              <w:rPr>
                <w:sz w:val="5"/>
                <w:szCs w:val="5"/>
                <w:color w:val="auto"/>
              </w:rPr>
            </w:pPr>
          </w:p>
        </w:tc>
        <w:tc>
          <w:tcPr>
            <w:tcW w:w="1060" w:type="dxa"/>
            <w:vAlign w:val="bottom"/>
          </w:tcPr>
          <w:p>
            <w:pPr>
              <w:spacing w:after="0"/>
              <w:rPr>
                <w:sz w:val="5"/>
                <w:szCs w:val="5"/>
                <w:color w:val="auto"/>
              </w:rPr>
            </w:pPr>
          </w:p>
        </w:tc>
        <w:tc>
          <w:tcPr>
            <w:tcW w:w="100" w:type="dxa"/>
            <w:vAlign w:val="bottom"/>
          </w:tcPr>
          <w:p>
            <w:pPr>
              <w:spacing w:after="0"/>
              <w:rPr>
                <w:sz w:val="5"/>
                <w:szCs w:val="5"/>
                <w:color w:val="auto"/>
              </w:rPr>
            </w:pPr>
          </w:p>
        </w:tc>
        <w:tc>
          <w:tcPr>
            <w:tcW w:w="2180" w:type="dxa"/>
            <w:vAlign w:val="bottom"/>
            <w:vMerge w:val="continue"/>
          </w:tcPr>
          <w:p>
            <w:pPr>
              <w:spacing w:after="0"/>
              <w:rPr>
                <w:sz w:val="5"/>
                <w:szCs w:val="5"/>
                <w:color w:val="auto"/>
              </w:rPr>
            </w:pPr>
          </w:p>
        </w:tc>
        <w:tc>
          <w:tcPr>
            <w:tcW w:w="110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69"/>
        </w:trPr>
        <w:tc>
          <w:tcPr>
            <w:tcW w:w="4060" w:type="dxa"/>
            <w:vAlign w:val="bottom"/>
            <w:tcBorders>
              <w:bottom w:val="single" w:sz="8" w:color="auto"/>
            </w:tcBorders>
          </w:tcPr>
          <w:p>
            <w:pPr>
              <w:spacing w:after="0"/>
              <w:rPr>
                <w:sz w:val="5"/>
                <w:szCs w:val="5"/>
                <w:color w:val="auto"/>
              </w:rPr>
            </w:pPr>
          </w:p>
        </w:tc>
        <w:tc>
          <w:tcPr>
            <w:tcW w:w="2240" w:type="dxa"/>
            <w:vAlign w:val="bottom"/>
            <w:tcBorders>
              <w:bottom w:val="single" w:sz="8" w:color="auto"/>
            </w:tcBorders>
          </w:tcPr>
          <w:p>
            <w:pPr>
              <w:spacing w:after="0"/>
              <w:rPr>
                <w:sz w:val="5"/>
                <w:szCs w:val="5"/>
                <w:color w:val="auto"/>
              </w:rPr>
            </w:pPr>
          </w:p>
        </w:tc>
        <w:tc>
          <w:tcPr>
            <w:tcW w:w="1060" w:type="dxa"/>
            <w:vAlign w:val="bottom"/>
            <w:tcBorders>
              <w:bottom w:val="single" w:sz="8" w:color="auto"/>
            </w:tcBorders>
          </w:tcPr>
          <w:p>
            <w:pPr>
              <w:spacing w:after="0"/>
              <w:rPr>
                <w:sz w:val="5"/>
                <w:szCs w:val="5"/>
                <w:color w:val="auto"/>
              </w:rPr>
            </w:pPr>
          </w:p>
        </w:tc>
        <w:tc>
          <w:tcPr>
            <w:tcW w:w="100" w:type="dxa"/>
            <w:vAlign w:val="bottom"/>
            <w:tcBorders>
              <w:bottom w:val="single" w:sz="8" w:color="auto"/>
            </w:tcBorders>
          </w:tcPr>
          <w:p>
            <w:pPr>
              <w:spacing w:after="0"/>
              <w:rPr>
                <w:sz w:val="5"/>
                <w:szCs w:val="5"/>
                <w:color w:val="auto"/>
              </w:rPr>
            </w:pPr>
          </w:p>
        </w:tc>
        <w:tc>
          <w:tcPr>
            <w:tcW w:w="2180" w:type="dxa"/>
            <w:vAlign w:val="bottom"/>
            <w:tcBorders>
              <w:bottom w:val="single" w:sz="8" w:color="auto"/>
            </w:tcBorders>
          </w:tcPr>
          <w:p>
            <w:pPr>
              <w:spacing w:after="0"/>
              <w:rPr>
                <w:sz w:val="5"/>
                <w:szCs w:val="5"/>
                <w:color w:val="auto"/>
              </w:rPr>
            </w:pPr>
          </w:p>
        </w:tc>
        <w:tc>
          <w:tcPr>
            <w:tcW w:w="110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85"/>
        </w:trPr>
        <w:tc>
          <w:tcPr>
            <w:tcW w:w="4060" w:type="dxa"/>
            <w:vAlign w:val="bottom"/>
          </w:tcPr>
          <w:p>
            <w:pPr>
              <w:ind w:left="20"/>
              <w:spacing w:after="0" w:line="185" w:lineRule="exact"/>
              <w:rPr>
                <w:sz w:val="20"/>
                <w:szCs w:val="20"/>
                <w:color w:val="auto"/>
              </w:rPr>
            </w:pPr>
            <w:r>
              <w:rPr>
                <w:rFonts w:ascii="Calibri" w:cs="Calibri" w:eastAsia="Calibri" w:hAnsi="Calibri"/>
                <w:sz w:val="16"/>
                <w:szCs w:val="16"/>
                <w:color w:val="auto"/>
              </w:rPr>
              <w:t>Advancement of development programs</w:t>
            </w:r>
          </w:p>
        </w:tc>
        <w:tc>
          <w:tcPr>
            <w:tcW w:w="2240" w:type="dxa"/>
            <w:vAlign w:val="bottom"/>
          </w:tcPr>
          <w:p>
            <w:pPr>
              <w:jc w:val="right"/>
              <w:ind w:right="559"/>
              <w:spacing w:after="0" w:line="185" w:lineRule="exact"/>
              <w:rPr>
                <w:sz w:val="20"/>
                <w:szCs w:val="20"/>
                <w:color w:val="auto"/>
              </w:rPr>
            </w:pPr>
            <w:r>
              <w:rPr>
                <w:rFonts w:ascii="Calibri" w:cs="Calibri" w:eastAsia="Calibri" w:hAnsi="Calibri"/>
                <w:sz w:val="16"/>
                <w:szCs w:val="16"/>
                <w:b w:val="1"/>
                <w:bCs w:val="1"/>
                <w:color w:val="auto"/>
              </w:rPr>
              <w:t>5,774</w:t>
            </w:r>
          </w:p>
        </w:tc>
        <w:tc>
          <w:tcPr>
            <w:tcW w:w="1060" w:type="dxa"/>
            <w:vAlign w:val="bottom"/>
          </w:tcPr>
          <w:p>
            <w:pPr>
              <w:jc w:val="right"/>
              <w:spacing w:after="0" w:line="185" w:lineRule="exact"/>
              <w:rPr>
                <w:sz w:val="20"/>
                <w:szCs w:val="20"/>
                <w:color w:val="auto"/>
              </w:rPr>
            </w:pPr>
            <w:r>
              <w:rPr>
                <w:rFonts w:ascii="Calibri" w:cs="Calibri" w:eastAsia="Calibri" w:hAnsi="Calibri"/>
                <w:sz w:val="16"/>
                <w:szCs w:val="16"/>
                <w:color w:val="auto"/>
              </w:rPr>
              <w:t>4,952</w:t>
            </w:r>
          </w:p>
        </w:tc>
        <w:tc>
          <w:tcPr>
            <w:tcW w:w="100" w:type="dxa"/>
            <w:vAlign w:val="bottom"/>
          </w:tcPr>
          <w:p>
            <w:pPr>
              <w:spacing w:after="0"/>
              <w:rPr>
                <w:sz w:val="16"/>
                <w:szCs w:val="16"/>
                <w:color w:val="auto"/>
              </w:rPr>
            </w:pPr>
          </w:p>
        </w:tc>
        <w:tc>
          <w:tcPr>
            <w:tcW w:w="2180" w:type="dxa"/>
            <w:vAlign w:val="bottom"/>
          </w:tcPr>
          <w:p>
            <w:pPr>
              <w:jc w:val="right"/>
              <w:ind w:right="519"/>
              <w:spacing w:after="0" w:line="185" w:lineRule="exact"/>
              <w:rPr>
                <w:sz w:val="20"/>
                <w:szCs w:val="20"/>
                <w:color w:val="auto"/>
              </w:rPr>
            </w:pPr>
            <w:r>
              <w:rPr>
                <w:rFonts w:ascii="Calibri" w:cs="Calibri" w:eastAsia="Calibri" w:hAnsi="Calibri"/>
                <w:sz w:val="16"/>
                <w:szCs w:val="16"/>
                <w:b w:val="1"/>
                <w:bCs w:val="1"/>
                <w:color w:val="auto"/>
              </w:rPr>
              <w:t>10,406</w:t>
            </w:r>
          </w:p>
        </w:tc>
        <w:tc>
          <w:tcPr>
            <w:tcW w:w="1100" w:type="dxa"/>
            <w:vAlign w:val="bottom"/>
          </w:tcPr>
          <w:p>
            <w:pPr>
              <w:jc w:val="right"/>
              <w:spacing w:after="0" w:line="185" w:lineRule="exact"/>
              <w:rPr>
                <w:sz w:val="20"/>
                <w:szCs w:val="20"/>
                <w:color w:val="auto"/>
              </w:rPr>
            </w:pPr>
            <w:r>
              <w:rPr>
                <w:rFonts w:ascii="Calibri" w:cs="Calibri" w:eastAsia="Calibri" w:hAnsi="Calibri"/>
                <w:sz w:val="16"/>
                <w:szCs w:val="16"/>
                <w:color w:val="auto"/>
              </w:rPr>
              <w:t>9,358</w:t>
            </w:r>
          </w:p>
        </w:tc>
        <w:tc>
          <w:tcPr>
            <w:tcW w:w="0" w:type="dxa"/>
            <w:vAlign w:val="bottom"/>
          </w:tcPr>
          <w:p>
            <w:pPr>
              <w:spacing w:after="0"/>
              <w:rPr>
                <w:sz w:val="1"/>
                <w:szCs w:val="1"/>
                <w:color w:val="auto"/>
              </w:rPr>
            </w:pPr>
          </w:p>
        </w:tc>
      </w:tr>
      <w:tr>
        <w:trPr>
          <w:trHeight w:val="198"/>
        </w:trPr>
        <w:tc>
          <w:tcPr>
            <w:tcW w:w="4060" w:type="dxa"/>
            <w:vAlign w:val="bottom"/>
          </w:tcPr>
          <w:p>
            <w:pPr>
              <w:ind w:left="20"/>
              <w:spacing w:after="0"/>
              <w:rPr>
                <w:sz w:val="20"/>
                <w:szCs w:val="20"/>
                <w:color w:val="auto"/>
              </w:rPr>
            </w:pPr>
            <w:r>
              <w:rPr>
                <w:rFonts w:ascii="Calibri" w:cs="Calibri" w:eastAsia="Calibri" w:hAnsi="Calibri"/>
                <w:sz w:val="16"/>
                <w:szCs w:val="16"/>
                <w:color w:val="auto"/>
              </w:rPr>
              <w:t>Payroll and benefts</w:t>
            </w:r>
          </w:p>
        </w:tc>
        <w:tc>
          <w:tcPr>
            <w:tcW w:w="2240" w:type="dxa"/>
            <w:vAlign w:val="bottom"/>
          </w:tcPr>
          <w:p>
            <w:pPr>
              <w:jc w:val="right"/>
              <w:ind w:right="559"/>
              <w:spacing w:after="0"/>
              <w:rPr>
                <w:sz w:val="20"/>
                <w:szCs w:val="20"/>
                <w:color w:val="auto"/>
              </w:rPr>
            </w:pPr>
            <w:r>
              <w:rPr>
                <w:rFonts w:ascii="Calibri" w:cs="Calibri" w:eastAsia="Calibri" w:hAnsi="Calibri"/>
                <w:sz w:val="16"/>
                <w:szCs w:val="16"/>
                <w:b w:val="1"/>
                <w:bCs w:val="1"/>
                <w:color w:val="auto"/>
              </w:rPr>
              <w:t>2,221</w:t>
            </w:r>
          </w:p>
        </w:tc>
        <w:tc>
          <w:tcPr>
            <w:tcW w:w="1060" w:type="dxa"/>
            <w:vAlign w:val="bottom"/>
          </w:tcPr>
          <w:p>
            <w:pPr>
              <w:jc w:val="right"/>
              <w:spacing w:after="0"/>
              <w:rPr>
                <w:sz w:val="20"/>
                <w:szCs w:val="20"/>
                <w:color w:val="auto"/>
              </w:rPr>
            </w:pPr>
            <w:r>
              <w:rPr>
                <w:rFonts w:ascii="Calibri" w:cs="Calibri" w:eastAsia="Calibri" w:hAnsi="Calibri"/>
                <w:sz w:val="16"/>
                <w:szCs w:val="16"/>
                <w:color w:val="auto"/>
              </w:rPr>
              <w:t>1,530</w:t>
            </w:r>
          </w:p>
        </w:tc>
        <w:tc>
          <w:tcPr>
            <w:tcW w:w="100" w:type="dxa"/>
            <w:vAlign w:val="bottom"/>
          </w:tcPr>
          <w:p>
            <w:pPr>
              <w:spacing w:after="0"/>
              <w:rPr>
                <w:sz w:val="17"/>
                <w:szCs w:val="17"/>
                <w:color w:val="auto"/>
              </w:rPr>
            </w:pPr>
          </w:p>
        </w:tc>
        <w:tc>
          <w:tcPr>
            <w:tcW w:w="2180" w:type="dxa"/>
            <w:vAlign w:val="bottom"/>
          </w:tcPr>
          <w:p>
            <w:pPr>
              <w:jc w:val="right"/>
              <w:ind w:right="519"/>
              <w:spacing w:after="0"/>
              <w:rPr>
                <w:sz w:val="20"/>
                <w:szCs w:val="20"/>
                <w:color w:val="auto"/>
              </w:rPr>
            </w:pPr>
            <w:r>
              <w:rPr>
                <w:rFonts w:ascii="Calibri" w:cs="Calibri" w:eastAsia="Calibri" w:hAnsi="Calibri"/>
                <w:sz w:val="16"/>
                <w:szCs w:val="16"/>
                <w:b w:val="1"/>
                <w:bCs w:val="1"/>
                <w:color w:val="auto"/>
              </w:rPr>
              <w:t>5,170</w:t>
            </w:r>
          </w:p>
        </w:tc>
        <w:tc>
          <w:tcPr>
            <w:tcW w:w="1100" w:type="dxa"/>
            <w:vAlign w:val="bottom"/>
          </w:tcPr>
          <w:p>
            <w:pPr>
              <w:jc w:val="right"/>
              <w:spacing w:after="0"/>
              <w:rPr>
                <w:sz w:val="20"/>
                <w:szCs w:val="20"/>
                <w:color w:val="auto"/>
              </w:rPr>
            </w:pPr>
            <w:r>
              <w:rPr>
                <w:rFonts w:ascii="Calibri" w:cs="Calibri" w:eastAsia="Calibri" w:hAnsi="Calibri"/>
                <w:sz w:val="16"/>
                <w:szCs w:val="16"/>
                <w:color w:val="auto"/>
              </w:rPr>
              <w:t>3,209</w:t>
            </w:r>
          </w:p>
        </w:tc>
        <w:tc>
          <w:tcPr>
            <w:tcW w:w="0" w:type="dxa"/>
            <w:vAlign w:val="bottom"/>
          </w:tcPr>
          <w:p>
            <w:pPr>
              <w:spacing w:after="0"/>
              <w:rPr>
                <w:sz w:val="1"/>
                <w:szCs w:val="1"/>
                <w:color w:val="auto"/>
              </w:rPr>
            </w:pPr>
          </w:p>
        </w:tc>
      </w:tr>
      <w:tr>
        <w:trPr>
          <w:trHeight w:val="206"/>
        </w:trPr>
        <w:tc>
          <w:tcPr>
            <w:tcW w:w="4060" w:type="dxa"/>
            <w:vAlign w:val="bottom"/>
          </w:tcPr>
          <w:p>
            <w:pPr>
              <w:ind w:left="20"/>
              <w:spacing w:after="0"/>
              <w:rPr>
                <w:sz w:val="20"/>
                <w:szCs w:val="20"/>
                <w:color w:val="auto"/>
              </w:rPr>
            </w:pPr>
            <w:r>
              <w:rPr>
                <w:rFonts w:ascii="Calibri" w:cs="Calibri" w:eastAsia="Calibri" w:hAnsi="Calibri"/>
                <w:sz w:val="16"/>
                <w:szCs w:val="16"/>
                <w:color w:val="auto"/>
              </w:rPr>
              <w:t>Lab and administraton</w:t>
            </w:r>
          </w:p>
        </w:tc>
        <w:tc>
          <w:tcPr>
            <w:tcW w:w="2240" w:type="dxa"/>
            <w:vAlign w:val="bottom"/>
          </w:tcPr>
          <w:p>
            <w:pPr>
              <w:jc w:val="right"/>
              <w:ind w:right="559"/>
              <w:spacing w:after="0"/>
              <w:rPr>
                <w:sz w:val="20"/>
                <w:szCs w:val="20"/>
                <w:color w:val="auto"/>
              </w:rPr>
            </w:pPr>
            <w:r>
              <w:rPr>
                <w:rFonts w:ascii="Calibri" w:cs="Calibri" w:eastAsia="Calibri" w:hAnsi="Calibri"/>
                <w:sz w:val="16"/>
                <w:szCs w:val="16"/>
                <w:b w:val="1"/>
                <w:bCs w:val="1"/>
                <w:color w:val="auto"/>
              </w:rPr>
              <w:t>695</w:t>
            </w:r>
          </w:p>
        </w:tc>
        <w:tc>
          <w:tcPr>
            <w:tcW w:w="1060" w:type="dxa"/>
            <w:vAlign w:val="bottom"/>
          </w:tcPr>
          <w:p>
            <w:pPr>
              <w:jc w:val="right"/>
              <w:spacing w:after="0"/>
              <w:rPr>
                <w:sz w:val="20"/>
                <w:szCs w:val="20"/>
                <w:color w:val="auto"/>
              </w:rPr>
            </w:pPr>
            <w:r>
              <w:rPr>
                <w:rFonts w:ascii="Calibri" w:cs="Calibri" w:eastAsia="Calibri" w:hAnsi="Calibri"/>
                <w:sz w:val="16"/>
                <w:szCs w:val="16"/>
                <w:color w:val="auto"/>
              </w:rPr>
              <w:t>197</w:t>
            </w:r>
          </w:p>
        </w:tc>
        <w:tc>
          <w:tcPr>
            <w:tcW w:w="100" w:type="dxa"/>
            <w:vAlign w:val="bottom"/>
          </w:tcPr>
          <w:p>
            <w:pPr>
              <w:spacing w:after="0"/>
              <w:rPr>
                <w:sz w:val="17"/>
                <w:szCs w:val="17"/>
                <w:color w:val="auto"/>
              </w:rPr>
            </w:pPr>
          </w:p>
        </w:tc>
        <w:tc>
          <w:tcPr>
            <w:tcW w:w="2180" w:type="dxa"/>
            <w:vAlign w:val="bottom"/>
          </w:tcPr>
          <w:p>
            <w:pPr>
              <w:jc w:val="right"/>
              <w:ind w:right="519"/>
              <w:spacing w:after="0"/>
              <w:rPr>
                <w:sz w:val="20"/>
                <w:szCs w:val="20"/>
                <w:color w:val="auto"/>
              </w:rPr>
            </w:pPr>
            <w:r>
              <w:rPr>
                <w:rFonts w:ascii="Calibri" w:cs="Calibri" w:eastAsia="Calibri" w:hAnsi="Calibri"/>
                <w:sz w:val="16"/>
                <w:szCs w:val="16"/>
                <w:b w:val="1"/>
                <w:bCs w:val="1"/>
                <w:color w:val="auto"/>
              </w:rPr>
              <w:t>863</w:t>
            </w:r>
          </w:p>
        </w:tc>
        <w:tc>
          <w:tcPr>
            <w:tcW w:w="1100" w:type="dxa"/>
            <w:vAlign w:val="bottom"/>
          </w:tcPr>
          <w:p>
            <w:pPr>
              <w:jc w:val="right"/>
              <w:spacing w:after="0"/>
              <w:rPr>
                <w:sz w:val="20"/>
                <w:szCs w:val="20"/>
                <w:color w:val="auto"/>
              </w:rPr>
            </w:pPr>
            <w:r>
              <w:rPr>
                <w:rFonts w:ascii="Calibri" w:cs="Calibri" w:eastAsia="Calibri" w:hAnsi="Calibri"/>
                <w:sz w:val="16"/>
                <w:szCs w:val="16"/>
                <w:color w:val="auto"/>
              </w:rPr>
              <w:t>405</w:t>
            </w:r>
          </w:p>
        </w:tc>
        <w:tc>
          <w:tcPr>
            <w:tcW w:w="0" w:type="dxa"/>
            <w:vAlign w:val="bottom"/>
          </w:tcPr>
          <w:p>
            <w:pPr>
              <w:spacing w:after="0"/>
              <w:rPr>
                <w:sz w:val="1"/>
                <w:szCs w:val="1"/>
                <w:color w:val="auto"/>
              </w:rPr>
            </w:pPr>
          </w:p>
        </w:tc>
      </w:tr>
      <w:tr>
        <w:trPr>
          <w:trHeight w:val="206"/>
        </w:trPr>
        <w:tc>
          <w:tcPr>
            <w:tcW w:w="4060" w:type="dxa"/>
            <w:vAlign w:val="bottom"/>
          </w:tcPr>
          <w:p>
            <w:pPr>
              <w:ind w:left="20"/>
              <w:spacing w:after="0"/>
              <w:rPr>
                <w:sz w:val="20"/>
                <w:szCs w:val="20"/>
                <w:color w:val="auto"/>
              </w:rPr>
            </w:pPr>
            <w:r>
              <w:rPr>
                <w:rFonts w:ascii="Calibri" w:cs="Calibri" w:eastAsia="Calibri" w:hAnsi="Calibri"/>
                <w:sz w:val="16"/>
                <w:szCs w:val="16"/>
                <w:color w:val="auto"/>
              </w:rPr>
              <w:t>Professional and consultng fees</w:t>
            </w:r>
          </w:p>
        </w:tc>
        <w:tc>
          <w:tcPr>
            <w:tcW w:w="2240" w:type="dxa"/>
            <w:vAlign w:val="bottom"/>
          </w:tcPr>
          <w:p>
            <w:pPr>
              <w:jc w:val="right"/>
              <w:ind w:right="559"/>
              <w:spacing w:after="0"/>
              <w:rPr>
                <w:sz w:val="20"/>
                <w:szCs w:val="20"/>
                <w:color w:val="auto"/>
              </w:rPr>
            </w:pPr>
            <w:r>
              <w:rPr>
                <w:rFonts w:ascii="Calibri" w:cs="Calibri" w:eastAsia="Calibri" w:hAnsi="Calibri"/>
                <w:sz w:val="16"/>
                <w:szCs w:val="16"/>
                <w:b w:val="1"/>
                <w:bCs w:val="1"/>
                <w:color w:val="auto"/>
              </w:rPr>
              <w:t>425</w:t>
            </w:r>
          </w:p>
        </w:tc>
        <w:tc>
          <w:tcPr>
            <w:tcW w:w="1060" w:type="dxa"/>
            <w:vAlign w:val="bottom"/>
          </w:tcPr>
          <w:p>
            <w:pPr>
              <w:jc w:val="right"/>
              <w:spacing w:after="0"/>
              <w:rPr>
                <w:sz w:val="20"/>
                <w:szCs w:val="20"/>
                <w:color w:val="auto"/>
              </w:rPr>
            </w:pPr>
            <w:r>
              <w:rPr>
                <w:rFonts w:ascii="Calibri" w:cs="Calibri" w:eastAsia="Calibri" w:hAnsi="Calibri"/>
                <w:sz w:val="16"/>
                <w:szCs w:val="16"/>
                <w:color w:val="auto"/>
              </w:rPr>
              <w:t>17</w:t>
            </w:r>
          </w:p>
        </w:tc>
        <w:tc>
          <w:tcPr>
            <w:tcW w:w="100" w:type="dxa"/>
            <w:vAlign w:val="bottom"/>
          </w:tcPr>
          <w:p>
            <w:pPr>
              <w:spacing w:after="0"/>
              <w:rPr>
                <w:sz w:val="17"/>
                <w:szCs w:val="17"/>
                <w:color w:val="auto"/>
              </w:rPr>
            </w:pPr>
          </w:p>
        </w:tc>
        <w:tc>
          <w:tcPr>
            <w:tcW w:w="2180" w:type="dxa"/>
            <w:vAlign w:val="bottom"/>
          </w:tcPr>
          <w:p>
            <w:pPr>
              <w:jc w:val="right"/>
              <w:ind w:right="519"/>
              <w:spacing w:after="0"/>
              <w:rPr>
                <w:sz w:val="20"/>
                <w:szCs w:val="20"/>
                <w:color w:val="auto"/>
              </w:rPr>
            </w:pPr>
            <w:r>
              <w:rPr>
                <w:rFonts w:ascii="Calibri" w:cs="Calibri" w:eastAsia="Calibri" w:hAnsi="Calibri"/>
                <w:sz w:val="16"/>
                <w:szCs w:val="16"/>
                <w:b w:val="1"/>
                <w:bCs w:val="1"/>
                <w:color w:val="auto"/>
              </w:rPr>
              <w:t>717</w:t>
            </w:r>
          </w:p>
        </w:tc>
        <w:tc>
          <w:tcPr>
            <w:tcW w:w="1100" w:type="dxa"/>
            <w:vAlign w:val="bottom"/>
          </w:tcPr>
          <w:p>
            <w:pPr>
              <w:jc w:val="right"/>
              <w:spacing w:after="0"/>
              <w:rPr>
                <w:sz w:val="20"/>
                <w:szCs w:val="20"/>
                <w:color w:val="auto"/>
              </w:rPr>
            </w:pPr>
            <w:r>
              <w:rPr>
                <w:rFonts w:ascii="Calibri" w:cs="Calibri" w:eastAsia="Calibri" w:hAnsi="Calibri"/>
                <w:sz w:val="16"/>
                <w:szCs w:val="16"/>
                <w:color w:val="auto"/>
              </w:rPr>
              <w:t>108</w:t>
            </w:r>
          </w:p>
        </w:tc>
        <w:tc>
          <w:tcPr>
            <w:tcW w:w="0" w:type="dxa"/>
            <w:vAlign w:val="bottom"/>
          </w:tcPr>
          <w:p>
            <w:pPr>
              <w:spacing w:after="0"/>
              <w:rPr>
                <w:sz w:val="1"/>
                <w:szCs w:val="1"/>
                <w:color w:val="auto"/>
              </w:rPr>
            </w:pPr>
          </w:p>
        </w:tc>
      </w:tr>
      <w:tr>
        <w:trPr>
          <w:trHeight w:val="20"/>
        </w:trPr>
        <w:tc>
          <w:tcPr>
            <w:tcW w:w="4060" w:type="dxa"/>
            <w:vAlign w:val="bottom"/>
            <w:tcBorders>
              <w:bottom w:val="single" w:sz="8" w:color="auto"/>
            </w:tcBorders>
          </w:tcPr>
          <w:p>
            <w:pPr>
              <w:spacing w:after="0" w:line="20" w:lineRule="exact"/>
              <w:rPr>
                <w:sz w:val="1"/>
                <w:szCs w:val="1"/>
                <w:color w:val="auto"/>
              </w:rPr>
            </w:pPr>
          </w:p>
        </w:tc>
        <w:tc>
          <w:tcPr>
            <w:tcW w:w="22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18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1"/>
        </w:trPr>
        <w:tc>
          <w:tcPr>
            <w:tcW w:w="4060" w:type="dxa"/>
            <w:vAlign w:val="bottom"/>
            <w:tcBorders>
              <w:bottom w:val="single" w:sz="8" w:color="auto"/>
            </w:tcBorders>
          </w:tcPr>
          <w:p>
            <w:pPr>
              <w:ind w:left="60"/>
              <w:spacing w:after="0" w:line="192" w:lineRule="exact"/>
              <w:rPr>
                <w:sz w:val="20"/>
                <w:szCs w:val="20"/>
                <w:color w:val="auto"/>
              </w:rPr>
            </w:pPr>
            <w:r>
              <w:rPr>
                <w:rFonts w:ascii="Calibri" w:cs="Calibri" w:eastAsia="Calibri" w:hAnsi="Calibri"/>
                <w:sz w:val="16"/>
                <w:szCs w:val="16"/>
                <w:b w:val="1"/>
                <w:bCs w:val="1"/>
                <w:color w:val="auto"/>
              </w:rPr>
              <w:t>Total</w:t>
            </w:r>
          </w:p>
        </w:tc>
        <w:tc>
          <w:tcPr>
            <w:tcW w:w="2240" w:type="dxa"/>
            <w:vAlign w:val="bottom"/>
            <w:tcBorders>
              <w:bottom w:val="single" w:sz="8" w:color="auto"/>
            </w:tcBorders>
          </w:tcPr>
          <w:p>
            <w:pPr>
              <w:jc w:val="right"/>
              <w:ind w:right="559"/>
              <w:spacing w:after="0" w:line="192" w:lineRule="exact"/>
              <w:rPr>
                <w:sz w:val="20"/>
                <w:szCs w:val="20"/>
                <w:color w:val="auto"/>
              </w:rPr>
            </w:pPr>
            <w:r>
              <w:rPr>
                <w:rFonts w:ascii="Calibri" w:cs="Calibri" w:eastAsia="Calibri" w:hAnsi="Calibri"/>
                <w:sz w:val="16"/>
                <w:szCs w:val="16"/>
                <w:b w:val="1"/>
                <w:bCs w:val="1"/>
                <w:color w:val="auto"/>
              </w:rPr>
              <w:t>9,115</w:t>
            </w:r>
          </w:p>
        </w:tc>
        <w:tc>
          <w:tcPr>
            <w:tcW w:w="1060" w:type="dxa"/>
            <w:vAlign w:val="bottom"/>
            <w:tcBorders>
              <w:bottom w:val="single" w:sz="8" w:color="auto"/>
            </w:tcBorders>
          </w:tcPr>
          <w:p>
            <w:pPr>
              <w:jc w:val="right"/>
              <w:spacing w:after="0" w:line="192" w:lineRule="exact"/>
              <w:rPr>
                <w:sz w:val="20"/>
                <w:szCs w:val="20"/>
                <w:color w:val="auto"/>
              </w:rPr>
            </w:pPr>
            <w:r>
              <w:rPr>
                <w:rFonts w:ascii="Calibri" w:cs="Calibri" w:eastAsia="Calibri" w:hAnsi="Calibri"/>
                <w:sz w:val="16"/>
                <w:szCs w:val="16"/>
                <w:color w:val="auto"/>
              </w:rPr>
              <w:t>6,696</w:t>
            </w:r>
          </w:p>
        </w:tc>
        <w:tc>
          <w:tcPr>
            <w:tcW w:w="100" w:type="dxa"/>
            <w:vAlign w:val="bottom"/>
            <w:tcBorders>
              <w:bottom w:val="single" w:sz="8" w:color="auto"/>
            </w:tcBorders>
          </w:tcPr>
          <w:p>
            <w:pPr>
              <w:spacing w:after="0"/>
              <w:rPr>
                <w:sz w:val="16"/>
                <w:szCs w:val="16"/>
                <w:color w:val="auto"/>
              </w:rPr>
            </w:pPr>
          </w:p>
        </w:tc>
        <w:tc>
          <w:tcPr>
            <w:tcW w:w="2180" w:type="dxa"/>
            <w:vAlign w:val="bottom"/>
            <w:tcBorders>
              <w:bottom w:val="single" w:sz="8" w:color="auto"/>
            </w:tcBorders>
          </w:tcPr>
          <w:p>
            <w:pPr>
              <w:jc w:val="right"/>
              <w:ind w:right="519"/>
              <w:spacing w:after="0" w:line="192" w:lineRule="exact"/>
              <w:rPr>
                <w:sz w:val="20"/>
                <w:szCs w:val="20"/>
                <w:color w:val="auto"/>
              </w:rPr>
            </w:pPr>
            <w:r>
              <w:rPr>
                <w:rFonts w:ascii="Calibri" w:cs="Calibri" w:eastAsia="Calibri" w:hAnsi="Calibri"/>
                <w:sz w:val="16"/>
                <w:szCs w:val="16"/>
                <w:b w:val="1"/>
                <w:bCs w:val="1"/>
                <w:color w:val="auto"/>
              </w:rPr>
              <w:t>17,156</w:t>
            </w:r>
          </w:p>
        </w:tc>
        <w:tc>
          <w:tcPr>
            <w:tcW w:w="1100" w:type="dxa"/>
            <w:vAlign w:val="bottom"/>
            <w:tcBorders>
              <w:bottom w:val="single" w:sz="8" w:color="auto"/>
            </w:tcBorders>
          </w:tcPr>
          <w:p>
            <w:pPr>
              <w:jc w:val="right"/>
              <w:spacing w:after="0" w:line="192" w:lineRule="exact"/>
              <w:rPr>
                <w:sz w:val="20"/>
                <w:szCs w:val="20"/>
                <w:color w:val="auto"/>
              </w:rPr>
            </w:pPr>
            <w:r>
              <w:rPr>
                <w:rFonts w:ascii="Calibri" w:cs="Calibri" w:eastAsia="Calibri" w:hAnsi="Calibri"/>
                <w:sz w:val="16"/>
                <w:szCs w:val="16"/>
                <w:color w:val="auto"/>
              </w:rPr>
              <w:t>13,080</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center"/>
        <w:ind w:right="-2"/>
        <w:spacing w:after="0"/>
        <w:rPr>
          <w:sz w:val="20"/>
          <w:szCs w:val="20"/>
          <w:color w:val="auto"/>
        </w:rPr>
      </w:pPr>
      <w:r>
        <w:rPr>
          <w:rFonts w:ascii="Calibri" w:cs="Calibri" w:eastAsia="Calibri" w:hAnsi="Calibri"/>
          <w:sz w:val="16"/>
          <w:szCs w:val="16"/>
          <w:b w:val="1"/>
          <w:bCs w:val="1"/>
          <w:color w:val="auto"/>
        </w:rPr>
        <w:t>Page 16 of 23</w:t>
      </w:r>
    </w:p>
    <w:p>
      <w:pPr>
        <w:sectPr>
          <w:pgSz w:w="11900" w:h="16838" w:orient="portrait"/>
          <w:cols w:equalWidth="0" w:num="1">
            <w:col w:w="11263"/>
          </w:cols>
          <w:pgMar w:left="317" w:top="209" w:right="319" w:bottom="1440" w:gutter="0" w:footer="0" w:header="0"/>
        </w:sectPr>
      </w:pPr>
    </w:p>
    <w:bookmarkStart w:id="19" w:name="page20"/>
    <w:bookmarkEnd w:id="19"/>
    <w:p>
      <w:pPr>
        <w:ind w:left="60"/>
        <w:spacing w:after="0"/>
        <w:rPr>
          <w:sz w:val="20"/>
          <w:szCs w:val="20"/>
          <w:color w:val="auto"/>
        </w:rPr>
      </w:pPr>
      <w:r>
        <w:rPr>
          <w:rFonts w:ascii="Calibri" w:cs="Calibri" w:eastAsia="Calibri" w:hAnsi="Calibri"/>
          <w:sz w:val="19"/>
          <w:szCs w:val="19"/>
          <w:b w:val="1"/>
          <w:bCs w:val="1"/>
          <w:color w:val="auto"/>
        </w:rPr>
        <w:t>CYBIN INC.</w:t>
      </w:r>
    </w:p>
    <w:p>
      <w:pPr>
        <w:ind w:left="60"/>
        <w:spacing w:after="0" w:line="237" w:lineRule="auto"/>
        <w:rPr>
          <w:sz w:val="20"/>
          <w:szCs w:val="20"/>
          <w:color w:val="auto"/>
        </w:rPr>
      </w:pPr>
      <w:r>
        <w:rPr>
          <w:rFonts w:ascii="Calibri" w:cs="Calibri" w:eastAsia="Calibri" w:hAnsi="Calibri"/>
          <w:sz w:val="19"/>
          <w:szCs w:val="19"/>
          <w:b w:val="1"/>
          <w:bCs w:val="1"/>
          <w:color w:val="auto"/>
        </w:rPr>
        <w:t>NOTES TO THE CONDENSED INTERIM CONSOLIDATED FINANCIAL STATEMENTS</w:t>
      </w:r>
    </w:p>
    <w:p>
      <w:pPr>
        <w:ind w:left="60"/>
        <w:spacing w:after="0" w:line="238" w:lineRule="auto"/>
        <w:rPr>
          <w:sz w:val="20"/>
          <w:szCs w:val="20"/>
          <w:color w:val="auto"/>
        </w:rPr>
      </w:pPr>
      <w:r>
        <w:rPr>
          <w:rFonts w:ascii="Calibri" w:cs="Calibri" w:eastAsia="Calibri" w:hAnsi="Calibri"/>
          <w:sz w:val="19"/>
          <w:szCs w:val="19"/>
          <w:b w:val="1"/>
          <w:bCs w:val="1"/>
          <w:color w:val="auto"/>
        </w:rPr>
        <w:t>September 30, 2024</w:t>
      </w:r>
    </w:p>
    <w:p>
      <w:pPr>
        <w:spacing w:after="0" w:line="3" w:lineRule="exact"/>
        <w:rPr>
          <w:sz w:val="20"/>
          <w:szCs w:val="20"/>
          <w:color w:val="auto"/>
        </w:rPr>
      </w:pPr>
    </w:p>
    <w:p>
      <w:pPr>
        <w:ind w:left="60" w:right="200"/>
        <w:spacing w:after="0" w:line="234" w:lineRule="auto"/>
        <w:rPr>
          <w:sz w:val="20"/>
          <w:szCs w:val="20"/>
          <w:color w:val="auto"/>
        </w:rPr>
      </w:pPr>
      <w:r>
        <w:rPr>
          <w:rFonts w:ascii="Calibri" w:cs="Calibri" w:eastAsia="Calibri" w:hAnsi="Calibri"/>
          <w:sz w:val="18"/>
          <w:szCs w:val="18"/>
          <w:b w:val="1"/>
          <w:bCs w:val="1"/>
          <w:color w:val="auto"/>
        </w:rPr>
        <w:t>(All amounts expressed in thousands of Canadian dollars, except share and per share amounts, and those otherwise stated in US dollars, Euros and Great Britain pounds which are in thousands.)</w:t>
      </w:r>
    </w:p>
    <w:p>
      <w:pPr>
        <w:ind w:left="60"/>
        <w:spacing w:after="0" w:line="224" w:lineRule="auto"/>
        <w:rPr>
          <w:sz w:val="20"/>
          <w:szCs w:val="20"/>
          <w:color w:val="auto"/>
        </w:rPr>
      </w:pPr>
      <w:r>
        <w:rPr>
          <w:rFonts w:ascii="Calibri" w:cs="Calibri" w:eastAsia="Calibri" w:hAnsi="Calibri"/>
          <w:sz w:val="18"/>
          <w:szCs w:val="18"/>
          <w:b w:val="1"/>
          <w:bCs w:val="1"/>
          <w:color w:val="auto"/>
        </w:rPr>
        <w:t>(Unaudited)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48895</wp:posOffset>
            </wp:positionV>
            <wp:extent cx="7146925" cy="762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46925" cy="76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4200" w:type="dxa"/>
            <w:vAlign w:val="bottom"/>
            <w:gridSpan w:val="2"/>
          </w:tcPr>
          <w:p>
            <w:pPr>
              <w:spacing w:after="0"/>
              <w:rPr>
                <w:sz w:val="20"/>
                <w:szCs w:val="20"/>
                <w:color w:val="auto"/>
              </w:rPr>
            </w:pPr>
            <w:r>
              <w:rPr>
                <w:rFonts w:ascii="Calibri" w:cs="Calibri" w:eastAsia="Calibri" w:hAnsi="Calibri"/>
                <w:sz w:val="16"/>
                <w:szCs w:val="16"/>
                <w:b w:val="1"/>
                <w:bCs w:val="1"/>
                <w:color w:val="2D5F91"/>
              </w:rPr>
              <w:t>10. GENERAL AND ADMINISTRATIVE EXPENSES</w:t>
            </w:r>
          </w:p>
        </w:tc>
        <w:tc>
          <w:tcPr>
            <w:tcW w:w="222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180" w:type="dxa"/>
            <w:vAlign w:val="bottom"/>
          </w:tcPr>
          <w:p>
            <w:pPr>
              <w:spacing w:after="0"/>
              <w:rPr>
                <w:sz w:val="16"/>
                <w:szCs w:val="16"/>
                <w:color w:val="auto"/>
              </w:rPr>
            </w:pPr>
          </w:p>
        </w:tc>
        <w:tc>
          <w:tcPr>
            <w:tcW w:w="1080" w:type="dxa"/>
            <w:vAlign w:val="bottom"/>
          </w:tcPr>
          <w:p>
            <w:pPr>
              <w:spacing w:after="0"/>
              <w:rPr>
                <w:sz w:val="16"/>
                <w:szCs w:val="16"/>
                <w:color w:val="auto"/>
              </w:rPr>
            </w:pPr>
          </w:p>
        </w:tc>
      </w:tr>
      <w:tr>
        <w:trPr>
          <w:trHeight w:val="423"/>
        </w:trPr>
        <w:tc>
          <w:tcPr>
            <w:tcW w:w="280" w:type="dxa"/>
            <w:vAlign w:val="bottom"/>
          </w:tcPr>
          <w:p>
            <w:pPr>
              <w:spacing w:after="0"/>
              <w:rPr>
                <w:sz w:val="24"/>
                <w:szCs w:val="24"/>
                <w:color w:val="auto"/>
              </w:rPr>
            </w:pPr>
          </w:p>
        </w:tc>
        <w:tc>
          <w:tcPr>
            <w:tcW w:w="3920" w:type="dxa"/>
            <w:vAlign w:val="bottom"/>
          </w:tcPr>
          <w:p>
            <w:pPr>
              <w:spacing w:after="0"/>
              <w:rPr>
                <w:sz w:val="24"/>
                <w:szCs w:val="24"/>
                <w:color w:val="auto"/>
              </w:rPr>
            </w:pPr>
          </w:p>
        </w:tc>
        <w:tc>
          <w:tcPr>
            <w:tcW w:w="3360" w:type="dxa"/>
            <w:vAlign w:val="bottom"/>
            <w:gridSpan w:val="3"/>
          </w:tcPr>
          <w:p>
            <w:pPr>
              <w:ind w:left="260"/>
              <w:spacing w:after="0"/>
              <w:rPr>
                <w:sz w:val="20"/>
                <w:szCs w:val="20"/>
                <w:color w:val="auto"/>
              </w:rPr>
            </w:pPr>
            <w:r>
              <w:rPr>
                <w:rFonts w:ascii="Calibri" w:cs="Calibri" w:eastAsia="Calibri" w:hAnsi="Calibri"/>
                <w:sz w:val="16"/>
                <w:szCs w:val="16"/>
                <w:b w:val="1"/>
                <w:bCs w:val="1"/>
                <w:color w:val="auto"/>
              </w:rPr>
              <w:t>Three month period ended September 30,</w:t>
            </w:r>
          </w:p>
        </w:tc>
        <w:tc>
          <w:tcPr>
            <w:tcW w:w="3260" w:type="dxa"/>
            <w:vAlign w:val="bottom"/>
            <w:gridSpan w:val="2"/>
          </w:tcPr>
          <w:p>
            <w:pPr>
              <w:jc w:val="right"/>
              <w:ind w:right="259"/>
              <w:spacing w:after="0"/>
              <w:rPr>
                <w:sz w:val="20"/>
                <w:szCs w:val="20"/>
                <w:color w:val="auto"/>
              </w:rPr>
            </w:pPr>
            <w:r>
              <w:rPr>
                <w:rFonts w:ascii="Calibri" w:cs="Calibri" w:eastAsia="Calibri" w:hAnsi="Calibri"/>
                <w:sz w:val="16"/>
                <w:szCs w:val="16"/>
                <w:b w:val="1"/>
                <w:bCs w:val="1"/>
                <w:color w:val="auto"/>
              </w:rPr>
              <w:t>Six month period ended September 30,</w:t>
            </w:r>
          </w:p>
        </w:tc>
      </w:tr>
      <w:tr>
        <w:trPr>
          <w:trHeight w:val="20"/>
        </w:trPr>
        <w:tc>
          <w:tcPr>
            <w:tcW w:w="280" w:type="dxa"/>
            <w:vAlign w:val="bottom"/>
          </w:tcPr>
          <w:p>
            <w:pPr>
              <w:spacing w:after="0" w:line="20" w:lineRule="exact"/>
              <w:rPr>
                <w:sz w:val="1"/>
                <w:szCs w:val="1"/>
                <w:color w:val="auto"/>
              </w:rPr>
            </w:pPr>
          </w:p>
        </w:tc>
        <w:tc>
          <w:tcPr>
            <w:tcW w:w="3920" w:type="dxa"/>
            <w:vAlign w:val="bottom"/>
          </w:tcPr>
          <w:p>
            <w:pPr>
              <w:spacing w:after="0" w:line="20" w:lineRule="exact"/>
              <w:rPr>
                <w:sz w:val="1"/>
                <w:szCs w:val="1"/>
                <w:color w:val="auto"/>
              </w:rPr>
            </w:pPr>
          </w:p>
        </w:tc>
        <w:tc>
          <w:tcPr>
            <w:tcW w:w="22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1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r>
      <w:tr>
        <w:trPr>
          <w:trHeight w:val="185"/>
        </w:trPr>
        <w:tc>
          <w:tcPr>
            <w:tcW w:w="280" w:type="dxa"/>
            <w:vAlign w:val="bottom"/>
          </w:tcPr>
          <w:p>
            <w:pPr>
              <w:spacing w:after="0"/>
              <w:rPr>
                <w:sz w:val="16"/>
                <w:szCs w:val="16"/>
                <w:color w:val="auto"/>
              </w:rPr>
            </w:pPr>
          </w:p>
        </w:tc>
        <w:tc>
          <w:tcPr>
            <w:tcW w:w="3920" w:type="dxa"/>
            <w:vAlign w:val="bottom"/>
          </w:tcPr>
          <w:p>
            <w:pPr>
              <w:spacing w:after="0"/>
              <w:rPr>
                <w:sz w:val="16"/>
                <w:szCs w:val="16"/>
                <w:color w:val="auto"/>
              </w:rPr>
            </w:pPr>
          </w:p>
        </w:tc>
        <w:tc>
          <w:tcPr>
            <w:tcW w:w="2220" w:type="dxa"/>
            <w:vAlign w:val="bottom"/>
          </w:tcPr>
          <w:p>
            <w:pPr>
              <w:jc w:val="right"/>
              <w:ind w:right="559"/>
              <w:spacing w:after="0" w:line="185" w:lineRule="exact"/>
              <w:rPr>
                <w:sz w:val="20"/>
                <w:szCs w:val="20"/>
                <w:color w:val="auto"/>
              </w:rPr>
            </w:pPr>
            <w:r>
              <w:rPr>
                <w:rFonts w:ascii="Calibri" w:cs="Calibri" w:eastAsia="Calibri" w:hAnsi="Calibri"/>
                <w:sz w:val="16"/>
                <w:szCs w:val="16"/>
                <w:b w:val="1"/>
                <w:bCs w:val="1"/>
                <w:color w:val="auto"/>
              </w:rPr>
              <w:t>2024</w:t>
            </w:r>
          </w:p>
        </w:tc>
        <w:tc>
          <w:tcPr>
            <w:tcW w:w="1040" w:type="dxa"/>
            <w:vAlign w:val="bottom"/>
          </w:tcPr>
          <w:p>
            <w:pPr>
              <w:jc w:val="right"/>
              <w:spacing w:after="0" w:line="185" w:lineRule="exact"/>
              <w:rPr>
                <w:sz w:val="20"/>
                <w:szCs w:val="20"/>
                <w:color w:val="auto"/>
              </w:rPr>
            </w:pPr>
            <w:r>
              <w:rPr>
                <w:rFonts w:ascii="Calibri" w:cs="Calibri" w:eastAsia="Calibri" w:hAnsi="Calibri"/>
                <w:sz w:val="16"/>
                <w:szCs w:val="16"/>
                <w:color w:val="auto"/>
              </w:rPr>
              <w:t>2023</w:t>
            </w:r>
          </w:p>
        </w:tc>
        <w:tc>
          <w:tcPr>
            <w:tcW w:w="100" w:type="dxa"/>
            <w:vAlign w:val="bottom"/>
          </w:tcPr>
          <w:p>
            <w:pPr>
              <w:spacing w:after="0"/>
              <w:rPr>
                <w:sz w:val="16"/>
                <w:szCs w:val="16"/>
                <w:color w:val="auto"/>
              </w:rPr>
            </w:pPr>
          </w:p>
        </w:tc>
        <w:tc>
          <w:tcPr>
            <w:tcW w:w="2180" w:type="dxa"/>
            <w:vAlign w:val="bottom"/>
          </w:tcPr>
          <w:p>
            <w:pPr>
              <w:jc w:val="right"/>
              <w:ind w:right="519"/>
              <w:spacing w:after="0" w:line="185" w:lineRule="exact"/>
              <w:rPr>
                <w:sz w:val="20"/>
                <w:szCs w:val="20"/>
                <w:color w:val="auto"/>
              </w:rPr>
            </w:pPr>
            <w:r>
              <w:rPr>
                <w:rFonts w:ascii="Calibri" w:cs="Calibri" w:eastAsia="Calibri" w:hAnsi="Calibri"/>
                <w:sz w:val="16"/>
                <w:szCs w:val="16"/>
                <w:b w:val="1"/>
                <w:bCs w:val="1"/>
                <w:color w:val="auto"/>
              </w:rPr>
              <w:t>2024</w:t>
            </w:r>
          </w:p>
        </w:tc>
        <w:tc>
          <w:tcPr>
            <w:tcW w:w="1080" w:type="dxa"/>
            <w:vAlign w:val="bottom"/>
          </w:tcPr>
          <w:p>
            <w:pPr>
              <w:jc w:val="right"/>
              <w:spacing w:after="0" w:line="185" w:lineRule="exact"/>
              <w:rPr>
                <w:sz w:val="20"/>
                <w:szCs w:val="20"/>
                <w:color w:val="auto"/>
              </w:rPr>
            </w:pPr>
            <w:r>
              <w:rPr>
                <w:rFonts w:ascii="Calibri" w:cs="Calibri" w:eastAsia="Calibri" w:hAnsi="Calibri"/>
                <w:sz w:val="16"/>
                <w:szCs w:val="16"/>
                <w:b w:val="1"/>
                <w:bCs w:val="1"/>
                <w:color w:val="auto"/>
              </w:rPr>
              <w:t>2023</w:t>
            </w:r>
          </w:p>
        </w:tc>
      </w:tr>
      <w:tr>
        <w:trPr>
          <w:trHeight w:val="198"/>
        </w:trPr>
        <w:tc>
          <w:tcPr>
            <w:tcW w:w="280" w:type="dxa"/>
            <w:vAlign w:val="bottom"/>
          </w:tcPr>
          <w:p>
            <w:pPr>
              <w:spacing w:after="0"/>
              <w:rPr>
                <w:sz w:val="17"/>
                <w:szCs w:val="17"/>
                <w:color w:val="auto"/>
              </w:rPr>
            </w:pPr>
          </w:p>
        </w:tc>
        <w:tc>
          <w:tcPr>
            <w:tcW w:w="3920" w:type="dxa"/>
            <w:vAlign w:val="bottom"/>
          </w:tcPr>
          <w:p>
            <w:pPr>
              <w:spacing w:after="0"/>
              <w:rPr>
                <w:sz w:val="17"/>
                <w:szCs w:val="17"/>
                <w:color w:val="auto"/>
              </w:rPr>
            </w:pPr>
          </w:p>
        </w:tc>
        <w:tc>
          <w:tcPr>
            <w:tcW w:w="2220" w:type="dxa"/>
            <w:vAlign w:val="bottom"/>
          </w:tcPr>
          <w:p>
            <w:pPr>
              <w:jc w:val="right"/>
              <w:ind w:right="559"/>
              <w:spacing w:after="0"/>
              <w:rPr>
                <w:sz w:val="20"/>
                <w:szCs w:val="20"/>
                <w:color w:val="auto"/>
              </w:rPr>
            </w:pPr>
            <w:r>
              <w:rPr>
                <w:rFonts w:ascii="Calibri" w:cs="Calibri" w:eastAsia="Calibri" w:hAnsi="Calibri"/>
                <w:sz w:val="16"/>
                <w:szCs w:val="16"/>
                <w:b w:val="1"/>
                <w:bCs w:val="1"/>
                <w:color w:val="auto"/>
              </w:rPr>
              <w:t>$</w:t>
            </w:r>
          </w:p>
        </w:tc>
        <w:tc>
          <w:tcPr>
            <w:tcW w:w="1040" w:type="dxa"/>
            <w:vAlign w:val="bottom"/>
          </w:tcPr>
          <w:p>
            <w:pPr>
              <w:jc w:val="right"/>
              <w:spacing w:after="0"/>
              <w:rPr>
                <w:sz w:val="20"/>
                <w:szCs w:val="20"/>
                <w:color w:val="auto"/>
              </w:rPr>
            </w:pPr>
            <w:r>
              <w:rPr>
                <w:rFonts w:ascii="Calibri" w:cs="Calibri" w:eastAsia="Calibri" w:hAnsi="Calibri"/>
                <w:sz w:val="16"/>
                <w:szCs w:val="16"/>
                <w:color w:val="auto"/>
              </w:rPr>
              <w:t>$</w:t>
            </w:r>
          </w:p>
        </w:tc>
        <w:tc>
          <w:tcPr>
            <w:tcW w:w="100" w:type="dxa"/>
            <w:vAlign w:val="bottom"/>
          </w:tcPr>
          <w:p>
            <w:pPr>
              <w:spacing w:after="0"/>
              <w:rPr>
                <w:sz w:val="17"/>
                <w:szCs w:val="17"/>
                <w:color w:val="auto"/>
              </w:rPr>
            </w:pPr>
          </w:p>
        </w:tc>
        <w:tc>
          <w:tcPr>
            <w:tcW w:w="2180" w:type="dxa"/>
            <w:vAlign w:val="bottom"/>
          </w:tcPr>
          <w:p>
            <w:pPr>
              <w:jc w:val="right"/>
              <w:ind w:right="519"/>
              <w:spacing w:after="0"/>
              <w:rPr>
                <w:sz w:val="20"/>
                <w:szCs w:val="20"/>
                <w:color w:val="auto"/>
              </w:rPr>
            </w:pPr>
            <w:r>
              <w:rPr>
                <w:rFonts w:ascii="Calibri" w:cs="Calibri" w:eastAsia="Calibri" w:hAnsi="Calibri"/>
                <w:sz w:val="16"/>
                <w:szCs w:val="16"/>
                <w:b w:val="1"/>
                <w:bCs w:val="1"/>
                <w:color w:val="auto"/>
              </w:rPr>
              <w:t>$</w:t>
            </w:r>
          </w:p>
        </w:tc>
        <w:tc>
          <w:tcPr>
            <w:tcW w:w="1080" w:type="dxa"/>
            <w:vAlign w:val="bottom"/>
          </w:tcPr>
          <w:p>
            <w:pPr>
              <w:jc w:val="right"/>
              <w:spacing w:after="0"/>
              <w:rPr>
                <w:sz w:val="20"/>
                <w:szCs w:val="20"/>
                <w:color w:val="auto"/>
              </w:rPr>
            </w:pPr>
            <w:r>
              <w:rPr>
                <w:rFonts w:ascii="Calibri" w:cs="Calibri" w:eastAsia="Calibri" w:hAnsi="Calibri"/>
                <w:sz w:val="16"/>
                <w:szCs w:val="16"/>
                <w:b w:val="1"/>
                <w:bCs w:val="1"/>
                <w:color w:val="auto"/>
              </w:rPr>
              <w:t>$</w:t>
            </w:r>
          </w:p>
        </w:tc>
      </w:tr>
      <w:tr>
        <w:trPr>
          <w:trHeight w:val="20"/>
        </w:trPr>
        <w:tc>
          <w:tcPr>
            <w:tcW w:w="280" w:type="dxa"/>
            <w:vAlign w:val="bottom"/>
          </w:tcPr>
          <w:p>
            <w:pPr>
              <w:spacing w:after="0" w:line="20" w:lineRule="exact"/>
              <w:rPr>
                <w:sz w:val="1"/>
                <w:szCs w:val="1"/>
                <w:color w:val="auto"/>
              </w:rPr>
            </w:pPr>
          </w:p>
        </w:tc>
        <w:tc>
          <w:tcPr>
            <w:tcW w:w="3920" w:type="dxa"/>
            <w:vAlign w:val="bottom"/>
            <w:tcBorders>
              <w:bottom w:val="single" w:sz="8" w:color="auto"/>
            </w:tcBorders>
          </w:tcPr>
          <w:p>
            <w:pPr>
              <w:spacing w:after="0" w:line="20" w:lineRule="exact"/>
              <w:rPr>
                <w:sz w:val="1"/>
                <w:szCs w:val="1"/>
                <w:color w:val="auto"/>
              </w:rPr>
            </w:pPr>
          </w:p>
        </w:tc>
        <w:tc>
          <w:tcPr>
            <w:tcW w:w="22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1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r>
      <w:tr>
        <w:trPr>
          <w:trHeight w:val="185"/>
        </w:trPr>
        <w:tc>
          <w:tcPr>
            <w:tcW w:w="280" w:type="dxa"/>
            <w:vAlign w:val="bottom"/>
          </w:tcPr>
          <w:p>
            <w:pPr>
              <w:spacing w:after="0"/>
              <w:rPr>
                <w:sz w:val="16"/>
                <w:szCs w:val="16"/>
                <w:color w:val="auto"/>
              </w:rPr>
            </w:pPr>
          </w:p>
        </w:tc>
        <w:tc>
          <w:tcPr>
            <w:tcW w:w="3920" w:type="dxa"/>
            <w:vAlign w:val="bottom"/>
          </w:tcPr>
          <w:p>
            <w:pPr>
              <w:ind w:left="20"/>
              <w:spacing w:after="0" w:line="185" w:lineRule="exact"/>
              <w:rPr>
                <w:sz w:val="20"/>
                <w:szCs w:val="20"/>
                <w:color w:val="auto"/>
              </w:rPr>
            </w:pPr>
            <w:r>
              <w:rPr>
                <w:rFonts w:ascii="Calibri" w:cs="Calibri" w:eastAsia="Calibri" w:hAnsi="Calibri"/>
                <w:sz w:val="16"/>
                <w:szCs w:val="16"/>
                <w:color w:val="auto"/>
              </w:rPr>
              <w:t>Capital market</w:t>
            </w:r>
          </w:p>
        </w:tc>
        <w:tc>
          <w:tcPr>
            <w:tcW w:w="2220" w:type="dxa"/>
            <w:vAlign w:val="bottom"/>
          </w:tcPr>
          <w:p>
            <w:pPr>
              <w:jc w:val="right"/>
              <w:ind w:right="559"/>
              <w:spacing w:after="0" w:line="185" w:lineRule="exact"/>
              <w:rPr>
                <w:sz w:val="20"/>
                <w:szCs w:val="20"/>
                <w:color w:val="auto"/>
              </w:rPr>
            </w:pPr>
            <w:r>
              <w:rPr>
                <w:rFonts w:ascii="Calibri" w:cs="Calibri" w:eastAsia="Calibri" w:hAnsi="Calibri"/>
                <w:sz w:val="16"/>
                <w:szCs w:val="16"/>
                <w:b w:val="1"/>
                <w:bCs w:val="1"/>
                <w:color w:val="auto"/>
              </w:rPr>
              <w:t>9,608</w:t>
            </w:r>
          </w:p>
        </w:tc>
        <w:tc>
          <w:tcPr>
            <w:tcW w:w="1040" w:type="dxa"/>
            <w:vAlign w:val="bottom"/>
          </w:tcPr>
          <w:p>
            <w:pPr>
              <w:jc w:val="right"/>
              <w:spacing w:after="0" w:line="185" w:lineRule="exact"/>
              <w:rPr>
                <w:sz w:val="20"/>
                <w:szCs w:val="20"/>
                <w:color w:val="auto"/>
              </w:rPr>
            </w:pPr>
            <w:r>
              <w:rPr>
                <w:rFonts w:ascii="Calibri" w:cs="Calibri" w:eastAsia="Calibri" w:hAnsi="Calibri"/>
                <w:sz w:val="16"/>
                <w:szCs w:val="16"/>
                <w:color w:val="auto"/>
              </w:rPr>
              <w:t>2,062</w:t>
            </w:r>
          </w:p>
        </w:tc>
        <w:tc>
          <w:tcPr>
            <w:tcW w:w="100" w:type="dxa"/>
            <w:vAlign w:val="bottom"/>
          </w:tcPr>
          <w:p>
            <w:pPr>
              <w:spacing w:after="0"/>
              <w:rPr>
                <w:sz w:val="16"/>
                <w:szCs w:val="16"/>
                <w:color w:val="auto"/>
              </w:rPr>
            </w:pPr>
          </w:p>
        </w:tc>
        <w:tc>
          <w:tcPr>
            <w:tcW w:w="2180" w:type="dxa"/>
            <w:vAlign w:val="bottom"/>
          </w:tcPr>
          <w:p>
            <w:pPr>
              <w:jc w:val="right"/>
              <w:ind w:right="519"/>
              <w:spacing w:after="0" w:line="185" w:lineRule="exact"/>
              <w:rPr>
                <w:sz w:val="20"/>
                <w:szCs w:val="20"/>
                <w:color w:val="auto"/>
              </w:rPr>
            </w:pPr>
            <w:r>
              <w:rPr>
                <w:rFonts w:ascii="Calibri" w:cs="Calibri" w:eastAsia="Calibri" w:hAnsi="Calibri"/>
                <w:sz w:val="16"/>
                <w:szCs w:val="16"/>
                <w:b w:val="1"/>
                <w:bCs w:val="1"/>
                <w:color w:val="auto"/>
              </w:rPr>
              <w:t>12,215</w:t>
            </w:r>
          </w:p>
        </w:tc>
        <w:tc>
          <w:tcPr>
            <w:tcW w:w="1080" w:type="dxa"/>
            <w:vAlign w:val="bottom"/>
          </w:tcPr>
          <w:p>
            <w:pPr>
              <w:jc w:val="right"/>
              <w:spacing w:after="0" w:line="185" w:lineRule="exact"/>
              <w:rPr>
                <w:sz w:val="20"/>
                <w:szCs w:val="20"/>
                <w:color w:val="auto"/>
              </w:rPr>
            </w:pPr>
            <w:r>
              <w:rPr>
                <w:rFonts w:ascii="Calibri" w:cs="Calibri" w:eastAsia="Calibri" w:hAnsi="Calibri"/>
                <w:sz w:val="16"/>
                <w:szCs w:val="16"/>
                <w:color w:val="auto"/>
              </w:rPr>
              <w:t>4,224</w:t>
            </w:r>
          </w:p>
        </w:tc>
      </w:tr>
      <w:tr>
        <w:trPr>
          <w:trHeight w:val="198"/>
        </w:trPr>
        <w:tc>
          <w:tcPr>
            <w:tcW w:w="280" w:type="dxa"/>
            <w:vAlign w:val="bottom"/>
          </w:tcPr>
          <w:p>
            <w:pPr>
              <w:spacing w:after="0"/>
              <w:rPr>
                <w:sz w:val="17"/>
                <w:szCs w:val="17"/>
                <w:color w:val="auto"/>
              </w:rPr>
            </w:pPr>
          </w:p>
        </w:tc>
        <w:tc>
          <w:tcPr>
            <w:tcW w:w="3920" w:type="dxa"/>
            <w:vAlign w:val="bottom"/>
          </w:tcPr>
          <w:p>
            <w:pPr>
              <w:ind w:left="20"/>
              <w:spacing w:after="0"/>
              <w:rPr>
                <w:sz w:val="20"/>
                <w:szCs w:val="20"/>
                <w:color w:val="auto"/>
              </w:rPr>
            </w:pPr>
            <w:r>
              <w:rPr>
                <w:rFonts w:ascii="Calibri" w:cs="Calibri" w:eastAsia="Calibri" w:hAnsi="Calibri"/>
                <w:sz w:val="16"/>
                <w:szCs w:val="16"/>
                <w:color w:val="auto"/>
              </w:rPr>
              <w:t>Payroll, consultng and benefts</w:t>
            </w:r>
          </w:p>
        </w:tc>
        <w:tc>
          <w:tcPr>
            <w:tcW w:w="2220" w:type="dxa"/>
            <w:vAlign w:val="bottom"/>
          </w:tcPr>
          <w:p>
            <w:pPr>
              <w:jc w:val="right"/>
              <w:ind w:right="559"/>
              <w:spacing w:after="0"/>
              <w:rPr>
                <w:sz w:val="20"/>
                <w:szCs w:val="20"/>
                <w:color w:val="auto"/>
              </w:rPr>
            </w:pPr>
            <w:r>
              <w:rPr>
                <w:rFonts w:ascii="Calibri" w:cs="Calibri" w:eastAsia="Calibri" w:hAnsi="Calibri"/>
                <w:sz w:val="16"/>
                <w:szCs w:val="16"/>
                <w:b w:val="1"/>
                <w:bCs w:val="1"/>
                <w:color w:val="auto"/>
              </w:rPr>
              <w:t>3,085</w:t>
            </w:r>
          </w:p>
        </w:tc>
        <w:tc>
          <w:tcPr>
            <w:tcW w:w="1040" w:type="dxa"/>
            <w:vAlign w:val="bottom"/>
          </w:tcPr>
          <w:p>
            <w:pPr>
              <w:jc w:val="right"/>
              <w:spacing w:after="0"/>
              <w:rPr>
                <w:sz w:val="20"/>
                <w:szCs w:val="20"/>
                <w:color w:val="auto"/>
              </w:rPr>
            </w:pPr>
            <w:r>
              <w:rPr>
                <w:rFonts w:ascii="Calibri" w:cs="Calibri" w:eastAsia="Calibri" w:hAnsi="Calibri"/>
                <w:sz w:val="16"/>
                <w:szCs w:val="16"/>
                <w:color w:val="auto"/>
              </w:rPr>
              <w:t>1,342</w:t>
            </w:r>
          </w:p>
        </w:tc>
        <w:tc>
          <w:tcPr>
            <w:tcW w:w="100" w:type="dxa"/>
            <w:vAlign w:val="bottom"/>
          </w:tcPr>
          <w:p>
            <w:pPr>
              <w:spacing w:after="0"/>
              <w:rPr>
                <w:sz w:val="17"/>
                <w:szCs w:val="17"/>
                <w:color w:val="auto"/>
              </w:rPr>
            </w:pPr>
          </w:p>
        </w:tc>
        <w:tc>
          <w:tcPr>
            <w:tcW w:w="2180" w:type="dxa"/>
            <w:vAlign w:val="bottom"/>
          </w:tcPr>
          <w:p>
            <w:pPr>
              <w:jc w:val="right"/>
              <w:ind w:right="519"/>
              <w:spacing w:after="0"/>
              <w:rPr>
                <w:sz w:val="20"/>
                <w:szCs w:val="20"/>
                <w:color w:val="auto"/>
              </w:rPr>
            </w:pPr>
            <w:r>
              <w:rPr>
                <w:rFonts w:ascii="Calibri" w:cs="Calibri" w:eastAsia="Calibri" w:hAnsi="Calibri"/>
                <w:sz w:val="16"/>
                <w:szCs w:val="16"/>
                <w:b w:val="1"/>
                <w:bCs w:val="1"/>
                <w:color w:val="auto"/>
              </w:rPr>
              <w:t>6,107</w:t>
            </w:r>
          </w:p>
        </w:tc>
        <w:tc>
          <w:tcPr>
            <w:tcW w:w="1080" w:type="dxa"/>
            <w:vAlign w:val="bottom"/>
          </w:tcPr>
          <w:p>
            <w:pPr>
              <w:jc w:val="right"/>
              <w:spacing w:after="0"/>
              <w:rPr>
                <w:sz w:val="20"/>
                <w:szCs w:val="20"/>
                <w:color w:val="auto"/>
              </w:rPr>
            </w:pPr>
            <w:r>
              <w:rPr>
                <w:rFonts w:ascii="Calibri" w:cs="Calibri" w:eastAsia="Calibri" w:hAnsi="Calibri"/>
                <w:sz w:val="16"/>
                <w:szCs w:val="16"/>
                <w:color w:val="auto"/>
              </w:rPr>
              <w:t>2,790</w:t>
            </w:r>
          </w:p>
        </w:tc>
      </w:tr>
      <w:tr>
        <w:trPr>
          <w:trHeight w:val="206"/>
        </w:trPr>
        <w:tc>
          <w:tcPr>
            <w:tcW w:w="280" w:type="dxa"/>
            <w:vAlign w:val="bottom"/>
          </w:tcPr>
          <w:p>
            <w:pPr>
              <w:spacing w:after="0"/>
              <w:rPr>
                <w:sz w:val="17"/>
                <w:szCs w:val="17"/>
                <w:color w:val="auto"/>
              </w:rPr>
            </w:pPr>
          </w:p>
        </w:tc>
        <w:tc>
          <w:tcPr>
            <w:tcW w:w="3920" w:type="dxa"/>
            <w:vAlign w:val="bottom"/>
          </w:tcPr>
          <w:p>
            <w:pPr>
              <w:ind w:left="20"/>
              <w:spacing w:after="0"/>
              <w:rPr>
                <w:sz w:val="20"/>
                <w:szCs w:val="20"/>
                <w:color w:val="auto"/>
              </w:rPr>
            </w:pPr>
            <w:r>
              <w:rPr>
                <w:rFonts w:ascii="Calibri" w:cs="Calibri" w:eastAsia="Calibri" w:hAnsi="Calibri"/>
                <w:sz w:val="16"/>
                <w:szCs w:val="16"/>
                <w:color w:val="auto"/>
              </w:rPr>
              <w:t>Investor relatons</w:t>
            </w:r>
          </w:p>
        </w:tc>
        <w:tc>
          <w:tcPr>
            <w:tcW w:w="2220" w:type="dxa"/>
            <w:vAlign w:val="bottom"/>
          </w:tcPr>
          <w:p>
            <w:pPr>
              <w:jc w:val="right"/>
              <w:ind w:right="559"/>
              <w:spacing w:after="0"/>
              <w:rPr>
                <w:sz w:val="20"/>
                <w:szCs w:val="20"/>
                <w:color w:val="auto"/>
              </w:rPr>
            </w:pPr>
            <w:r>
              <w:rPr>
                <w:rFonts w:ascii="Calibri" w:cs="Calibri" w:eastAsia="Calibri" w:hAnsi="Calibri"/>
                <w:sz w:val="16"/>
                <w:szCs w:val="16"/>
                <w:b w:val="1"/>
                <w:bCs w:val="1"/>
                <w:color w:val="auto"/>
              </w:rPr>
              <w:t>874</w:t>
            </w:r>
          </w:p>
        </w:tc>
        <w:tc>
          <w:tcPr>
            <w:tcW w:w="1040" w:type="dxa"/>
            <w:vAlign w:val="bottom"/>
          </w:tcPr>
          <w:p>
            <w:pPr>
              <w:jc w:val="right"/>
              <w:spacing w:after="0"/>
              <w:rPr>
                <w:sz w:val="20"/>
                <w:szCs w:val="20"/>
                <w:color w:val="auto"/>
              </w:rPr>
            </w:pPr>
            <w:r>
              <w:rPr>
                <w:rFonts w:ascii="Calibri" w:cs="Calibri" w:eastAsia="Calibri" w:hAnsi="Calibri"/>
                <w:sz w:val="16"/>
                <w:szCs w:val="16"/>
                <w:color w:val="auto"/>
              </w:rPr>
              <w:t>315</w:t>
            </w:r>
          </w:p>
        </w:tc>
        <w:tc>
          <w:tcPr>
            <w:tcW w:w="100" w:type="dxa"/>
            <w:vAlign w:val="bottom"/>
          </w:tcPr>
          <w:p>
            <w:pPr>
              <w:spacing w:after="0"/>
              <w:rPr>
                <w:sz w:val="17"/>
                <w:szCs w:val="17"/>
                <w:color w:val="auto"/>
              </w:rPr>
            </w:pPr>
          </w:p>
        </w:tc>
        <w:tc>
          <w:tcPr>
            <w:tcW w:w="2180" w:type="dxa"/>
            <w:vAlign w:val="bottom"/>
          </w:tcPr>
          <w:p>
            <w:pPr>
              <w:jc w:val="right"/>
              <w:ind w:right="519"/>
              <w:spacing w:after="0"/>
              <w:rPr>
                <w:sz w:val="20"/>
                <w:szCs w:val="20"/>
                <w:color w:val="auto"/>
              </w:rPr>
            </w:pPr>
            <w:r>
              <w:rPr>
                <w:rFonts w:ascii="Calibri" w:cs="Calibri" w:eastAsia="Calibri" w:hAnsi="Calibri"/>
                <w:sz w:val="16"/>
                <w:szCs w:val="16"/>
                <w:b w:val="1"/>
                <w:bCs w:val="1"/>
                <w:color w:val="auto"/>
              </w:rPr>
              <w:t>1,385</w:t>
            </w:r>
          </w:p>
        </w:tc>
        <w:tc>
          <w:tcPr>
            <w:tcW w:w="1080" w:type="dxa"/>
            <w:vAlign w:val="bottom"/>
          </w:tcPr>
          <w:p>
            <w:pPr>
              <w:jc w:val="right"/>
              <w:spacing w:after="0"/>
              <w:rPr>
                <w:sz w:val="20"/>
                <w:szCs w:val="20"/>
                <w:color w:val="auto"/>
              </w:rPr>
            </w:pPr>
            <w:r>
              <w:rPr>
                <w:rFonts w:ascii="Calibri" w:cs="Calibri" w:eastAsia="Calibri" w:hAnsi="Calibri"/>
                <w:sz w:val="16"/>
                <w:szCs w:val="16"/>
                <w:color w:val="auto"/>
              </w:rPr>
              <w:t>442</w:t>
            </w:r>
          </w:p>
        </w:tc>
      </w:tr>
      <w:tr>
        <w:trPr>
          <w:trHeight w:val="206"/>
        </w:trPr>
        <w:tc>
          <w:tcPr>
            <w:tcW w:w="280" w:type="dxa"/>
            <w:vAlign w:val="bottom"/>
          </w:tcPr>
          <w:p>
            <w:pPr>
              <w:spacing w:after="0"/>
              <w:rPr>
                <w:sz w:val="17"/>
                <w:szCs w:val="17"/>
                <w:color w:val="auto"/>
              </w:rPr>
            </w:pPr>
          </w:p>
        </w:tc>
        <w:tc>
          <w:tcPr>
            <w:tcW w:w="3920" w:type="dxa"/>
            <w:vAlign w:val="bottom"/>
          </w:tcPr>
          <w:p>
            <w:pPr>
              <w:ind w:left="20"/>
              <w:spacing w:after="0"/>
              <w:rPr>
                <w:sz w:val="20"/>
                <w:szCs w:val="20"/>
                <w:color w:val="auto"/>
              </w:rPr>
            </w:pPr>
            <w:r>
              <w:rPr>
                <w:rFonts w:ascii="Calibri" w:cs="Calibri" w:eastAsia="Calibri" w:hAnsi="Calibri"/>
                <w:sz w:val="16"/>
                <w:szCs w:val="16"/>
                <w:color w:val="auto"/>
              </w:rPr>
              <w:t>Ofce and administraton</w:t>
            </w:r>
          </w:p>
        </w:tc>
        <w:tc>
          <w:tcPr>
            <w:tcW w:w="2220" w:type="dxa"/>
            <w:vAlign w:val="bottom"/>
          </w:tcPr>
          <w:p>
            <w:pPr>
              <w:jc w:val="right"/>
              <w:ind w:right="559"/>
              <w:spacing w:after="0"/>
              <w:rPr>
                <w:sz w:val="20"/>
                <w:szCs w:val="20"/>
                <w:color w:val="auto"/>
              </w:rPr>
            </w:pPr>
            <w:r>
              <w:rPr>
                <w:rFonts w:ascii="Calibri" w:cs="Calibri" w:eastAsia="Calibri" w:hAnsi="Calibri"/>
                <w:sz w:val="16"/>
                <w:szCs w:val="16"/>
                <w:b w:val="1"/>
                <w:bCs w:val="1"/>
                <w:color w:val="auto"/>
              </w:rPr>
              <w:t>848</w:t>
            </w:r>
          </w:p>
        </w:tc>
        <w:tc>
          <w:tcPr>
            <w:tcW w:w="1040" w:type="dxa"/>
            <w:vAlign w:val="bottom"/>
          </w:tcPr>
          <w:p>
            <w:pPr>
              <w:jc w:val="right"/>
              <w:spacing w:after="0"/>
              <w:rPr>
                <w:sz w:val="20"/>
                <w:szCs w:val="20"/>
                <w:color w:val="auto"/>
              </w:rPr>
            </w:pPr>
            <w:r>
              <w:rPr>
                <w:rFonts w:ascii="Calibri" w:cs="Calibri" w:eastAsia="Calibri" w:hAnsi="Calibri"/>
                <w:sz w:val="16"/>
                <w:szCs w:val="16"/>
                <w:color w:val="auto"/>
              </w:rPr>
              <w:t>611</w:t>
            </w:r>
          </w:p>
        </w:tc>
        <w:tc>
          <w:tcPr>
            <w:tcW w:w="100" w:type="dxa"/>
            <w:vAlign w:val="bottom"/>
          </w:tcPr>
          <w:p>
            <w:pPr>
              <w:spacing w:after="0"/>
              <w:rPr>
                <w:sz w:val="17"/>
                <w:szCs w:val="17"/>
                <w:color w:val="auto"/>
              </w:rPr>
            </w:pPr>
          </w:p>
        </w:tc>
        <w:tc>
          <w:tcPr>
            <w:tcW w:w="2180" w:type="dxa"/>
            <w:vAlign w:val="bottom"/>
          </w:tcPr>
          <w:p>
            <w:pPr>
              <w:jc w:val="right"/>
              <w:ind w:right="519"/>
              <w:spacing w:after="0"/>
              <w:rPr>
                <w:sz w:val="20"/>
                <w:szCs w:val="20"/>
                <w:color w:val="auto"/>
              </w:rPr>
            </w:pPr>
            <w:r>
              <w:rPr>
                <w:rFonts w:ascii="Calibri" w:cs="Calibri" w:eastAsia="Calibri" w:hAnsi="Calibri"/>
                <w:sz w:val="16"/>
                <w:szCs w:val="16"/>
                <w:b w:val="1"/>
                <w:bCs w:val="1"/>
                <w:color w:val="auto"/>
              </w:rPr>
              <w:t>1,615</w:t>
            </w:r>
          </w:p>
        </w:tc>
        <w:tc>
          <w:tcPr>
            <w:tcW w:w="1080" w:type="dxa"/>
            <w:vAlign w:val="bottom"/>
          </w:tcPr>
          <w:p>
            <w:pPr>
              <w:jc w:val="right"/>
              <w:spacing w:after="0"/>
              <w:rPr>
                <w:sz w:val="20"/>
                <w:szCs w:val="20"/>
                <w:color w:val="auto"/>
              </w:rPr>
            </w:pPr>
            <w:r>
              <w:rPr>
                <w:rFonts w:ascii="Calibri" w:cs="Calibri" w:eastAsia="Calibri" w:hAnsi="Calibri"/>
                <w:sz w:val="16"/>
                <w:szCs w:val="16"/>
                <w:color w:val="auto"/>
              </w:rPr>
              <w:t>1,219</w:t>
            </w:r>
          </w:p>
        </w:tc>
      </w:tr>
      <w:tr>
        <w:trPr>
          <w:trHeight w:val="206"/>
        </w:trPr>
        <w:tc>
          <w:tcPr>
            <w:tcW w:w="280" w:type="dxa"/>
            <w:vAlign w:val="bottom"/>
          </w:tcPr>
          <w:p>
            <w:pPr>
              <w:spacing w:after="0"/>
              <w:rPr>
                <w:sz w:val="17"/>
                <w:szCs w:val="17"/>
                <w:color w:val="auto"/>
              </w:rPr>
            </w:pPr>
          </w:p>
        </w:tc>
        <w:tc>
          <w:tcPr>
            <w:tcW w:w="3920" w:type="dxa"/>
            <w:vAlign w:val="bottom"/>
          </w:tcPr>
          <w:p>
            <w:pPr>
              <w:ind w:left="20"/>
              <w:spacing w:after="0"/>
              <w:rPr>
                <w:sz w:val="20"/>
                <w:szCs w:val="20"/>
                <w:color w:val="auto"/>
              </w:rPr>
            </w:pPr>
            <w:r>
              <w:rPr>
                <w:rFonts w:ascii="Calibri" w:cs="Calibri" w:eastAsia="Calibri" w:hAnsi="Calibri"/>
                <w:sz w:val="16"/>
                <w:szCs w:val="16"/>
                <w:color w:val="auto"/>
              </w:rPr>
              <w:t>Professional and consultng fees</w:t>
            </w:r>
          </w:p>
        </w:tc>
        <w:tc>
          <w:tcPr>
            <w:tcW w:w="2220" w:type="dxa"/>
            <w:vAlign w:val="bottom"/>
          </w:tcPr>
          <w:p>
            <w:pPr>
              <w:jc w:val="right"/>
              <w:ind w:right="559"/>
              <w:spacing w:after="0"/>
              <w:rPr>
                <w:sz w:val="20"/>
                <w:szCs w:val="20"/>
                <w:color w:val="auto"/>
              </w:rPr>
            </w:pPr>
            <w:r>
              <w:rPr>
                <w:rFonts w:ascii="Calibri" w:cs="Calibri" w:eastAsia="Calibri" w:hAnsi="Calibri"/>
                <w:sz w:val="16"/>
                <w:szCs w:val="16"/>
                <w:b w:val="1"/>
                <w:bCs w:val="1"/>
                <w:color w:val="auto"/>
              </w:rPr>
              <w:t>812</w:t>
            </w:r>
          </w:p>
        </w:tc>
        <w:tc>
          <w:tcPr>
            <w:tcW w:w="1040" w:type="dxa"/>
            <w:vAlign w:val="bottom"/>
          </w:tcPr>
          <w:p>
            <w:pPr>
              <w:jc w:val="right"/>
              <w:spacing w:after="0"/>
              <w:rPr>
                <w:sz w:val="20"/>
                <w:szCs w:val="20"/>
                <w:color w:val="auto"/>
              </w:rPr>
            </w:pPr>
            <w:r>
              <w:rPr>
                <w:rFonts w:ascii="Calibri" w:cs="Calibri" w:eastAsia="Calibri" w:hAnsi="Calibri"/>
                <w:sz w:val="16"/>
                <w:szCs w:val="16"/>
                <w:color w:val="auto"/>
              </w:rPr>
              <w:t>1,088</w:t>
            </w:r>
          </w:p>
        </w:tc>
        <w:tc>
          <w:tcPr>
            <w:tcW w:w="100" w:type="dxa"/>
            <w:vAlign w:val="bottom"/>
          </w:tcPr>
          <w:p>
            <w:pPr>
              <w:spacing w:after="0"/>
              <w:rPr>
                <w:sz w:val="17"/>
                <w:szCs w:val="17"/>
                <w:color w:val="auto"/>
              </w:rPr>
            </w:pPr>
          </w:p>
        </w:tc>
        <w:tc>
          <w:tcPr>
            <w:tcW w:w="2180" w:type="dxa"/>
            <w:vAlign w:val="bottom"/>
          </w:tcPr>
          <w:p>
            <w:pPr>
              <w:jc w:val="right"/>
              <w:ind w:right="519"/>
              <w:spacing w:after="0"/>
              <w:rPr>
                <w:sz w:val="20"/>
                <w:szCs w:val="20"/>
                <w:color w:val="auto"/>
              </w:rPr>
            </w:pPr>
            <w:r>
              <w:rPr>
                <w:rFonts w:ascii="Calibri" w:cs="Calibri" w:eastAsia="Calibri" w:hAnsi="Calibri"/>
                <w:sz w:val="16"/>
                <w:szCs w:val="16"/>
                <w:b w:val="1"/>
                <w:bCs w:val="1"/>
                <w:color w:val="auto"/>
              </w:rPr>
              <w:t>1,441</w:t>
            </w:r>
          </w:p>
        </w:tc>
        <w:tc>
          <w:tcPr>
            <w:tcW w:w="1080" w:type="dxa"/>
            <w:vAlign w:val="bottom"/>
          </w:tcPr>
          <w:p>
            <w:pPr>
              <w:jc w:val="right"/>
              <w:spacing w:after="0"/>
              <w:rPr>
                <w:sz w:val="20"/>
                <w:szCs w:val="20"/>
                <w:color w:val="auto"/>
              </w:rPr>
            </w:pPr>
            <w:r>
              <w:rPr>
                <w:rFonts w:ascii="Calibri" w:cs="Calibri" w:eastAsia="Calibri" w:hAnsi="Calibri"/>
                <w:sz w:val="16"/>
                <w:szCs w:val="16"/>
                <w:color w:val="auto"/>
              </w:rPr>
              <w:t>1,506</w:t>
            </w:r>
          </w:p>
        </w:tc>
      </w:tr>
      <w:tr>
        <w:trPr>
          <w:trHeight w:val="206"/>
        </w:trPr>
        <w:tc>
          <w:tcPr>
            <w:tcW w:w="280" w:type="dxa"/>
            <w:vAlign w:val="bottom"/>
          </w:tcPr>
          <w:p>
            <w:pPr>
              <w:spacing w:after="0"/>
              <w:rPr>
                <w:sz w:val="17"/>
                <w:szCs w:val="17"/>
                <w:color w:val="auto"/>
              </w:rPr>
            </w:pPr>
          </w:p>
        </w:tc>
        <w:tc>
          <w:tcPr>
            <w:tcW w:w="3920" w:type="dxa"/>
            <w:vAlign w:val="bottom"/>
          </w:tcPr>
          <w:p>
            <w:pPr>
              <w:ind w:left="20"/>
              <w:spacing w:after="0"/>
              <w:rPr>
                <w:sz w:val="20"/>
                <w:szCs w:val="20"/>
                <w:color w:val="auto"/>
              </w:rPr>
            </w:pPr>
            <w:r>
              <w:rPr>
                <w:rFonts w:ascii="Calibri" w:cs="Calibri" w:eastAsia="Calibri" w:hAnsi="Calibri"/>
                <w:sz w:val="16"/>
                <w:szCs w:val="16"/>
                <w:color w:val="auto"/>
              </w:rPr>
              <w:t>Business development</w:t>
            </w:r>
          </w:p>
        </w:tc>
        <w:tc>
          <w:tcPr>
            <w:tcW w:w="2220" w:type="dxa"/>
            <w:vAlign w:val="bottom"/>
          </w:tcPr>
          <w:p>
            <w:pPr>
              <w:jc w:val="right"/>
              <w:ind w:right="559"/>
              <w:spacing w:after="0"/>
              <w:rPr>
                <w:sz w:val="20"/>
                <w:szCs w:val="20"/>
                <w:color w:val="auto"/>
              </w:rPr>
            </w:pPr>
            <w:r>
              <w:rPr>
                <w:rFonts w:ascii="Calibri" w:cs="Calibri" w:eastAsia="Calibri" w:hAnsi="Calibri"/>
                <w:sz w:val="16"/>
                <w:szCs w:val="16"/>
                <w:b w:val="1"/>
                <w:bCs w:val="1"/>
                <w:color w:val="auto"/>
              </w:rPr>
              <w:t>323</w:t>
            </w:r>
          </w:p>
        </w:tc>
        <w:tc>
          <w:tcPr>
            <w:tcW w:w="1040" w:type="dxa"/>
            <w:vAlign w:val="bottom"/>
          </w:tcPr>
          <w:p>
            <w:pPr>
              <w:jc w:val="right"/>
              <w:spacing w:after="0"/>
              <w:rPr>
                <w:sz w:val="20"/>
                <w:szCs w:val="20"/>
                <w:color w:val="auto"/>
              </w:rPr>
            </w:pPr>
            <w:r>
              <w:rPr>
                <w:rFonts w:ascii="Calibri" w:cs="Calibri" w:eastAsia="Calibri" w:hAnsi="Calibri"/>
                <w:sz w:val="16"/>
                <w:szCs w:val="16"/>
                <w:color w:val="auto"/>
              </w:rPr>
              <w:t>286</w:t>
            </w:r>
          </w:p>
        </w:tc>
        <w:tc>
          <w:tcPr>
            <w:tcW w:w="100" w:type="dxa"/>
            <w:vAlign w:val="bottom"/>
          </w:tcPr>
          <w:p>
            <w:pPr>
              <w:spacing w:after="0"/>
              <w:rPr>
                <w:sz w:val="17"/>
                <w:szCs w:val="17"/>
                <w:color w:val="auto"/>
              </w:rPr>
            </w:pPr>
          </w:p>
        </w:tc>
        <w:tc>
          <w:tcPr>
            <w:tcW w:w="2180" w:type="dxa"/>
            <w:vAlign w:val="bottom"/>
          </w:tcPr>
          <w:p>
            <w:pPr>
              <w:jc w:val="right"/>
              <w:ind w:right="519"/>
              <w:spacing w:after="0"/>
              <w:rPr>
                <w:sz w:val="20"/>
                <w:szCs w:val="20"/>
                <w:color w:val="auto"/>
              </w:rPr>
            </w:pPr>
            <w:r>
              <w:rPr>
                <w:rFonts w:ascii="Calibri" w:cs="Calibri" w:eastAsia="Calibri" w:hAnsi="Calibri"/>
                <w:sz w:val="16"/>
                <w:szCs w:val="16"/>
                <w:b w:val="1"/>
                <w:bCs w:val="1"/>
                <w:color w:val="auto"/>
              </w:rPr>
              <w:t>958</w:t>
            </w:r>
          </w:p>
        </w:tc>
        <w:tc>
          <w:tcPr>
            <w:tcW w:w="1080" w:type="dxa"/>
            <w:vAlign w:val="bottom"/>
          </w:tcPr>
          <w:p>
            <w:pPr>
              <w:jc w:val="right"/>
              <w:spacing w:after="0"/>
              <w:rPr>
                <w:sz w:val="20"/>
                <w:szCs w:val="20"/>
                <w:color w:val="auto"/>
              </w:rPr>
            </w:pPr>
            <w:r>
              <w:rPr>
                <w:rFonts w:ascii="Calibri" w:cs="Calibri" w:eastAsia="Calibri" w:hAnsi="Calibri"/>
                <w:sz w:val="16"/>
                <w:szCs w:val="16"/>
                <w:color w:val="auto"/>
              </w:rPr>
              <w:t>489</w:t>
            </w:r>
          </w:p>
        </w:tc>
      </w:tr>
      <w:tr>
        <w:trPr>
          <w:trHeight w:val="206"/>
        </w:trPr>
        <w:tc>
          <w:tcPr>
            <w:tcW w:w="280" w:type="dxa"/>
            <w:vAlign w:val="bottom"/>
          </w:tcPr>
          <w:p>
            <w:pPr>
              <w:spacing w:after="0"/>
              <w:rPr>
                <w:sz w:val="17"/>
                <w:szCs w:val="17"/>
                <w:color w:val="auto"/>
              </w:rPr>
            </w:pPr>
          </w:p>
        </w:tc>
        <w:tc>
          <w:tcPr>
            <w:tcW w:w="3920" w:type="dxa"/>
            <w:vAlign w:val="bottom"/>
          </w:tcPr>
          <w:p>
            <w:pPr>
              <w:ind w:left="20"/>
              <w:spacing w:after="0"/>
              <w:rPr>
                <w:sz w:val="20"/>
                <w:szCs w:val="20"/>
                <w:color w:val="auto"/>
              </w:rPr>
            </w:pPr>
            <w:r>
              <w:rPr>
                <w:rFonts w:ascii="Calibri" w:cs="Calibri" w:eastAsia="Calibri" w:hAnsi="Calibri"/>
                <w:sz w:val="16"/>
                <w:szCs w:val="16"/>
                <w:color w:val="auto"/>
              </w:rPr>
              <w:t>Listng fees</w:t>
            </w:r>
          </w:p>
        </w:tc>
        <w:tc>
          <w:tcPr>
            <w:tcW w:w="2220" w:type="dxa"/>
            <w:vAlign w:val="bottom"/>
          </w:tcPr>
          <w:p>
            <w:pPr>
              <w:jc w:val="right"/>
              <w:ind w:right="559"/>
              <w:spacing w:after="0"/>
              <w:rPr>
                <w:sz w:val="20"/>
                <w:szCs w:val="20"/>
                <w:color w:val="auto"/>
              </w:rPr>
            </w:pPr>
            <w:r>
              <w:rPr>
                <w:rFonts w:ascii="Calibri" w:cs="Calibri" w:eastAsia="Calibri" w:hAnsi="Calibri"/>
                <w:sz w:val="16"/>
                <w:szCs w:val="16"/>
                <w:b w:val="1"/>
                <w:bCs w:val="1"/>
                <w:color w:val="auto"/>
              </w:rPr>
              <w:t>79</w:t>
            </w:r>
          </w:p>
        </w:tc>
        <w:tc>
          <w:tcPr>
            <w:tcW w:w="1040" w:type="dxa"/>
            <w:vAlign w:val="bottom"/>
          </w:tcPr>
          <w:p>
            <w:pPr>
              <w:jc w:val="right"/>
              <w:spacing w:after="0"/>
              <w:rPr>
                <w:sz w:val="20"/>
                <w:szCs w:val="20"/>
                <w:color w:val="auto"/>
              </w:rPr>
            </w:pPr>
            <w:r>
              <w:rPr>
                <w:rFonts w:ascii="Calibri" w:cs="Calibri" w:eastAsia="Calibri" w:hAnsi="Calibri"/>
                <w:sz w:val="16"/>
                <w:szCs w:val="16"/>
                <w:color w:val="auto"/>
              </w:rPr>
              <w:t>81</w:t>
            </w:r>
          </w:p>
        </w:tc>
        <w:tc>
          <w:tcPr>
            <w:tcW w:w="100" w:type="dxa"/>
            <w:vAlign w:val="bottom"/>
          </w:tcPr>
          <w:p>
            <w:pPr>
              <w:spacing w:after="0"/>
              <w:rPr>
                <w:sz w:val="17"/>
                <w:szCs w:val="17"/>
                <w:color w:val="auto"/>
              </w:rPr>
            </w:pPr>
          </w:p>
        </w:tc>
        <w:tc>
          <w:tcPr>
            <w:tcW w:w="2180" w:type="dxa"/>
            <w:vAlign w:val="bottom"/>
          </w:tcPr>
          <w:p>
            <w:pPr>
              <w:jc w:val="right"/>
              <w:ind w:right="519"/>
              <w:spacing w:after="0"/>
              <w:rPr>
                <w:sz w:val="20"/>
                <w:szCs w:val="20"/>
                <w:color w:val="auto"/>
              </w:rPr>
            </w:pPr>
            <w:r>
              <w:rPr>
                <w:rFonts w:ascii="Calibri" w:cs="Calibri" w:eastAsia="Calibri" w:hAnsi="Calibri"/>
                <w:sz w:val="16"/>
                <w:szCs w:val="16"/>
                <w:b w:val="1"/>
                <w:bCs w:val="1"/>
                <w:color w:val="auto"/>
              </w:rPr>
              <w:t>180</w:t>
            </w:r>
          </w:p>
        </w:tc>
        <w:tc>
          <w:tcPr>
            <w:tcW w:w="1080" w:type="dxa"/>
            <w:vAlign w:val="bottom"/>
          </w:tcPr>
          <w:p>
            <w:pPr>
              <w:jc w:val="right"/>
              <w:spacing w:after="0"/>
              <w:rPr>
                <w:sz w:val="20"/>
                <w:szCs w:val="20"/>
                <w:color w:val="auto"/>
              </w:rPr>
            </w:pPr>
            <w:r>
              <w:rPr>
                <w:rFonts w:ascii="Calibri" w:cs="Calibri" w:eastAsia="Calibri" w:hAnsi="Calibri"/>
                <w:sz w:val="16"/>
                <w:szCs w:val="16"/>
                <w:color w:val="auto"/>
              </w:rPr>
              <w:t>151</w:t>
            </w:r>
          </w:p>
        </w:tc>
      </w:tr>
      <w:tr>
        <w:trPr>
          <w:trHeight w:val="206"/>
        </w:trPr>
        <w:tc>
          <w:tcPr>
            <w:tcW w:w="280" w:type="dxa"/>
            <w:vAlign w:val="bottom"/>
          </w:tcPr>
          <w:p>
            <w:pPr>
              <w:spacing w:after="0"/>
              <w:rPr>
                <w:sz w:val="17"/>
                <w:szCs w:val="17"/>
                <w:color w:val="auto"/>
              </w:rPr>
            </w:pPr>
          </w:p>
        </w:tc>
        <w:tc>
          <w:tcPr>
            <w:tcW w:w="3920" w:type="dxa"/>
            <w:vAlign w:val="bottom"/>
          </w:tcPr>
          <w:p>
            <w:pPr>
              <w:ind w:left="20"/>
              <w:spacing w:after="0"/>
              <w:rPr>
                <w:sz w:val="20"/>
                <w:szCs w:val="20"/>
                <w:color w:val="auto"/>
              </w:rPr>
            </w:pPr>
            <w:r>
              <w:rPr>
                <w:rFonts w:ascii="Calibri" w:cs="Calibri" w:eastAsia="Calibri" w:hAnsi="Calibri"/>
                <w:sz w:val="16"/>
                <w:szCs w:val="16"/>
                <w:color w:val="auto"/>
              </w:rPr>
              <w:t>Marketng media</w:t>
            </w:r>
          </w:p>
        </w:tc>
        <w:tc>
          <w:tcPr>
            <w:tcW w:w="2220" w:type="dxa"/>
            <w:vAlign w:val="bottom"/>
          </w:tcPr>
          <w:p>
            <w:pPr>
              <w:jc w:val="right"/>
              <w:ind w:right="559"/>
              <w:spacing w:after="0"/>
              <w:rPr>
                <w:sz w:val="20"/>
                <w:szCs w:val="20"/>
                <w:color w:val="auto"/>
              </w:rPr>
            </w:pPr>
            <w:r>
              <w:rPr>
                <w:rFonts w:ascii="Calibri" w:cs="Calibri" w:eastAsia="Calibri" w:hAnsi="Calibri"/>
                <w:sz w:val="16"/>
                <w:szCs w:val="16"/>
                <w:b w:val="1"/>
                <w:bCs w:val="1"/>
                <w:color w:val="auto"/>
              </w:rPr>
              <w:t>49</w:t>
            </w:r>
          </w:p>
        </w:tc>
        <w:tc>
          <w:tcPr>
            <w:tcW w:w="1040" w:type="dxa"/>
            <w:vAlign w:val="bottom"/>
          </w:tcPr>
          <w:p>
            <w:pPr>
              <w:jc w:val="right"/>
              <w:spacing w:after="0"/>
              <w:rPr>
                <w:sz w:val="20"/>
                <w:szCs w:val="20"/>
                <w:color w:val="auto"/>
              </w:rPr>
            </w:pPr>
            <w:r>
              <w:rPr>
                <w:rFonts w:ascii="Calibri" w:cs="Calibri" w:eastAsia="Calibri" w:hAnsi="Calibri"/>
                <w:sz w:val="16"/>
                <w:szCs w:val="16"/>
                <w:color w:val="auto"/>
              </w:rPr>
              <w:t>15</w:t>
            </w:r>
          </w:p>
        </w:tc>
        <w:tc>
          <w:tcPr>
            <w:tcW w:w="100" w:type="dxa"/>
            <w:vAlign w:val="bottom"/>
          </w:tcPr>
          <w:p>
            <w:pPr>
              <w:spacing w:after="0"/>
              <w:rPr>
                <w:sz w:val="17"/>
                <w:szCs w:val="17"/>
                <w:color w:val="auto"/>
              </w:rPr>
            </w:pPr>
          </w:p>
        </w:tc>
        <w:tc>
          <w:tcPr>
            <w:tcW w:w="2180" w:type="dxa"/>
            <w:vAlign w:val="bottom"/>
          </w:tcPr>
          <w:p>
            <w:pPr>
              <w:jc w:val="right"/>
              <w:ind w:right="519"/>
              <w:spacing w:after="0"/>
              <w:rPr>
                <w:sz w:val="20"/>
                <w:szCs w:val="20"/>
                <w:color w:val="auto"/>
              </w:rPr>
            </w:pPr>
            <w:r>
              <w:rPr>
                <w:rFonts w:ascii="Calibri" w:cs="Calibri" w:eastAsia="Calibri" w:hAnsi="Calibri"/>
                <w:sz w:val="16"/>
                <w:szCs w:val="16"/>
                <w:b w:val="1"/>
                <w:bCs w:val="1"/>
                <w:color w:val="auto"/>
              </w:rPr>
              <w:t>80</w:t>
            </w:r>
          </w:p>
        </w:tc>
        <w:tc>
          <w:tcPr>
            <w:tcW w:w="1080" w:type="dxa"/>
            <w:vAlign w:val="bottom"/>
          </w:tcPr>
          <w:p>
            <w:pPr>
              <w:jc w:val="right"/>
              <w:spacing w:after="0"/>
              <w:rPr>
                <w:sz w:val="20"/>
                <w:szCs w:val="20"/>
                <w:color w:val="auto"/>
              </w:rPr>
            </w:pPr>
            <w:r>
              <w:rPr>
                <w:rFonts w:ascii="Calibri" w:cs="Calibri" w:eastAsia="Calibri" w:hAnsi="Calibri"/>
                <w:sz w:val="16"/>
                <w:szCs w:val="16"/>
                <w:color w:val="auto"/>
              </w:rPr>
              <w:t>27</w:t>
            </w:r>
          </w:p>
        </w:tc>
      </w:tr>
      <w:tr>
        <w:trPr>
          <w:trHeight w:val="20"/>
        </w:trPr>
        <w:tc>
          <w:tcPr>
            <w:tcW w:w="280" w:type="dxa"/>
            <w:vAlign w:val="bottom"/>
          </w:tcPr>
          <w:p>
            <w:pPr>
              <w:spacing w:after="0" w:line="20" w:lineRule="exact"/>
              <w:rPr>
                <w:sz w:val="1"/>
                <w:szCs w:val="1"/>
                <w:color w:val="auto"/>
              </w:rPr>
            </w:pPr>
          </w:p>
        </w:tc>
        <w:tc>
          <w:tcPr>
            <w:tcW w:w="3920" w:type="dxa"/>
            <w:vAlign w:val="bottom"/>
            <w:tcBorders>
              <w:bottom w:val="single" w:sz="8" w:color="auto"/>
            </w:tcBorders>
          </w:tcPr>
          <w:p>
            <w:pPr>
              <w:spacing w:after="0" w:line="20" w:lineRule="exact"/>
              <w:rPr>
                <w:sz w:val="1"/>
                <w:szCs w:val="1"/>
                <w:color w:val="auto"/>
              </w:rPr>
            </w:pPr>
          </w:p>
        </w:tc>
        <w:tc>
          <w:tcPr>
            <w:tcW w:w="22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1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r>
      <w:tr>
        <w:trPr>
          <w:trHeight w:val="191"/>
        </w:trPr>
        <w:tc>
          <w:tcPr>
            <w:tcW w:w="280" w:type="dxa"/>
            <w:vAlign w:val="bottom"/>
          </w:tcPr>
          <w:p>
            <w:pPr>
              <w:spacing w:after="0"/>
              <w:rPr>
                <w:sz w:val="16"/>
                <w:szCs w:val="16"/>
                <w:color w:val="auto"/>
              </w:rPr>
            </w:pPr>
          </w:p>
        </w:tc>
        <w:tc>
          <w:tcPr>
            <w:tcW w:w="3920" w:type="dxa"/>
            <w:vAlign w:val="bottom"/>
            <w:tcBorders>
              <w:bottom w:val="single" w:sz="8" w:color="auto"/>
            </w:tcBorders>
          </w:tcPr>
          <w:p>
            <w:pPr>
              <w:ind w:left="60"/>
              <w:spacing w:after="0" w:line="192" w:lineRule="exact"/>
              <w:rPr>
                <w:sz w:val="20"/>
                <w:szCs w:val="20"/>
                <w:color w:val="auto"/>
              </w:rPr>
            </w:pPr>
            <w:r>
              <w:rPr>
                <w:rFonts w:ascii="Calibri" w:cs="Calibri" w:eastAsia="Calibri" w:hAnsi="Calibri"/>
                <w:sz w:val="16"/>
                <w:szCs w:val="16"/>
                <w:b w:val="1"/>
                <w:bCs w:val="1"/>
                <w:color w:val="auto"/>
              </w:rPr>
              <w:t>Total</w:t>
            </w:r>
          </w:p>
        </w:tc>
        <w:tc>
          <w:tcPr>
            <w:tcW w:w="2220" w:type="dxa"/>
            <w:vAlign w:val="bottom"/>
            <w:tcBorders>
              <w:bottom w:val="single" w:sz="8" w:color="auto"/>
            </w:tcBorders>
          </w:tcPr>
          <w:p>
            <w:pPr>
              <w:jc w:val="right"/>
              <w:ind w:right="559"/>
              <w:spacing w:after="0" w:line="192" w:lineRule="exact"/>
              <w:rPr>
                <w:sz w:val="20"/>
                <w:szCs w:val="20"/>
                <w:color w:val="auto"/>
              </w:rPr>
            </w:pPr>
            <w:r>
              <w:rPr>
                <w:rFonts w:ascii="Calibri" w:cs="Calibri" w:eastAsia="Calibri" w:hAnsi="Calibri"/>
                <w:sz w:val="16"/>
                <w:szCs w:val="16"/>
                <w:b w:val="1"/>
                <w:bCs w:val="1"/>
                <w:color w:val="auto"/>
              </w:rPr>
              <w:t>15,678</w:t>
            </w:r>
          </w:p>
        </w:tc>
        <w:tc>
          <w:tcPr>
            <w:tcW w:w="1040" w:type="dxa"/>
            <w:vAlign w:val="bottom"/>
            <w:tcBorders>
              <w:bottom w:val="single" w:sz="8" w:color="auto"/>
            </w:tcBorders>
          </w:tcPr>
          <w:p>
            <w:pPr>
              <w:jc w:val="right"/>
              <w:spacing w:after="0" w:line="192" w:lineRule="exact"/>
              <w:rPr>
                <w:sz w:val="20"/>
                <w:szCs w:val="20"/>
                <w:color w:val="auto"/>
              </w:rPr>
            </w:pPr>
            <w:r>
              <w:rPr>
                <w:rFonts w:ascii="Calibri" w:cs="Calibri" w:eastAsia="Calibri" w:hAnsi="Calibri"/>
                <w:sz w:val="16"/>
                <w:szCs w:val="16"/>
                <w:color w:val="auto"/>
              </w:rPr>
              <w:t>5,800</w:t>
            </w:r>
          </w:p>
        </w:tc>
        <w:tc>
          <w:tcPr>
            <w:tcW w:w="100" w:type="dxa"/>
            <w:vAlign w:val="bottom"/>
            <w:tcBorders>
              <w:bottom w:val="single" w:sz="8" w:color="auto"/>
            </w:tcBorders>
          </w:tcPr>
          <w:p>
            <w:pPr>
              <w:spacing w:after="0"/>
              <w:rPr>
                <w:sz w:val="16"/>
                <w:szCs w:val="16"/>
                <w:color w:val="auto"/>
              </w:rPr>
            </w:pPr>
          </w:p>
        </w:tc>
        <w:tc>
          <w:tcPr>
            <w:tcW w:w="2180" w:type="dxa"/>
            <w:vAlign w:val="bottom"/>
            <w:tcBorders>
              <w:bottom w:val="single" w:sz="8" w:color="auto"/>
            </w:tcBorders>
          </w:tcPr>
          <w:p>
            <w:pPr>
              <w:jc w:val="right"/>
              <w:ind w:right="519"/>
              <w:spacing w:after="0" w:line="192" w:lineRule="exact"/>
              <w:rPr>
                <w:sz w:val="20"/>
                <w:szCs w:val="20"/>
                <w:color w:val="auto"/>
              </w:rPr>
            </w:pPr>
            <w:r>
              <w:rPr>
                <w:rFonts w:ascii="Calibri" w:cs="Calibri" w:eastAsia="Calibri" w:hAnsi="Calibri"/>
                <w:sz w:val="16"/>
                <w:szCs w:val="16"/>
                <w:b w:val="1"/>
                <w:bCs w:val="1"/>
                <w:color w:val="auto"/>
              </w:rPr>
              <w:t>23,981</w:t>
            </w:r>
          </w:p>
        </w:tc>
        <w:tc>
          <w:tcPr>
            <w:tcW w:w="1080" w:type="dxa"/>
            <w:vAlign w:val="bottom"/>
            <w:tcBorders>
              <w:bottom w:val="single" w:sz="8" w:color="auto"/>
            </w:tcBorders>
          </w:tcPr>
          <w:p>
            <w:pPr>
              <w:jc w:val="right"/>
              <w:spacing w:after="0" w:line="192" w:lineRule="exact"/>
              <w:rPr>
                <w:sz w:val="20"/>
                <w:szCs w:val="20"/>
                <w:color w:val="auto"/>
              </w:rPr>
            </w:pPr>
            <w:r>
              <w:rPr>
                <w:rFonts w:ascii="Calibri" w:cs="Calibri" w:eastAsia="Calibri" w:hAnsi="Calibri"/>
                <w:sz w:val="16"/>
                <w:szCs w:val="16"/>
                <w:color w:val="auto"/>
              </w:rPr>
              <w:t>10,848</w:t>
            </w:r>
          </w:p>
        </w:tc>
      </w:tr>
    </w:tbl>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Calibri" w:cs="Calibri" w:eastAsia="Calibri" w:hAnsi="Calibri"/>
          <w:sz w:val="16"/>
          <w:szCs w:val="16"/>
          <w:b w:val="1"/>
          <w:bCs w:val="1"/>
          <w:color w:val="2D5F91"/>
        </w:rPr>
        <w:t>11. CONTRACTS, COMMITMENTS AND CONTINGENCIES</w:t>
      </w:r>
    </w:p>
    <w:p>
      <w:pPr>
        <w:spacing w:after="0" w:line="194" w:lineRule="exact"/>
        <w:rPr>
          <w:sz w:val="20"/>
          <w:szCs w:val="20"/>
          <w:color w:val="auto"/>
        </w:rPr>
      </w:pPr>
    </w:p>
    <w:p>
      <w:pPr>
        <w:jc w:val="both"/>
        <w:ind w:left="280"/>
        <w:spacing w:after="0" w:line="276" w:lineRule="auto"/>
        <w:rPr>
          <w:sz w:val="20"/>
          <w:szCs w:val="20"/>
          <w:color w:val="auto"/>
        </w:rPr>
      </w:pPr>
      <w:r>
        <w:rPr>
          <w:rFonts w:ascii="Calibri" w:cs="Calibri" w:eastAsia="Calibri" w:hAnsi="Calibri"/>
          <w:sz w:val="16"/>
          <w:szCs w:val="16"/>
          <w:color w:val="auto"/>
        </w:rPr>
        <w:t>As at September 30, 2024, the Company had entered into agreements for various studies which may require the Company to spend up to an additonal $60,262. The Company expects to pay this amount within the 18 months ending March 31, 2026, however the tming and certainty of the payments are contngent on availability of materials and successful completon of certain milestones. The Company has the right to cancel the studies at its discreton, in which case a cancellaton fee may apply, however the Company is not liable to pay the full amount of the studies.</w:t>
      </w:r>
    </w:p>
    <w:p>
      <w:pPr>
        <w:spacing w:after="0" w:line="165" w:lineRule="exact"/>
        <w:rPr>
          <w:sz w:val="20"/>
          <w:szCs w:val="20"/>
          <w:color w:val="auto"/>
        </w:rPr>
      </w:pPr>
    </w:p>
    <w:p>
      <w:pPr>
        <w:jc w:val="both"/>
        <w:ind w:left="280" w:right="20"/>
        <w:spacing w:after="0" w:line="274" w:lineRule="auto"/>
        <w:rPr>
          <w:sz w:val="20"/>
          <w:szCs w:val="20"/>
          <w:color w:val="auto"/>
        </w:rPr>
      </w:pPr>
      <w:r>
        <w:rPr>
          <w:rFonts w:ascii="Calibri" w:cs="Calibri" w:eastAsia="Calibri" w:hAnsi="Calibri"/>
          <w:sz w:val="16"/>
          <w:szCs w:val="16"/>
          <w:color w:val="auto"/>
        </w:rPr>
        <w:t>In additon to the above, during the year ended March 31, 2022, the Company entered into an exclusive license agreement with Mindset Pharma Inc. to acquire access to a number of classes of tryptamine-based molecules to support Company’s early-stage research programs and a fully-paid, perpetual non-exclusive license to a separate class of tryptamine-based molecules. Upon the successful completon of certain milestones contemplated in the exclusive license, the Company may have to pay additonal consideraton of up to $12,824 (US$9,500). At the sole discreton of Cybin, the milestones may be paid in cash or in Common Shares, or a combinaton thereof, subject to the approval of Cboe. Due to the nature of the arrangement, the tming and probability of future potental payments cannot be determined at this tme, and no accrual has been recorded. Further, there is no assurance that the aforementoned milestones will be met at all. The agreement also contemplates a sales royalty of approximately 2% for all commercialized licensed products within the scope of the agreement.</w:t>
      </w:r>
    </w:p>
    <w:p>
      <w:pPr>
        <w:spacing w:after="0" w:line="168" w:lineRule="exact"/>
        <w:rPr>
          <w:sz w:val="20"/>
          <w:szCs w:val="20"/>
          <w:color w:val="auto"/>
        </w:rPr>
      </w:pPr>
    </w:p>
    <w:p>
      <w:pPr>
        <w:jc w:val="both"/>
        <w:ind w:left="280"/>
        <w:spacing w:after="0" w:line="273" w:lineRule="auto"/>
        <w:rPr>
          <w:sz w:val="20"/>
          <w:szCs w:val="20"/>
          <w:color w:val="auto"/>
        </w:rPr>
      </w:pPr>
      <w:r>
        <w:rPr>
          <w:rFonts w:ascii="Calibri" w:cs="Calibri" w:eastAsia="Calibri" w:hAnsi="Calibri"/>
          <w:sz w:val="16"/>
          <w:szCs w:val="16"/>
          <w:color w:val="auto"/>
        </w:rPr>
        <w:t>The Company is party to certain employee and management contracts that contain severance obligatons. These contracts contain clauses requiring additonal payments to be made upon the occurrence of involuntary terminaton. As the likelihood of these events taking place is not determinable, no contngent liabilites have been recorded in the consolidated fnancial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p>
      <w:pPr>
        <w:jc w:val="center"/>
        <w:ind w:right="140"/>
        <w:spacing w:after="0"/>
        <w:rPr>
          <w:sz w:val="20"/>
          <w:szCs w:val="20"/>
          <w:color w:val="auto"/>
        </w:rPr>
      </w:pPr>
      <w:r>
        <w:rPr>
          <w:rFonts w:ascii="Calibri" w:cs="Calibri" w:eastAsia="Calibri" w:hAnsi="Calibri"/>
          <w:sz w:val="16"/>
          <w:szCs w:val="16"/>
          <w:b w:val="1"/>
          <w:bCs w:val="1"/>
          <w:color w:val="auto"/>
        </w:rPr>
        <w:t>Page 17 of 23</w:t>
      </w:r>
    </w:p>
    <w:p>
      <w:pPr>
        <w:sectPr>
          <w:pgSz w:w="11900" w:h="16838" w:orient="portrait"/>
          <w:cols w:equalWidth="0" w:num="1">
            <w:col w:w="11260"/>
          </w:cols>
          <w:pgMar w:left="320" w:top="209" w:right="319" w:bottom="1440" w:gutter="0" w:footer="0" w:header="0"/>
        </w:sectPr>
      </w:pPr>
    </w:p>
    <w:bookmarkStart w:id="20" w:name="page21"/>
    <w:bookmarkEnd w:id="20"/>
    <w:p>
      <w:pPr>
        <w:ind w:left="60"/>
        <w:spacing w:after="0"/>
        <w:rPr>
          <w:sz w:val="20"/>
          <w:szCs w:val="20"/>
          <w:color w:val="auto"/>
        </w:rPr>
      </w:pPr>
      <w:r>
        <w:rPr>
          <w:rFonts w:ascii="Calibri" w:cs="Calibri" w:eastAsia="Calibri" w:hAnsi="Calibri"/>
          <w:sz w:val="19"/>
          <w:szCs w:val="19"/>
          <w:b w:val="1"/>
          <w:bCs w:val="1"/>
          <w:color w:val="auto"/>
        </w:rPr>
        <w:t>CYBIN INC.</w:t>
      </w:r>
    </w:p>
    <w:p>
      <w:pPr>
        <w:ind w:left="60"/>
        <w:spacing w:after="0" w:line="237" w:lineRule="auto"/>
        <w:rPr>
          <w:sz w:val="20"/>
          <w:szCs w:val="20"/>
          <w:color w:val="auto"/>
        </w:rPr>
      </w:pPr>
      <w:r>
        <w:rPr>
          <w:rFonts w:ascii="Calibri" w:cs="Calibri" w:eastAsia="Calibri" w:hAnsi="Calibri"/>
          <w:sz w:val="19"/>
          <w:szCs w:val="19"/>
          <w:b w:val="1"/>
          <w:bCs w:val="1"/>
          <w:color w:val="auto"/>
        </w:rPr>
        <w:t>NOTES TO THE CONDENSED INTERIM CONSOLIDATED FINANCIAL STATEMENTS</w:t>
      </w:r>
    </w:p>
    <w:p>
      <w:pPr>
        <w:ind w:left="60"/>
        <w:spacing w:after="0" w:line="238" w:lineRule="auto"/>
        <w:rPr>
          <w:sz w:val="20"/>
          <w:szCs w:val="20"/>
          <w:color w:val="auto"/>
        </w:rPr>
      </w:pPr>
      <w:r>
        <w:rPr>
          <w:rFonts w:ascii="Calibri" w:cs="Calibri" w:eastAsia="Calibri" w:hAnsi="Calibri"/>
          <w:sz w:val="19"/>
          <w:szCs w:val="19"/>
          <w:b w:val="1"/>
          <w:bCs w:val="1"/>
          <w:color w:val="auto"/>
        </w:rPr>
        <w:t>September 30, 2024</w:t>
      </w:r>
    </w:p>
    <w:p>
      <w:pPr>
        <w:spacing w:after="0" w:line="3" w:lineRule="exact"/>
        <w:rPr>
          <w:sz w:val="20"/>
          <w:szCs w:val="20"/>
          <w:color w:val="auto"/>
        </w:rPr>
      </w:pPr>
    </w:p>
    <w:p>
      <w:pPr>
        <w:ind w:left="60" w:right="200"/>
        <w:spacing w:after="0" w:line="234" w:lineRule="auto"/>
        <w:rPr>
          <w:sz w:val="20"/>
          <w:szCs w:val="20"/>
          <w:color w:val="auto"/>
        </w:rPr>
      </w:pPr>
      <w:r>
        <w:rPr>
          <w:rFonts w:ascii="Calibri" w:cs="Calibri" w:eastAsia="Calibri" w:hAnsi="Calibri"/>
          <w:sz w:val="18"/>
          <w:szCs w:val="18"/>
          <w:b w:val="1"/>
          <w:bCs w:val="1"/>
          <w:color w:val="auto"/>
        </w:rPr>
        <w:t>(All amounts expressed in thousands of Canadian dollars, except share and per share amounts, and those otherwise stated in US dollars, Euros and Great Britain pounds which are in thousands.)</w:t>
      </w:r>
    </w:p>
    <w:p>
      <w:pPr>
        <w:ind w:left="60"/>
        <w:spacing w:after="0" w:line="224" w:lineRule="auto"/>
        <w:rPr>
          <w:sz w:val="20"/>
          <w:szCs w:val="20"/>
          <w:color w:val="auto"/>
        </w:rPr>
      </w:pPr>
      <w:r>
        <w:rPr>
          <w:rFonts w:ascii="Calibri" w:cs="Calibri" w:eastAsia="Calibri" w:hAnsi="Calibri"/>
          <w:sz w:val="18"/>
          <w:szCs w:val="18"/>
          <w:b w:val="1"/>
          <w:bCs w:val="1"/>
          <w:color w:val="auto"/>
        </w:rPr>
        <w:t>(Unaudited)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48895</wp:posOffset>
            </wp:positionV>
            <wp:extent cx="7146925" cy="762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46925" cy="76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both"/>
        <w:ind w:left="280" w:right="20"/>
        <w:spacing w:after="0" w:line="264" w:lineRule="auto"/>
        <w:rPr>
          <w:sz w:val="20"/>
          <w:szCs w:val="20"/>
          <w:color w:val="auto"/>
        </w:rPr>
      </w:pPr>
      <w:r>
        <w:rPr>
          <w:rFonts w:ascii="Calibri" w:cs="Calibri" w:eastAsia="Calibri" w:hAnsi="Calibri"/>
          <w:sz w:val="16"/>
          <w:szCs w:val="16"/>
          <w:color w:val="auto"/>
        </w:rPr>
        <w:t>In the normal course of business, the Company may be subject to legal proceedings and claims. As at September 30, 2024, there was no ongoing litgaton and therefore no contngent liabilites have been recorded.</w:t>
      </w:r>
    </w:p>
    <w:p>
      <w:pPr>
        <w:spacing w:after="0" w:line="172" w:lineRule="exact"/>
        <w:rPr>
          <w:sz w:val="20"/>
          <w:szCs w:val="20"/>
          <w:color w:val="auto"/>
        </w:rPr>
      </w:pPr>
    </w:p>
    <w:p>
      <w:pPr>
        <w:spacing w:after="0"/>
        <w:tabs>
          <w:tab w:leader="none" w:pos="320" w:val="left"/>
        </w:tabs>
        <w:rPr>
          <w:sz w:val="20"/>
          <w:szCs w:val="20"/>
          <w:color w:val="auto"/>
        </w:rPr>
      </w:pPr>
      <w:r>
        <w:rPr>
          <w:rFonts w:ascii="Calibri" w:cs="Calibri" w:eastAsia="Calibri" w:hAnsi="Calibri"/>
          <w:sz w:val="16"/>
          <w:szCs w:val="16"/>
          <w:b w:val="1"/>
          <w:bCs w:val="1"/>
          <w:color w:val="2D5F91"/>
        </w:rPr>
        <w:t>12.</w:t>
      </w:r>
      <w:r>
        <w:rPr>
          <w:sz w:val="20"/>
          <w:szCs w:val="20"/>
          <w:color w:val="auto"/>
        </w:rPr>
        <w:tab/>
      </w:r>
      <w:r>
        <w:rPr>
          <w:rFonts w:ascii="Calibri" w:cs="Calibri" w:eastAsia="Calibri" w:hAnsi="Calibri"/>
          <w:sz w:val="15"/>
          <w:szCs w:val="15"/>
          <w:b w:val="1"/>
          <w:bCs w:val="1"/>
          <w:color w:val="2D5F91"/>
        </w:rPr>
        <w:t>CAPITAL MANAGEMENT</w:t>
      </w:r>
    </w:p>
    <w:p>
      <w:pPr>
        <w:spacing w:after="0" w:line="194" w:lineRule="exact"/>
        <w:rPr>
          <w:sz w:val="20"/>
          <w:szCs w:val="20"/>
          <w:color w:val="auto"/>
        </w:rPr>
      </w:pPr>
    </w:p>
    <w:p>
      <w:pPr>
        <w:jc w:val="both"/>
        <w:ind w:left="280"/>
        <w:spacing w:after="0" w:line="296" w:lineRule="auto"/>
        <w:rPr>
          <w:sz w:val="20"/>
          <w:szCs w:val="20"/>
          <w:color w:val="auto"/>
        </w:rPr>
      </w:pPr>
      <w:r>
        <w:rPr>
          <w:rFonts w:ascii="Calibri" w:cs="Calibri" w:eastAsia="Calibri" w:hAnsi="Calibri"/>
          <w:sz w:val="15"/>
          <w:szCs w:val="15"/>
          <w:color w:val="auto"/>
        </w:rPr>
        <w:t>The Company’s objectves when managing capital are to safeguard the Company’s ability to contnue as a going concern in order to pursue business opportunites and to maintain a fexible capital structure that optmizes the costs of capital at an acceptable risk. The Company’s intentons are to (i) provide fnancial capacity and fexibility in order to preserve its ability to meet its strategic objectves and fnancial obligatons; (ii) maintain a capital structure which allows the Company to respond to changes in economic and marketplace conditons and afords the Company the ability to partcipate in new investments; (iii) optmize the use of its capital to provide an appropriate investment return to its shareholders equal with the level of risk; and (iv) maintain a fexible capital structure which optmizes the cost of capital at acceptable levels of risk.</w:t>
      </w:r>
    </w:p>
    <w:p>
      <w:pPr>
        <w:spacing w:after="0" w:line="152" w:lineRule="exact"/>
        <w:rPr>
          <w:sz w:val="20"/>
          <w:szCs w:val="20"/>
          <w:color w:val="auto"/>
        </w:rPr>
      </w:pPr>
    </w:p>
    <w:p>
      <w:pPr>
        <w:jc w:val="both"/>
        <w:ind w:left="280" w:right="20"/>
        <w:spacing w:after="0" w:line="276" w:lineRule="auto"/>
        <w:rPr>
          <w:sz w:val="20"/>
          <w:szCs w:val="20"/>
          <w:color w:val="auto"/>
        </w:rPr>
      </w:pPr>
      <w:r>
        <w:rPr>
          <w:rFonts w:ascii="Calibri" w:cs="Calibri" w:eastAsia="Calibri" w:hAnsi="Calibri"/>
          <w:sz w:val="16"/>
          <w:szCs w:val="16"/>
          <w:color w:val="auto"/>
        </w:rPr>
        <w:t>The Company’s fnancial strategy is formulated and adapted according to market conditons in order to maintain a fexible capital structure that is consistent with its objectves and the risk characteristcs of its underlying assets. The Company manages its capital structure and makes adjustments to it in light of changes in economic conditons and the risk characteristcs of its underlying assets. The Company maintains or adjusts its capital level to enable it to meet its objectves by raising capital through the issuance of securites.</w:t>
      </w:r>
    </w:p>
    <w:p>
      <w:pPr>
        <w:spacing w:after="0" w:line="165" w:lineRule="exact"/>
        <w:rPr>
          <w:sz w:val="20"/>
          <w:szCs w:val="20"/>
          <w:color w:val="auto"/>
        </w:rPr>
      </w:pPr>
    </w:p>
    <w:p>
      <w:pPr>
        <w:ind w:left="280"/>
        <w:spacing w:after="0"/>
        <w:rPr>
          <w:sz w:val="20"/>
          <w:szCs w:val="20"/>
          <w:color w:val="auto"/>
        </w:rPr>
      </w:pPr>
      <w:r>
        <w:rPr>
          <w:rFonts w:ascii="Calibri" w:cs="Calibri" w:eastAsia="Calibri" w:hAnsi="Calibri"/>
          <w:sz w:val="15"/>
          <w:szCs w:val="15"/>
          <w:color w:val="auto"/>
        </w:rPr>
        <w:t>The Company’s capital management objectves, policies and processes generally remained unchanged during the three and six month periods ended September 30, 2024.</w:t>
      </w:r>
    </w:p>
    <w:p>
      <w:pPr>
        <w:spacing w:after="0" w:line="204" w:lineRule="exact"/>
        <w:rPr>
          <w:sz w:val="20"/>
          <w:szCs w:val="20"/>
          <w:color w:val="auto"/>
        </w:rPr>
      </w:pPr>
    </w:p>
    <w:p>
      <w:pPr>
        <w:jc w:val="both"/>
        <w:ind w:left="280" w:right="20"/>
        <w:spacing w:after="0" w:line="264" w:lineRule="auto"/>
        <w:rPr>
          <w:sz w:val="20"/>
          <w:szCs w:val="20"/>
          <w:color w:val="auto"/>
        </w:rPr>
      </w:pPr>
      <w:r>
        <w:rPr>
          <w:rFonts w:ascii="Calibri" w:cs="Calibri" w:eastAsia="Calibri" w:hAnsi="Calibri"/>
          <w:sz w:val="16"/>
          <w:szCs w:val="16"/>
          <w:color w:val="auto"/>
        </w:rPr>
        <w:t>The Company requires capital to fund existng and future operatons and meet regulatory capital requirements. The Company’s policy is to maintain adequate levels of capital at all tmes.</w:t>
      </w:r>
    </w:p>
    <w:p>
      <w:pPr>
        <w:spacing w:after="0" w:line="172" w:lineRule="exact"/>
        <w:rPr>
          <w:sz w:val="20"/>
          <w:szCs w:val="20"/>
          <w:color w:val="auto"/>
        </w:rPr>
      </w:pPr>
    </w:p>
    <w:tbl>
      <w:tblPr>
        <w:tblLayout w:type="fixed"/>
        <w:tblInd w:w="280" w:type="dxa"/>
        <w:tblCellMar>
          <w:top w:w="0" w:type="dxa"/>
          <w:left w:w="0" w:type="dxa"/>
          <w:bottom w:w="0" w:type="dxa"/>
          <w:right w:w="0" w:type="dxa"/>
        </w:tblCellMar>
      </w:tblPr>
      <w:tr>
        <w:trPr>
          <w:trHeight w:val="195"/>
        </w:trPr>
        <w:tc>
          <w:tcPr>
            <w:tcW w:w="4980" w:type="dxa"/>
            <w:vAlign w:val="bottom"/>
          </w:tcPr>
          <w:p>
            <w:pPr>
              <w:spacing w:after="0"/>
              <w:rPr>
                <w:sz w:val="20"/>
                <w:szCs w:val="20"/>
                <w:color w:val="auto"/>
              </w:rPr>
            </w:pPr>
            <w:r>
              <w:rPr>
                <w:rFonts w:ascii="Calibri" w:cs="Calibri" w:eastAsia="Calibri" w:hAnsi="Calibri"/>
                <w:sz w:val="16"/>
                <w:szCs w:val="16"/>
                <w:color w:val="auto"/>
              </w:rPr>
              <w:t>The Company’s capital structure includes the following:</w:t>
            </w:r>
          </w:p>
        </w:tc>
        <w:tc>
          <w:tcPr>
            <w:tcW w:w="4060" w:type="dxa"/>
            <w:vAlign w:val="bottom"/>
          </w:tcPr>
          <w:p>
            <w:pPr>
              <w:spacing w:after="0"/>
              <w:rPr>
                <w:sz w:val="16"/>
                <w:szCs w:val="16"/>
                <w:color w:val="auto"/>
              </w:rPr>
            </w:pPr>
          </w:p>
        </w:tc>
        <w:tc>
          <w:tcPr>
            <w:tcW w:w="1480" w:type="dxa"/>
            <w:vAlign w:val="bottom"/>
          </w:tcPr>
          <w:p>
            <w:pPr>
              <w:spacing w:after="0"/>
              <w:rPr>
                <w:sz w:val="16"/>
                <w:szCs w:val="16"/>
                <w:color w:val="auto"/>
              </w:rPr>
            </w:pPr>
          </w:p>
        </w:tc>
      </w:tr>
      <w:tr>
        <w:trPr>
          <w:trHeight w:val="520"/>
        </w:trPr>
        <w:tc>
          <w:tcPr>
            <w:tcW w:w="4980" w:type="dxa"/>
            <w:vAlign w:val="bottom"/>
          </w:tcPr>
          <w:p>
            <w:pPr>
              <w:ind w:left="60"/>
              <w:spacing w:after="0"/>
              <w:rPr>
                <w:sz w:val="20"/>
                <w:szCs w:val="20"/>
                <w:color w:val="auto"/>
              </w:rPr>
            </w:pPr>
            <w:r>
              <w:rPr>
                <w:rFonts w:ascii="Calibri" w:cs="Calibri" w:eastAsia="Calibri" w:hAnsi="Calibri"/>
                <w:sz w:val="16"/>
                <w:szCs w:val="16"/>
                <w:b w:val="1"/>
                <w:bCs w:val="1"/>
                <w:color w:val="auto"/>
              </w:rPr>
              <w:t>As at</w:t>
            </w:r>
          </w:p>
        </w:tc>
        <w:tc>
          <w:tcPr>
            <w:tcW w:w="4060" w:type="dxa"/>
            <w:vAlign w:val="bottom"/>
          </w:tcPr>
          <w:p>
            <w:pPr>
              <w:jc w:val="right"/>
              <w:ind w:right="1239"/>
              <w:spacing w:after="0"/>
              <w:rPr>
                <w:sz w:val="20"/>
                <w:szCs w:val="20"/>
                <w:color w:val="auto"/>
              </w:rPr>
            </w:pPr>
            <w:r>
              <w:rPr>
                <w:rFonts w:ascii="Calibri" w:cs="Calibri" w:eastAsia="Calibri" w:hAnsi="Calibri"/>
                <w:sz w:val="16"/>
                <w:szCs w:val="16"/>
                <w:b w:val="1"/>
                <w:bCs w:val="1"/>
                <w:color w:val="auto"/>
              </w:rPr>
              <w:t>September 30, 2024</w:t>
            </w:r>
          </w:p>
        </w:tc>
        <w:tc>
          <w:tcPr>
            <w:tcW w:w="1480" w:type="dxa"/>
            <w:vAlign w:val="bottom"/>
          </w:tcPr>
          <w:p>
            <w:pPr>
              <w:jc w:val="right"/>
              <w:spacing w:after="0"/>
              <w:rPr>
                <w:sz w:val="20"/>
                <w:szCs w:val="20"/>
                <w:color w:val="auto"/>
              </w:rPr>
            </w:pPr>
            <w:r>
              <w:rPr>
                <w:rFonts w:ascii="Calibri" w:cs="Calibri" w:eastAsia="Calibri" w:hAnsi="Calibri"/>
                <w:sz w:val="16"/>
                <w:szCs w:val="16"/>
                <w:b w:val="1"/>
                <w:bCs w:val="1"/>
                <w:color w:val="auto"/>
              </w:rPr>
              <w:t>March 31, 2024</w:t>
            </w:r>
          </w:p>
        </w:tc>
      </w:tr>
      <w:tr>
        <w:trPr>
          <w:trHeight w:val="254"/>
        </w:trPr>
        <w:tc>
          <w:tcPr>
            <w:tcW w:w="4980" w:type="dxa"/>
            <w:vAlign w:val="bottom"/>
          </w:tcPr>
          <w:p>
            <w:pPr>
              <w:spacing w:after="0"/>
              <w:rPr>
                <w:sz w:val="22"/>
                <w:szCs w:val="22"/>
                <w:color w:val="auto"/>
              </w:rPr>
            </w:pPr>
          </w:p>
        </w:tc>
        <w:tc>
          <w:tcPr>
            <w:tcW w:w="4060" w:type="dxa"/>
            <w:vAlign w:val="bottom"/>
          </w:tcPr>
          <w:p>
            <w:pPr>
              <w:jc w:val="right"/>
              <w:ind w:right="359"/>
              <w:spacing w:after="0"/>
              <w:rPr>
                <w:sz w:val="20"/>
                <w:szCs w:val="20"/>
                <w:color w:val="auto"/>
              </w:rPr>
            </w:pPr>
            <w:r>
              <w:rPr>
                <w:rFonts w:ascii="Calibri" w:cs="Calibri" w:eastAsia="Calibri" w:hAnsi="Calibri"/>
                <w:sz w:val="16"/>
                <w:szCs w:val="16"/>
                <w:b w:val="1"/>
                <w:bCs w:val="1"/>
                <w:color w:val="auto"/>
              </w:rPr>
              <w:t>$</w:t>
            </w:r>
          </w:p>
        </w:tc>
        <w:tc>
          <w:tcPr>
            <w:tcW w:w="1480" w:type="dxa"/>
            <w:vAlign w:val="bottom"/>
          </w:tcPr>
          <w:p>
            <w:pPr>
              <w:jc w:val="right"/>
              <w:spacing w:after="0"/>
              <w:rPr>
                <w:sz w:val="20"/>
                <w:szCs w:val="20"/>
                <w:color w:val="auto"/>
              </w:rPr>
            </w:pPr>
            <w:r>
              <w:rPr>
                <w:rFonts w:ascii="Calibri" w:cs="Calibri" w:eastAsia="Calibri" w:hAnsi="Calibri"/>
                <w:sz w:val="16"/>
                <w:szCs w:val="16"/>
                <w:b w:val="1"/>
                <w:bCs w:val="1"/>
                <w:color w:val="auto"/>
              </w:rPr>
              <w:t>$</w:t>
            </w:r>
          </w:p>
        </w:tc>
      </w:tr>
      <w:tr>
        <w:trPr>
          <w:trHeight w:val="81"/>
        </w:trPr>
        <w:tc>
          <w:tcPr>
            <w:tcW w:w="4980" w:type="dxa"/>
            <w:vAlign w:val="bottom"/>
            <w:tcBorders>
              <w:bottom w:val="single" w:sz="8" w:color="auto"/>
            </w:tcBorders>
          </w:tcPr>
          <w:p>
            <w:pPr>
              <w:spacing w:after="0"/>
              <w:rPr>
                <w:sz w:val="7"/>
                <w:szCs w:val="7"/>
                <w:color w:val="auto"/>
              </w:rPr>
            </w:pPr>
          </w:p>
        </w:tc>
        <w:tc>
          <w:tcPr>
            <w:tcW w:w="4060" w:type="dxa"/>
            <w:vAlign w:val="bottom"/>
            <w:tcBorders>
              <w:bottom w:val="single" w:sz="8" w:color="auto"/>
            </w:tcBorders>
          </w:tcPr>
          <w:p>
            <w:pPr>
              <w:spacing w:after="0"/>
              <w:rPr>
                <w:sz w:val="7"/>
                <w:szCs w:val="7"/>
                <w:color w:val="auto"/>
              </w:rPr>
            </w:pPr>
          </w:p>
        </w:tc>
        <w:tc>
          <w:tcPr>
            <w:tcW w:w="1480" w:type="dxa"/>
            <w:vAlign w:val="bottom"/>
            <w:tcBorders>
              <w:bottom w:val="single" w:sz="8" w:color="auto"/>
            </w:tcBorders>
          </w:tcPr>
          <w:p>
            <w:pPr>
              <w:spacing w:after="0"/>
              <w:rPr>
                <w:sz w:val="7"/>
                <w:szCs w:val="7"/>
                <w:color w:val="auto"/>
              </w:rPr>
            </w:pPr>
          </w:p>
        </w:tc>
      </w:tr>
      <w:tr>
        <w:trPr>
          <w:trHeight w:val="185"/>
        </w:trPr>
        <w:tc>
          <w:tcPr>
            <w:tcW w:w="4980" w:type="dxa"/>
            <w:vAlign w:val="bottom"/>
          </w:tcPr>
          <w:p>
            <w:pPr>
              <w:ind w:left="60"/>
              <w:spacing w:after="0" w:line="185" w:lineRule="exact"/>
              <w:rPr>
                <w:sz w:val="20"/>
                <w:szCs w:val="20"/>
                <w:color w:val="auto"/>
              </w:rPr>
            </w:pPr>
            <w:r>
              <w:rPr>
                <w:rFonts w:ascii="Calibri" w:cs="Calibri" w:eastAsia="Calibri" w:hAnsi="Calibri"/>
                <w:sz w:val="16"/>
                <w:szCs w:val="16"/>
                <w:color w:val="auto"/>
              </w:rPr>
              <w:t>Shareholders’ equity comprised of:</w:t>
            </w:r>
          </w:p>
        </w:tc>
        <w:tc>
          <w:tcPr>
            <w:tcW w:w="4060" w:type="dxa"/>
            <w:vAlign w:val="bottom"/>
          </w:tcPr>
          <w:p>
            <w:pPr>
              <w:spacing w:after="0"/>
              <w:rPr>
                <w:sz w:val="16"/>
                <w:szCs w:val="16"/>
                <w:color w:val="auto"/>
              </w:rPr>
            </w:pPr>
          </w:p>
        </w:tc>
        <w:tc>
          <w:tcPr>
            <w:tcW w:w="1480" w:type="dxa"/>
            <w:vAlign w:val="bottom"/>
          </w:tcPr>
          <w:p>
            <w:pPr>
              <w:spacing w:after="0"/>
              <w:rPr>
                <w:sz w:val="16"/>
                <w:szCs w:val="16"/>
                <w:color w:val="auto"/>
              </w:rPr>
            </w:pPr>
          </w:p>
        </w:tc>
      </w:tr>
      <w:tr>
        <w:trPr>
          <w:trHeight w:val="198"/>
        </w:trPr>
        <w:tc>
          <w:tcPr>
            <w:tcW w:w="4980" w:type="dxa"/>
            <w:vAlign w:val="bottom"/>
          </w:tcPr>
          <w:p>
            <w:pPr>
              <w:ind w:left="160"/>
              <w:spacing w:after="0"/>
              <w:rPr>
                <w:sz w:val="20"/>
                <w:szCs w:val="20"/>
                <w:color w:val="auto"/>
              </w:rPr>
            </w:pPr>
            <w:r>
              <w:rPr>
                <w:rFonts w:ascii="Calibri" w:cs="Calibri" w:eastAsia="Calibri" w:hAnsi="Calibri"/>
                <w:sz w:val="16"/>
                <w:szCs w:val="16"/>
                <w:color w:val="auto"/>
              </w:rPr>
              <w:t>Share capital</w:t>
            </w:r>
          </w:p>
        </w:tc>
        <w:tc>
          <w:tcPr>
            <w:tcW w:w="4060" w:type="dxa"/>
            <w:vAlign w:val="bottom"/>
          </w:tcPr>
          <w:p>
            <w:pPr>
              <w:jc w:val="right"/>
              <w:ind w:right="359"/>
              <w:spacing w:after="0"/>
              <w:rPr>
                <w:sz w:val="20"/>
                <w:szCs w:val="20"/>
                <w:color w:val="auto"/>
              </w:rPr>
            </w:pPr>
            <w:r>
              <w:rPr>
                <w:rFonts w:ascii="Calibri" w:cs="Calibri" w:eastAsia="Calibri" w:hAnsi="Calibri"/>
                <w:sz w:val="16"/>
                <w:szCs w:val="16"/>
                <w:b w:val="1"/>
                <w:bCs w:val="1"/>
                <w:color w:val="auto"/>
              </w:rPr>
              <w:t>443,448</w:t>
            </w:r>
          </w:p>
        </w:tc>
        <w:tc>
          <w:tcPr>
            <w:tcW w:w="1480" w:type="dxa"/>
            <w:vAlign w:val="bottom"/>
          </w:tcPr>
          <w:p>
            <w:pPr>
              <w:jc w:val="right"/>
              <w:spacing w:after="0"/>
              <w:rPr>
                <w:sz w:val="20"/>
                <w:szCs w:val="20"/>
                <w:color w:val="auto"/>
              </w:rPr>
            </w:pPr>
            <w:r>
              <w:rPr>
                <w:rFonts w:ascii="Calibri" w:cs="Calibri" w:eastAsia="Calibri" w:hAnsi="Calibri"/>
                <w:sz w:val="16"/>
                <w:szCs w:val="16"/>
                <w:color w:val="auto"/>
              </w:rPr>
              <w:t>443,877</w:t>
            </w:r>
          </w:p>
        </w:tc>
      </w:tr>
      <w:tr>
        <w:trPr>
          <w:trHeight w:val="206"/>
        </w:trPr>
        <w:tc>
          <w:tcPr>
            <w:tcW w:w="4980" w:type="dxa"/>
            <w:vAlign w:val="bottom"/>
          </w:tcPr>
          <w:p>
            <w:pPr>
              <w:ind w:left="160"/>
              <w:spacing w:after="0"/>
              <w:rPr>
                <w:sz w:val="20"/>
                <w:szCs w:val="20"/>
                <w:color w:val="auto"/>
              </w:rPr>
            </w:pPr>
            <w:r>
              <w:rPr>
                <w:rFonts w:ascii="Calibri" w:cs="Calibri" w:eastAsia="Calibri" w:hAnsi="Calibri"/>
                <w:sz w:val="16"/>
                <w:szCs w:val="16"/>
                <w:color w:val="auto"/>
              </w:rPr>
              <w:t>Contributed surplus</w:t>
            </w:r>
          </w:p>
        </w:tc>
        <w:tc>
          <w:tcPr>
            <w:tcW w:w="4060" w:type="dxa"/>
            <w:vAlign w:val="bottom"/>
          </w:tcPr>
          <w:p>
            <w:pPr>
              <w:jc w:val="right"/>
              <w:ind w:right="359"/>
              <w:spacing w:after="0"/>
              <w:rPr>
                <w:sz w:val="20"/>
                <w:szCs w:val="20"/>
                <w:color w:val="auto"/>
              </w:rPr>
            </w:pPr>
            <w:r>
              <w:rPr>
                <w:rFonts w:ascii="Calibri" w:cs="Calibri" w:eastAsia="Calibri" w:hAnsi="Calibri"/>
                <w:sz w:val="16"/>
                <w:szCs w:val="16"/>
                <w:b w:val="1"/>
                <w:bCs w:val="1"/>
                <w:color w:val="auto"/>
              </w:rPr>
              <w:t>43,791</w:t>
            </w:r>
          </w:p>
        </w:tc>
        <w:tc>
          <w:tcPr>
            <w:tcW w:w="1480" w:type="dxa"/>
            <w:vAlign w:val="bottom"/>
          </w:tcPr>
          <w:p>
            <w:pPr>
              <w:jc w:val="right"/>
              <w:spacing w:after="0"/>
              <w:rPr>
                <w:sz w:val="20"/>
                <w:szCs w:val="20"/>
                <w:color w:val="auto"/>
              </w:rPr>
            </w:pPr>
            <w:r>
              <w:rPr>
                <w:rFonts w:ascii="Calibri" w:cs="Calibri" w:eastAsia="Calibri" w:hAnsi="Calibri"/>
                <w:sz w:val="16"/>
                <w:szCs w:val="16"/>
                <w:color w:val="auto"/>
              </w:rPr>
              <w:t>11,750</w:t>
            </w:r>
          </w:p>
        </w:tc>
      </w:tr>
      <w:tr>
        <w:trPr>
          <w:trHeight w:val="206"/>
        </w:trPr>
        <w:tc>
          <w:tcPr>
            <w:tcW w:w="4980" w:type="dxa"/>
            <w:vAlign w:val="bottom"/>
          </w:tcPr>
          <w:p>
            <w:pPr>
              <w:ind w:left="160"/>
              <w:spacing w:after="0"/>
              <w:rPr>
                <w:sz w:val="20"/>
                <w:szCs w:val="20"/>
                <w:color w:val="auto"/>
              </w:rPr>
            </w:pPr>
            <w:r>
              <w:rPr>
                <w:rFonts w:ascii="Calibri" w:cs="Calibri" w:eastAsia="Calibri" w:hAnsi="Calibri"/>
                <w:sz w:val="16"/>
                <w:szCs w:val="16"/>
                <w:color w:val="auto"/>
              </w:rPr>
              <w:t>Optons reserve</w:t>
            </w:r>
          </w:p>
        </w:tc>
        <w:tc>
          <w:tcPr>
            <w:tcW w:w="4060" w:type="dxa"/>
            <w:vAlign w:val="bottom"/>
          </w:tcPr>
          <w:p>
            <w:pPr>
              <w:jc w:val="right"/>
              <w:ind w:right="359"/>
              <w:spacing w:after="0"/>
              <w:rPr>
                <w:sz w:val="20"/>
                <w:szCs w:val="20"/>
                <w:color w:val="auto"/>
              </w:rPr>
            </w:pPr>
            <w:r>
              <w:rPr>
                <w:rFonts w:ascii="Calibri" w:cs="Calibri" w:eastAsia="Calibri" w:hAnsi="Calibri"/>
                <w:sz w:val="16"/>
                <w:szCs w:val="16"/>
                <w:b w:val="1"/>
                <w:bCs w:val="1"/>
                <w:color w:val="auto"/>
              </w:rPr>
              <w:t>42,615</w:t>
            </w:r>
          </w:p>
        </w:tc>
        <w:tc>
          <w:tcPr>
            <w:tcW w:w="1480" w:type="dxa"/>
            <w:vAlign w:val="bottom"/>
          </w:tcPr>
          <w:p>
            <w:pPr>
              <w:jc w:val="right"/>
              <w:spacing w:after="0"/>
              <w:rPr>
                <w:sz w:val="20"/>
                <w:szCs w:val="20"/>
                <w:color w:val="auto"/>
              </w:rPr>
            </w:pPr>
            <w:r>
              <w:rPr>
                <w:rFonts w:ascii="Calibri" w:cs="Calibri" w:eastAsia="Calibri" w:hAnsi="Calibri"/>
                <w:sz w:val="16"/>
                <w:szCs w:val="16"/>
                <w:color w:val="auto"/>
              </w:rPr>
              <w:t>39,177</w:t>
            </w:r>
          </w:p>
        </w:tc>
      </w:tr>
      <w:tr>
        <w:trPr>
          <w:trHeight w:val="206"/>
        </w:trPr>
        <w:tc>
          <w:tcPr>
            <w:tcW w:w="4980" w:type="dxa"/>
            <w:vAlign w:val="bottom"/>
          </w:tcPr>
          <w:p>
            <w:pPr>
              <w:ind w:left="160"/>
              <w:spacing w:after="0"/>
              <w:rPr>
                <w:sz w:val="20"/>
                <w:szCs w:val="20"/>
                <w:color w:val="auto"/>
              </w:rPr>
            </w:pPr>
            <w:r>
              <w:rPr>
                <w:rFonts w:ascii="Calibri" w:cs="Calibri" w:eastAsia="Calibri" w:hAnsi="Calibri"/>
                <w:sz w:val="16"/>
                <w:szCs w:val="16"/>
                <w:color w:val="auto"/>
              </w:rPr>
              <w:t>Warrants reserve</w:t>
            </w:r>
          </w:p>
        </w:tc>
        <w:tc>
          <w:tcPr>
            <w:tcW w:w="4060" w:type="dxa"/>
            <w:vAlign w:val="bottom"/>
          </w:tcPr>
          <w:p>
            <w:pPr>
              <w:jc w:val="right"/>
              <w:ind w:right="359"/>
              <w:spacing w:after="0"/>
              <w:rPr>
                <w:sz w:val="20"/>
                <w:szCs w:val="20"/>
                <w:color w:val="auto"/>
              </w:rPr>
            </w:pPr>
            <w:r>
              <w:rPr>
                <w:rFonts w:ascii="Calibri" w:cs="Calibri" w:eastAsia="Calibri" w:hAnsi="Calibri"/>
                <w:sz w:val="16"/>
                <w:szCs w:val="16"/>
                <w:b w:val="1"/>
                <w:bCs w:val="1"/>
                <w:color w:val="auto"/>
              </w:rPr>
              <w:t>27,594</w:t>
            </w:r>
          </w:p>
        </w:tc>
        <w:tc>
          <w:tcPr>
            <w:tcW w:w="1480" w:type="dxa"/>
            <w:vAlign w:val="bottom"/>
          </w:tcPr>
          <w:p>
            <w:pPr>
              <w:jc w:val="right"/>
              <w:spacing w:after="0"/>
              <w:rPr>
                <w:sz w:val="20"/>
                <w:szCs w:val="20"/>
                <w:color w:val="auto"/>
              </w:rPr>
            </w:pPr>
            <w:r>
              <w:rPr>
                <w:rFonts w:ascii="Calibri" w:cs="Calibri" w:eastAsia="Calibri" w:hAnsi="Calibri"/>
                <w:sz w:val="16"/>
                <w:szCs w:val="16"/>
                <w:color w:val="auto"/>
              </w:rPr>
              <w:t>25,639</w:t>
            </w:r>
          </w:p>
        </w:tc>
      </w:tr>
      <w:tr>
        <w:trPr>
          <w:trHeight w:val="206"/>
        </w:trPr>
        <w:tc>
          <w:tcPr>
            <w:tcW w:w="4980" w:type="dxa"/>
            <w:vAlign w:val="bottom"/>
          </w:tcPr>
          <w:p>
            <w:pPr>
              <w:ind w:left="160"/>
              <w:spacing w:after="0"/>
              <w:rPr>
                <w:sz w:val="20"/>
                <w:szCs w:val="20"/>
                <w:color w:val="auto"/>
              </w:rPr>
            </w:pPr>
            <w:r>
              <w:rPr>
                <w:rFonts w:ascii="Calibri" w:cs="Calibri" w:eastAsia="Calibri" w:hAnsi="Calibri"/>
                <w:sz w:val="16"/>
                <w:szCs w:val="16"/>
                <w:color w:val="auto"/>
              </w:rPr>
              <w:t>Accumulated other comprehensive loss</w:t>
            </w:r>
          </w:p>
        </w:tc>
        <w:tc>
          <w:tcPr>
            <w:tcW w:w="4060" w:type="dxa"/>
            <w:vAlign w:val="bottom"/>
          </w:tcPr>
          <w:p>
            <w:pPr>
              <w:jc w:val="right"/>
              <w:ind w:right="339"/>
              <w:spacing w:after="0"/>
              <w:rPr>
                <w:sz w:val="20"/>
                <w:szCs w:val="20"/>
                <w:color w:val="auto"/>
              </w:rPr>
            </w:pPr>
            <w:r>
              <w:rPr>
                <w:rFonts w:ascii="Calibri" w:cs="Calibri" w:eastAsia="Calibri" w:hAnsi="Calibri"/>
                <w:sz w:val="16"/>
                <w:szCs w:val="16"/>
                <w:b w:val="1"/>
                <w:bCs w:val="1"/>
                <w:color w:val="auto"/>
              </w:rPr>
              <w:t>(4,183)</w:t>
            </w:r>
          </w:p>
        </w:tc>
        <w:tc>
          <w:tcPr>
            <w:tcW w:w="1480" w:type="dxa"/>
            <w:vAlign w:val="bottom"/>
          </w:tcPr>
          <w:p>
            <w:pPr>
              <w:jc w:val="right"/>
              <w:spacing w:after="0"/>
              <w:rPr>
                <w:sz w:val="20"/>
                <w:szCs w:val="20"/>
                <w:color w:val="auto"/>
              </w:rPr>
            </w:pPr>
            <w:r>
              <w:rPr>
                <w:rFonts w:ascii="Calibri" w:cs="Calibri" w:eastAsia="Calibri" w:hAnsi="Calibri"/>
                <w:sz w:val="16"/>
                <w:szCs w:val="16"/>
                <w:color w:val="auto"/>
              </w:rPr>
              <w:t>(2,285)</w:t>
            </w:r>
          </w:p>
        </w:tc>
      </w:tr>
      <w:tr>
        <w:trPr>
          <w:trHeight w:val="206"/>
        </w:trPr>
        <w:tc>
          <w:tcPr>
            <w:tcW w:w="4980" w:type="dxa"/>
            <w:vAlign w:val="bottom"/>
          </w:tcPr>
          <w:p>
            <w:pPr>
              <w:ind w:left="160"/>
              <w:spacing w:after="0"/>
              <w:rPr>
                <w:sz w:val="20"/>
                <w:szCs w:val="20"/>
                <w:color w:val="auto"/>
              </w:rPr>
            </w:pPr>
            <w:r>
              <w:rPr>
                <w:rFonts w:ascii="Calibri" w:cs="Calibri" w:eastAsia="Calibri" w:hAnsi="Calibri"/>
                <w:sz w:val="16"/>
                <w:szCs w:val="16"/>
                <w:color w:val="auto"/>
              </w:rPr>
              <w:t>Defcit</w:t>
            </w:r>
          </w:p>
        </w:tc>
        <w:tc>
          <w:tcPr>
            <w:tcW w:w="4060" w:type="dxa"/>
            <w:vAlign w:val="bottom"/>
          </w:tcPr>
          <w:p>
            <w:pPr>
              <w:jc w:val="right"/>
              <w:ind w:right="339"/>
              <w:spacing w:after="0"/>
              <w:rPr>
                <w:sz w:val="20"/>
                <w:szCs w:val="20"/>
                <w:color w:val="auto"/>
              </w:rPr>
            </w:pPr>
            <w:r>
              <w:rPr>
                <w:rFonts w:ascii="Calibri" w:cs="Calibri" w:eastAsia="Calibri" w:hAnsi="Calibri"/>
                <w:sz w:val="16"/>
                <w:szCs w:val="16"/>
                <w:b w:val="1"/>
                <w:bCs w:val="1"/>
                <w:color w:val="auto"/>
              </w:rPr>
              <w:t>(298,247)</w:t>
            </w:r>
          </w:p>
        </w:tc>
        <w:tc>
          <w:tcPr>
            <w:tcW w:w="1480" w:type="dxa"/>
            <w:vAlign w:val="bottom"/>
          </w:tcPr>
          <w:p>
            <w:pPr>
              <w:jc w:val="right"/>
              <w:spacing w:after="0"/>
              <w:rPr>
                <w:sz w:val="20"/>
                <w:szCs w:val="20"/>
                <w:color w:val="auto"/>
              </w:rPr>
            </w:pPr>
            <w:r>
              <w:rPr>
                <w:rFonts w:ascii="Calibri" w:cs="Calibri" w:eastAsia="Calibri" w:hAnsi="Calibri"/>
                <w:sz w:val="16"/>
                <w:szCs w:val="16"/>
                <w:color w:val="auto"/>
              </w:rPr>
              <w:t>(226,231)</w:t>
            </w:r>
          </w:p>
        </w:tc>
      </w:tr>
      <w:tr>
        <w:trPr>
          <w:trHeight w:val="20"/>
        </w:trPr>
        <w:tc>
          <w:tcPr>
            <w:tcW w:w="4980" w:type="dxa"/>
            <w:vAlign w:val="bottom"/>
            <w:tcBorders>
              <w:bottom w:val="single" w:sz="8" w:color="auto"/>
            </w:tcBorders>
          </w:tcPr>
          <w:p>
            <w:pPr>
              <w:spacing w:after="0" w:line="20" w:lineRule="exact"/>
              <w:rPr>
                <w:sz w:val="1"/>
                <w:szCs w:val="1"/>
                <w:color w:val="auto"/>
              </w:rPr>
            </w:pPr>
          </w:p>
        </w:tc>
        <w:tc>
          <w:tcPr>
            <w:tcW w:w="406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r>
      <w:tr>
        <w:trPr>
          <w:trHeight w:val="191"/>
        </w:trPr>
        <w:tc>
          <w:tcPr>
            <w:tcW w:w="4980" w:type="dxa"/>
            <w:vAlign w:val="bottom"/>
            <w:tcBorders>
              <w:bottom w:val="single" w:sz="8" w:color="auto"/>
            </w:tcBorders>
          </w:tcPr>
          <w:p>
            <w:pPr>
              <w:ind w:left="60"/>
              <w:spacing w:after="0" w:line="192" w:lineRule="exact"/>
              <w:rPr>
                <w:sz w:val="20"/>
                <w:szCs w:val="20"/>
                <w:color w:val="auto"/>
              </w:rPr>
            </w:pPr>
            <w:r>
              <w:rPr>
                <w:rFonts w:ascii="Calibri" w:cs="Calibri" w:eastAsia="Calibri" w:hAnsi="Calibri"/>
                <w:sz w:val="16"/>
                <w:szCs w:val="16"/>
                <w:b w:val="1"/>
                <w:bCs w:val="1"/>
                <w:color w:val="auto"/>
              </w:rPr>
              <w:t>Total</w:t>
            </w:r>
          </w:p>
        </w:tc>
        <w:tc>
          <w:tcPr>
            <w:tcW w:w="4060" w:type="dxa"/>
            <w:vAlign w:val="bottom"/>
            <w:tcBorders>
              <w:bottom w:val="single" w:sz="8" w:color="auto"/>
            </w:tcBorders>
          </w:tcPr>
          <w:p>
            <w:pPr>
              <w:jc w:val="right"/>
              <w:ind w:right="359"/>
              <w:spacing w:after="0" w:line="192" w:lineRule="exact"/>
              <w:rPr>
                <w:sz w:val="20"/>
                <w:szCs w:val="20"/>
                <w:color w:val="auto"/>
              </w:rPr>
            </w:pPr>
            <w:r>
              <w:rPr>
                <w:rFonts w:ascii="Calibri" w:cs="Calibri" w:eastAsia="Calibri" w:hAnsi="Calibri"/>
                <w:sz w:val="16"/>
                <w:szCs w:val="16"/>
                <w:b w:val="1"/>
                <w:bCs w:val="1"/>
                <w:color w:val="auto"/>
              </w:rPr>
              <w:t>255,018</w:t>
            </w:r>
          </w:p>
        </w:tc>
        <w:tc>
          <w:tcPr>
            <w:tcW w:w="1480" w:type="dxa"/>
            <w:vAlign w:val="bottom"/>
            <w:tcBorders>
              <w:bottom w:val="single" w:sz="8" w:color="auto"/>
            </w:tcBorders>
          </w:tcPr>
          <w:p>
            <w:pPr>
              <w:jc w:val="right"/>
              <w:spacing w:after="0" w:line="192" w:lineRule="exact"/>
              <w:rPr>
                <w:sz w:val="20"/>
                <w:szCs w:val="20"/>
                <w:color w:val="auto"/>
              </w:rPr>
            </w:pPr>
            <w:r>
              <w:rPr>
                <w:rFonts w:ascii="Calibri" w:cs="Calibri" w:eastAsia="Calibri" w:hAnsi="Calibri"/>
                <w:sz w:val="16"/>
                <w:szCs w:val="16"/>
                <w:color w:val="auto"/>
              </w:rPr>
              <w:t>291,927</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center"/>
        <w:ind w:right="140"/>
        <w:spacing w:after="0"/>
        <w:rPr>
          <w:sz w:val="20"/>
          <w:szCs w:val="20"/>
          <w:color w:val="auto"/>
        </w:rPr>
      </w:pPr>
      <w:r>
        <w:rPr>
          <w:rFonts w:ascii="Calibri" w:cs="Calibri" w:eastAsia="Calibri" w:hAnsi="Calibri"/>
          <w:sz w:val="16"/>
          <w:szCs w:val="16"/>
          <w:b w:val="1"/>
          <w:bCs w:val="1"/>
          <w:color w:val="auto"/>
        </w:rPr>
        <w:t>Page 18 of 23</w:t>
      </w:r>
    </w:p>
    <w:p>
      <w:pPr>
        <w:sectPr>
          <w:pgSz w:w="11900" w:h="16838" w:orient="portrait"/>
          <w:cols w:equalWidth="0" w:num="1">
            <w:col w:w="11260"/>
          </w:cols>
          <w:pgMar w:left="320" w:top="209" w:right="319" w:bottom="1440" w:gutter="0" w:footer="0" w:header="0"/>
        </w:sectPr>
      </w:pPr>
    </w:p>
    <w:bookmarkStart w:id="21" w:name="page22"/>
    <w:bookmarkEnd w:id="21"/>
    <w:p>
      <w:pPr>
        <w:ind w:left="60"/>
        <w:spacing w:after="0"/>
        <w:rPr>
          <w:sz w:val="20"/>
          <w:szCs w:val="20"/>
          <w:color w:val="auto"/>
        </w:rPr>
      </w:pPr>
      <w:r>
        <w:rPr>
          <w:rFonts w:ascii="Calibri" w:cs="Calibri" w:eastAsia="Calibri" w:hAnsi="Calibri"/>
          <w:sz w:val="19"/>
          <w:szCs w:val="19"/>
          <w:b w:val="1"/>
          <w:bCs w:val="1"/>
          <w:color w:val="auto"/>
        </w:rPr>
        <w:t>CYBIN INC.</w:t>
      </w:r>
    </w:p>
    <w:p>
      <w:pPr>
        <w:ind w:left="60"/>
        <w:spacing w:after="0" w:line="237" w:lineRule="auto"/>
        <w:rPr>
          <w:sz w:val="20"/>
          <w:szCs w:val="20"/>
          <w:color w:val="auto"/>
        </w:rPr>
      </w:pPr>
      <w:r>
        <w:rPr>
          <w:rFonts w:ascii="Calibri" w:cs="Calibri" w:eastAsia="Calibri" w:hAnsi="Calibri"/>
          <w:sz w:val="19"/>
          <w:szCs w:val="19"/>
          <w:b w:val="1"/>
          <w:bCs w:val="1"/>
          <w:color w:val="auto"/>
        </w:rPr>
        <w:t>NOTES TO THE CONDENSED INTERIM CONSOLIDATED FINANCIAL STATEMENTS</w:t>
      </w:r>
    </w:p>
    <w:p>
      <w:pPr>
        <w:ind w:left="60"/>
        <w:spacing w:after="0" w:line="238" w:lineRule="auto"/>
        <w:rPr>
          <w:sz w:val="20"/>
          <w:szCs w:val="20"/>
          <w:color w:val="auto"/>
        </w:rPr>
      </w:pPr>
      <w:r>
        <w:rPr>
          <w:rFonts w:ascii="Calibri" w:cs="Calibri" w:eastAsia="Calibri" w:hAnsi="Calibri"/>
          <w:sz w:val="19"/>
          <w:szCs w:val="19"/>
          <w:b w:val="1"/>
          <w:bCs w:val="1"/>
          <w:color w:val="auto"/>
        </w:rPr>
        <w:t>September 30, 2024</w:t>
      </w:r>
    </w:p>
    <w:p>
      <w:pPr>
        <w:spacing w:after="0" w:line="3" w:lineRule="exact"/>
        <w:rPr>
          <w:sz w:val="20"/>
          <w:szCs w:val="20"/>
          <w:color w:val="auto"/>
        </w:rPr>
      </w:pPr>
    </w:p>
    <w:p>
      <w:pPr>
        <w:ind w:left="60" w:right="200"/>
        <w:spacing w:after="0" w:line="234" w:lineRule="auto"/>
        <w:rPr>
          <w:sz w:val="20"/>
          <w:szCs w:val="20"/>
          <w:color w:val="auto"/>
        </w:rPr>
      </w:pPr>
      <w:r>
        <w:rPr>
          <w:rFonts w:ascii="Calibri" w:cs="Calibri" w:eastAsia="Calibri" w:hAnsi="Calibri"/>
          <w:sz w:val="18"/>
          <w:szCs w:val="18"/>
          <w:b w:val="1"/>
          <w:bCs w:val="1"/>
          <w:color w:val="auto"/>
        </w:rPr>
        <w:t>(All amounts expressed in thousands of Canadian dollars, except share and per share amounts, and those otherwise stated in US dollars, Euros and Great Britain pounds which are in thousands.)</w:t>
      </w:r>
    </w:p>
    <w:p>
      <w:pPr>
        <w:ind w:left="60"/>
        <w:spacing w:after="0" w:line="224" w:lineRule="auto"/>
        <w:rPr>
          <w:sz w:val="20"/>
          <w:szCs w:val="20"/>
          <w:color w:val="auto"/>
        </w:rPr>
      </w:pPr>
      <w:r>
        <w:rPr>
          <w:rFonts w:ascii="Calibri" w:cs="Calibri" w:eastAsia="Calibri" w:hAnsi="Calibri"/>
          <w:sz w:val="18"/>
          <w:szCs w:val="18"/>
          <w:b w:val="1"/>
          <w:bCs w:val="1"/>
          <w:color w:val="auto"/>
        </w:rPr>
        <w:t>(Unaudited)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48895</wp:posOffset>
            </wp:positionV>
            <wp:extent cx="7146925" cy="762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46925" cy="76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spacing w:after="0"/>
        <w:tabs>
          <w:tab w:leader="none" w:pos="320" w:val="left"/>
        </w:tabs>
        <w:rPr>
          <w:sz w:val="20"/>
          <w:szCs w:val="20"/>
          <w:color w:val="auto"/>
        </w:rPr>
      </w:pPr>
      <w:r>
        <w:rPr>
          <w:rFonts w:ascii="Calibri" w:cs="Calibri" w:eastAsia="Calibri" w:hAnsi="Calibri"/>
          <w:sz w:val="16"/>
          <w:szCs w:val="16"/>
          <w:b w:val="1"/>
          <w:bCs w:val="1"/>
          <w:color w:val="2D5F91"/>
        </w:rPr>
        <w:t>13.</w:t>
      </w:r>
      <w:r>
        <w:rPr>
          <w:sz w:val="20"/>
          <w:szCs w:val="20"/>
          <w:color w:val="auto"/>
        </w:rPr>
        <w:tab/>
      </w:r>
      <w:r>
        <w:rPr>
          <w:rFonts w:ascii="Calibri" w:cs="Calibri" w:eastAsia="Calibri" w:hAnsi="Calibri"/>
          <w:sz w:val="15"/>
          <w:szCs w:val="15"/>
          <w:b w:val="1"/>
          <w:bCs w:val="1"/>
          <w:color w:val="2D5F91"/>
        </w:rPr>
        <w:t>FINANCIAL INSTRUMENTS</w:t>
      </w:r>
    </w:p>
    <w:p>
      <w:pPr>
        <w:spacing w:after="0" w:line="192" w:lineRule="exact"/>
        <w:rPr>
          <w:sz w:val="20"/>
          <w:szCs w:val="20"/>
          <w:color w:val="auto"/>
        </w:rPr>
      </w:pPr>
    </w:p>
    <w:p>
      <w:pPr>
        <w:ind w:left="280"/>
        <w:spacing w:after="0"/>
        <w:rPr>
          <w:sz w:val="20"/>
          <w:szCs w:val="20"/>
          <w:color w:val="auto"/>
        </w:rPr>
      </w:pPr>
      <w:r>
        <w:rPr>
          <w:rFonts w:ascii="Calibri" w:cs="Calibri" w:eastAsia="Calibri" w:hAnsi="Calibri"/>
          <w:sz w:val="16"/>
          <w:szCs w:val="16"/>
          <w:color w:val="auto"/>
        </w:rPr>
        <w:t>The Company’s fnancial instruments are exposed to certain fnancial risks, which include currency risk, credit risk, liquidity risk and interest rate risk.</w:t>
      </w:r>
    </w:p>
    <w:p>
      <w:pPr>
        <w:spacing w:after="0" w:line="192" w:lineRule="exact"/>
        <w:rPr>
          <w:sz w:val="20"/>
          <w:szCs w:val="20"/>
          <w:color w:val="auto"/>
        </w:rPr>
      </w:pPr>
    </w:p>
    <w:tbl>
      <w:tblPr>
        <w:tblLayout w:type="fixed"/>
        <w:tblInd w:w="280" w:type="dxa"/>
        <w:tblCellMar>
          <w:top w:w="0" w:type="dxa"/>
          <w:left w:w="0" w:type="dxa"/>
          <w:bottom w:w="0" w:type="dxa"/>
          <w:right w:w="0" w:type="dxa"/>
        </w:tblCellMar>
      </w:tblPr>
      <w:tr>
        <w:trPr>
          <w:trHeight w:val="195"/>
        </w:trPr>
        <w:tc>
          <w:tcPr>
            <w:tcW w:w="5740" w:type="dxa"/>
            <w:vAlign w:val="bottom"/>
          </w:tcPr>
          <w:p>
            <w:pPr>
              <w:spacing w:after="0"/>
              <w:rPr>
                <w:sz w:val="20"/>
                <w:szCs w:val="20"/>
                <w:color w:val="auto"/>
              </w:rPr>
            </w:pPr>
            <w:r>
              <w:rPr>
                <w:rFonts w:ascii="Calibri" w:cs="Calibri" w:eastAsia="Calibri" w:hAnsi="Calibri"/>
                <w:sz w:val="16"/>
                <w:szCs w:val="16"/>
                <w:color w:val="auto"/>
              </w:rPr>
              <w:t>The Company has classifed its fnancial instruments as follows:</w:t>
            </w:r>
          </w:p>
        </w:tc>
        <w:tc>
          <w:tcPr>
            <w:tcW w:w="340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9"/>
        </w:trPr>
        <w:tc>
          <w:tcPr>
            <w:tcW w:w="5740" w:type="dxa"/>
            <w:vAlign w:val="bottom"/>
            <w:vMerge w:val="restart"/>
          </w:tcPr>
          <w:p>
            <w:pPr>
              <w:ind w:left="60"/>
              <w:spacing w:after="0"/>
              <w:rPr>
                <w:sz w:val="20"/>
                <w:szCs w:val="20"/>
                <w:color w:val="auto"/>
              </w:rPr>
            </w:pPr>
            <w:r>
              <w:rPr>
                <w:rFonts w:ascii="Calibri" w:cs="Calibri" w:eastAsia="Calibri" w:hAnsi="Calibri"/>
                <w:sz w:val="16"/>
                <w:szCs w:val="16"/>
                <w:b w:val="1"/>
                <w:bCs w:val="1"/>
                <w:color w:val="auto"/>
              </w:rPr>
              <w:t>As at</w:t>
            </w:r>
          </w:p>
        </w:tc>
        <w:tc>
          <w:tcPr>
            <w:tcW w:w="3400" w:type="dxa"/>
            <w:vAlign w:val="bottom"/>
            <w:vMerge w:val="restart"/>
          </w:tcPr>
          <w:p>
            <w:pPr>
              <w:jc w:val="right"/>
              <w:ind w:right="299"/>
              <w:spacing w:after="0"/>
              <w:rPr>
                <w:sz w:val="20"/>
                <w:szCs w:val="20"/>
                <w:color w:val="auto"/>
              </w:rPr>
            </w:pPr>
            <w:r>
              <w:rPr>
                <w:rFonts w:ascii="Calibri" w:cs="Calibri" w:eastAsia="Calibri" w:hAnsi="Calibri"/>
                <w:sz w:val="16"/>
                <w:szCs w:val="16"/>
                <w:b w:val="1"/>
                <w:bCs w:val="1"/>
                <w:color w:val="auto"/>
              </w:rPr>
              <w:t>September 30, 2024</w:t>
            </w:r>
          </w:p>
        </w:tc>
        <w:tc>
          <w:tcPr>
            <w:tcW w:w="1440" w:type="dxa"/>
            <w:vAlign w:val="bottom"/>
          </w:tcPr>
          <w:p>
            <w:pPr>
              <w:jc w:val="right"/>
              <w:spacing w:after="0"/>
              <w:rPr>
                <w:sz w:val="20"/>
                <w:szCs w:val="20"/>
                <w:color w:val="auto"/>
              </w:rPr>
            </w:pPr>
            <w:r>
              <w:rPr>
                <w:rFonts w:ascii="Calibri" w:cs="Calibri" w:eastAsia="Calibri" w:hAnsi="Calibri"/>
                <w:sz w:val="16"/>
                <w:szCs w:val="16"/>
                <w:b w:val="1"/>
                <w:bCs w:val="1"/>
                <w:color w:val="auto"/>
              </w:rPr>
              <w:t>March 31, 2024</w:t>
            </w:r>
          </w:p>
        </w:tc>
        <w:tc>
          <w:tcPr>
            <w:tcW w:w="0" w:type="dxa"/>
            <w:vAlign w:val="bottom"/>
          </w:tcPr>
          <w:p>
            <w:pPr>
              <w:spacing w:after="0"/>
              <w:rPr>
                <w:sz w:val="1"/>
                <w:szCs w:val="1"/>
                <w:color w:val="auto"/>
              </w:rPr>
            </w:pPr>
          </w:p>
        </w:tc>
      </w:tr>
      <w:tr>
        <w:trPr>
          <w:trHeight w:val="60"/>
        </w:trPr>
        <w:tc>
          <w:tcPr>
            <w:tcW w:w="5740" w:type="dxa"/>
            <w:vAlign w:val="bottom"/>
            <w:vMerge w:val="continue"/>
          </w:tcPr>
          <w:p>
            <w:pPr>
              <w:spacing w:after="0"/>
              <w:rPr>
                <w:sz w:val="5"/>
                <w:szCs w:val="5"/>
                <w:color w:val="auto"/>
              </w:rPr>
            </w:pPr>
          </w:p>
        </w:tc>
        <w:tc>
          <w:tcPr>
            <w:tcW w:w="3400" w:type="dxa"/>
            <w:vAlign w:val="bottom"/>
            <w:vMerge w:val="continue"/>
          </w:tcPr>
          <w:p>
            <w:pPr>
              <w:spacing w:after="0"/>
              <w:rPr>
                <w:sz w:val="5"/>
                <w:szCs w:val="5"/>
                <w:color w:val="auto"/>
              </w:rPr>
            </w:pPr>
          </w:p>
        </w:tc>
        <w:tc>
          <w:tcPr>
            <w:tcW w:w="14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54"/>
        </w:trPr>
        <w:tc>
          <w:tcPr>
            <w:tcW w:w="5740" w:type="dxa"/>
            <w:vAlign w:val="bottom"/>
          </w:tcPr>
          <w:p>
            <w:pPr>
              <w:spacing w:after="0"/>
              <w:rPr>
                <w:sz w:val="22"/>
                <w:szCs w:val="22"/>
                <w:color w:val="auto"/>
              </w:rPr>
            </w:pPr>
          </w:p>
        </w:tc>
        <w:tc>
          <w:tcPr>
            <w:tcW w:w="3400" w:type="dxa"/>
            <w:vAlign w:val="bottom"/>
          </w:tcPr>
          <w:p>
            <w:pPr>
              <w:jc w:val="right"/>
              <w:ind w:right="339"/>
              <w:spacing w:after="0"/>
              <w:rPr>
                <w:sz w:val="20"/>
                <w:szCs w:val="20"/>
                <w:color w:val="auto"/>
              </w:rPr>
            </w:pPr>
            <w:r>
              <w:rPr>
                <w:rFonts w:ascii="Calibri" w:cs="Calibri" w:eastAsia="Calibri" w:hAnsi="Calibri"/>
                <w:sz w:val="16"/>
                <w:szCs w:val="16"/>
                <w:b w:val="1"/>
                <w:bCs w:val="1"/>
                <w:color w:val="auto"/>
              </w:rPr>
              <w:t>$</w:t>
            </w:r>
          </w:p>
        </w:tc>
        <w:tc>
          <w:tcPr>
            <w:tcW w:w="1440" w:type="dxa"/>
            <w:vAlign w:val="bottom"/>
          </w:tcPr>
          <w:p>
            <w:pPr>
              <w:jc w:val="right"/>
              <w:spacing w:after="0"/>
              <w:rPr>
                <w:sz w:val="20"/>
                <w:szCs w:val="20"/>
                <w:color w:val="auto"/>
              </w:rPr>
            </w:pPr>
            <w:r>
              <w:rPr>
                <w:rFonts w:ascii="Calibri" w:cs="Calibri" w:eastAsia="Calibri" w:hAnsi="Calibri"/>
                <w:sz w:val="16"/>
                <w:szCs w:val="16"/>
                <w:b w:val="1"/>
                <w:bCs w:val="1"/>
                <w:color w:val="auto"/>
              </w:rPr>
              <w:t>$</w:t>
            </w:r>
          </w:p>
        </w:tc>
        <w:tc>
          <w:tcPr>
            <w:tcW w:w="0" w:type="dxa"/>
            <w:vAlign w:val="bottom"/>
          </w:tcPr>
          <w:p>
            <w:pPr>
              <w:spacing w:after="0"/>
              <w:rPr>
                <w:sz w:val="1"/>
                <w:szCs w:val="1"/>
                <w:color w:val="auto"/>
              </w:rPr>
            </w:pPr>
          </w:p>
        </w:tc>
      </w:tr>
      <w:tr>
        <w:trPr>
          <w:trHeight w:val="81"/>
        </w:trPr>
        <w:tc>
          <w:tcPr>
            <w:tcW w:w="5740" w:type="dxa"/>
            <w:vAlign w:val="bottom"/>
            <w:tcBorders>
              <w:bottom w:val="single" w:sz="8" w:color="auto"/>
            </w:tcBorders>
          </w:tcPr>
          <w:p>
            <w:pPr>
              <w:spacing w:after="0"/>
              <w:rPr>
                <w:sz w:val="7"/>
                <w:szCs w:val="7"/>
                <w:color w:val="auto"/>
              </w:rPr>
            </w:pPr>
          </w:p>
        </w:tc>
        <w:tc>
          <w:tcPr>
            <w:tcW w:w="3400" w:type="dxa"/>
            <w:vAlign w:val="bottom"/>
            <w:tcBorders>
              <w:bottom w:val="single" w:sz="8" w:color="auto"/>
            </w:tcBorders>
          </w:tcPr>
          <w:p>
            <w:pPr>
              <w:spacing w:after="0"/>
              <w:rPr>
                <w:sz w:val="7"/>
                <w:szCs w:val="7"/>
                <w:color w:val="auto"/>
              </w:rPr>
            </w:pPr>
          </w:p>
        </w:tc>
        <w:tc>
          <w:tcPr>
            <w:tcW w:w="1440" w:type="dxa"/>
            <w:vAlign w:val="bottom"/>
            <w:tcBorders>
              <w:bottom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185"/>
        </w:trPr>
        <w:tc>
          <w:tcPr>
            <w:tcW w:w="5740" w:type="dxa"/>
            <w:vAlign w:val="bottom"/>
          </w:tcPr>
          <w:p>
            <w:pPr>
              <w:ind w:left="60"/>
              <w:spacing w:after="0" w:line="185" w:lineRule="exact"/>
              <w:rPr>
                <w:sz w:val="20"/>
                <w:szCs w:val="20"/>
                <w:color w:val="auto"/>
              </w:rPr>
            </w:pPr>
            <w:r>
              <w:rPr>
                <w:rFonts w:ascii="Calibri" w:cs="Calibri" w:eastAsia="Calibri" w:hAnsi="Calibri"/>
                <w:sz w:val="16"/>
                <w:szCs w:val="16"/>
                <w:b w:val="1"/>
                <w:bCs w:val="1"/>
                <w:color w:val="auto"/>
              </w:rPr>
              <w:t>Financial assets, measured at fair value:</w:t>
            </w:r>
          </w:p>
        </w:tc>
        <w:tc>
          <w:tcPr>
            <w:tcW w:w="340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8"/>
        </w:trPr>
        <w:tc>
          <w:tcPr>
            <w:tcW w:w="5740" w:type="dxa"/>
            <w:vAlign w:val="bottom"/>
          </w:tcPr>
          <w:p>
            <w:pPr>
              <w:ind w:left="160"/>
              <w:spacing w:after="0"/>
              <w:rPr>
                <w:sz w:val="20"/>
                <w:szCs w:val="20"/>
                <w:color w:val="auto"/>
              </w:rPr>
            </w:pPr>
            <w:r>
              <w:rPr>
                <w:rFonts w:ascii="Calibri" w:cs="Calibri" w:eastAsia="Calibri" w:hAnsi="Calibri"/>
                <w:sz w:val="16"/>
                <w:szCs w:val="16"/>
                <w:color w:val="auto"/>
              </w:rPr>
              <w:t>Cash</w:t>
            </w:r>
          </w:p>
        </w:tc>
        <w:tc>
          <w:tcPr>
            <w:tcW w:w="3400" w:type="dxa"/>
            <w:vAlign w:val="bottom"/>
          </w:tcPr>
          <w:p>
            <w:pPr>
              <w:jc w:val="right"/>
              <w:ind w:right="339"/>
              <w:spacing w:after="0"/>
              <w:rPr>
                <w:sz w:val="20"/>
                <w:szCs w:val="20"/>
                <w:color w:val="auto"/>
              </w:rPr>
            </w:pPr>
            <w:r>
              <w:rPr>
                <w:rFonts w:ascii="Calibri" w:cs="Calibri" w:eastAsia="Calibri" w:hAnsi="Calibri"/>
                <w:sz w:val="16"/>
                <w:szCs w:val="16"/>
                <w:b w:val="1"/>
                <w:bCs w:val="1"/>
                <w:color w:val="auto"/>
              </w:rPr>
              <w:t>154,318</w:t>
            </w:r>
          </w:p>
        </w:tc>
        <w:tc>
          <w:tcPr>
            <w:tcW w:w="1440" w:type="dxa"/>
            <w:vAlign w:val="bottom"/>
          </w:tcPr>
          <w:p>
            <w:pPr>
              <w:jc w:val="right"/>
              <w:ind w:right="79"/>
              <w:spacing w:after="0"/>
              <w:rPr>
                <w:sz w:val="20"/>
                <w:szCs w:val="20"/>
                <w:color w:val="auto"/>
              </w:rPr>
            </w:pPr>
            <w:r>
              <w:rPr>
                <w:rFonts w:ascii="Calibri" w:cs="Calibri" w:eastAsia="Calibri" w:hAnsi="Calibri"/>
                <w:sz w:val="16"/>
                <w:szCs w:val="16"/>
                <w:color w:val="auto"/>
              </w:rPr>
              <w:t>208,992</w:t>
            </w:r>
          </w:p>
        </w:tc>
        <w:tc>
          <w:tcPr>
            <w:tcW w:w="0" w:type="dxa"/>
            <w:vAlign w:val="bottom"/>
          </w:tcPr>
          <w:p>
            <w:pPr>
              <w:spacing w:after="0"/>
              <w:rPr>
                <w:sz w:val="1"/>
                <w:szCs w:val="1"/>
                <w:color w:val="auto"/>
              </w:rPr>
            </w:pPr>
          </w:p>
        </w:tc>
      </w:tr>
      <w:tr>
        <w:trPr>
          <w:trHeight w:val="206"/>
        </w:trPr>
        <w:tc>
          <w:tcPr>
            <w:tcW w:w="5740" w:type="dxa"/>
            <w:vAlign w:val="bottom"/>
          </w:tcPr>
          <w:p>
            <w:pPr>
              <w:ind w:left="60"/>
              <w:spacing w:after="0"/>
              <w:rPr>
                <w:sz w:val="20"/>
                <w:szCs w:val="20"/>
                <w:color w:val="auto"/>
              </w:rPr>
            </w:pPr>
            <w:r>
              <w:rPr>
                <w:rFonts w:ascii="Calibri" w:cs="Calibri" w:eastAsia="Calibri" w:hAnsi="Calibri"/>
                <w:sz w:val="16"/>
                <w:szCs w:val="16"/>
                <w:b w:val="1"/>
                <w:bCs w:val="1"/>
                <w:color w:val="auto"/>
              </w:rPr>
              <w:t>Financial assets, measured at amortzed cost:</w:t>
            </w:r>
          </w:p>
        </w:tc>
        <w:tc>
          <w:tcPr>
            <w:tcW w:w="340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5740" w:type="dxa"/>
            <w:vAlign w:val="bottom"/>
          </w:tcPr>
          <w:p>
            <w:pPr>
              <w:ind w:left="160"/>
              <w:spacing w:after="0"/>
              <w:rPr>
                <w:sz w:val="20"/>
                <w:szCs w:val="20"/>
                <w:color w:val="auto"/>
              </w:rPr>
            </w:pPr>
            <w:r>
              <w:rPr>
                <w:rFonts w:ascii="Calibri" w:cs="Calibri" w:eastAsia="Calibri" w:hAnsi="Calibri"/>
                <w:sz w:val="16"/>
                <w:szCs w:val="16"/>
                <w:color w:val="auto"/>
              </w:rPr>
              <w:t>Accounts receivable</w:t>
            </w:r>
          </w:p>
        </w:tc>
        <w:tc>
          <w:tcPr>
            <w:tcW w:w="3400" w:type="dxa"/>
            <w:vAlign w:val="bottom"/>
          </w:tcPr>
          <w:p>
            <w:pPr>
              <w:jc w:val="right"/>
              <w:ind w:right="339"/>
              <w:spacing w:after="0"/>
              <w:rPr>
                <w:sz w:val="20"/>
                <w:szCs w:val="20"/>
                <w:color w:val="auto"/>
              </w:rPr>
            </w:pPr>
            <w:r>
              <w:rPr>
                <w:rFonts w:ascii="Calibri" w:cs="Calibri" w:eastAsia="Calibri" w:hAnsi="Calibri"/>
                <w:sz w:val="16"/>
                <w:szCs w:val="16"/>
                <w:b w:val="1"/>
                <w:bCs w:val="1"/>
                <w:color w:val="auto"/>
              </w:rPr>
              <w:t>678</w:t>
            </w:r>
          </w:p>
        </w:tc>
        <w:tc>
          <w:tcPr>
            <w:tcW w:w="1440" w:type="dxa"/>
            <w:vAlign w:val="bottom"/>
          </w:tcPr>
          <w:p>
            <w:pPr>
              <w:jc w:val="right"/>
              <w:ind w:right="79"/>
              <w:spacing w:after="0"/>
              <w:rPr>
                <w:sz w:val="20"/>
                <w:szCs w:val="20"/>
                <w:color w:val="auto"/>
              </w:rPr>
            </w:pPr>
            <w:r>
              <w:rPr>
                <w:rFonts w:ascii="Calibri" w:cs="Calibri" w:eastAsia="Calibri" w:hAnsi="Calibri"/>
                <w:sz w:val="16"/>
                <w:szCs w:val="16"/>
                <w:color w:val="auto"/>
              </w:rPr>
              <w:t>254</w:t>
            </w:r>
          </w:p>
        </w:tc>
        <w:tc>
          <w:tcPr>
            <w:tcW w:w="0" w:type="dxa"/>
            <w:vAlign w:val="bottom"/>
          </w:tcPr>
          <w:p>
            <w:pPr>
              <w:spacing w:after="0"/>
              <w:rPr>
                <w:sz w:val="1"/>
                <w:szCs w:val="1"/>
                <w:color w:val="auto"/>
              </w:rPr>
            </w:pPr>
          </w:p>
        </w:tc>
      </w:tr>
      <w:tr>
        <w:trPr>
          <w:trHeight w:val="206"/>
        </w:trPr>
        <w:tc>
          <w:tcPr>
            <w:tcW w:w="5740" w:type="dxa"/>
            <w:vAlign w:val="bottom"/>
          </w:tcPr>
          <w:p>
            <w:pPr>
              <w:ind w:left="60"/>
              <w:spacing w:after="0"/>
              <w:rPr>
                <w:sz w:val="20"/>
                <w:szCs w:val="20"/>
                <w:color w:val="auto"/>
              </w:rPr>
            </w:pPr>
            <w:r>
              <w:rPr>
                <w:rFonts w:ascii="Calibri" w:cs="Calibri" w:eastAsia="Calibri" w:hAnsi="Calibri"/>
                <w:sz w:val="16"/>
                <w:szCs w:val="16"/>
                <w:b w:val="1"/>
                <w:bCs w:val="1"/>
                <w:color w:val="auto"/>
              </w:rPr>
              <w:t>Financial liabilites, measured at amortzed cost:</w:t>
            </w:r>
          </w:p>
        </w:tc>
        <w:tc>
          <w:tcPr>
            <w:tcW w:w="340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5740" w:type="dxa"/>
            <w:vAlign w:val="bottom"/>
          </w:tcPr>
          <w:p>
            <w:pPr>
              <w:ind w:left="160"/>
              <w:spacing w:after="0"/>
              <w:rPr>
                <w:sz w:val="20"/>
                <w:szCs w:val="20"/>
                <w:color w:val="auto"/>
              </w:rPr>
            </w:pPr>
            <w:r>
              <w:rPr>
                <w:rFonts w:ascii="Calibri" w:cs="Calibri" w:eastAsia="Calibri" w:hAnsi="Calibri"/>
                <w:sz w:val="16"/>
                <w:szCs w:val="16"/>
                <w:color w:val="auto"/>
              </w:rPr>
              <w:t>Accounts payable and accrued liabilites</w:t>
            </w:r>
          </w:p>
        </w:tc>
        <w:tc>
          <w:tcPr>
            <w:tcW w:w="3400" w:type="dxa"/>
            <w:vAlign w:val="bottom"/>
          </w:tcPr>
          <w:p>
            <w:pPr>
              <w:jc w:val="right"/>
              <w:ind w:right="339"/>
              <w:spacing w:after="0"/>
              <w:rPr>
                <w:sz w:val="20"/>
                <w:szCs w:val="20"/>
                <w:color w:val="auto"/>
              </w:rPr>
            </w:pPr>
            <w:r>
              <w:rPr>
                <w:rFonts w:ascii="Calibri" w:cs="Calibri" w:eastAsia="Calibri" w:hAnsi="Calibri"/>
                <w:sz w:val="16"/>
                <w:szCs w:val="16"/>
                <w:b w:val="1"/>
                <w:bCs w:val="1"/>
                <w:color w:val="auto"/>
              </w:rPr>
              <w:t>7,240</w:t>
            </w:r>
          </w:p>
        </w:tc>
        <w:tc>
          <w:tcPr>
            <w:tcW w:w="1440" w:type="dxa"/>
            <w:vAlign w:val="bottom"/>
          </w:tcPr>
          <w:p>
            <w:pPr>
              <w:jc w:val="right"/>
              <w:ind w:right="79"/>
              <w:spacing w:after="0"/>
              <w:rPr>
                <w:sz w:val="20"/>
                <w:szCs w:val="20"/>
                <w:color w:val="auto"/>
              </w:rPr>
            </w:pPr>
            <w:r>
              <w:rPr>
                <w:rFonts w:ascii="Calibri" w:cs="Calibri" w:eastAsia="Calibri" w:hAnsi="Calibri"/>
                <w:sz w:val="16"/>
                <w:szCs w:val="16"/>
                <w:color w:val="auto"/>
              </w:rPr>
              <w:t>9,805</w:t>
            </w:r>
          </w:p>
        </w:tc>
        <w:tc>
          <w:tcPr>
            <w:tcW w:w="0" w:type="dxa"/>
            <w:vAlign w:val="bottom"/>
          </w:tcPr>
          <w:p>
            <w:pPr>
              <w:spacing w:after="0"/>
              <w:rPr>
                <w:sz w:val="1"/>
                <w:szCs w:val="1"/>
                <w:color w:val="auto"/>
              </w:rPr>
            </w:pPr>
          </w:p>
        </w:tc>
      </w:tr>
      <w:tr>
        <w:trPr>
          <w:trHeight w:val="206"/>
        </w:trPr>
        <w:tc>
          <w:tcPr>
            <w:tcW w:w="5740" w:type="dxa"/>
            <w:vAlign w:val="bottom"/>
          </w:tcPr>
          <w:p>
            <w:pPr>
              <w:ind w:left="160"/>
              <w:spacing w:after="0"/>
              <w:rPr>
                <w:sz w:val="20"/>
                <w:szCs w:val="20"/>
                <w:color w:val="auto"/>
              </w:rPr>
            </w:pPr>
            <w:r>
              <w:rPr>
                <w:rFonts w:ascii="Calibri" w:cs="Calibri" w:eastAsia="Calibri" w:hAnsi="Calibri"/>
                <w:sz w:val="16"/>
                <w:szCs w:val="16"/>
                <w:color w:val="auto"/>
              </w:rPr>
              <w:t>Lease liabilites</w:t>
            </w:r>
          </w:p>
        </w:tc>
        <w:tc>
          <w:tcPr>
            <w:tcW w:w="3400" w:type="dxa"/>
            <w:vAlign w:val="bottom"/>
          </w:tcPr>
          <w:p>
            <w:pPr>
              <w:jc w:val="right"/>
              <w:ind w:right="339"/>
              <w:spacing w:after="0"/>
              <w:rPr>
                <w:sz w:val="20"/>
                <w:szCs w:val="20"/>
                <w:color w:val="auto"/>
              </w:rPr>
            </w:pPr>
            <w:r>
              <w:rPr>
                <w:rFonts w:ascii="Calibri" w:cs="Calibri" w:eastAsia="Calibri" w:hAnsi="Calibri"/>
                <w:sz w:val="16"/>
                <w:szCs w:val="16"/>
                <w:b w:val="1"/>
                <w:bCs w:val="1"/>
                <w:color w:val="auto"/>
              </w:rPr>
              <w:t>133</w:t>
            </w:r>
          </w:p>
        </w:tc>
        <w:tc>
          <w:tcPr>
            <w:tcW w:w="1440" w:type="dxa"/>
            <w:vAlign w:val="bottom"/>
          </w:tcPr>
          <w:p>
            <w:pPr>
              <w:jc w:val="right"/>
              <w:ind w:right="79"/>
              <w:spacing w:after="0"/>
              <w:rPr>
                <w:sz w:val="20"/>
                <w:szCs w:val="20"/>
                <w:color w:val="auto"/>
              </w:rPr>
            </w:pPr>
            <w:r>
              <w:rPr>
                <w:rFonts w:ascii="Calibri" w:cs="Calibri" w:eastAsia="Calibri" w:hAnsi="Calibri"/>
                <w:sz w:val="16"/>
                <w:szCs w:val="16"/>
                <w:color w:val="auto"/>
              </w:rPr>
              <w:t>291</w:t>
            </w:r>
          </w:p>
        </w:tc>
        <w:tc>
          <w:tcPr>
            <w:tcW w:w="0" w:type="dxa"/>
            <w:vAlign w:val="bottom"/>
          </w:tcPr>
          <w:p>
            <w:pPr>
              <w:spacing w:after="0"/>
              <w:rPr>
                <w:sz w:val="1"/>
                <w:szCs w:val="1"/>
                <w:color w:val="auto"/>
              </w:rPr>
            </w:pPr>
          </w:p>
        </w:tc>
      </w:tr>
      <w:tr>
        <w:trPr>
          <w:trHeight w:val="20"/>
        </w:trPr>
        <w:tc>
          <w:tcPr>
            <w:tcW w:w="5740" w:type="dxa"/>
            <w:vAlign w:val="bottom"/>
            <w:tcBorders>
              <w:bottom w:val="single" w:sz="8" w:color="auto"/>
            </w:tcBorders>
          </w:tcPr>
          <w:p>
            <w:pPr>
              <w:spacing w:after="0" w:line="20" w:lineRule="exact"/>
              <w:rPr>
                <w:sz w:val="1"/>
                <w:szCs w:val="1"/>
                <w:color w:val="auto"/>
              </w:rPr>
            </w:pPr>
          </w:p>
        </w:tc>
        <w:tc>
          <w:tcPr>
            <w:tcW w:w="340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32" w:lineRule="exact"/>
        <w:rPr>
          <w:sz w:val="20"/>
          <w:szCs w:val="20"/>
          <w:color w:val="auto"/>
        </w:rPr>
      </w:pPr>
    </w:p>
    <w:p>
      <w:pPr>
        <w:ind w:left="280"/>
        <w:spacing w:after="0"/>
        <w:rPr>
          <w:sz w:val="20"/>
          <w:szCs w:val="20"/>
          <w:color w:val="auto"/>
        </w:rPr>
      </w:pPr>
      <w:r>
        <w:rPr>
          <w:rFonts w:ascii="Calibri" w:cs="Calibri" w:eastAsia="Calibri" w:hAnsi="Calibri"/>
          <w:sz w:val="16"/>
          <w:szCs w:val="16"/>
          <w:color w:val="auto"/>
        </w:rPr>
        <w:t>The carrying value of the Company’s fnancial instruments approximate their fair value.</w:t>
      </w:r>
    </w:p>
    <w:p>
      <w:pPr>
        <w:spacing w:after="0" w:line="179" w:lineRule="exact"/>
        <w:rPr>
          <w:sz w:val="20"/>
          <w:szCs w:val="20"/>
          <w:color w:val="auto"/>
        </w:rPr>
      </w:pPr>
    </w:p>
    <w:p>
      <w:pPr>
        <w:ind w:left="280"/>
        <w:spacing w:after="0"/>
        <w:rPr>
          <w:sz w:val="20"/>
          <w:szCs w:val="20"/>
          <w:color w:val="auto"/>
        </w:rPr>
      </w:pPr>
      <w:r>
        <w:rPr>
          <w:rFonts w:ascii="Calibri" w:cs="Calibri" w:eastAsia="Calibri" w:hAnsi="Calibri"/>
          <w:sz w:val="16"/>
          <w:szCs w:val="16"/>
          <w:b w:val="1"/>
          <w:bCs w:val="1"/>
          <w:u w:val="single" w:color="auto"/>
          <w:color w:val="auto"/>
        </w:rPr>
        <w:t>Fair value hierarchy of fnancial instruments</w:t>
      </w:r>
    </w:p>
    <w:p>
      <w:pPr>
        <w:spacing w:after="0" w:line="194" w:lineRule="exact"/>
        <w:rPr>
          <w:sz w:val="20"/>
          <w:szCs w:val="20"/>
          <w:color w:val="auto"/>
        </w:rPr>
      </w:pPr>
    </w:p>
    <w:p>
      <w:pPr>
        <w:jc w:val="both"/>
        <w:ind w:left="280" w:right="20"/>
        <w:spacing w:after="0" w:line="279" w:lineRule="auto"/>
        <w:rPr>
          <w:sz w:val="20"/>
          <w:szCs w:val="20"/>
          <w:color w:val="auto"/>
        </w:rPr>
      </w:pPr>
      <w:r>
        <w:rPr>
          <w:rFonts w:ascii="Calibri" w:cs="Calibri" w:eastAsia="Calibri" w:hAnsi="Calibri"/>
          <w:sz w:val="16"/>
          <w:szCs w:val="16"/>
          <w:color w:val="auto"/>
        </w:rPr>
        <w:t>The Company has categorized its fnancial instruments that are carried at fair value, based on the priority of the inputs to the valuaton techniques used to measure fair value, into a three-level fair value hierarchy as follows:</w:t>
      </w:r>
    </w:p>
    <w:p>
      <w:pPr>
        <w:spacing w:after="0" w:line="162" w:lineRule="exact"/>
        <w:rPr>
          <w:sz w:val="20"/>
          <w:szCs w:val="20"/>
          <w:color w:val="auto"/>
        </w:rPr>
      </w:pPr>
    </w:p>
    <w:p>
      <w:pPr>
        <w:jc w:val="both"/>
        <w:ind w:left="280" w:right="20"/>
        <w:spacing w:after="0" w:line="264" w:lineRule="auto"/>
        <w:rPr>
          <w:sz w:val="20"/>
          <w:szCs w:val="20"/>
          <w:color w:val="auto"/>
        </w:rPr>
      </w:pPr>
      <w:r>
        <w:rPr>
          <w:rFonts w:ascii="Calibri" w:cs="Calibri" w:eastAsia="Calibri" w:hAnsi="Calibri"/>
          <w:sz w:val="16"/>
          <w:szCs w:val="16"/>
          <w:color w:val="auto"/>
        </w:rPr>
        <w:t>Level 1: Fair value is based on unadjusted quoted prices for identcal assets or liabilites in an actve market. The types of assets and liabilites classifed as Level 1 generally included cash.</w:t>
      </w:r>
    </w:p>
    <w:p>
      <w:pPr>
        <w:spacing w:after="0" w:line="175" w:lineRule="exact"/>
        <w:rPr>
          <w:sz w:val="20"/>
          <w:szCs w:val="20"/>
          <w:color w:val="auto"/>
        </w:rPr>
      </w:pPr>
    </w:p>
    <w:p>
      <w:pPr>
        <w:jc w:val="both"/>
        <w:ind w:left="280"/>
        <w:spacing w:after="0" w:line="273" w:lineRule="auto"/>
        <w:rPr>
          <w:sz w:val="20"/>
          <w:szCs w:val="20"/>
          <w:color w:val="auto"/>
        </w:rPr>
      </w:pPr>
      <w:r>
        <w:rPr>
          <w:rFonts w:ascii="Calibri" w:cs="Calibri" w:eastAsia="Calibri" w:hAnsi="Calibri"/>
          <w:sz w:val="16"/>
          <w:szCs w:val="16"/>
          <w:color w:val="auto"/>
        </w:rPr>
        <w:t>Level 2: Fair value is based on quoted prices for similar assets or liabilites in actve markets, valuaton that is based on signifcant observable inputs, or inputs that are derived principally from or corroborated with observable market data through correlaton or other means. Currently, the Company has no fnancial instruments that would be classifed as Level 2.</w:t>
      </w:r>
    </w:p>
    <w:p>
      <w:pPr>
        <w:spacing w:after="0" w:line="168" w:lineRule="exact"/>
        <w:rPr>
          <w:sz w:val="20"/>
          <w:szCs w:val="20"/>
          <w:color w:val="auto"/>
        </w:rPr>
      </w:pPr>
    </w:p>
    <w:p>
      <w:pPr>
        <w:jc w:val="both"/>
        <w:ind w:left="280" w:right="20"/>
        <w:spacing w:after="0" w:line="264" w:lineRule="auto"/>
        <w:rPr>
          <w:sz w:val="20"/>
          <w:szCs w:val="20"/>
          <w:color w:val="auto"/>
        </w:rPr>
      </w:pPr>
      <w:r>
        <w:rPr>
          <w:rFonts w:ascii="Calibri" w:cs="Calibri" w:eastAsia="Calibri" w:hAnsi="Calibri"/>
          <w:sz w:val="16"/>
          <w:szCs w:val="16"/>
          <w:color w:val="auto"/>
        </w:rPr>
        <w:t>Level 3: Fair value is based on valuaton techniques that require one or more signifcant inputs that are not based on observable market inputs. These unobservable inputs refect the Company’s assumptons about the assumptons market partcipants would use in pricing the asset or liability. Investments are classifed as Level 3.</w:t>
      </w:r>
    </w:p>
    <w:p>
      <w:pPr>
        <w:spacing w:after="0" w:line="172" w:lineRule="exact"/>
        <w:rPr>
          <w:sz w:val="20"/>
          <w:szCs w:val="20"/>
          <w:color w:val="auto"/>
        </w:rPr>
      </w:pPr>
    </w:p>
    <w:p>
      <w:pPr>
        <w:ind w:left="280"/>
        <w:spacing w:after="0"/>
        <w:rPr>
          <w:sz w:val="20"/>
          <w:szCs w:val="20"/>
          <w:color w:val="auto"/>
        </w:rPr>
      </w:pPr>
      <w:r>
        <w:rPr>
          <w:rFonts w:ascii="Calibri" w:cs="Calibri" w:eastAsia="Calibri" w:hAnsi="Calibri"/>
          <w:sz w:val="16"/>
          <w:szCs w:val="16"/>
          <w:color w:val="auto"/>
        </w:rPr>
        <w:t>There were no transfers between levels of the fair value hierarchy for the three and six month periods ended September 30, 2024.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center"/>
        <w:ind w:right="140"/>
        <w:spacing w:after="0"/>
        <w:rPr>
          <w:sz w:val="20"/>
          <w:szCs w:val="20"/>
          <w:color w:val="auto"/>
        </w:rPr>
      </w:pPr>
      <w:r>
        <w:rPr>
          <w:rFonts w:ascii="Calibri" w:cs="Calibri" w:eastAsia="Calibri" w:hAnsi="Calibri"/>
          <w:sz w:val="16"/>
          <w:szCs w:val="16"/>
          <w:b w:val="1"/>
          <w:bCs w:val="1"/>
          <w:color w:val="auto"/>
        </w:rPr>
        <w:t>Page 19 of 23</w:t>
      </w:r>
    </w:p>
    <w:p>
      <w:pPr>
        <w:sectPr>
          <w:pgSz w:w="11900" w:h="16838" w:orient="portrait"/>
          <w:cols w:equalWidth="0" w:num="1">
            <w:col w:w="11260"/>
          </w:cols>
          <w:pgMar w:left="320" w:top="209" w:right="319" w:bottom="1440" w:gutter="0" w:footer="0" w:header="0"/>
        </w:sectPr>
      </w:pPr>
    </w:p>
    <w:bookmarkStart w:id="22" w:name="page23"/>
    <w:bookmarkEnd w:id="22"/>
    <w:p>
      <w:pPr>
        <w:spacing w:after="0"/>
        <w:rPr>
          <w:sz w:val="20"/>
          <w:szCs w:val="20"/>
          <w:color w:val="auto"/>
        </w:rPr>
      </w:pPr>
      <w:r>
        <w:rPr>
          <w:rFonts w:ascii="Calibri" w:cs="Calibri" w:eastAsia="Calibri" w:hAnsi="Calibri"/>
          <w:sz w:val="19"/>
          <w:szCs w:val="19"/>
          <w:b w:val="1"/>
          <w:bCs w:val="1"/>
          <w:color w:val="auto"/>
        </w:rPr>
        <w:t>CYBIN INC.</w:t>
      </w:r>
    </w:p>
    <w:p>
      <w:pPr>
        <w:spacing w:after="0" w:line="237" w:lineRule="auto"/>
        <w:rPr>
          <w:sz w:val="20"/>
          <w:szCs w:val="20"/>
          <w:color w:val="auto"/>
        </w:rPr>
      </w:pPr>
      <w:r>
        <w:rPr>
          <w:rFonts w:ascii="Calibri" w:cs="Calibri" w:eastAsia="Calibri" w:hAnsi="Calibri"/>
          <w:sz w:val="19"/>
          <w:szCs w:val="19"/>
          <w:b w:val="1"/>
          <w:bCs w:val="1"/>
          <w:color w:val="auto"/>
        </w:rPr>
        <w:t>NOTES TO THE CONDENSED INTERIM CONSOLIDATED FINANCIAL STATEMENTS</w:t>
      </w:r>
    </w:p>
    <w:p>
      <w:pPr>
        <w:spacing w:after="0" w:line="238" w:lineRule="auto"/>
        <w:rPr>
          <w:sz w:val="20"/>
          <w:szCs w:val="20"/>
          <w:color w:val="auto"/>
        </w:rPr>
      </w:pPr>
      <w:r>
        <w:rPr>
          <w:rFonts w:ascii="Calibri" w:cs="Calibri" w:eastAsia="Calibri" w:hAnsi="Calibri"/>
          <w:sz w:val="19"/>
          <w:szCs w:val="19"/>
          <w:b w:val="1"/>
          <w:bCs w:val="1"/>
          <w:color w:val="auto"/>
        </w:rPr>
        <w:t>September 30, 2024</w:t>
      </w:r>
    </w:p>
    <w:p>
      <w:pPr>
        <w:spacing w:after="0" w:line="3" w:lineRule="exact"/>
        <w:rPr>
          <w:sz w:val="20"/>
          <w:szCs w:val="20"/>
          <w:color w:val="auto"/>
        </w:rPr>
      </w:pPr>
    </w:p>
    <w:p>
      <w:pPr>
        <w:ind w:right="200"/>
        <w:spacing w:after="0" w:line="234" w:lineRule="auto"/>
        <w:rPr>
          <w:sz w:val="20"/>
          <w:szCs w:val="20"/>
          <w:color w:val="auto"/>
        </w:rPr>
      </w:pPr>
      <w:r>
        <w:rPr>
          <w:rFonts w:ascii="Calibri" w:cs="Calibri" w:eastAsia="Calibri" w:hAnsi="Calibri"/>
          <w:sz w:val="18"/>
          <w:szCs w:val="18"/>
          <w:b w:val="1"/>
          <w:bCs w:val="1"/>
          <w:color w:val="auto"/>
        </w:rPr>
        <w:t>(All amounts expressed in thousands of Canadian dollars, except share and per share amounts, and those otherwise stated in US dollars, Euros and Great Britain pounds which are in thousands.)</w:t>
      </w:r>
    </w:p>
    <w:p>
      <w:pPr>
        <w:spacing w:after="0" w:line="224" w:lineRule="auto"/>
        <w:rPr>
          <w:sz w:val="20"/>
          <w:szCs w:val="20"/>
          <w:color w:val="auto"/>
        </w:rPr>
      </w:pPr>
      <w:r>
        <w:rPr>
          <w:rFonts w:ascii="Calibri" w:cs="Calibri" w:eastAsia="Calibri" w:hAnsi="Calibri"/>
          <w:sz w:val="18"/>
          <w:szCs w:val="18"/>
          <w:b w:val="1"/>
          <w:bCs w:val="1"/>
          <w:color w:val="auto"/>
        </w:rPr>
        <w:t>(Unaudited)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-39370</wp:posOffset>
            </wp:positionH>
            <wp:positionV relativeFrom="paragraph">
              <wp:posOffset>48895</wp:posOffset>
            </wp:positionV>
            <wp:extent cx="7146925" cy="762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46925" cy="76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ind w:left="220"/>
        <w:spacing w:after="0"/>
        <w:rPr>
          <w:sz w:val="20"/>
          <w:szCs w:val="20"/>
          <w:color w:val="auto"/>
        </w:rPr>
      </w:pPr>
      <w:r>
        <w:rPr>
          <w:rFonts w:ascii="Calibri" w:cs="Calibri" w:eastAsia="Calibri" w:hAnsi="Calibri"/>
          <w:sz w:val="16"/>
          <w:szCs w:val="16"/>
          <w:b w:val="1"/>
          <w:bCs w:val="1"/>
          <w:u w:val="single" w:color="auto"/>
          <w:color w:val="auto"/>
        </w:rPr>
        <w:t>Financial risk management</w:t>
      </w:r>
    </w:p>
    <w:p>
      <w:pPr>
        <w:spacing w:after="0" w:line="192" w:lineRule="exact"/>
        <w:rPr>
          <w:sz w:val="20"/>
          <w:szCs w:val="20"/>
          <w:color w:val="auto"/>
        </w:rPr>
      </w:pPr>
    </w:p>
    <w:p>
      <w:pPr>
        <w:ind w:left="220"/>
        <w:spacing w:after="0"/>
        <w:rPr>
          <w:sz w:val="20"/>
          <w:szCs w:val="20"/>
          <w:color w:val="auto"/>
        </w:rPr>
      </w:pPr>
      <w:r>
        <w:rPr>
          <w:rFonts w:ascii="Calibri" w:cs="Calibri" w:eastAsia="Calibri" w:hAnsi="Calibri"/>
          <w:sz w:val="16"/>
          <w:szCs w:val="16"/>
          <w:b w:val="1"/>
          <w:bCs w:val="1"/>
          <w:color w:val="auto"/>
        </w:rPr>
        <w:t>Credit risk</w:t>
      </w:r>
    </w:p>
    <w:p>
      <w:pPr>
        <w:spacing w:after="0" w:line="192" w:lineRule="exact"/>
        <w:rPr>
          <w:sz w:val="20"/>
          <w:szCs w:val="20"/>
          <w:color w:val="auto"/>
        </w:rPr>
      </w:pPr>
    </w:p>
    <w:p>
      <w:pPr>
        <w:ind w:left="220"/>
        <w:spacing w:after="0"/>
        <w:rPr>
          <w:sz w:val="20"/>
          <w:szCs w:val="20"/>
          <w:color w:val="auto"/>
        </w:rPr>
      </w:pPr>
      <w:r>
        <w:rPr>
          <w:rFonts w:ascii="Calibri" w:cs="Calibri" w:eastAsia="Calibri" w:hAnsi="Calibri"/>
          <w:sz w:val="16"/>
          <w:szCs w:val="16"/>
          <w:color w:val="auto"/>
        </w:rPr>
        <w:t>Credit risk is the risk that one party to a fnancial instrument will cause a fnancial loss for the other party by failing to discharge an obligaton. The Company’s cash is</w:t>
      </w:r>
    </w:p>
    <w:p>
      <w:pPr>
        <w:spacing w:after="0" w:line="73" w:lineRule="exact"/>
        <w:rPr>
          <w:sz w:val="20"/>
          <w:szCs w:val="20"/>
          <w:color w:val="auto"/>
        </w:rPr>
      </w:pPr>
    </w:p>
    <w:p>
      <w:pPr>
        <w:jc w:val="both"/>
        <w:ind w:left="220"/>
        <w:spacing w:after="0" w:line="279" w:lineRule="auto"/>
        <w:rPr>
          <w:sz w:val="20"/>
          <w:szCs w:val="20"/>
          <w:color w:val="auto"/>
        </w:rPr>
      </w:pPr>
      <w:r>
        <w:rPr>
          <w:rFonts w:ascii="Calibri" w:cs="Calibri" w:eastAsia="Calibri" w:hAnsi="Calibri"/>
          <w:sz w:val="16"/>
          <w:szCs w:val="16"/>
          <w:color w:val="auto"/>
        </w:rPr>
        <w:t>exposed to credit risk. The Company reduces its credit risk on cash by placing these instruments with insttutons of high creditworthiness. As at September 30, 2024 the Company’s maximum exposure to credit risk is the carrying value of its fnancial assets.</w:t>
      </w:r>
    </w:p>
    <w:p>
      <w:pPr>
        <w:spacing w:after="0" w:line="160" w:lineRule="exact"/>
        <w:rPr>
          <w:sz w:val="20"/>
          <w:szCs w:val="20"/>
          <w:color w:val="auto"/>
        </w:rPr>
      </w:pPr>
    </w:p>
    <w:p>
      <w:pPr>
        <w:ind w:left="220"/>
        <w:spacing w:after="0"/>
        <w:rPr>
          <w:sz w:val="20"/>
          <w:szCs w:val="20"/>
          <w:color w:val="auto"/>
        </w:rPr>
      </w:pPr>
      <w:r>
        <w:rPr>
          <w:rFonts w:ascii="Calibri" w:cs="Calibri" w:eastAsia="Calibri" w:hAnsi="Calibri"/>
          <w:sz w:val="16"/>
          <w:szCs w:val="16"/>
          <w:b w:val="1"/>
          <w:bCs w:val="1"/>
          <w:color w:val="auto"/>
        </w:rPr>
        <w:t>Liquidity risk</w:t>
      </w:r>
    </w:p>
    <w:p>
      <w:pPr>
        <w:spacing w:after="0" w:line="182" w:lineRule="exact"/>
        <w:rPr>
          <w:sz w:val="20"/>
          <w:szCs w:val="20"/>
          <w:color w:val="auto"/>
        </w:rPr>
      </w:pPr>
    </w:p>
    <w:p>
      <w:pPr>
        <w:jc w:val="both"/>
        <w:ind w:left="220" w:right="20"/>
        <w:spacing w:after="0" w:line="279" w:lineRule="auto"/>
        <w:rPr>
          <w:sz w:val="20"/>
          <w:szCs w:val="20"/>
          <w:color w:val="auto"/>
        </w:rPr>
      </w:pPr>
      <w:r>
        <w:rPr>
          <w:rFonts w:ascii="Calibri" w:cs="Calibri" w:eastAsia="Calibri" w:hAnsi="Calibri"/>
          <w:sz w:val="16"/>
          <w:szCs w:val="16"/>
          <w:color w:val="auto"/>
        </w:rPr>
        <w:t>Liquidity risk is the risk that an entty will encounter difculty in raising funds to meet commitments associated with fnancial instruments. The Company manages liquidity by maintaining adequate cash balances to meet liabilites as they become due.</w:t>
      </w:r>
    </w:p>
    <w:p>
      <w:pPr>
        <w:spacing w:after="0" w:line="162" w:lineRule="exact"/>
        <w:rPr>
          <w:sz w:val="20"/>
          <w:szCs w:val="20"/>
          <w:color w:val="auto"/>
        </w:rPr>
      </w:pPr>
    </w:p>
    <w:p>
      <w:pPr>
        <w:ind w:left="220" w:right="20"/>
        <w:spacing w:after="0" w:line="323" w:lineRule="auto"/>
        <w:rPr>
          <w:sz w:val="20"/>
          <w:szCs w:val="20"/>
          <w:color w:val="auto"/>
        </w:rPr>
      </w:pPr>
      <w:r>
        <w:rPr>
          <w:rFonts w:ascii="Calibri" w:cs="Calibri" w:eastAsia="Calibri" w:hAnsi="Calibri"/>
          <w:sz w:val="16"/>
          <w:szCs w:val="16"/>
          <w:color w:val="auto"/>
        </w:rPr>
        <w:t>As at September 30, 2024, the Company had cash of $154,318 (March 31, 2024 - $208,992) in order to meet current liabilites. Current liabilites include accounts payable and accrued liabilites of $7,240 (March 31, 2024 - $9,805) and lease liabilites of $133 (March 31, 2024 - $291). All amounts are due within the next 12 months.</w:t>
      </w:r>
    </w:p>
    <w:p>
      <w:pPr>
        <w:spacing w:after="0" w:line="125" w:lineRule="exact"/>
        <w:rPr>
          <w:sz w:val="20"/>
          <w:szCs w:val="20"/>
          <w:color w:val="auto"/>
        </w:rPr>
      </w:pPr>
    </w:p>
    <w:p>
      <w:pPr>
        <w:ind w:left="220"/>
        <w:spacing w:after="0"/>
        <w:rPr>
          <w:sz w:val="20"/>
          <w:szCs w:val="20"/>
          <w:color w:val="auto"/>
        </w:rPr>
      </w:pPr>
      <w:r>
        <w:rPr>
          <w:rFonts w:ascii="Calibri" w:cs="Calibri" w:eastAsia="Calibri" w:hAnsi="Calibri"/>
          <w:sz w:val="16"/>
          <w:szCs w:val="16"/>
          <w:b w:val="1"/>
          <w:bCs w:val="1"/>
          <w:color w:val="auto"/>
        </w:rPr>
        <w:t>Market risk</w:t>
      </w:r>
    </w:p>
    <w:p>
      <w:pPr>
        <w:spacing w:after="0" w:line="192" w:lineRule="exact"/>
        <w:rPr>
          <w:sz w:val="20"/>
          <w:szCs w:val="20"/>
          <w:color w:val="auto"/>
        </w:rPr>
      </w:pPr>
    </w:p>
    <w:p>
      <w:pPr>
        <w:ind w:left="220"/>
        <w:spacing w:after="0"/>
        <w:rPr>
          <w:sz w:val="20"/>
          <w:szCs w:val="20"/>
          <w:color w:val="auto"/>
        </w:rPr>
      </w:pPr>
      <w:r>
        <w:rPr>
          <w:rFonts w:ascii="Calibri" w:cs="Calibri" w:eastAsia="Calibri" w:hAnsi="Calibri"/>
          <w:sz w:val="16"/>
          <w:szCs w:val="16"/>
          <w:color w:val="auto"/>
        </w:rPr>
        <w:t>The signifcant market risks to which the Company is exposed are interest rate risk and currency risk.</w:t>
      </w:r>
    </w:p>
    <w:p>
      <w:pPr>
        <w:spacing w:after="0" w:line="192" w:lineRule="exact"/>
        <w:rPr>
          <w:sz w:val="20"/>
          <w:szCs w:val="20"/>
          <w:color w:val="auto"/>
        </w:rPr>
      </w:pPr>
    </w:p>
    <w:p>
      <w:pPr>
        <w:ind w:left="220"/>
        <w:spacing w:after="0"/>
        <w:rPr>
          <w:sz w:val="20"/>
          <w:szCs w:val="20"/>
          <w:color w:val="auto"/>
        </w:rPr>
      </w:pPr>
      <w:r>
        <w:rPr>
          <w:rFonts w:ascii="Calibri" w:cs="Calibri" w:eastAsia="Calibri" w:hAnsi="Calibri"/>
          <w:sz w:val="16"/>
          <w:szCs w:val="16"/>
          <w:i w:val="1"/>
          <w:iCs w:val="1"/>
          <w:u w:val="single" w:color="auto"/>
          <w:color w:val="auto"/>
        </w:rPr>
        <w:t>Interest rate risk</w:t>
      </w:r>
    </w:p>
    <w:p>
      <w:pPr>
        <w:spacing w:after="0" w:line="194" w:lineRule="exact"/>
        <w:rPr>
          <w:sz w:val="20"/>
          <w:szCs w:val="20"/>
          <w:color w:val="auto"/>
        </w:rPr>
      </w:pPr>
    </w:p>
    <w:p>
      <w:pPr>
        <w:jc w:val="both"/>
        <w:ind w:left="220"/>
        <w:spacing w:after="0" w:line="271" w:lineRule="auto"/>
        <w:rPr>
          <w:sz w:val="20"/>
          <w:szCs w:val="20"/>
          <w:color w:val="auto"/>
        </w:rPr>
      </w:pPr>
      <w:r>
        <w:rPr>
          <w:rFonts w:ascii="Calibri" w:cs="Calibri" w:eastAsia="Calibri" w:hAnsi="Calibri"/>
          <w:sz w:val="16"/>
          <w:szCs w:val="16"/>
          <w:color w:val="auto"/>
        </w:rPr>
        <w:t>Interest rate risk is the risk that the fair value or the future cash fows of a fnancial instrument will fuctuate because of changes in market interest rates. In seeking to minimize the risks from interest rate fuctuatons, the Company manages exposure through its normal operatng and fnancing actvites. Assuming that all other variables remain constant, as at September 30, 2024, a 1% decline on the interest rate generated on cash would have resulted in a reducton of interest income of $1,475 over a one-year period.</w:t>
      </w:r>
    </w:p>
    <w:p>
      <w:pPr>
        <w:spacing w:after="0" w:line="167" w:lineRule="exact"/>
        <w:rPr>
          <w:sz w:val="20"/>
          <w:szCs w:val="20"/>
          <w:color w:val="auto"/>
        </w:rPr>
      </w:pPr>
    </w:p>
    <w:p>
      <w:pPr>
        <w:ind w:left="220"/>
        <w:spacing w:after="0"/>
        <w:rPr>
          <w:sz w:val="20"/>
          <w:szCs w:val="20"/>
          <w:color w:val="auto"/>
        </w:rPr>
      </w:pPr>
      <w:r>
        <w:rPr>
          <w:rFonts w:ascii="Calibri" w:cs="Calibri" w:eastAsia="Calibri" w:hAnsi="Calibri"/>
          <w:sz w:val="16"/>
          <w:szCs w:val="16"/>
          <w:i w:val="1"/>
          <w:iCs w:val="1"/>
          <w:u w:val="single" w:color="auto"/>
          <w:color w:val="auto"/>
        </w:rPr>
        <w:t>Currency risk</w:t>
      </w:r>
    </w:p>
    <w:p>
      <w:pPr>
        <w:spacing w:after="0" w:line="194" w:lineRule="exact"/>
        <w:rPr>
          <w:sz w:val="20"/>
          <w:szCs w:val="20"/>
          <w:color w:val="auto"/>
        </w:rPr>
      </w:pPr>
    </w:p>
    <w:p>
      <w:pPr>
        <w:jc w:val="both"/>
        <w:ind w:left="220"/>
        <w:spacing w:after="0" w:line="279" w:lineRule="auto"/>
        <w:rPr>
          <w:sz w:val="20"/>
          <w:szCs w:val="20"/>
          <w:color w:val="auto"/>
        </w:rPr>
      </w:pPr>
      <w:r>
        <w:rPr>
          <w:rFonts w:ascii="Calibri" w:cs="Calibri" w:eastAsia="Calibri" w:hAnsi="Calibri"/>
          <w:sz w:val="16"/>
          <w:szCs w:val="16"/>
          <w:color w:val="auto"/>
        </w:rPr>
        <w:t>The Company is exposed to currency risk to the extent that monetary operatonal expenses are denominated in both CAD and USD while the functonal currency of CAD is used for reportng. The Company has not entered into any foreign currency contracts to mitgate this risk.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jc w:val="center"/>
        <w:ind w:right="200"/>
        <w:spacing w:after="0"/>
        <w:rPr>
          <w:sz w:val="20"/>
          <w:szCs w:val="20"/>
          <w:color w:val="auto"/>
        </w:rPr>
      </w:pPr>
      <w:r>
        <w:rPr>
          <w:rFonts w:ascii="Calibri" w:cs="Calibri" w:eastAsia="Calibri" w:hAnsi="Calibri"/>
          <w:sz w:val="16"/>
          <w:szCs w:val="16"/>
          <w:b w:val="1"/>
          <w:bCs w:val="1"/>
          <w:color w:val="auto"/>
        </w:rPr>
        <w:t>Page 20 of 23</w:t>
      </w:r>
    </w:p>
    <w:p>
      <w:pPr>
        <w:sectPr>
          <w:pgSz w:w="11900" w:h="16838" w:orient="portrait"/>
          <w:cols w:equalWidth="0" w:num="1">
            <w:col w:w="11200"/>
          </w:cols>
          <w:pgMar w:left="380" w:top="209" w:right="319" w:bottom="1440" w:gutter="0" w:footer="0" w:header="0"/>
        </w:sectPr>
      </w:pPr>
    </w:p>
    <w:bookmarkStart w:id="23" w:name="page24"/>
    <w:bookmarkEnd w:id="23"/>
    <w:p>
      <w:pPr>
        <w:ind w:left="60"/>
        <w:spacing w:after="0"/>
        <w:rPr>
          <w:sz w:val="20"/>
          <w:szCs w:val="20"/>
          <w:color w:val="auto"/>
        </w:rPr>
      </w:pPr>
      <w:r>
        <w:rPr>
          <w:rFonts w:ascii="Calibri" w:cs="Calibri" w:eastAsia="Calibri" w:hAnsi="Calibri"/>
          <w:sz w:val="19"/>
          <w:szCs w:val="19"/>
          <w:b w:val="1"/>
          <w:bCs w:val="1"/>
          <w:color w:val="auto"/>
        </w:rPr>
        <w:t>CYBIN INC.</w:t>
      </w:r>
    </w:p>
    <w:p>
      <w:pPr>
        <w:ind w:left="60"/>
        <w:spacing w:after="0" w:line="237" w:lineRule="auto"/>
        <w:rPr>
          <w:sz w:val="20"/>
          <w:szCs w:val="20"/>
          <w:color w:val="auto"/>
        </w:rPr>
      </w:pPr>
      <w:r>
        <w:rPr>
          <w:rFonts w:ascii="Calibri" w:cs="Calibri" w:eastAsia="Calibri" w:hAnsi="Calibri"/>
          <w:sz w:val="19"/>
          <w:szCs w:val="19"/>
          <w:b w:val="1"/>
          <w:bCs w:val="1"/>
          <w:color w:val="auto"/>
        </w:rPr>
        <w:t>NOTES TO THE CONDENSED INTERIM CONSOLIDATED FINANCIAL STATEMENTS</w:t>
      </w:r>
    </w:p>
    <w:p>
      <w:pPr>
        <w:ind w:left="60"/>
        <w:spacing w:after="0" w:line="238" w:lineRule="auto"/>
        <w:rPr>
          <w:sz w:val="20"/>
          <w:szCs w:val="20"/>
          <w:color w:val="auto"/>
        </w:rPr>
      </w:pPr>
      <w:r>
        <w:rPr>
          <w:rFonts w:ascii="Calibri" w:cs="Calibri" w:eastAsia="Calibri" w:hAnsi="Calibri"/>
          <w:sz w:val="19"/>
          <w:szCs w:val="19"/>
          <w:b w:val="1"/>
          <w:bCs w:val="1"/>
          <w:color w:val="auto"/>
        </w:rPr>
        <w:t>September 30, 2024</w:t>
      </w:r>
    </w:p>
    <w:p>
      <w:pPr>
        <w:spacing w:after="0" w:line="3" w:lineRule="exact"/>
        <w:rPr>
          <w:sz w:val="20"/>
          <w:szCs w:val="20"/>
          <w:color w:val="auto"/>
        </w:rPr>
      </w:pPr>
    </w:p>
    <w:p>
      <w:pPr>
        <w:ind w:left="60" w:right="20"/>
        <w:spacing w:after="0" w:line="234" w:lineRule="auto"/>
        <w:rPr>
          <w:sz w:val="20"/>
          <w:szCs w:val="20"/>
          <w:color w:val="auto"/>
        </w:rPr>
      </w:pPr>
      <w:r>
        <w:rPr>
          <w:rFonts w:ascii="Calibri" w:cs="Calibri" w:eastAsia="Calibri" w:hAnsi="Calibri"/>
          <w:sz w:val="18"/>
          <w:szCs w:val="18"/>
          <w:b w:val="1"/>
          <w:bCs w:val="1"/>
          <w:color w:val="auto"/>
        </w:rPr>
        <w:t>(All amounts expressed in thousands of Canadian dollars, except share and per share amounts, and those otherwise stated in US dollars, Euros and Great Britain pounds which are in thousands.)</w:t>
      </w:r>
    </w:p>
    <w:p>
      <w:pPr>
        <w:ind w:left="60"/>
        <w:spacing w:after="0" w:line="224" w:lineRule="auto"/>
        <w:rPr>
          <w:sz w:val="20"/>
          <w:szCs w:val="20"/>
          <w:color w:val="auto"/>
        </w:rPr>
      </w:pPr>
      <w:r>
        <w:rPr>
          <w:rFonts w:ascii="Calibri" w:cs="Calibri" w:eastAsia="Calibri" w:hAnsi="Calibri"/>
          <w:sz w:val="18"/>
          <w:szCs w:val="18"/>
          <w:b w:val="1"/>
          <w:bCs w:val="1"/>
          <w:color w:val="auto"/>
        </w:rPr>
        <w:t>(Unaudited)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48895</wp:posOffset>
            </wp:positionV>
            <wp:extent cx="7146925" cy="762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46925" cy="76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ind w:left="280"/>
        <w:spacing w:after="0"/>
        <w:rPr>
          <w:sz w:val="20"/>
          <w:szCs w:val="20"/>
          <w:color w:val="auto"/>
        </w:rPr>
      </w:pPr>
      <w:r>
        <w:rPr>
          <w:rFonts w:ascii="Calibri" w:cs="Calibri" w:eastAsia="Calibri" w:hAnsi="Calibri"/>
          <w:sz w:val="16"/>
          <w:szCs w:val="16"/>
          <w:color w:val="auto"/>
        </w:rPr>
        <w:t>At September 30, 2024 the Company had the following balances in monetary assets and monetary liabilites which are subject to fuctuaton against CAD:</w:t>
      </w:r>
    </w:p>
    <w:p>
      <w:pPr>
        <w:spacing w:after="0" w:line="264" w:lineRule="exact"/>
        <w:rPr>
          <w:sz w:val="20"/>
          <w:szCs w:val="20"/>
          <w:color w:val="auto"/>
        </w:rPr>
      </w:pPr>
    </w:p>
    <w:tbl>
      <w:tblPr>
        <w:tblLayout w:type="fixed"/>
        <w:tblInd w:w="280" w:type="dxa"/>
        <w:tblCellMar>
          <w:top w:w="0" w:type="dxa"/>
          <w:left w:w="0" w:type="dxa"/>
          <w:bottom w:w="0" w:type="dxa"/>
          <w:right w:w="0" w:type="dxa"/>
        </w:tblCellMar>
      </w:tblPr>
      <w:tr>
        <w:trPr>
          <w:trHeight w:val="195"/>
        </w:trPr>
        <w:tc>
          <w:tcPr>
            <w:tcW w:w="3320" w:type="dxa"/>
            <w:vAlign w:val="bottom"/>
          </w:tcPr>
          <w:p>
            <w:pPr>
              <w:spacing w:after="0"/>
              <w:rPr>
                <w:sz w:val="16"/>
                <w:szCs w:val="16"/>
                <w:color w:val="auto"/>
              </w:rPr>
            </w:pPr>
          </w:p>
        </w:tc>
        <w:tc>
          <w:tcPr>
            <w:tcW w:w="2440" w:type="dxa"/>
            <w:vAlign w:val="bottom"/>
            <w:vMerge w:val="restart"/>
          </w:tcPr>
          <w:p>
            <w:pPr>
              <w:ind w:left="780"/>
              <w:spacing w:after="0"/>
              <w:rPr>
                <w:sz w:val="20"/>
                <w:szCs w:val="20"/>
                <w:color w:val="auto"/>
              </w:rPr>
            </w:pPr>
            <w:r>
              <w:rPr>
                <w:rFonts w:ascii="Calibri" w:cs="Calibri" w:eastAsia="Calibri" w:hAnsi="Calibri"/>
                <w:sz w:val="16"/>
                <w:szCs w:val="16"/>
                <w:b w:val="1"/>
                <w:bCs w:val="1"/>
                <w:color w:val="auto"/>
              </w:rPr>
              <w:t>Denominated in:</w:t>
            </w:r>
          </w:p>
        </w:tc>
        <w:tc>
          <w:tcPr>
            <w:tcW w:w="1740" w:type="dxa"/>
            <w:vAlign w:val="bottom"/>
          </w:tcPr>
          <w:p>
            <w:pPr>
              <w:jc w:val="right"/>
              <w:ind w:right="499"/>
              <w:spacing w:after="0"/>
              <w:rPr>
                <w:sz w:val="20"/>
                <w:szCs w:val="20"/>
                <w:color w:val="auto"/>
              </w:rPr>
            </w:pPr>
            <w:r>
              <w:rPr>
                <w:rFonts w:ascii="Calibri" w:cs="Calibri" w:eastAsia="Calibri" w:hAnsi="Calibri"/>
                <w:sz w:val="16"/>
                <w:szCs w:val="16"/>
                <w:b w:val="1"/>
                <w:bCs w:val="1"/>
                <w:color w:val="auto"/>
              </w:rPr>
              <w:t>US$000’s</w:t>
            </w:r>
          </w:p>
        </w:tc>
        <w:tc>
          <w:tcPr>
            <w:tcW w:w="1760" w:type="dxa"/>
            <w:vAlign w:val="bottom"/>
          </w:tcPr>
          <w:p>
            <w:pPr>
              <w:jc w:val="right"/>
              <w:ind w:right="499"/>
              <w:spacing w:after="0"/>
              <w:rPr>
                <w:sz w:val="20"/>
                <w:szCs w:val="20"/>
                <w:color w:val="auto"/>
              </w:rPr>
            </w:pPr>
            <w:r>
              <w:rPr>
                <w:rFonts w:ascii="Calibri" w:cs="Calibri" w:eastAsia="Calibri" w:hAnsi="Calibri"/>
                <w:sz w:val="16"/>
                <w:szCs w:val="16"/>
                <w:b w:val="1"/>
                <w:bCs w:val="1"/>
                <w:color w:val="auto"/>
              </w:rPr>
              <w:t>GBP 000’s</w:t>
            </w:r>
          </w:p>
        </w:tc>
        <w:tc>
          <w:tcPr>
            <w:tcW w:w="1220" w:type="dxa"/>
            <w:vAlign w:val="bottom"/>
          </w:tcPr>
          <w:p>
            <w:pPr>
              <w:jc w:val="right"/>
              <w:spacing w:after="0"/>
              <w:rPr>
                <w:sz w:val="20"/>
                <w:szCs w:val="20"/>
                <w:color w:val="auto"/>
              </w:rPr>
            </w:pPr>
            <w:r>
              <w:rPr>
                <w:rFonts w:ascii="Calibri" w:cs="Calibri" w:eastAsia="Calibri" w:hAnsi="Calibri"/>
                <w:sz w:val="16"/>
                <w:szCs w:val="16"/>
                <w:b w:val="1"/>
                <w:bCs w:val="1"/>
                <w:color w:val="auto"/>
              </w:rPr>
              <w:t>EUR 000’s</w:t>
            </w:r>
          </w:p>
        </w:tc>
        <w:tc>
          <w:tcPr>
            <w:tcW w:w="0" w:type="dxa"/>
            <w:vAlign w:val="bottom"/>
          </w:tcPr>
          <w:p>
            <w:pPr>
              <w:spacing w:after="0"/>
              <w:rPr>
                <w:sz w:val="1"/>
                <w:szCs w:val="1"/>
                <w:color w:val="auto"/>
              </w:rPr>
            </w:pPr>
          </w:p>
        </w:tc>
      </w:tr>
      <w:tr>
        <w:trPr>
          <w:trHeight w:val="60"/>
        </w:trPr>
        <w:tc>
          <w:tcPr>
            <w:tcW w:w="3320" w:type="dxa"/>
            <w:vAlign w:val="bottom"/>
          </w:tcPr>
          <w:p>
            <w:pPr>
              <w:spacing w:after="0"/>
              <w:rPr>
                <w:sz w:val="5"/>
                <w:szCs w:val="5"/>
                <w:color w:val="auto"/>
              </w:rPr>
            </w:pPr>
          </w:p>
        </w:tc>
        <w:tc>
          <w:tcPr>
            <w:tcW w:w="2440" w:type="dxa"/>
            <w:vAlign w:val="bottom"/>
            <w:vMerge w:val="continue"/>
          </w:tcPr>
          <w:p>
            <w:pPr>
              <w:spacing w:after="0"/>
              <w:rPr>
                <w:sz w:val="5"/>
                <w:szCs w:val="5"/>
                <w:color w:val="auto"/>
              </w:rPr>
            </w:pPr>
          </w:p>
        </w:tc>
        <w:tc>
          <w:tcPr>
            <w:tcW w:w="1740" w:type="dxa"/>
            <w:vAlign w:val="bottom"/>
          </w:tcPr>
          <w:p>
            <w:pPr>
              <w:spacing w:after="0"/>
              <w:rPr>
                <w:sz w:val="5"/>
                <w:szCs w:val="5"/>
                <w:color w:val="auto"/>
              </w:rPr>
            </w:pPr>
          </w:p>
        </w:tc>
        <w:tc>
          <w:tcPr>
            <w:tcW w:w="1760" w:type="dxa"/>
            <w:vAlign w:val="bottom"/>
          </w:tcPr>
          <w:p>
            <w:pPr>
              <w:spacing w:after="0"/>
              <w:rPr>
                <w:sz w:val="5"/>
                <w:szCs w:val="5"/>
                <w:color w:val="auto"/>
              </w:rPr>
            </w:pPr>
          </w:p>
        </w:tc>
        <w:tc>
          <w:tcPr>
            <w:tcW w:w="12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0"/>
        </w:trPr>
        <w:tc>
          <w:tcPr>
            <w:tcW w:w="3320" w:type="dxa"/>
            <w:vAlign w:val="bottom"/>
            <w:tcBorders>
              <w:bottom w:val="single" w:sz="8" w:color="auto"/>
            </w:tcBorders>
          </w:tcPr>
          <w:p>
            <w:pPr>
              <w:spacing w:after="0" w:line="20" w:lineRule="exact"/>
              <w:rPr>
                <w:sz w:val="1"/>
                <w:szCs w:val="1"/>
                <w:color w:val="auto"/>
              </w:rPr>
            </w:pPr>
          </w:p>
        </w:tc>
        <w:tc>
          <w:tcPr>
            <w:tcW w:w="2440" w:type="dxa"/>
            <w:vAlign w:val="bottom"/>
            <w:tcBorders>
              <w:bottom w:val="single" w:sz="8" w:color="auto"/>
            </w:tcBorders>
          </w:tcPr>
          <w:p>
            <w:pPr>
              <w:spacing w:after="0" w:line="20" w:lineRule="exact"/>
              <w:rPr>
                <w:sz w:val="1"/>
                <w:szCs w:val="1"/>
                <w:color w:val="auto"/>
              </w:rPr>
            </w:pPr>
          </w:p>
        </w:tc>
        <w:tc>
          <w:tcPr>
            <w:tcW w:w="1740" w:type="dxa"/>
            <w:vAlign w:val="bottom"/>
            <w:tcBorders>
              <w:bottom w:val="single" w:sz="8" w:color="auto"/>
            </w:tcBorders>
          </w:tcPr>
          <w:p>
            <w:pPr>
              <w:spacing w:after="0" w:line="20" w:lineRule="exact"/>
              <w:rPr>
                <w:sz w:val="1"/>
                <w:szCs w:val="1"/>
                <w:color w:val="auto"/>
              </w:rPr>
            </w:pPr>
          </w:p>
        </w:tc>
        <w:tc>
          <w:tcPr>
            <w:tcW w:w="17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5"/>
        </w:trPr>
        <w:tc>
          <w:tcPr>
            <w:tcW w:w="3320" w:type="dxa"/>
            <w:vAlign w:val="bottom"/>
          </w:tcPr>
          <w:p>
            <w:pPr>
              <w:ind w:left="20"/>
              <w:spacing w:after="0" w:line="185" w:lineRule="exact"/>
              <w:rPr>
                <w:sz w:val="20"/>
                <w:szCs w:val="20"/>
                <w:color w:val="auto"/>
              </w:rPr>
            </w:pPr>
            <w:r>
              <w:rPr>
                <w:rFonts w:ascii="Calibri" w:cs="Calibri" w:eastAsia="Calibri" w:hAnsi="Calibri"/>
                <w:sz w:val="16"/>
                <w:szCs w:val="16"/>
                <w:color w:val="auto"/>
              </w:rPr>
              <w:t>Cash</w:t>
            </w:r>
          </w:p>
        </w:tc>
        <w:tc>
          <w:tcPr>
            <w:tcW w:w="2440" w:type="dxa"/>
            <w:vAlign w:val="bottom"/>
          </w:tcPr>
          <w:p>
            <w:pPr>
              <w:spacing w:after="0"/>
              <w:rPr>
                <w:sz w:val="16"/>
                <w:szCs w:val="16"/>
                <w:color w:val="auto"/>
              </w:rPr>
            </w:pPr>
          </w:p>
        </w:tc>
        <w:tc>
          <w:tcPr>
            <w:tcW w:w="1740" w:type="dxa"/>
            <w:vAlign w:val="bottom"/>
          </w:tcPr>
          <w:p>
            <w:pPr>
              <w:jc w:val="right"/>
              <w:ind w:right="499"/>
              <w:spacing w:after="0" w:line="185" w:lineRule="exact"/>
              <w:rPr>
                <w:sz w:val="20"/>
                <w:szCs w:val="20"/>
                <w:color w:val="auto"/>
              </w:rPr>
            </w:pPr>
            <w:r>
              <w:rPr>
                <w:rFonts w:ascii="Calibri" w:cs="Calibri" w:eastAsia="Calibri" w:hAnsi="Calibri"/>
                <w:sz w:val="16"/>
                <w:szCs w:val="16"/>
                <w:color w:val="auto"/>
              </w:rPr>
              <w:t>110,302</w:t>
            </w:r>
          </w:p>
        </w:tc>
        <w:tc>
          <w:tcPr>
            <w:tcW w:w="1760" w:type="dxa"/>
            <w:vAlign w:val="bottom"/>
          </w:tcPr>
          <w:p>
            <w:pPr>
              <w:jc w:val="right"/>
              <w:ind w:right="499"/>
              <w:spacing w:after="0" w:line="185" w:lineRule="exact"/>
              <w:rPr>
                <w:sz w:val="20"/>
                <w:szCs w:val="20"/>
                <w:color w:val="auto"/>
              </w:rPr>
            </w:pPr>
            <w:r>
              <w:rPr>
                <w:rFonts w:ascii="Calibri" w:cs="Calibri" w:eastAsia="Calibri" w:hAnsi="Calibri"/>
                <w:sz w:val="16"/>
                <w:szCs w:val="16"/>
                <w:color w:val="auto"/>
              </w:rPr>
              <w:t>22</w:t>
            </w:r>
          </w:p>
        </w:tc>
        <w:tc>
          <w:tcPr>
            <w:tcW w:w="1220" w:type="dxa"/>
            <w:vAlign w:val="bottom"/>
          </w:tcPr>
          <w:p>
            <w:pPr>
              <w:jc w:val="right"/>
              <w:spacing w:after="0" w:line="185" w:lineRule="exact"/>
              <w:rPr>
                <w:sz w:val="20"/>
                <w:szCs w:val="20"/>
                <w:color w:val="auto"/>
              </w:rPr>
            </w:pPr>
            <w:r>
              <w:rPr>
                <w:rFonts w:ascii="Calibri" w:cs="Calibri" w:eastAsia="Calibri" w:hAnsi="Calibri"/>
                <w:sz w:val="16"/>
                <w:szCs w:val="16"/>
                <w:color w:val="auto"/>
              </w:rPr>
              <w:t>343</w:t>
            </w:r>
          </w:p>
        </w:tc>
        <w:tc>
          <w:tcPr>
            <w:tcW w:w="0" w:type="dxa"/>
            <w:vAlign w:val="bottom"/>
          </w:tcPr>
          <w:p>
            <w:pPr>
              <w:spacing w:after="0"/>
              <w:rPr>
                <w:sz w:val="1"/>
                <w:szCs w:val="1"/>
                <w:color w:val="auto"/>
              </w:rPr>
            </w:pPr>
          </w:p>
        </w:tc>
      </w:tr>
      <w:tr>
        <w:trPr>
          <w:trHeight w:val="198"/>
        </w:trPr>
        <w:tc>
          <w:tcPr>
            <w:tcW w:w="3320" w:type="dxa"/>
            <w:vAlign w:val="bottom"/>
          </w:tcPr>
          <w:p>
            <w:pPr>
              <w:ind w:left="20"/>
              <w:spacing w:after="0"/>
              <w:rPr>
                <w:sz w:val="20"/>
                <w:szCs w:val="20"/>
                <w:color w:val="auto"/>
              </w:rPr>
            </w:pPr>
            <w:r>
              <w:rPr>
                <w:rFonts w:ascii="Calibri" w:cs="Calibri" w:eastAsia="Calibri" w:hAnsi="Calibri"/>
                <w:sz w:val="16"/>
                <w:szCs w:val="16"/>
                <w:color w:val="auto"/>
              </w:rPr>
              <w:t>Accounts payable and accrued liabilites</w:t>
            </w:r>
          </w:p>
        </w:tc>
        <w:tc>
          <w:tcPr>
            <w:tcW w:w="2440" w:type="dxa"/>
            <w:vAlign w:val="bottom"/>
          </w:tcPr>
          <w:p>
            <w:pPr>
              <w:spacing w:after="0"/>
              <w:rPr>
                <w:sz w:val="17"/>
                <w:szCs w:val="17"/>
                <w:color w:val="auto"/>
              </w:rPr>
            </w:pPr>
          </w:p>
        </w:tc>
        <w:tc>
          <w:tcPr>
            <w:tcW w:w="1740" w:type="dxa"/>
            <w:vAlign w:val="bottom"/>
          </w:tcPr>
          <w:p>
            <w:pPr>
              <w:jc w:val="right"/>
              <w:ind w:right="459"/>
              <w:spacing w:after="0"/>
              <w:rPr>
                <w:sz w:val="20"/>
                <w:szCs w:val="20"/>
                <w:color w:val="auto"/>
              </w:rPr>
            </w:pPr>
            <w:r>
              <w:rPr>
                <w:rFonts w:ascii="Calibri" w:cs="Calibri" w:eastAsia="Calibri" w:hAnsi="Calibri"/>
                <w:sz w:val="16"/>
                <w:szCs w:val="16"/>
                <w:color w:val="auto"/>
              </w:rPr>
              <w:t>(218)</w:t>
            </w:r>
          </w:p>
        </w:tc>
        <w:tc>
          <w:tcPr>
            <w:tcW w:w="1760" w:type="dxa"/>
            <w:vAlign w:val="bottom"/>
          </w:tcPr>
          <w:p>
            <w:pPr>
              <w:jc w:val="right"/>
              <w:ind w:right="459"/>
              <w:spacing w:after="0"/>
              <w:rPr>
                <w:sz w:val="20"/>
                <w:szCs w:val="20"/>
                <w:color w:val="auto"/>
              </w:rPr>
            </w:pPr>
            <w:r>
              <w:rPr>
                <w:rFonts w:ascii="Calibri" w:cs="Calibri" w:eastAsia="Calibri" w:hAnsi="Calibri"/>
                <w:sz w:val="16"/>
                <w:szCs w:val="16"/>
                <w:color w:val="auto"/>
              </w:rPr>
              <w:t>(475)</w:t>
            </w:r>
          </w:p>
        </w:tc>
        <w:tc>
          <w:tcPr>
            <w:tcW w:w="1220" w:type="dxa"/>
            <w:vAlign w:val="bottom"/>
          </w:tcPr>
          <w:p>
            <w:pPr>
              <w:jc w:val="right"/>
              <w:spacing w:after="0"/>
              <w:rPr>
                <w:sz w:val="20"/>
                <w:szCs w:val="20"/>
                <w:color w:val="auto"/>
              </w:rPr>
            </w:pPr>
            <w:r>
              <w:rPr>
                <w:rFonts w:ascii="Calibri" w:cs="Calibri" w:eastAsia="Calibri" w:hAnsi="Calibri"/>
                <w:sz w:val="16"/>
                <w:szCs w:val="16"/>
                <w:color w:val="auto"/>
              </w:rPr>
              <w:t>(211)</w:t>
            </w:r>
          </w:p>
        </w:tc>
        <w:tc>
          <w:tcPr>
            <w:tcW w:w="0" w:type="dxa"/>
            <w:vAlign w:val="bottom"/>
          </w:tcPr>
          <w:p>
            <w:pPr>
              <w:spacing w:after="0"/>
              <w:rPr>
                <w:sz w:val="1"/>
                <w:szCs w:val="1"/>
                <w:color w:val="auto"/>
              </w:rPr>
            </w:pPr>
          </w:p>
        </w:tc>
      </w:tr>
      <w:tr>
        <w:trPr>
          <w:trHeight w:val="206"/>
        </w:trPr>
        <w:tc>
          <w:tcPr>
            <w:tcW w:w="3320" w:type="dxa"/>
            <w:vAlign w:val="bottom"/>
          </w:tcPr>
          <w:p>
            <w:pPr>
              <w:ind w:left="20"/>
              <w:spacing w:after="0"/>
              <w:rPr>
                <w:sz w:val="20"/>
                <w:szCs w:val="20"/>
                <w:color w:val="auto"/>
              </w:rPr>
            </w:pPr>
            <w:r>
              <w:rPr>
                <w:rFonts w:ascii="Calibri" w:cs="Calibri" w:eastAsia="Calibri" w:hAnsi="Calibri"/>
                <w:sz w:val="16"/>
                <w:szCs w:val="16"/>
                <w:color w:val="auto"/>
              </w:rPr>
              <w:t>Lease liability</w:t>
            </w:r>
          </w:p>
        </w:tc>
        <w:tc>
          <w:tcPr>
            <w:tcW w:w="2440" w:type="dxa"/>
            <w:vAlign w:val="bottom"/>
          </w:tcPr>
          <w:p>
            <w:pPr>
              <w:spacing w:after="0"/>
              <w:rPr>
                <w:sz w:val="17"/>
                <w:szCs w:val="17"/>
                <w:color w:val="auto"/>
              </w:rPr>
            </w:pPr>
          </w:p>
        </w:tc>
        <w:tc>
          <w:tcPr>
            <w:tcW w:w="1740" w:type="dxa"/>
            <w:vAlign w:val="bottom"/>
          </w:tcPr>
          <w:p>
            <w:pPr>
              <w:jc w:val="right"/>
              <w:ind w:right="499"/>
              <w:spacing w:after="0"/>
              <w:rPr>
                <w:sz w:val="20"/>
                <w:szCs w:val="20"/>
                <w:color w:val="auto"/>
              </w:rPr>
            </w:pPr>
            <w:r>
              <w:rPr>
                <w:rFonts w:ascii="Calibri" w:cs="Calibri" w:eastAsia="Calibri" w:hAnsi="Calibri"/>
                <w:sz w:val="16"/>
                <w:szCs w:val="16"/>
                <w:color w:val="auto"/>
              </w:rPr>
              <w:t>—</w:t>
            </w:r>
          </w:p>
        </w:tc>
        <w:tc>
          <w:tcPr>
            <w:tcW w:w="1760" w:type="dxa"/>
            <w:vAlign w:val="bottom"/>
          </w:tcPr>
          <w:p>
            <w:pPr>
              <w:jc w:val="right"/>
              <w:ind w:right="459"/>
              <w:spacing w:after="0"/>
              <w:rPr>
                <w:sz w:val="20"/>
                <w:szCs w:val="20"/>
                <w:color w:val="auto"/>
              </w:rPr>
            </w:pPr>
            <w:r>
              <w:rPr>
                <w:rFonts w:ascii="Calibri" w:cs="Calibri" w:eastAsia="Calibri" w:hAnsi="Calibri"/>
                <w:sz w:val="16"/>
                <w:szCs w:val="16"/>
                <w:color w:val="auto"/>
              </w:rPr>
              <w:t>(74)</w:t>
            </w:r>
          </w:p>
        </w:tc>
        <w:tc>
          <w:tcPr>
            <w:tcW w:w="1220" w:type="dxa"/>
            <w:vAlign w:val="bottom"/>
          </w:tcPr>
          <w:p>
            <w:pPr>
              <w:jc w:val="right"/>
              <w:spacing w:after="0"/>
              <w:rPr>
                <w:sz w:val="20"/>
                <w:szCs w:val="20"/>
                <w:color w:val="auto"/>
              </w:rPr>
            </w:pPr>
            <w:r>
              <w:rPr>
                <w:rFonts w:ascii="Calibri" w:cs="Calibri" w:eastAsia="Calibri" w:hAnsi="Calibri"/>
                <w:sz w:val="16"/>
                <w:szCs w:val="16"/>
                <w:color w:val="auto"/>
              </w:rPr>
              <w:t>—</w:t>
            </w:r>
          </w:p>
        </w:tc>
        <w:tc>
          <w:tcPr>
            <w:tcW w:w="0" w:type="dxa"/>
            <w:vAlign w:val="bottom"/>
          </w:tcPr>
          <w:p>
            <w:pPr>
              <w:spacing w:after="0"/>
              <w:rPr>
                <w:sz w:val="1"/>
                <w:szCs w:val="1"/>
                <w:color w:val="auto"/>
              </w:rPr>
            </w:pPr>
          </w:p>
        </w:tc>
      </w:tr>
      <w:tr>
        <w:trPr>
          <w:trHeight w:val="20"/>
        </w:trPr>
        <w:tc>
          <w:tcPr>
            <w:tcW w:w="3320" w:type="dxa"/>
            <w:vAlign w:val="bottom"/>
            <w:tcBorders>
              <w:bottom w:val="single" w:sz="8" w:color="auto"/>
            </w:tcBorders>
          </w:tcPr>
          <w:p>
            <w:pPr>
              <w:spacing w:after="0" w:line="20" w:lineRule="exact"/>
              <w:rPr>
                <w:sz w:val="1"/>
                <w:szCs w:val="1"/>
                <w:color w:val="auto"/>
              </w:rPr>
            </w:pPr>
          </w:p>
        </w:tc>
        <w:tc>
          <w:tcPr>
            <w:tcW w:w="2440" w:type="dxa"/>
            <w:vAlign w:val="bottom"/>
            <w:tcBorders>
              <w:bottom w:val="single" w:sz="8" w:color="auto"/>
            </w:tcBorders>
          </w:tcPr>
          <w:p>
            <w:pPr>
              <w:spacing w:after="0" w:line="20" w:lineRule="exact"/>
              <w:rPr>
                <w:sz w:val="1"/>
                <w:szCs w:val="1"/>
                <w:color w:val="auto"/>
              </w:rPr>
            </w:pPr>
          </w:p>
        </w:tc>
        <w:tc>
          <w:tcPr>
            <w:tcW w:w="1740" w:type="dxa"/>
            <w:vAlign w:val="bottom"/>
            <w:tcBorders>
              <w:bottom w:val="single" w:sz="8" w:color="auto"/>
            </w:tcBorders>
          </w:tcPr>
          <w:p>
            <w:pPr>
              <w:spacing w:after="0" w:line="20" w:lineRule="exact"/>
              <w:rPr>
                <w:sz w:val="1"/>
                <w:szCs w:val="1"/>
                <w:color w:val="auto"/>
              </w:rPr>
            </w:pPr>
          </w:p>
        </w:tc>
        <w:tc>
          <w:tcPr>
            <w:tcW w:w="17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5"/>
        </w:trPr>
        <w:tc>
          <w:tcPr>
            <w:tcW w:w="3320" w:type="dxa"/>
            <w:vAlign w:val="bottom"/>
          </w:tcPr>
          <w:p>
            <w:pPr>
              <w:spacing w:after="0"/>
              <w:rPr>
                <w:sz w:val="16"/>
                <w:szCs w:val="16"/>
                <w:color w:val="auto"/>
              </w:rPr>
            </w:pPr>
          </w:p>
        </w:tc>
        <w:tc>
          <w:tcPr>
            <w:tcW w:w="2440" w:type="dxa"/>
            <w:vAlign w:val="bottom"/>
          </w:tcPr>
          <w:p>
            <w:pPr>
              <w:spacing w:after="0"/>
              <w:rPr>
                <w:sz w:val="16"/>
                <w:szCs w:val="16"/>
                <w:color w:val="auto"/>
              </w:rPr>
            </w:pPr>
          </w:p>
        </w:tc>
        <w:tc>
          <w:tcPr>
            <w:tcW w:w="1740" w:type="dxa"/>
            <w:vAlign w:val="bottom"/>
          </w:tcPr>
          <w:p>
            <w:pPr>
              <w:jc w:val="right"/>
              <w:ind w:right="499"/>
              <w:spacing w:after="0" w:line="185" w:lineRule="exact"/>
              <w:rPr>
                <w:sz w:val="20"/>
                <w:szCs w:val="20"/>
                <w:color w:val="auto"/>
              </w:rPr>
            </w:pPr>
            <w:r>
              <w:rPr>
                <w:rFonts w:ascii="Calibri" w:cs="Calibri" w:eastAsia="Calibri" w:hAnsi="Calibri"/>
                <w:sz w:val="16"/>
                <w:szCs w:val="16"/>
                <w:color w:val="auto"/>
              </w:rPr>
              <w:t>110,084</w:t>
            </w:r>
          </w:p>
        </w:tc>
        <w:tc>
          <w:tcPr>
            <w:tcW w:w="1760" w:type="dxa"/>
            <w:vAlign w:val="bottom"/>
          </w:tcPr>
          <w:p>
            <w:pPr>
              <w:jc w:val="right"/>
              <w:ind w:right="459"/>
              <w:spacing w:after="0" w:line="185" w:lineRule="exact"/>
              <w:rPr>
                <w:sz w:val="20"/>
                <w:szCs w:val="20"/>
                <w:color w:val="auto"/>
              </w:rPr>
            </w:pPr>
            <w:r>
              <w:rPr>
                <w:rFonts w:ascii="Calibri" w:cs="Calibri" w:eastAsia="Calibri" w:hAnsi="Calibri"/>
                <w:sz w:val="16"/>
                <w:szCs w:val="16"/>
                <w:color w:val="auto"/>
              </w:rPr>
              <w:t>(527)</w:t>
            </w:r>
          </w:p>
        </w:tc>
        <w:tc>
          <w:tcPr>
            <w:tcW w:w="1220" w:type="dxa"/>
            <w:vAlign w:val="bottom"/>
          </w:tcPr>
          <w:p>
            <w:pPr>
              <w:jc w:val="right"/>
              <w:spacing w:after="0" w:line="185" w:lineRule="exact"/>
              <w:rPr>
                <w:sz w:val="20"/>
                <w:szCs w:val="20"/>
                <w:color w:val="auto"/>
              </w:rPr>
            </w:pPr>
            <w:r>
              <w:rPr>
                <w:rFonts w:ascii="Calibri" w:cs="Calibri" w:eastAsia="Calibri" w:hAnsi="Calibri"/>
                <w:sz w:val="16"/>
                <w:szCs w:val="16"/>
                <w:color w:val="auto"/>
              </w:rPr>
              <w:t>132</w:t>
            </w:r>
          </w:p>
        </w:tc>
        <w:tc>
          <w:tcPr>
            <w:tcW w:w="0" w:type="dxa"/>
            <w:vAlign w:val="bottom"/>
          </w:tcPr>
          <w:p>
            <w:pPr>
              <w:spacing w:after="0"/>
              <w:rPr>
                <w:sz w:val="1"/>
                <w:szCs w:val="1"/>
                <w:color w:val="auto"/>
              </w:rPr>
            </w:pPr>
          </w:p>
        </w:tc>
      </w:tr>
      <w:tr>
        <w:trPr>
          <w:trHeight w:val="198"/>
        </w:trPr>
        <w:tc>
          <w:tcPr>
            <w:tcW w:w="3320" w:type="dxa"/>
            <w:vAlign w:val="bottom"/>
          </w:tcPr>
          <w:p>
            <w:pPr>
              <w:ind w:left="20"/>
              <w:spacing w:after="0"/>
              <w:rPr>
                <w:sz w:val="20"/>
                <w:szCs w:val="20"/>
                <w:color w:val="auto"/>
              </w:rPr>
            </w:pPr>
            <w:r>
              <w:rPr>
                <w:rFonts w:ascii="Calibri" w:cs="Calibri" w:eastAsia="Calibri" w:hAnsi="Calibri"/>
                <w:sz w:val="16"/>
                <w:szCs w:val="16"/>
                <w:color w:val="auto"/>
              </w:rPr>
              <w:t>Foreign currency rate</w:t>
            </w:r>
          </w:p>
        </w:tc>
        <w:tc>
          <w:tcPr>
            <w:tcW w:w="2440" w:type="dxa"/>
            <w:vAlign w:val="bottom"/>
          </w:tcPr>
          <w:p>
            <w:pPr>
              <w:spacing w:after="0"/>
              <w:rPr>
                <w:sz w:val="17"/>
                <w:szCs w:val="17"/>
                <w:color w:val="auto"/>
              </w:rPr>
            </w:pPr>
          </w:p>
        </w:tc>
        <w:tc>
          <w:tcPr>
            <w:tcW w:w="1740" w:type="dxa"/>
            <w:vAlign w:val="bottom"/>
          </w:tcPr>
          <w:p>
            <w:pPr>
              <w:jc w:val="right"/>
              <w:ind w:right="459"/>
              <w:spacing w:after="0"/>
              <w:rPr>
                <w:sz w:val="20"/>
                <w:szCs w:val="20"/>
                <w:color w:val="auto"/>
              </w:rPr>
            </w:pPr>
            <w:r>
              <w:rPr>
                <w:rFonts w:ascii="Calibri" w:cs="Calibri" w:eastAsia="Calibri" w:hAnsi="Calibri"/>
                <w:sz w:val="16"/>
                <w:szCs w:val="16"/>
                <w:color w:val="auto"/>
              </w:rPr>
              <w:t>1.3499</w:t>
            </w:r>
          </w:p>
        </w:tc>
        <w:tc>
          <w:tcPr>
            <w:tcW w:w="1760" w:type="dxa"/>
            <w:vAlign w:val="bottom"/>
          </w:tcPr>
          <w:p>
            <w:pPr>
              <w:jc w:val="right"/>
              <w:ind w:right="459"/>
              <w:spacing w:after="0"/>
              <w:rPr>
                <w:sz w:val="20"/>
                <w:szCs w:val="20"/>
                <w:color w:val="auto"/>
              </w:rPr>
            </w:pPr>
            <w:r>
              <w:rPr>
                <w:rFonts w:ascii="Calibri" w:cs="Calibri" w:eastAsia="Calibri" w:hAnsi="Calibri"/>
                <w:sz w:val="16"/>
                <w:szCs w:val="16"/>
                <w:color w:val="auto"/>
              </w:rPr>
              <w:t>1.8080</w:t>
            </w:r>
          </w:p>
        </w:tc>
        <w:tc>
          <w:tcPr>
            <w:tcW w:w="1220" w:type="dxa"/>
            <w:vAlign w:val="bottom"/>
          </w:tcPr>
          <w:p>
            <w:pPr>
              <w:jc w:val="right"/>
              <w:spacing w:after="0"/>
              <w:rPr>
                <w:sz w:val="20"/>
                <w:szCs w:val="20"/>
                <w:color w:val="auto"/>
              </w:rPr>
            </w:pPr>
            <w:r>
              <w:rPr>
                <w:rFonts w:ascii="Calibri" w:cs="Calibri" w:eastAsia="Calibri" w:hAnsi="Calibri"/>
                <w:sz w:val="16"/>
                <w:szCs w:val="16"/>
                <w:color w:val="auto"/>
              </w:rPr>
              <w:t>1.5076</w:t>
            </w:r>
          </w:p>
        </w:tc>
        <w:tc>
          <w:tcPr>
            <w:tcW w:w="0" w:type="dxa"/>
            <w:vAlign w:val="bottom"/>
          </w:tcPr>
          <w:p>
            <w:pPr>
              <w:spacing w:after="0"/>
              <w:rPr>
                <w:sz w:val="1"/>
                <w:szCs w:val="1"/>
                <w:color w:val="auto"/>
              </w:rPr>
            </w:pPr>
          </w:p>
        </w:tc>
      </w:tr>
      <w:tr>
        <w:trPr>
          <w:trHeight w:val="20"/>
        </w:trPr>
        <w:tc>
          <w:tcPr>
            <w:tcW w:w="3320" w:type="dxa"/>
            <w:vAlign w:val="bottom"/>
            <w:tcBorders>
              <w:bottom w:val="single" w:sz="8" w:color="auto"/>
            </w:tcBorders>
          </w:tcPr>
          <w:p>
            <w:pPr>
              <w:spacing w:after="0" w:line="20" w:lineRule="exact"/>
              <w:rPr>
                <w:sz w:val="1"/>
                <w:szCs w:val="1"/>
                <w:color w:val="auto"/>
              </w:rPr>
            </w:pPr>
          </w:p>
        </w:tc>
        <w:tc>
          <w:tcPr>
            <w:tcW w:w="2440" w:type="dxa"/>
            <w:vAlign w:val="bottom"/>
            <w:tcBorders>
              <w:bottom w:val="single" w:sz="8" w:color="auto"/>
            </w:tcBorders>
          </w:tcPr>
          <w:p>
            <w:pPr>
              <w:spacing w:after="0" w:line="20" w:lineRule="exact"/>
              <w:rPr>
                <w:sz w:val="1"/>
                <w:szCs w:val="1"/>
                <w:color w:val="auto"/>
              </w:rPr>
            </w:pPr>
          </w:p>
        </w:tc>
        <w:tc>
          <w:tcPr>
            <w:tcW w:w="1740" w:type="dxa"/>
            <w:vAlign w:val="bottom"/>
            <w:tcBorders>
              <w:bottom w:val="single" w:sz="8" w:color="auto"/>
            </w:tcBorders>
          </w:tcPr>
          <w:p>
            <w:pPr>
              <w:spacing w:after="0" w:line="20" w:lineRule="exact"/>
              <w:rPr>
                <w:sz w:val="1"/>
                <w:szCs w:val="1"/>
                <w:color w:val="auto"/>
              </w:rPr>
            </w:pPr>
          </w:p>
        </w:tc>
        <w:tc>
          <w:tcPr>
            <w:tcW w:w="17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1"/>
        </w:trPr>
        <w:tc>
          <w:tcPr>
            <w:tcW w:w="3320" w:type="dxa"/>
            <w:vAlign w:val="bottom"/>
            <w:tcBorders>
              <w:bottom w:val="single" w:sz="8" w:color="auto"/>
            </w:tcBorders>
          </w:tcPr>
          <w:p>
            <w:pPr>
              <w:ind w:left="20"/>
              <w:spacing w:after="0" w:line="192" w:lineRule="exact"/>
              <w:rPr>
                <w:sz w:val="20"/>
                <w:szCs w:val="20"/>
                <w:color w:val="auto"/>
              </w:rPr>
            </w:pPr>
            <w:r>
              <w:rPr>
                <w:rFonts w:ascii="Calibri" w:cs="Calibri" w:eastAsia="Calibri" w:hAnsi="Calibri"/>
                <w:sz w:val="16"/>
                <w:szCs w:val="16"/>
                <w:b w:val="1"/>
                <w:bCs w:val="1"/>
                <w:color w:val="auto"/>
              </w:rPr>
              <w:t>Equivalent in Canadian dollars</w:t>
            </w:r>
          </w:p>
        </w:tc>
        <w:tc>
          <w:tcPr>
            <w:tcW w:w="2440" w:type="dxa"/>
            <w:vAlign w:val="bottom"/>
            <w:tcBorders>
              <w:bottom w:val="single" w:sz="8" w:color="auto"/>
            </w:tcBorders>
          </w:tcPr>
          <w:p>
            <w:pPr>
              <w:spacing w:after="0"/>
              <w:rPr>
                <w:sz w:val="16"/>
                <w:szCs w:val="16"/>
                <w:color w:val="auto"/>
              </w:rPr>
            </w:pPr>
          </w:p>
        </w:tc>
        <w:tc>
          <w:tcPr>
            <w:tcW w:w="1740" w:type="dxa"/>
            <w:vAlign w:val="bottom"/>
            <w:tcBorders>
              <w:bottom w:val="single" w:sz="8" w:color="auto"/>
            </w:tcBorders>
          </w:tcPr>
          <w:p>
            <w:pPr>
              <w:jc w:val="right"/>
              <w:ind w:right="499"/>
              <w:spacing w:after="0" w:line="192" w:lineRule="exact"/>
              <w:rPr>
                <w:sz w:val="20"/>
                <w:szCs w:val="20"/>
                <w:color w:val="auto"/>
              </w:rPr>
            </w:pPr>
            <w:r>
              <w:rPr>
                <w:rFonts w:ascii="Calibri" w:cs="Calibri" w:eastAsia="Calibri" w:hAnsi="Calibri"/>
                <w:sz w:val="16"/>
                <w:szCs w:val="16"/>
                <w:color w:val="auto"/>
              </w:rPr>
              <w:t>148,602</w:t>
            </w:r>
          </w:p>
        </w:tc>
        <w:tc>
          <w:tcPr>
            <w:tcW w:w="1760" w:type="dxa"/>
            <w:vAlign w:val="bottom"/>
            <w:tcBorders>
              <w:bottom w:val="single" w:sz="8" w:color="auto"/>
            </w:tcBorders>
          </w:tcPr>
          <w:p>
            <w:pPr>
              <w:jc w:val="right"/>
              <w:ind w:right="459"/>
              <w:spacing w:after="0" w:line="192" w:lineRule="exact"/>
              <w:rPr>
                <w:sz w:val="20"/>
                <w:szCs w:val="20"/>
                <w:color w:val="auto"/>
              </w:rPr>
            </w:pPr>
            <w:r>
              <w:rPr>
                <w:rFonts w:ascii="Calibri" w:cs="Calibri" w:eastAsia="Calibri" w:hAnsi="Calibri"/>
                <w:sz w:val="16"/>
                <w:szCs w:val="16"/>
                <w:color w:val="auto"/>
              </w:rPr>
              <w:t>(953)</w:t>
            </w:r>
          </w:p>
        </w:tc>
        <w:tc>
          <w:tcPr>
            <w:tcW w:w="1220" w:type="dxa"/>
            <w:vAlign w:val="bottom"/>
            <w:tcBorders>
              <w:bottom w:val="single" w:sz="8" w:color="auto"/>
            </w:tcBorders>
          </w:tcPr>
          <w:p>
            <w:pPr>
              <w:jc w:val="right"/>
              <w:spacing w:after="0" w:line="192" w:lineRule="exact"/>
              <w:rPr>
                <w:sz w:val="20"/>
                <w:szCs w:val="20"/>
                <w:color w:val="auto"/>
              </w:rPr>
            </w:pPr>
            <w:r>
              <w:rPr>
                <w:rFonts w:ascii="Calibri" w:cs="Calibri" w:eastAsia="Calibri" w:hAnsi="Calibri"/>
                <w:sz w:val="16"/>
                <w:szCs w:val="16"/>
                <w:color w:val="auto"/>
              </w:rPr>
              <w:t>199</w:t>
            </w:r>
          </w:p>
        </w:tc>
        <w:tc>
          <w:tcPr>
            <w:tcW w:w="0" w:type="dxa"/>
            <w:vAlign w:val="bottom"/>
          </w:tcPr>
          <w:p>
            <w:pPr>
              <w:spacing w:after="0"/>
              <w:rPr>
                <w:sz w:val="1"/>
                <w:szCs w:val="1"/>
                <w:color w:val="auto"/>
              </w:rPr>
            </w:pPr>
          </w:p>
        </w:tc>
      </w:tr>
      <w:tr>
        <w:trPr>
          <w:trHeight w:val="198"/>
        </w:trPr>
        <w:tc>
          <w:tcPr>
            <w:tcW w:w="3320" w:type="dxa"/>
            <w:vAlign w:val="bottom"/>
            <w:tcBorders>
              <w:bottom w:val="single" w:sz="8" w:color="auto"/>
            </w:tcBorders>
          </w:tcPr>
          <w:p>
            <w:pPr>
              <w:ind w:left="20"/>
              <w:spacing w:after="0" w:line="193" w:lineRule="exact"/>
              <w:rPr>
                <w:sz w:val="20"/>
                <w:szCs w:val="20"/>
                <w:color w:val="auto"/>
              </w:rPr>
            </w:pPr>
            <w:r>
              <w:rPr>
                <w:rFonts w:ascii="Calibri" w:cs="Calibri" w:eastAsia="Calibri" w:hAnsi="Calibri"/>
                <w:sz w:val="16"/>
                <w:szCs w:val="16"/>
                <w:b w:val="1"/>
                <w:bCs w:val="1"/>
                <w:color w:val="auto"/>
              </w:rPr>
              <w:t>Impact of 10% change in exchange</w:t>
            </w:r>
          </w:p>
        </w:tc>
        <w:tc>
          <w:tcPr>
            <w:tcW w:w="2440" w:type="dxa"/>
            <w:vAlign w:val="bottom"/>
            <w:tcBorders>
              <w:bottom w:val="single" w:sz="8" w:color="auto"/>
            </w:tcBorders>
          </w:tcPr>
          <w:p>
            <w:pPr>
              <w:spacing w:after="0"/>
              <w:rPr>
                <w:sz w:val="17"/>
                <w:szCs w:val="17"/>
                <w:color w:val="auto"/>
              </w:rPr>
            </w:pPr>
          </w:p>
        </w:tc>
        <w:tc>
          <w:tcPr>
            <w:tcW w:w="1740" w:type="dxa"/>
            <w:vAlign w:val="bottom"/>
            <w:tcBorders>
              <w:bottom w:val="single" w:sz="8" w:color="auto"/>
            </w:tcBorders>
          </w:tcPr>
          <w:p>
            <w:pPr>
              <w:jc w:val="right"/>
              <w:ind w:right="499"/>
              <w:spacing w:after="0" w:line="193" w:lineRule="exact"/>
              <w:rPr>
                <w:sz w:val="20"/>
                <w:szCs w:val="20"/>
                <w:color w:val="auto"/>
              </w:rPr>
            </w:pPr>
            <w:r>
              <w:rPr>
                <w:rFonts w:ascii="Calibri" w:cs="Calibri" w:eastAsia="Calibri" w:hAnsi="Calibri"/>
                <w:sz w:val="16"/>
                <w:szCs w:val="16"/>
                <w:color w:val="auto"/>
              </w:rPr>
              <w:t>14,860</w:t>
            </w:r>
          </w:p>
        </w:tc>
        <w:tc>
          <w:tcPr>
            <w:tcW w:w="1760" w:type="dxa"/>
            <w:vAlign w:val="bottom"/>
            <w:tcBorders>
              <w:bottom w:val="single" w:sz="8" w:color="auto"/>
            </w:tcBorders>
          </w:tcPr>
          <w:p>
            <w:pPr>
              <w:jc w:val="right"/>
              <w:ind w:right="459"/>
              <w:spacing w:after="0" w:line="193" w:lineRule="exact"/>
              <w:rPr>
                <w:sz w:val="20"/>
                <w:szCs w:val="20"/>
                <w:color w:val="auto"/>
              </w:rPr>
            </w:pPr>
            <w:r>
              <w:rPr>
                <w:rFonts w:ascii="Calibri" w:cs="Calibri" w:eastAsia="Calibri" w:hAnsi="Calibri"/>
                <w:sz w:val="16"/>
                <w:szCs w:val="16"/>
                <w:color w:val="auto"/>
              </w:rPr>
              <w:t>(95)</w:t>
            </w:r>
          </w:p>
        </w:tc>
        <w:tc>
          <w:tcPr>
            <w:tcW w:w="1220" w:type="dxa"/>
            <w:vAlign w:val="bottom"/>
            <w:tcBorders>
              <w:bottom w:val="single" w:sz="8" w:color="auto"/>
            </w:tcBorders>
          </w:tcPr>
          <w:p>
            <w:pPr>
              <w:jc w:val="right"/>
              <w:spacing w:after="0" w:line="193" w:lineRule="exact"/>
              <w:rPr>
                <w:sz w:val="20"/>
                <w:szCs w:val="20"/>
                <w:color w:val="auto"/>
              </w:rPr>
            </w:pPr>
            <w:r>
              <w:rPr>
                <w:rFonts w:ascii="Calibri" w:cs="Calibri" w:eastAsia="Calibri" w:hAnsi="Calibri"/>
                <w:sz w:val="16"/>
                <w:szCs w:val="16"/>
                <w:color w:val="auto"/>
              </w:rPr>
              <w:t>20</w:t>
            </w:r>
          </w:p>
        </w:tc>
        <w:tc>
          <w:tcPr>
            <w:tcW w:w="0" w:type="dxa"/>
            <w:vAlign w:val="bottom"/>
          </w:tcPr>
          <w:p>
            <w:pPr>
              <w:spacing w:after="0"/>
              <w:rPr>
                <w:sz w:val="1"/>
                <w:szCs w:val="1"/>
                <w:color w:val="auto"/>
              </w:rPr>
            </w:pPr>
          </w:p>
        </w:tc>
      </w:tr>
    </w:tbl>
    <w:p>
      <w:pPr>
        <w:spacing w:after="0" w:line="111" w:lineRule="exact"/>
        <w:rPr>
          <w:sz w:val="20"/>
          <w:szCs w:val="20"/>
          <w:color w:val="auto"/>
        </w:rPr>
      </w:pPr>
    </w:p>
    <w:p>
      <w:pPr>
        <w:jc w:val="right"/>
        <w:spacing w:after="0"/>
        <w:rPr>
          <w:sz w:val="20"/>
          <w:szCs w:val="20"/>
          <w:color w:val="auto"/>
        </w:rPr>
      </w:pPr>
      <w:r>
        <w:rPr>
          <w:rFonts w:ascii="Calibri" w:cs="Calibri" w:eastAsia="Calibri" w:hAnsi="Calibri"/>
          <w:sz w:val="16"/>
          <w:szCs w:val="16"/>
          <w:color w:val="auto"/>
        </w:rPr>
        <w:t>Such</w:t>
      </w:r>
    </w:p>
    <w:p>
      <w:pPr>
        <w:ind w:left="280"/>
        <w:spacing w:after="0" w:line="207" w:lineRule="auto"/>
        <w:rPr>
          <w:sz w:val="20"/>
          <w:szCs w:val="20"/>
          <w:color w:val="auto"/>
        </w:rPr>
      </w:pPr>
      <w:r>
        <w:rPr>
          <w:rFonts w:ascii="Calibri" w:cs="Calibri" w:eastAsia="Calibri" w:hAnsi="Calibri"/>
          <w:sz w:val="16"/>
          <w:szCs w:val="16"/>
          <w:color w:val="auto"/>
        </w:rPr>
        <w:t>analysis excludes any indirect economic or geo-politcal efects of such currency fuctuatons.</w:t>
      </w:r>
    </w:p>
    <w:p>
      <w:pPr>
        <w:spacing w:after="0" w:line="362" w:lineRule="exact"/>
        <w:rPr>
          <w:sz w:val="20"/>
          <w:szCs w:val="20"/>
          <w:color w:val="auto"/>
        </w:rPr>
      </w:pPr>
    </w:p>
    <w:p>
      <w:pPr>
        <w:spacing w:after="0"/>
        <w:tabs>
          <w:tab w:leader="none" w:pos="320" w:val="left"/>
        </w:tabs>
        <w:rPr>
          <w:sz w:val="20"/>
          <w:szCs w:val="20"/>
          <w:color w:val="auto"/>
        </w:rPr>
      </w:pPr>
      <w:r>
        <w:rPr>
          <w:rFonts w:ascii="Calibri" w:cs="Calibri" w:eastAsia="Calibri" w:hAnsi="Calibri"/>
          <w:sz w:val="16"/>
          <w:szCs w:val="16"/>
          <w:b w:val="1"/>
          <w:bCs w:val="1"/>
          <w:color w:val="2D5F91"/>
        </w:rPr>
        <w:t>14.</w:t>
      </w:r>
      <w:r>
        <w:rPr>
          <w:sz w:val="20"/>
          <w:szCs w:val="20"/>
          <w:color w:val="auto"/>
        </w:rPr>
        <w:tab/>
      </w:r>
      <w:r>
        <w:rPr>
          <w:rFonts w:ascii="Calibri" w:cs="Calibri" w:eastAsia="Calibri" w:hAnsi="Calibri"/>
          <w:sz w:val="15"/>
          <w:szCs w:val="15"/>
          <w:b w:val="1"/>
          <w:bCs w:val="1"/>
          <w:color w:val="2D5F91"/>
        </w:rPr>
        <w:t>INCOME TAX</w:t>
      </w:r>
    </w:p>
    <w:p>
      <w:pPr>
        <w:spacing w:after="0" w:line="192" w:lineRule="exact"/>
        <w:rPr>
          <w:sz w:val="20"/>
          <w:szCs w:val="20"/>
          <w:color w:val="auto"/>
        </w:rPr>
      </w:pPr>
    </w:p>
    <w:p>
      <w:pPr>
        <w:ind w:left="280"/>
        <w:spacing w:after="0"/>
        <w:rPr>
          <w:sz w:val="20"/>
          <w:szCs w:val="20"/>
          <w:color w:val="auto"/>
        </w:rPr>
      </w:pPr>
      <w:r>
        <w:rPr>
          <w:rFonts w:ascii="Calibri" w:cs="Calibri" w:eastAsia="Calibri" w:hAnsi="Calibri"/>
          <w:sz w:val="16"/>
          <w:szCs w:val="16"/>
          <w:color w:val="auto"/>
        </w:rPr>
        <w:t>Major items causing the Company’s income tax rate to difer from the Canadian statutory rate of approximately 26.5% are as follows:</w:t>
      </w:r>
    </w:p>
    <w:p>
      <w:pPr>
        <w:spacing w:after="0" w:line="192" w:lineRule="exact"/>
        <w:rPr>
          <w:sz w:val="20"/>
          <w:szCs w:val="20"/>
          <w:color w:val="auto"/>
        </w:rPr>
      </w:pPr>
    </w:p>
    <w:tbl>
      <w:tblPr>
        <w:tblLayout w:type="fixed"/>
        <w:tblInd w:w="280" w:type="dxa"/>
        <w:tblCellMar>
          <w:top w:w="0" w:type="dxa"/>
          <w:left w:w="0" w:type="dxa"/>
          <w:bottom w:w="0" w:type="dxa"/>
          <w:right w:w="0" w:type="dxa"/>
        </w:tblCellMar>
      </w:tblPr>
      <w:tr>
        <w:trPr>
          <w:trHeight w:val="195"/>
        </w:trPr>
        <w:tc>
          <w:tcPr>
            <w:tcW w:w="5120" w:type="dxa"/>
            <w:vAlign w:val="bottom"/>
          </w:tcPr>
          <w:p>
            <w:pPr>
              <w:spacing w:after="0"/>
              <w:rPr>
                <w:sz w:val="16"/>
                <w:szCs w:val="16"/>
                <w:color w:val="auto"/>
              </w:rPr>
            </w:pPr>
          </w:p>
        </w:tc>
        <w:tc>
          <w:tcPr>
            <w:tcW w:w="2740" w:type="dxa"/>
            <w:vAlign w:val="bottom"/>
            <w:gridSpan w:val="2"/>
          </w:tcPr>
          <w:p>
            <w:pPr>
              <w:jc w:val="right"/>
              <w:ind w:right="59"/>
              <w:spacing w:after="0"/>
              <w:rPr>
                <w:sz w:val="20"/>
                <w:szCs w:val="20"/>
                <w:color w:val="auto"/>
              </w:rPr>
            </w:pPr>
            <w:r>
              <w:rPr>
                <w:rFonts w:ascii="Calibri" w:cs="Calibri" w:eastAsia="Calibri" w:hAnsi="Calibri"/>
                <w:sz w:val="16"/>
                <w:szCs w:val="16"/>
                <w:b w:val="1"/>
                <w:bCs w:val="1"/>
                <w:color w:val="auto"/>
              </w:rPr>
              <w:t>Three month period ended September</w:t>
            </w:r>
          </w:p>
        </w:tc>
        <w:tc>
          <w:tcPr>
            <w:tcW w:w="1700" w:type="dxa"/>
            <w:vAlign w:val="bottom"/>
          </w:tcPr>
          <w:p>
            <w:pPr>
              <w:spacing w:after="0"/>
              <w:rPr>
                <w:sz w:val="16"/>
                <w:szCs w:val="16"/>
                <w:color w:val="auto"/>
              </w:rPr>
            </w:pPr>
          </w:p>
        </w:tc>
        <w:tc>
          <w:tcPr>
            <w:tcW w:w="980" w:type="dxa"/>
            <w:vAlign w:val="bottom"/>
          </w:tcPr>
          <w:p>
            <w:pPr>
              <w:spacing w:after="0"/>
              <w:rPr>
                <w:sz w:val="16"/>
                <w:szCs w:val="16"/>
                <w:color w:val="auto"/>
              </w:rPr>
            </w:pPr>
          </w:p>
        </w:tc>
      </w:tr>
      <w:tr>
        <w:trPr>
          <w:trHeight w:val="193"/>
        </w:trPr>
        <w:tc>
          <w:tcPr>
            <w:tcW w:w="5120" w:type="dxa"/>
            <w:vAlign w:val="bottom"/>
          </w:tcPr>
          <w:p>
            <w:pPr>
              <w:spacing w:after="0"/>
              <w:rPr>
                <w:sz w:val="16"/>
                <w:szCs w:val="16"/>
                <w:color w:val="auto"/>
              </w:rPr>
            </w:pPr>
          </w:p>
        </w:tc>
        <w:tc>
          <w:tcPr>
            <w:tcW w:w="1800" w:type="dxa"/>
            <w:vAlign w:val="bottom"/>
          </w:tcPr>
          <w:p>
            <w:pPr>
              <w:jc w:val="right"/>
              <w:ind w:right="259"/>
              <w:spacing w:after="0" w:line="193" w:lineRule="exact"/>
              <w:rPr>
                <w:sz w:val="20"/>
                <w:szCs w:val="20"/>
                <w:color w:val="auto"/>
              </w:rPr>
            </w:pPr>
            <w:r>
              <w:rPr>
                <w:rFonts w:ascii="Calibri" w:cs="Calibri" w:eastAsia="Calibri" w:hAnsi="Calibri"/>
                <w:sz w:val="16"/>
                <w:szCs w:val="16"/>
                <w:b w:val="1"/>
                <w:bCs w:val="1"/>
                <w:color w:val="auto"/>
              </w:rPr>
              <w:t>30,</w:t>
            </w:r>
          </w:p>
        </w:tc>
        <w:tc>
          <w:tcPr>
            <w:tcW w:w="940" w:type="dxa"/>
            <w:vAlign w:val="bottom"/>
          </w:tcPr>
          <w:p>
            <w:pPr>
              <w:spacing w:after="0"/>
              <w:rPr>
                <w:sz w:val="16"/>
                <w:szCs w:val="16"/>
                <w:color w:val="auto"/>
              </w:rPr>
            </w:pPr>
          </w:p>
        </w:tc>
        <w:tc>
          <w:tcPr>
            <w:tcW w:w="2680" w:type="dxa"/>
            <w:vAlign w:val="bottom"/>
            <w:gridSpan w:val="2"/>
          </w:tcPr>
          <w:p>
            <w:pPr>
              <w:jc w:val="right"/>
              <w:spacing w:after="0" w:line="193" w:lineRule="exact"/>
              <w:rPr>
                <w:sz w:val="20"/>
                <w:szCs w:val="20"/>
                <w:color w:val="auto"/>
              </w:rPr>
            </w:pPr>
            <w:r>
              <w:rPr>
                <w:rFonts w:ascii="Calibri" w:cs="Calibri" w:eastAsia="Calibri" w:hAnsi="Calibri"/>
                <w:sz w:val="16"/>
                <w:szCs w:val="16"/>
                <w:b w:val="1"/>
                <w:bCs w:val="1"/>
                <w:color w:val="auto"/>
                <w:w w:val="99"/>
              </w:rPr>
              <w:t>Six month period ended September 30,</w:t>
            </w:r>
          </w:p>
        </w:tc>
      </w:tr>
      <w:tr>
        <w:trPr>
          <w:trHeight w:val="20"/>
        </w:trPr>
        <w:tc>
          <w:tcPr>
            <w:tcW w:w="5120" w:type="dxa"/>
            <w:vAlign w:val="bottom"/>
          </w:tcPr>
          <w:p>
            <w:pPr>
              <w:spacing w:after="0" w:line="20" w:lineRule="exact"/>
              <w:rPr>
                <w:sz w:val="1"/>
                <w:szCs w:val="1"/>
                <w:color w:val="auto"/>
              </w:rPr>
            </w:pPr>
          </w:p>
        </w:tc>
        <w:tc>
          <w:tcPr>
            <w:tcW w:w="18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r>
      <w:tr>
        <w:trPr>
          <w:trHeight w:val="185"/>
        </w:trPr>
        <w:tc>
          <w:tcPr>
            <w:tcW w:w="5120" w:type="dxa"/>
            <w:vAlign w:val="bottom"/>
          </w:tcPr>
          <w:p>
            <w:pPr>
              <w:spacing w:after="0"/>
              <w:rPr>
                <w:sz w:val="16"/>
                <w:szCs w:val="16"/>
                <w:color w:val="auto"/>
              </w:rPr>
            </w:pPr>
          </w:p>
        </w:tc>
        <w:tc>
          <w:tcPr>
            <w:tcW w:w="1800" w:type="dxa"/>
            <w:vAlign w:val="bottom"/>
          </w:tcPr>
          <w:p>
            <w:pPr>
              <w:jc w:val="right"/>
              <w:ind w:right="419"/>
              <w:spacing w:after="0" w:line="185" w:lineRule="exact"/>
              <w:rPr>
                <w:sz w:val="20"/>
                <w:szCs w:val="20"/>
                <w:color w:val="auto"/>
              </w:rPr>
            </w:pPr>
            <w:r>
              <w:rPr>
                <w:rFonts w:ascii="Calibri" w:cs="Calibri" w:eastAsia="Calibri" w:hAnsi="Calibri"/>
                <w:sz w:val="16"/>
                <w:szCs w:val="16"/>
                <w:b w:val="1"/>
                <w:bCs w:val="1"/>
                <w:color w:val="auto"/>
              </w:rPr>
              <w:t>2024</w:t>
            </w:r>
          </w:p>
        </w:tc>
        <w:tc>
          <w:tcPr>
            <w:tcW w:w="940" w:type="dxa"/>
            <w:vAlign w:val="bottom"/>
          </w:tcPr>
          <w:p>
            <w:pPr>
              <w:jc w:val="right"/>
              <w:ind w:right="19"/>
              <w:spacing w:after="0" w:line="185" w:lineRule="exact"/>
              <w:rPr>
                <w:sz w:val="20"/>
                <w:szCs w:val="20"/>
                <w:color w:val="auto"/>
              </w:rPr>
            </w:pPr>
            <w:r>
              <w:rPr>
                <w:rFonts w:ascii="Calibri" w:cs="Calibri" w:eastAsia="Calibri" w:hAnsi="Calibri"/>
                <w:sz w:val="16"/>
                <w:szCs w:val="16"/>
                <w:b w:val="1"/>
                <w:bCs w:val="1"/>
                <w:color w:val="auto"/>
              </w:rPr>
              <w:t>2023</w:t>
            </w:r>
          </w:p>
        </w:tc>
        <w:tc>
          <w:tcPr>
            <w:tcW w:w="1700" w:type="dxa"/>
            <w:vAlign w:val="bottom"/>
          </w:tcPr>
          <w:p>
            <w:pPr>
              <w:jc w:val="right"/>
              <w:ind w:right="359"/>
              <w:spacing w:after="0" w:line="185" w:lineRule="exact"/>
              <w:rPr>
                <w:sz w:val="20"/>
                <w:szCs w:val="20"/>
                <w:color w:val="auto"/>
              </w:rPr>
            </w:pPr>
            <w:r>
              <w:rPr>
                <w:rFonts w:ascii="Calibri" w:cs="Calibri" w:eastAsia="Calibri" w:hAnsi="Calibri"/>
                <w:sz w:val="16"/>
                <w:szCs w:val="16"/>
                <w:b w:val="1"/>
                <w:bCs w:val="1"/>
                <w:color w:val="auto"/>
              </w:rPr>
              <w:t>2024</w:t>
            </w:r>
          </w:p>
        </w:tc>
        <w:tc>
          <w:tcPr>
            <w:tcW w:w="980" w:type="dxa"/>
            <w:vAlign w:val="bottom"/>
          </w:tcPr>
          <w:p>
            <w:pPr>
              <w:jc w:val="right"/>
              <w:spacing w:after="0" w:line="185" w:lineRule="exact"/>
              <w:rPr>
                <w:sz w:val="20"/>
                <w:szCs w:val="20"/>
                <w:color w:val="auto"/>
              </w:rPr>
            </w:pPr>
            <w:r>
              <w:rPr>
                <w:rFonts w:ascii="Calibri" w:cs="Calibri" w:eastAsia="Calibri" w:hAnsi="Calibri"/>
                <w:sz w:val="16"/>
                <w:szCs w:val="16"/>
                <w:b w:val="1"/>
                <w:bCs w:val="1"/>
                <w:color w:val="auto"/>
              </w:rPr>
              <w:t>2023</w:t>
            </w:r>
          </w:p>
        </w:tc>
      </w:tr>
      <w:tr>
        <w:trPr>
          <w:trHeight w:val="198"/>
        </w:trPr>
        <w:tc>
          <w:tcPr>
            <w:tcW w:w="5120" w:type="dxa"/>
            <w:vAlign w:val="bottom"/>
          </w:tcPr>
          <w:p>
            <w:pPr>
              <w:spacing w:after="0"/>
              <w:rPr>
                <w:sz w:val="17"/>
                <w:szCs w:val="17"/>
                <w:color w:val="auto"/>
              </w:rPr>
            </w:pPr>
          </w:p>
        </w:tc>
        <w:tc>
          <w:tcPr>
            <w:tcW w:w="1800" w:type="dxa"/>
            <w:vAlign w:val="bottom"/>
          </w:tcPr>
          <w:p>
            <w:pPr>
              <w:jc w:val="right"/>
              <w:ind w:right="419"/>
              <w:spacing w:after="0"/>
              <w:rPr>
                <w:sz w:val="20"/>
                <w:szCs w:val="20"/>
                <w:color w:val="auto"/>
              </w:rPr>
            </w:pPr>
            <w:r>
              <w:rPr>
                <w:rFonts w:ascii="Calibri" w:cs="Calibri" w:eastAsia="Calibri" w:hAnsi="Calibri"/>
                <w:sz w:val="16"/>
                <w:szCs w:val="16"/>
                <w:b w:val="1"/>
                <w:bCs w:val="1"/>
                <w:color w:val="auto"/>
              </w:rPr>
              <w:t>$</w:t>
            </w:r>
          </w:p>
        </w:tc>
        <w:tc>
          <w:tcPr>
            <w:tcW w:w="940" w:type="dxa"/>
            <w:vAlign w:val="bottom"/>
          </w:tcPr>
          <w:p>
            <w:pPr>
              <w:jc w:val="right"/>
              <w:ind w:right="19"/>
              <w:spacing w:after="0"/>
              <w:rPr>
                <w:sz w:val="20"/>
                <w:szCs w:val="20"/>
                <w:color w:val="auto"/>
              </w:rPr>
            </w:pPr>
            <w:r>
              <w:rPr>
                <w:rFonts w:ascii="Calibri" w:cs="Calibri" w:eastAsia="Calibri" w:hAnsi="Calibri"/>
                <w:sz w:val="16"/>
                <w:szCs w:val="16"/>
                <w:b w:val="1"/>
                <w:bCs w:val="1"/>
                <w:color w:val="auto"/>
              </w:rPr>
              <w:t>$</w:t>
            </w:r>
          </w:p>
        </w:tc>
        <w:tc>
          <w:tcPr>
            <w:tcW w:w="1700" w:type="dxa"/>
            <w:vAlign w:val="bottom"/>
          </w:tcPr>
          <w:p>
            <w:pPr>
              <w:jc w:val="right"/>
              <w:ind w:right="359"/>
              <w:spacing w:after="0"/>
              <w:rPr>
                <w:sz w:val="20"/>
                <w:szCs w:val="20"/>
                <w:color w:val="auto"/>
              </w:rPr>
            </w:pPr>
            <w:r>
              <w:rPr>
                <w:rFonts w:ascii="Calibri" w:cs="Calibri" w:eastAsia="Calibri" w:hAnsi="Calibri"/>
                <w:sz w:val="16"/>
                <w:szCs w:val="16"/>
                <w:b w:val="1"/>
                <w:bCs w:val="1"/>
                <w:color w:val="auto"/>
              </w:rPr>
              <w:t>$</w:t>
            </w:r>
          </w:p>
        </w:tc>
        <w:tc>
          <w:tcPr>
            <w:tcW w:w="980" w:type="dxa"/>
            <w:vAlign w:val="bottom"/>
          </w:tcPr>
          <w:p>
            <w:pPr>
              <w:jc w:val="right"/>
              <w:spacing w:after="0"/>
              <w:rPr>
                <w:sz w:val="20"/>
                <w:szCs w:val="20"/>
                <w:color w:val="auto"/>
              </w:rPr>
            </w:pPr>
            <w:r>
              <w:rPr>
                <w:rFonts w:ascii="Calibri" w:cs="Calibri" w:eastAsia="Calibri" w:hAnsi="Calibri"/>
                <w:sz w:val="16"/>
                <w:szCs w:val="16"/>
                <w:b w:val="1"/>
                <w:bCs w:val="1"/>
                <w:color w:val="auto"/>
              </w:rPr>
              <w:t>$</w:t>
            </w:r>
          </w:p>
        </w:tc>
      </w:tr>
      <w:tr>
        <w:trPr>
          <w:trHeight w:val="20"/>
        </w:trPr>
        <w:tc>
          <w:tcPr>
            <w:tcW w:w="5120" w:type="dxa"/>
            <w:vAlign w:val="bottom"/>
            <w:tcBorders>
              <w:bottom w:val="single" w:sz="8" w:color="auto"/>
            </w:tcBorders>
          </w:tcPr>
          <w:p>
            <w:pPr>
              <w:spacing w:after="0" w:line="20" w:lineRule="exact"/>
              <w:rPr>
                <w:sz w:val="1"/>
                <w:szCs w:val="1"/>
                <w:color w:val="auto"/>
              </w:rPr>
            </w:pPr>
          </w:p>
        </w:tc>
        <w:tc>
          <w:tcPr>
            <w:tcW w:w="18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r>
      <w:tr>
        <w:trPr>
          <w:trHeight w:val="213"/>
        </w:trPr>
        <w:tc>
          <w:tcPr>
            <w:tcW w:w="5120" w:type="dxa"/>
            <w:vAlign w:val="bottom"/>
          </w:tcPr>
          <w:p>
            <w:pPr>
              <w:ind w:left="20"/>
              <w:spacing w:after="0"/>
              <w:rPr>
                <w:sz w:val="20"/>
                <w:szCs w:val="20"/>
                <w:color w:val="auto"/>
              </w:rPr>
            </w:pPr>
            <w:r>
              <w:rPr>
                <w:rFonts w:ascii="Calibri" w:cs="Calibri" w:eastAsia="Calibri" w:hAnsi="Calibri"/>
                <w:sz w:val="16"/>
                <w:szCs w:val="16"/>
                <w:color w:val="auto"/>
              </w:rPr>
              <w:t>Net loss before income taxes</w:t>
            </w:r>
          </w:p>
        </w:tc>
        <w:tc>
          <w:tcPr>
            <w:tcW w:w="1800" w:type="dxa"/>
            <w:vAlign w:val="bottom"/>
          </w:tcPr>
          <w:p>
            <w:pPr>
              <w:jc w:val="right"/>
              <w:ind w:right="379"/>
              <w:spacing w:after="0"/>
              <w:rPr>
                <w:sz w:val="20"/>
                <w:szCs w:val="20"/>
                <w:color w:val="auto"/>
              </w:rPr>
            </w:pPr>
            <w:r>
              <w:rPr>
                <w:rFonts w:ascii="Calibri" w:cs="Calibri" w:eastAsia="Calibri" w:hAnsi="Calibri"/>
                <w:sz w:val="16"/>
                <w:szCs w:val="16"/>
                <w:b w:val="1"/>
                <w:bCs w:val="1"/>
                <w:color w:val="auto"/>
              </w:rPr>
              <w:t>(57,192)</w:t>
            </w:r>
          </w:p>
        </w:tc>
        <w:tc>
          <w:tcPr>
            <w:tcW w:w="940" w:type="dxa"/>
            <w:vAlign w:val="bottom"/>
          </w:tcPr>
          <w:p>
            <w:pPr>
              <w:jc w:val="right"/>
              <w:spacing w:after="0"/>
              <w:rPr>
                <w:sz w:val="20"/>
                <w:szCs w:val="20"/>
                <w:color w:val="auto"/>
              </w:rPr>
            </w:pPr>
            <w:r>
              <w:rPr>
                <w:rFonts w:ascii="Calibri" w:cs="Calibri" w:eastAsia="Calibri" w:hAnsi="Calibri"/>
                <w:sz w:val="16"/>
                <w:szCs w:val="16"/>
                <w:color w:val="auto"/>
              </w:rPr>
              <w:t>(11,890)</w:t>
            </w:r>
          </w:p>
        </w:tc>
        <w:tc>
          <w:tcPr>
            <w:tcW w:w="1700" w:type="dxa"/>
            <w:vAlign w:val="bottom"/>
          </w:tcPr>
          <w:p>
            <w:pPr>
              <w:jc w:val="right"/>
              <w:ind w:right="319"/>
              <w:spacing w:after="0" w:line="193" w:lineRule="exact"/>
              <w:rPr>
                <w:sz w:val="20"/>
                <w:szCs w:val="20"/>
                <w:color w:val="auto"/>
              </w:rPr>
            </w:pPr>
            <w:r>
              <w:rPr>
                <w:rFonts w:ascii="Calibri" w:cs="Calibri" w:eastAsia="Calibri" w:hAnsi="Calibri"/>
                <w:sz w:val="16"/>
                <w:szCs w:val="16"/>
                <w:b w:val="1"/>
                <w:bCs w:val="1"/>
                <w:color w:val="auto"/>
              </w:rPr>
              <w:t>(72,016)</w:t>
            </w:r>
          </w:p>
        </w:tc>
        <w:tc>
          <w:tcPr>
            <w:tcW w:w="980" w:type="dxa"/>
            <w:vAlign w:val="bottom"/>
          </w:tcPr>
          <w:p>
            <w:pPr>
              <w:jc w:val="right"/>
              <w:spacing w:after="0" w:line="193" w:lineRule="exact"/>
              <w:rPr>
                <w:sz w:val="20"/>
                <w:szCs w:val="20"/>
                <w:color w:val="auto"/>
              </w:rPr>
            </w:pPr>
            <w:r>
              <w:rPr>
                <w:rFonts w:ascii="Calibri" w:cs="Calibri" w:eastAsia="Calibri" w:hAnsi="Calibri"/>
                <w:sz w:val="16"/>
                <w:szCs w:val="16"/>
                <w:color w:val="auto"/>
              </w:rPr>
              <w:t>(26,404)</w:t>
            </w:r>
          </w:p>
        </w:tc>
      </w:tr>
      <w:tr>
        <w:trPr>
          <w:trHeight w:val="20"/>
        </w:trPr>
        <w:tc>
          <w:tcPr>
            <w:tcW w:w="5120" w:type="dxa"/>
            <w:vAlign w:val="bottom"/>
            <w:tcBorders>
              <w:bottom w:val="single" w:sz="8" w:color="auto"/>
            </w:tcBorders>
          </w:tcPr>
          <w:p>
            <w:pPr>
              <w:spacing w:after="0" w:line="20" w:lineRule="exact"/>
              <w:rPr>
                <w:sz w:val="1"/>
                <w:szCs w:val="1"/>
                <w:color w:val="auto"/>
              </w:rPr>
            </w:pPr>
          </w:p>
        </w:tc>
        <w:tc>
          <w:tcPr>
            <w:tcW w:w="18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r>
      <w:tr>
        <w:trPr>
          <w:trHeight w:val="358"/>
        </w:trPr>
        <w:tc>
          <w:tcPr>
            <w:tcW w:w="5120" w:type="dxa"/>
            <w:vAlign w:val="bottom"/>
          </w:tcPr>
          <w:p>
            <w:pPr>
              <w:ind w:left="20"/>
              <w:spacing w:after="0"/>
              <w:rPr>
                <w:sz w:val="20"/>
                <w:szCs w:val="20"/>
                <w:color w:val="auto"/>
              </w:rPr>
            </w:pPr>
            <w:r>
              <w:rPr>
                <w:rFonts w:ascii="Calibri" w:cs="Calibri" w:eastAsia="Calibri" w:hAnsi="Calibri"/>
                <w:sz w:val="16"/>
                <w:szCs w:val="16"/>
                <w:color w:val="auto"/>
              </w:rPr>
              <w:t>Expected recovery at statutory rate</w:t>
            </w:r>
          </w:p>
        </w:tc>
        <w:tc>
          <w:tcPr>
            <w:tcW w:w="1800" w:type="dxa"/>
            <w:vAlign w:val="bottom"/>
          </w:tcPr>
          <w:p>
            <w:pPr>
              <w:jc w:val="right"/>
              <w:ind w:right="379"/>
              <w:spacing w:after="0"/>
              <w:rPr>
                <w:sz w:val="20"/>
                <w:szCs w:val="20"/>
                <w:color w:val="auto"/>
              </w:rPr>
            </w:pPr>
            <w:r>
              <w:rPr>
                <w:rFonts w:ascii="Calibri" w:cs="Calibri" w:eastAsia="Calibri" w:hAnsi="Calibri"/>
                <w:sz w:val="16"/>
                <w:szCs w:val="16"/>
                <w:b w:val="1"/>
                <w:bCs w:val="1"/>
                <w:color w:val="auto"/>
              </w:rPr>
              <w:t>(15,157)</w:t>
            </w:r>
          </w:p>
        </w:tc>
        <w:tc>
          <w:tcPr>
            <w:tcW w:w="940" w:type="dxa"/>
            <w:vAlign w:val="bottom"/>
          </w:tcPr>
          <w:p>
            <w:pPr>
              <w:jc w:val="right"/>
              <w:spacing w:after="0"/>
              <w:rPr>
                <w:sz w:val="20"/>
                <w:szCs w:val="20"/>
                <w:color w:val="auto"/>
              </w:rPr>
            </w:pPr>
            <w:r>
              <w:rPr>
                <w:rFonts w:ascii="Calibri" w:cs="Calibri" w:eastAsia="Calibri" w:hAnsi="Calibri"/>
                <w:sz w:val="16"/>
                <w:szCs w:val="16"/>
                <w:color w:val="auto"/>
              </w:rPr>
              <w:t>(3,151)</w:t>
            </w:r>
          </w:p>
        </w:tc>
        <w:tc>
          <w:tcPr>
            <w:tcW w:w="1700" w:type="dxa"/>
            <w:vAlign w:val="bottom"/>
          </w:tcPr>
          <w:p>
            <w:pPr>
              <w:jc w:val="right"/>
              <w:ind w:right="359"/>
              <w:spacing w:after="0"/>
              <w:rPr>
                <w:sz w:val="20"/>
                <w:szCs w:val="20"/>
                <w:color w:val="auto"/>
              </w:rPr>
            </w:pPr>
            <w:r>
              <w:rPr>
                <w:rFonts w:ascii="Calibri" w:cs="Calibri" w:eastAsia="Calibri" w:hAnsi="Calibri"/>
                <w:sz w:val="16"/>
                <w:szCs w:val="16"/>
                <w:b w:val="1"/>
                <w:bCs w:val="1"/>
                <w:color w:val="auto"/>
              </w:rPr>
              <w:t>(19,085)</w:t>
            </w:r>
          </w:p>
        </w:tc>
        <w:tc>
          <w:tcPr>
            <w:tcW w:w="980" w:type="dxa"/>
            <w:vAlign w:val="bottom"/>
          </w:tcPr>
          <w:p>
            <w:pPr>
              <w:jc w:val="right"/>
              <w:spacing w:after="0"/>
              <w:rPr>
                <w:sz w:val="20"/>
                <w:szCs w:val="20"/>
                <w:color w:val="auto"/>
              </w:rPr>
            </w:pPr>
            <w:r>
              <w:rPr>
                <w:rFonts w:ascii="Calibri" w:cs="Calibri" w:eastAsia="Calibri" w:hAnsi="Calibri"/>
                <w:sz w:val="16"/>
                <w:szCs w:val="16"/>
                <w:color w:val="auto"/>
              </w:rPr>
              <w:t>(6,997)</w:t>
            </w:r>
          </w:p>
        </w:tc>
      </w:tr>
      <w:tr>
        <w:trPr>
          <w:trHeight w:val="206"/>
        </w:trPr>
        <w:tc>
          <w:tcPr>
            <w:tcW w:w="5120" w:type="dxa"/>
            <w:vAlign w:val="bottom"/>
          </w:tcPr>
          <w:p>
            <w:pPr>
              <w:ind w:left="20"/>
              <w:spacing w:after="0"/>
              <w:rPr>
                <w:sz w:val="20"/>
                <w:szCs w:val="20"/>
                <w:color w:val="auto"/>
              </w:rPr>
            </w:pPr>
            <w:r>
              <w:rPr>
                <w:rFonts w:ascii="Calibri" w:cs="Calibri" w:eastAsia="Calibri" w:hAnsi="Calibri"/>
                <w:sz w:val="16"/>
                <w:szCs w:val="16"/>
                <w:color w:val="auto"/>
              </w:rPr>
              <w:t>Share-based compensaton</w:t>
            </w:r>
          </w:p>
        </w:tc>
        <w:tc>
          <w:tcPr>
            <w:tcW w:w="1800" w:type="dxa"/>
            <w:vAlign w:val="bottom"/>
          </w:tcPr>
          <w:p>
            <w:pPr>
              <w:jc w:val="right"/>
              <w:ind w:right="419"/>
              <w:spacing w:after="0"/>
              <w:rPr>
                <w:sz w:val="20"/>
                <w:szCs w:val="20"/>
                <w:color w:val="auto"/>
              </w:rPr>
            </w:pPr>
            <w:r>
              <w:rPr>
                <w:rFonts w:ascii="Calibri" w:cs="Calibri" w:eastAsia="Calibri" w:hAnsi="Calibri"/>
                <w:sz w:val="16"/>
                <w:szCs w:val="16"/>
                <w:b w:val="1"/>
                <w:bCs w:val="1"/>
                <w:color w:val="auto"/>
              </w:rPr>
              <w:t>8,867</w:t>
            </w:r>
          </w:p>
        </w:tc>
        <w:tc>
          <w:tcPr>
            <w:tcW w:w="940" w:type="dxa"/>
            <w:vAlign w:val="bottom"/>
          </w:tcPr>
          <w:p>
            <w:pPr>
              <w:jc w:val="right"/>
              <w:spacing w:after="0"/>
              <w:rPr>
                <w:sz w:val="20"/>
                <w:szCs w:val="20"/>
                <w:color w:val="auto"/>
              </w:rPr>
            </w:pPr>
            <w:r>
              <w:rPr>
                <w:rFonts w:ascii="Calibri" w:cs="Calibri" w:eastAsia="Calibri" w:hAnsi="Calibri"/>
                <w:sz w:val="16"/>
                <w:szCs w:val="16"/>
                <w:color w:val="auto"/>
              </w:rPr>
              <w:t>375</w:t>
            </w:r>
          </w:p>
        </w:tc>
        <w:tc>
          <w:tcPr>
            <w:tcW w:w="1700" w:type="dxa"/>
            <w:vAlign w:val="bottom"/>
          </w:tcPr>
          <w:p>
            <w:pPr>
              <w:jc w:val="right"/>
              <w:ind w:right="359"/>
              <w:spacing w:after="0"/>
              <w:rPr>
                <w:sz w:val="20"/>
                <w:szCs w:val="20"/>
                <w:color w:val="auto"/>
              </w:rPr>
            </w:pPr>
            <w:r>
              <w:rPr>
                <w:rFonts w:ascii="Calibri" w:cs="Calibri" w:eastAsia="Calibri" w:hAnsi="Calibri"/>
                <w:sz w:val="16"/>
                <w:szCs w:val="16"/>
                <w:b w:val="1"/>
                <w:bCs w:val="1"/>
                <w:color w:val="auto"/>
              </w:rPr>
              <w:t>9,920</w:t>
            </w:r>
          </w:p>
        </w:tc>
        <w:tc>
          <w:tcPr>
            <w:tcW w:w="980" w:type="dxa"/>
            <w:vAlign w:val="bottom"/>
          </w:tcPr>
          <w:p>
            <w:pPr>
              <w:jc w:val="right"/>
              <w:spacing w:after="0"/>
              <w:rPr>
                <w:sz w:val="20"/>
                <w:szCs w:val="20"/>
                <w:color w:val="auto"/>
              </w:rPr>
            </w:pPr>
            <w:r>
              <w:rPr>
                <w:rFonts w:ascii="Calibri" w:cs="Calibri" w:eastAsia="Calibri" w:hAnsi="Calibri"/>
                <w:sz w:val="16"/>
                <w:szCs w:val="16"/>
                <w:color w:val="auto"/>
              </w:rPr>
              <w:t>713</w:t>
            </w:r>
          </w:p>
        </w:tc>
      </w:tr>
      <w:tr>
        <w:trPr>
          <w:trHeight w:val="206"/>
        </w:trPr>
        <w:tc>
          <w:tcPr>
            <w:tcW w:w="5120" w:type="dxa"/>
            <w:vAlign w:val="bottom"/>
          </w:tcPr>
          <w:p>
            <w:pPr>
              <w:ind w:left="20"/>
              <w:spacing w:after="0"/>
              <w:rPr>
                <w:sz w:val="20"/>
                <w:szCs w:val="20"/>
                <w:color w:val="auto"/>
              </w:rPr>
            </w:pPr>
            <w:r>
              <w:rPr>
                <w:rFonts w:ascii="Calibri" w:cs="Calibri" w:eastAsia="Calibri" w:hAnsi="Calibri"/>
                <w:sz w:val="16"/>
                <w:szCs w:val="16"/>
                <w:color w:val="auto"/>
              </w:rPr>
              <w:t>Share issuance costs</w:t>
            </w:r>
          </w:p>
        </w:tc>
        <w:tc>
          <w:tcPr>
            <w:tcW w:w="1800" w:type="dxa"/>
            <w:vAlign w:val="bottom"/>
          </w:tcPr>
          <w:p>
            <w:pPr>
              <w:jc w:val="right"/>
              <w:ind w:right="379"/>
              <w:spacing w:after="0"/>
              <w:rPr>
                <w:sz w:val="20"/>
                <w:szCs w:val="20"/>
                <w:color w:val="auto"/>
              </w:rPr>
            </w:pPr>
            <w:r>
              <w:rPr>
                <w:rFonts w:ascii="Calibri" w:cs="Calibri" w:eastAsia="Calibri" w:hAnsi="Calibri"/>
                <w:sz w:val="16"/>
                <w:szCs w:val="16"/>
                <w:b w:val="1"/>
                <w:bCs w:val="1"/>
                <w:color w:val="auto"/>
              </w:rPr>
              <w:t>(35)</w:t>
            </w:r>
          </w:p>
        </w:tc>
        <w:tc>
          <w:tcPr>
            <w:tcW w:w="940" w:type="dxa"/>
            <w:vAlign w:val="bottom"/>
          </w:tcPr>
          <w:p>
            <w:pPr>
              <w:jc w:val="right"/>
              <w:spacing w:after="0"/>
              <w:rPr>
                <w:sz w:val="20"/>
                <w:szCs w:val="20"/>
                <w:color w:val="auto"/>
              </w:rPr>
            </w:pPr>
            <w:r>
              <w:rPr>
                <w:rFonts w:ascii="Calibri" w:cs="Calibri" w:eastAsia="Calibri" w:hAnsi="Calibri"/>
                <w:sz w:val="16"/>
                <w:szCs w:val="16"/>
                <w:color w:val="auto"/>
              </w:rPr>
              <w:t>(459)</w:t>
            </w:r>
          </w:p>
        </w:tc>
        <w:tc>
          <w:tcPr>
            <w:tcW w:w="1700" w:type="dxa"/>
            <w:vAlign w:val="bottom"/>
          </w:tcPr>
          <w:p>
            <w:pPr>
              <w:jc w:val="right"/>
              <w:ind w:right="359"/>
              <w:spacing w:after="0"/>
              <w:rPr>
                <w:sz w:val="20"/>
                <w:szCs w:val="20"/>
                <w:color w:val="auto"/>
              </w:rPr>
            </w:pPr>
            <w:r>
              <w:rPr>
                <w:rFonts w:ascii="Calibri" w:cs="Calibri" w:eastAsia="Calibri" w:hAnsi="Calibri"/>
                <w:sz w:val="16"/>
                <w:szCs w:val="16"/>
                <w:b w:val="1"/>
                <w:bCs w:val="1"/>
                <w:color w:val="auto"/>
              </w:rPr>
              <w:t>(74)</w:t>
            </w:r>
          </w:p>
        </w:tc>
        <w:tc>
          <w:tcPr>
            <w:tcW w:w="980" w:type="dxa"/>
            <w:vAlign w:val="bottom"/>
          </w:tcPr>
          <w:p>
            <w:pPr>
              <w:jc w:val="right"/>
              <w:spacing w:after="0"/>
              <w:rPr>
                <w:sz w:val="20"/>
                <w:szCs w:val="20"/>
                <w:color w:val="auto"/>
              </w:rPr>
            </w:pPr>
            <w:r>
              <w:rPr>
                <w:rFonts w:ascii="Calibri" w:cs="Calibri" w:eastAsia="Calibri" w:hAnsi="Calibri"/>
                <w:sz w:val="16"/>
                <w:szCs w:val="16"/>
                <w:color w:val="auto"/>
              </w:rPr>
              <w:t>(545)</w:t>
            </w:r>
          </w:p>
        </w:tc>
      </w:tr>
      <w:tr>
        <w:trPr>
          <w:trHeight w:val="206"/>
        </w:trPr>
        <w:tc>
          <w:tcPr>
            <w:tcW w:w="5120" w:type="dxa"/>
            <w:vAlign w:val="bottom"/>
          </w:tcPr>
          <w:p>
            <w:pPr>
              <w:ind w:left="20"/>
              <w:spacing w:after="0"/>
              <w:rPr>
                <w:sz w:val="20"/>
                <w:szCs w:val="20"/>
                <w:color w:val="auto"/>
              </w:rPr>
            </w:pPr>
            <w:r>
              <w:rPr>
                <w:rFonts w:ascii="Calibri" w:cs="Calibri" w:eastAsia="Calibri" w:hAnsi="Calibri"/>
                <w:sz w:val="16"/>
                <w:szCs w:val="16"/>
                <w:color w:val="auto"/>
              </w:rPr>
              <w:t>Diference between Canadian and foreign tax rates</w:t>
            </w:r>
          </w:p>
        </w:tc>
        <w:tc>
          <w:tcPr>
            <w:tcW w:w="1800" w:type="dxa"/>
            <w:vAlign w:val="bottom"/>
          </w:tcPr>
          <w:p>
            <w:pPr>
              <w:jc w:val="right"/>
              <w:ind w:right="419"/>
              <w:spacing w:after="0"/>
              <w:rPr>
                <w:sz w:val="20"/>
                <w:szCs w:val="20"/>
                <w:color w:val="auto"/>
              </w:rPr>
            </w:pPr>
            <w:r>
              <w:rPr>
                <w:rFonts w:ascii="Calibri" w:cs="Calibri" w:eastAsia="Calibri" w:hAnsi="Calibri"/>
                <w:sz w:val="16"/>
                <w:szCs w:val="16"/>
                <w:b w:val="1"/>
                <w:bCs w:val="1"/>
                <w:color w:val="auto"/>
              </w:rPr>
              <w:t>2,109</w:t>
            </w:r>
          </w:p>
        </w:tc>
        <w:tc>
          <w:tcPr>
            <w:tcW w:w="940" w:type="dxa"/>
            <w:vAlign w:val="bottom"/>
          </w:tcPr>
          <w:p>
            <w:pPr>
              <w:jc w:val="right"/>
              <w:spacing w:after="0"/>
              <w:rPr>
                <w:sz w:val="20"/>
                <w:szCs w:val="20"/>
                <w:color w:val="auto"/>
              </w:rPr>
            </w:pPr>
            <w:r>
              <w:rPr>
                <w:rFonts w:ascii="Calibri" w:cs="Calibri" w:eastAsia="Calibri" w:hAnsi="Calibri"/>
                <w:sz w:val="16"/>
                <w:szCs w:val="16"/>
                <w:color w:val="auto"/>
              </w:rPr>
              <w:t>941</w:t>
            </w:r>
          </w:p>
        </w:tc>
        <w:tc>
          <w:tcPr>
            <w:tcW w:w="1700" w:type="dxa"/>
            <w:vAlign w:val="bottom"/>
          </w:tcPr>
          <w:p>
            <w:pPr>
              <w:jc w:val="right"/>
              <w:ind w:right="359"/>
              <w:spacing w:after="0"/>
              <w:rPr>
                <w:sz w:val="20"/>
                <w:szCs w:val="20"/>
                <w:color w:val="auto"/>
              </w:rPr>
            </w:pPr>
            <w:r>
              <w:rPr>
                <w:rFonts w:ascii="Calibri" w:cs="Calibri" w:eastAsia="Calibri" w:hAnsi="Calibri"/>
                <w:sz w:val="16"/>
                <w:szCs w:val="16"/>
                <w:b w:val="1"/>
                <w:bCs w:val="1"/>
                <w:color w:val="auto"/>
              </w:rPr>
              <w:t>3,069</w:t>
            </w:r>
          </w:p>
        </w:tc>
        <w:tc>
          <w:tcPr>
            <w:tcW w:w="980" w:type="dxa"/>
            <w:vAlign w:val="bottom"/>
          </w:tcPr>
          <w:p>
            <w:pPr>
              <w:jc w:val="right"/>
              <w:spacing w:after="0"/>
              <w:rPr>
                <w:sz w:val="20"/>
                <w:szCs w:val="20"/>
                <w:color w:val="auto"/>
              </w:rPr>
            </w:pPr>
            <w:r>
              <w:rPr>
                <w:rFonts w:ascii="Calibri" w:cs="Calibri" w:eastAsia="Calibri" w:hAnsi="Calibri"/>
                <w:sz w:val="16"/>
                <w:szCs w:val="16"/>
                <w:color w:val="auto"/>
              </w:rPr>
              <w:t>1,893</w:t>
            </w:r>
          </w:p>
        </w:tc>
      </w:tr>
      <w:tr>
        <w:trPr>
          <w:trHeight w:val="206"/>
        </w:trPr>
        <w:tc>
          <w:tcPr>
            <w:tcW w:w="5120" w:type="dxa"/>
            <w:vAlign w:val="bottom"/>
          </w:tcPr>
          <w:p>
            <w:pPr>
              <w:ind w:left="20"/>
              <w:spacing w:after="0"/>
              <w:rPr>
                <w:sz w:val="20"/>
                <w:szCs w:val="20"/>
                <w:color w:val="auto"/>
              </w:rPr>
            </w:pPr>
            <w:r>
              <w:rPr>
                <w:rFonts w:ascii="Calibri" w:cs="Calibri" w:eastAsia="Calibri" w:hAnsi="Calibri"/>
                <w:sz w:val="16"/>
                <w:szCs w:val="16"/>
                <w:color w:val="auto"/>
              </w:rPr>
              <w:t>Efect of exchange on unbooked deferred tax assets</w:t>
            </w:r>
          </w:p>
        </w:tc>
        <w:tc>
          <w:tcPr>
            <w:tcW w:w="1800" w:type="dxa"/>
            <w:vAlign w:val="bottom"/>
          </w:tcPr>
          <w:p>
            <w:pPr>
              <w:jc w:val="right"/>
              <w:ind w:right="379"/>
              <w:spacing w:after="0"/>
              <w:rPr>
                <w:sz w:val="20"/>
                <w:szCs w:val="20"/>
                <w:color w:val="auto"/>
              </w:rPr>
            </w:pPr>
            <w:r>
              <w:rPr>
                <w:rFonts w:ascii="Calibri" w:cs="Calibri" w:eastAsia="Calibri" w:hAnsi="Calibri"/>
                <w:sz w:val="16"/>
                <w:szCs w:val="16"/>
                <w:b w:val="1"/>
                <w:bCs w:val="1"/>
                <w:color w:val="auto"/>
              </w:rPr>
              <w:t>(23)</w:t>
            </w:r>
          </w:p>
        </w:tc>
        <w:tc>
          <w:tcPr>
            <w:tcW w:w="940" w:type="dxa"/>
            <w:vAlign w:val="bottom"/>
          </w:tcPr>
          <w:p>
            <w:pPr>
              <w:jc w:val="right"/>
              <w:spacing w:after="0"/>
              <w:rPr>
                <w:sz w:val="20"/>
                <w:szCs w:val="20"/>
                <w:color w:val="auto"/>
              </w:rPr>
            </w:pPr>
            <w:r>
              <w:rPr>
                <w:rFonts w:ascii="Calibri" w:cs="Calibri" w:eastAsia="Calibri" w:hAnsi="Calibri"/>
                <w:sz w:val="16"/>
                <w:szCs w:val="16"/>
                <w:color w:val="auto"/>
              </w:rPr>
              <w:t>(193)</w:t>
            </w:r>
          </w:p>
        </w:tc>
        <w:tc>
          <w:tcPr>
            <w:tcW w:w="1700" w:type="dxa"/>
            <w:vAlign w:val="bottom"/>
          </w:tcPr>
          <w:p>
            <w:pPr>
              <w:jc w:val="right"/>
              <w:ind w:right="359"/>
              <w:spacing w:after="0"/>
              <w:rPr>
                <w:sz w:val="20"/>
                <w:szCs w:val="20"/>
                <w:color w:val="auto"/>
              </w:rPr>
            </w:pPr>
            <w:r>
              <w:rPr>
                <w:rFonts w:ascii="Calibri" w:cs="Calibri" w:eastAsia="Calibri" w:hAnsi="Calibri"/>
                <w:sz w:val="16"/>
                <w:szCs w:val="16"/>
                <w:b w:val="1"/>
                <w:bCs w:val="1"/>
                <w:color w:val="auto"/>
              </w:rPr>
              <w:t>53</w:t>
            </w:r>
          </w:p>
        </w:tc>
        <w:tc>
          <w:tcPr>
            <w:tcW w:w="980" w:type="dxa"/>
            <w:vAlign w:val="bottom"/>
          </w:tcPr>
          <w:p>
            <w:pPr>
              <w:jc w:val="right"/>
              <w:spacing w:after="0"/>
              <w:rPr>
                <w:sz w:val="20"/>
                <w:szCs w:val="20"/>
                <w:color w:val="auto"/>
              </w:rPr>
            </w:pPr>
            <w:r>
              <w:rPr>
                <w:rFonts w:ascii="Calibri" w:cs="Calibri" w:eastAsia="Calibri" w:hAnsi="Calibri"/>
                <w:sz w:val="16"/>
                <w:szCs w:val="16"/>
                <w:color w:val="auto"/>
              </w:rPr>
              <w:t>(444)</w:t>
            </w:r>
          </w:p>
        </w:tc>
      </w:tr>
      <w:tr>
        <w:trPr>
          <w:trHeight w:val="206"/>
        </w:trPr>
        <w:tc>
          <w:tcPr>
            <w:tcW w:w="5120" w:type="dxa"/>
            <w:vAlign w:val="bottom"/>
          </w:tcPr>
          <w:p>
            <w:pPr>
              <w:ind w:left="20"/>
              <w:spacing w:after="0"/>
              <w:rPr>
                <w:sz w:val="20"/>
                <w:szCs w:val="20"/>
                <w:color w:val="auto"/>
              </w:rPr>
            </w:pPr>
            <w:r>
              <w:rPr>
                <w:rFonts w:ascii="Calibri" w:cs="Calibri" w:eastAsia="Calibri" w:hAnsi="Calibri"/>
                <w:sz w:val="16"/>
                <w:szCs w:val="16"/>
                <w:color w:val="auto"/>
              </w:rPr>
              <w:t>Adjustment to prior year loss carryforwards</w:t>
            </w:r>
          </w:p>
        </w:tc>
        <w:tc>
          <w:tcPr>
            <w:tcW w:w="1800" w:type="dxa"/>
            <w:vAlign w:val="bottom"/>
          </w:tcPr>
          <w:p>
            <w:pPr>
              <w:jc w:val="right"/>
              <w:ind w:right="419"/>
              <w:spacing w:after="0"/>
              <w:rPr>
                <w:sz w:val="20"/>
                <w:szCs w:val="20"/>
                <w:color w:val="auto"/>
              </w:rPr>
            </w:pPr>
            <w:r>
              <w:rPr>
                <w:rFonts w:ascii="Calibri" w:cs="Calibri" w:eastAsia="Calibri" w:hAnsi="Calibri"/>
                <w:sz w:val="16"/>
                <w:szCs w:val="16"/>
                <w:b w:val="1"/>
                <w:bCs w:val="1"/>
                <w:color w:val="auto"/>
              </w:rPr>
              <w:t>—</w:t>
            </w:r>
          </w:p>
        </w:tc>
        <w:tc>
          <w:tcPr>
            <w:tcW w:w="940" w:type="dxa"/>
            <w:vAlign w:val="bottom"/>
          </w:tcPr>
          <w:p>
            <w:pPr>
              <w:jc w:val="right"/>
              <w:spacing w:after="0"/>
              <w:rPr>
                <w:sz w:val="20"/>
                <w:szCs w:val="20"/>
                <w:color w:val="auto"/>
              </w:rPr>
            </w:pPr>
            <w:r>
              <w:rPr>
                <w:rFonts w:ascii="Calibri" w:cs="Calibri" w:eastAsia="Calibri" w:hAnsi="Calibri"/>
                <w:sz w:val="16"/>
                <w:szCs w:val="16"/>
                <w:color w:val="auto"/>
              </w:rPr>
              <w:t>—</w:t>
            </w:r>
          </w:p>
        </w:tc>
        <w:tc>
          <w:tcPr>
            <w:tcW w:w="1700" w:type="dxa"/>
            <w:vAlign w:val="bottom"/>
          </w:tcPr>
          <w:p>
            <w:pPr>
              <w:jc w:val="right"/>
              <w:ind w:right="359"/>
              <w:spacing w:after="0"/>
              <w:rPr>
                <w:sz w:val="20"/>
                <w:szCs w:val="20"/>
                <w:color w:val="auto"/>
              </w:rPr>
            </w:pPr>
            <w:r>
              <w:rPr>
                <w:rFonts w:ascii="Calibri" w:cs="Calibri" w:eastAsia="Calibri" w:hAnsi="Calibri"/>
                <w:sz w:val="16"/>
                <w:szCs w:val="16"/>
                <w:b w:val="1"/>
                <w:bCs w:val="1"/>
                <w:color w:val="auto"/>
              </w:rPr>
              <w:t>—</w:t>
            </w:r>
          </w:p>
        </w:tc>
        <w:tc>
          <w:tcPr>
            <w:tcW w:w="980" w:type="dxa"/>
            <w:vAlign w:val="bottom"/>
          </w:tcPr>
          <w:p>
            <w:pPr>
              <w:jc w:val="right"/>
              <w:spacing w:after="0"/>
              <w:rPr>
                <w:sz w:val="20"/>
                <w:szCs w:val="20"/>
                <w:color w:val="auto"/>
              </w:rPr>
            </w:pPr>
            <w:r>
              <w:rPr>
                <w:rFonts w:ascii="Calibri" w:cs="Calibri" w:eastAsia="Calibri" w:hAnsi="Calibri"/>
                <w:sz w:val="16"/>
                <w:szCs w:val="16"/>
                <w:color w:val="auto"/>
              </w:rPr>
              <w:t>(239)</w:t>
            </w:r>
          </w:p>
        </w:tc>
      </w:tr>
      <w:tr>
        <w:trPr>
          <w:trHeight w:val="206"/>
        </w:trPr>
        <w:tc>
          <w:tcPr>
            <w:tcW w:w="5120" w:type="dxa"/>
            <w:vAlign w:val="bottom"/>
          </w:tcPr>
          <w:p>
            <w:pPr>
              <w:ind w:left="20"/>
              <w:spacing w:after="0"/>
              <w:rPr>
                <w:sz w:val="20"/>
                <w:szCs w:val="20"/>
                <w:color w:val="auto"/>
              </w:rPr>
            </w:pPr>
            <w:r>
              <w:rPr>
                <w:rFonts w:ascii="Calibri" w:cs="Calibri" w:eastAsia="Calibri" w:hAnsi="Calibri"/>
                <w:sz w:val="16"/>
                <w:szCs w:val="16"/>
                <w:color w:val="auto"/>
              </w:rPr>
              <w:t>Non-deductble expenses</w:t>
            </w:r>
          </w:p>
        </w:tc>
        <w:tc>
          <w:tcPr>
            <w:tcW w:w="1800" w:type="dxa"/>
            <w:vAlign w:val="bottom"/>
          </w:tcPr>
          <w:p>
            <w:pPr>
              <w:jc w:val="right"/>
              <w:ind w:right="419"/>
              <w:spacing w:after="0"/>
              <w:rPr>
                <w:sz w:val="20"/>
                <w:szCs w:val="20"/>
                <w:color w:val="auto"/>
              </w:rPr>
            </w:pPr>
            <w:r>
              <w:rPr>
                <w:rFonts w:ascii="Calibri" w:cs="Calibri" w:eastAsia="Calibri" w:hAnsi="Calibri"/>
                <w:sz w:val="16"/>
                <w:szCs w:val="16"/>
                <w:b w:val="1"/>
                <w:bCs w:val="1"/>
                <w:color w:val="auto"/>
              </w:rPr>
              <w:t>68</w:t>
            </w:r>
          </w:p>
        </w:tc>
        <w:tc>
          <w:tcPr>
            <w:tcW w:w="940" w:type="dxa"/>
            <w:vAlign w:val="bottom"/>
          </w:tcPr>
          <w:p>
            <w:pPr>
              <w:jc w:val="right"/>
              <w:spacing w:after="0"/>
              <w:rPr>
                <w:sz w:val="20"/>
                <w:szCs w:val="20"/>
                <w:color w:val="auto"/>
              </w:rPr>
            </w:pPr>
            <w:r>
              <w:rPr>
                <w:rFonts w:ascii="Calibri" w:cs="Calibri" w:eastAsia="Calibri" w:hAnsi="Calibri"/>
                <w:sz w:val="16"/>
                <w:szCs w:val="16"/>
                <w:color w:val="auto"/>
              </w:rPr>
              <w:t>29</w:t>
            </w:r>
          </w:p>
        </w:tc>
        <w:tc>
          <w:tcPr>
            <w:tcW w:w="1700" w:type="dxa"/>
            <w:vAlign w:val="bottom"/>
          </w:tcPr>
          <w:p>
            <w:pPr>
              <w:jc w:val="right"/>
              <w:ind w:right="359"/>
              <w:spacing w:after="0"/>
              <w:rPr>
                <w:sz w:val="20"/>
                <w:szCs w:val="20"/>
                <w:color w:val="auto"/>
              </w:rPr>
            </w:pPr>
            <w:r>
              <w:rPr>
                <w:rFonts w:ascii="Calibri" w:cs="Calibri" w:eastAsia="Calibri" w:hAnsi="Calibri"/>
                <w:sz w:val="16"/>
                <w:szCs w:val="16"/>
                <w:b w:val="1"/>
                <w:bCs w:val="1"/>
                <w:color w:val="auto"/>
              </w:rPr>
              <w:t>87</w:t>
            </w:r>
          </w:p>
        </w:tc>
        <w:tc>
          <w:tcPr>
            <w:tcW w:w="980" w:type="dxa"/>
            <w:vAlign w:val="bottom"/>
          </w:tcPr>
          <w:p>
            <w:pPr>
              <w:jc w:val="right"/>
              <w:spacing w:after="0"/>
              <w:rPr>
                <w:sz w:val="20"/>
                <w:szCs w:val="20"/>
                <w:color w:val="auto"/>
              </w:rPr>
            </w:pPr>
            <w:r>
              <w:rPr>
                <w:rFonts w:ascii="Calibri" w:cs="Calibri" w:eastAsia="Calibri" w:hAnsi="Calibri"/>
                <w:sz w:val="16"/>
                <w:szCs w:val="16"/>
                <w:color w:val="auto"/>
              </w:rPr>
              <w:t>34</w:t>
            </w:r>
          </w:p>
        </w:tc>
      </w:tr>
      <w:tr>
        <w:trPr>
          <w:trHeight w:val="206"/>
        </w:trPr>
        <w:tc>
          <w:tcPr>
            <w:tcW w:w="5120" w:type="dxa"/>
            <w:vAlign w:val="bottom"/>
          </w:tcPr>
          <w:p>
            <w:pPr>
              <w:ind w:left="20"/>
              <w:spacing w:after="0"/>
              <w:rPr>
                <w:sz w:val="20"/>
                <w:szCs w:val="20"/>
                <w:color w:val="auto"/>
              </w:rPr>
            </w:pPr>
            <w:r>
              <w:rPr>
                <w:rFonts w:ascii="Calibri" w:cs="Calibri" w:eastAsia="Calibri" w:hAnsi="Calibri"/>
                <w:sz w:val="16"/>
                <w:szCs w:val="16"/>
                <w:color w:val="auto"/>
              </w:rPr>
              <w:t>Other</w:t>
            </w:r>
          </w:p>
        </w:tc>
        <w:tc>
          <w:tcPr>
            <w:tcW w:w="1800" w:type="dxa"/>
            <w:vAlign w:val="bottom"/>
          </w:tcPr>
          <w:p>
            <w:pPr>
              <w:jc w:val="right"/>
              <w:ind w:right="419"/>
              <w:spacing w:after="0"/>
              <w:rPr>
                <w:sz w:val="20"/>
                <w:szCs w:val="20"/>
                <w:color w:val="auto"/>
              </w:rPr>
            </w:pPr>
            <w:r>
              <w:rPr>
                <w:rFonts w:ascii="Calibri" w:cs="Calibri" w:eastAsia="Calibri" w:hAnsi="Calibri"/>
                <w:sz w:val="16"/>
                <w:szCs w:val="16"/>
                <w:b w:val="1"/>
                <w:bCs w:val="1"/>
                <w:color w:val="auto"/>
              </w:rPr>
              <w:t>40</w:t>
            </w:r>
          </w:p>
        </w:tc>
        <w:tc>
          <w:tcPr>
            <w:tcW w:w="940" w:type="dxa"/>
            <w:vAlign w:val="bottom"/>
          </w:tcPr>
          <w:p>
            <w:pPr>
              <w:jc w:val="right"/>
              <w:spacing w:after="0"/>
              <w:rPr>
                <w:sz w:val="20"/>
                <w:szCs w:val="20"/>
                <w:color w:val="auto"/>
              </w:rPr>
            </w:pPr>
            <w:r>
              <w:rPr>
                <w:rFonts w:ascii="Calibri" w:cs="Calibri" w:eastAsia="Calibri" w:hAnsi="Calibri"/>
                <w:sz w:val="16"/>
                <w:szCs w:val="16"/>
                <w:color w:val="auto"/>
              </w:rPr>
              <w:t>—</w:t>
            </w:r>
          </w:p>
        </w:tc>
        <w:tc>
          <w:tcPr>
            <w:tcW w:w="1700" w:type="dxa"/>
            <w:vAlign w:val="bottom"/>
          </w:tcPr>
          <w:p>
            <w:pPr>
              <w:jc w:val="right"/>
              <w:ind w:right="359"/>
              <w:spacing w:after="0"/>
              <w:rPr>
                <w:sz w:val="20"/>
                <w:szCs w:val="20"/>
                <w:color w:val="auto"/>
              </w:rPr>
            </w:pPr>
            <w:r>
              <w:rPr>
                <w:rFonts w:ascii="Calibri" w:cs="Calibri" w:eastAsia="Calibri" w:hAnsi="Calibri"/>
                <w:sz w:val="16"/>
                <w:szCs w:val="16"/>
                <w:b w:val="1"/>
                <w:bCs w:val="1"/>
                <w:color w:val="auto"/>
              </w:rPr>
              <w:t>5</w:t>
            </w:r>
          </w:p>
        </w:tc>
        <w:tc>
          <w:tcPr>
            <w:tcW w:w="980" w:type="dxa"/>
            <w:vAlign w:val="bottom"/>
          </w:tcPr>
          <w:p>
            <w:pPr>
              <w:jc w:val="right"/>
              <w:spacing w:after="0"/>
              <w:rPr>
                <w:sz w:val="20"/>
                <w:szCs w:val="20"/>
                <w:color w:val="auto"/>
              </w:rPr>
            </w:pPr>
            <w:r>
              <w:rPr>
                <w:rFonts w:ascii="Calibri" w:cs="Calibri" w:eastAsia="Calibri" w:hAnsi="Calibri"/>
                <w:sz w:val="16"/>
                <w:szCs w:val="16"/>
                <w:color w:val="auto"/>
              </w:rPr>
              <w:t>—</w:t>
            </w:r>
          </w:p>
        </w:tc>
      </w:tr>
      <w:tr>
        <w:trPr>
          <w:trHeight w:val="206"/>
        </w:trPr>
        <w:tc>
          <w:tcPr>
            <w:tcW w:w="5120" w:type="dxa"/>
            <w:vAlign w:val="bottom"/>
          </w:tcPr>
          <w:p>
            <w:pPr>
              <w:ind w:left="20"/>
              <w:spacing w:after="0"/>
              <w:rPr>
                <w:sz w:val="20"/>
                <w:szCs w:val="20"/>
                <w:color w:val="auto"/>
              </w:rPr>
            </w:pPr>
            <w:r>
              <w:rPr>
                <w:rFonts w:ascii="Calibri" w:cs="Calibri" w:eastAsia="Calibri" w:hAnsi="Calibri"/>
                <w:sz w:val="16"/>
                <w:szCs w:val="16"/>
                <w:color w:val="auto"/>
              </w:rPr>
              <w:t>Change in unrecognized deferred tax assets</w:t>
            </w:r>
          </w:p>
        </w:tc>
        <w:tc>
          <w:tcPr>
            <w:tcW w:w="1800" w:type="dxa"/>
            <w:vAlign w:val="bottom"/>
          </w:tcPr>
          <w:p>
            <w:pPr>
              <w:jc w:val="right"/>
              <w:ind w:right="419"/>
              <w:spacing w:after="0"/>
              <w:rPr>
                <w:sz w:val="20"/>
                <w:szCs w:val="20"/>
                <w:color w:val="auto"/>
              </w:rPr>
            </w:pPr>
            <w:r>
              <w:rPr>
                <w:rFonts w:ascii="Calibri" w:cs="Calibri" w:eastAsia="Calibri" w:hAnsi="Calibri"/>
                <w:sz w:val="16"/>
                <w:szCs w:val="16"/>
                <w:b w:val="1"/>
                <w:bCs w:val="1"/>
                <w:color w:val="auto"/>
              </w:rPr>
              <w:t>4,131</w:t>
            </w:r>
          </w:p>
        </w:tc>
        <w:tc>
          <w:tcPr>
            <w:tcW w:w="940" w:type="dxa"/>
            <w:vAlign w:val="bottom"/>
          </w:tcPr>
          <w:p>
            <w:pPr>
              <w:jc w:val="right"/>
              <w:spacing w:after="0"/>
              <w:rPr>
                <w:sz w:val="20"/>
                <w:szCs w:val="20"/>
                <w:color w:val="auto"/>
              </w:rPr>
            </w:pPr>
            <w:r>
              <w:rPr>
                <w:rFonts w:ascii="Calibri" w:cs="Calibri" w:eastAsia="Calibri" w:hAnsi="Calibri"/>
                <w:sz w:val="16"/>
                <w:szCs w:val="16"/>
                <w:color w:val="auto"/>
              </w:rPr>
              <w:t>2,458</w:t>
            </w:r>
          </w:p>
        </w:tc>
        <w:tc>
          <w:tcPr>
            <w:tcW w:w="1700" w:type="dxa"/>
            <w:vAlign w:val="bottom"/>
          </w:tcPr>
          <w:p>
            <w:pPr>
              <w:jc w:val="right"/>
              <w:ind w:right="359"/>
              <w:spacing w:after="0"/>
              <w:rPr>
                <w:sz w:val="20"/>
                <w:szCs w:val="20"/>
                <w:color w:val="auto"/>
              </w:rPr>
            </w:pPr>
            <w:r>
              <w:rPr>
                <w:rFonts w:ascii="Calibri" w:cs="Calibri" w:eastAsia="Calibri" w:hAnsi="Calibri"/>
                <w:sz w:val="16"/>
                <w:szCs w:val="16"/>
                <w:b w:val="1"/>
                <w:bCs w:val="1"/>
                <w:color w:val="auto"/>
              </w:rPr>
              <w:t>6,025</w:t>
            </w:r>
          </w:p>
        </w:tc>
        <w:tc>
          <w:tcPr>
            <w:tcW w:w="980" w:type="dxa"/>
            <w:vAlign w:val="bottom"/>
          </w:tcPr>
          <w:p>
            <w:pPr>
              <w:jc w:val="right"/>
              <w:spacing w:after="0"/>
              <w:rPr>
                <w:sz w:val="20"/>
                <w:szCs w:val="20"/>
                <w:color w:val="auto"/>
              </w:rPr>
            </w:pPr>
            <w:r>
              <w:rPr>
                <w:rFonts w:ascii="Calibri" w:cs="Calibri" w:eastAsia="Calibri" w:hAnsi="Calibri"/>
                <w:sz w:val="16"/>
                <w:szCs w:val="16"/>
                <w:color w:val="auto"/>
              </w:rPr>
              <w:t>5,585</w:t>
            </w:r>
          </w:p>
        </w:tc>
      </w:tr>
      <w:tr>
        <w:trPr>
          <w:trHeight w:val="20"/>
        </w:trPr>
        <w:tc>
          <w:tcPr>
            <w:tcW w:w="5120" w:type="dxa"/>
            <w:vAlign w:val="bottom"/>
            <w:tcBorders>
              <w:bottom w:val="single" w:sz="8" w:color="auto"/>
            </w:tcBorders>
          </w:tcPr>
          <w:p>
            <w:pPr>
              <w:spacing w:after="0" w:line="20" w:lineRule="exact"/>
              <w:rPr>
                <w:sz w:val="1"/>
                <w:szCs w:val="1"/>
                <w:color w:val="auto"/>
              </w:rPr>
            </w:pPr>
          </w:p>
        </w:tc>
        <w:tc>
          <w:tcPr>
            <w:tcW w:w="18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r>
      <w:tr>
        <w:trPr>
          <w:trHeight w:val="191"/>
        </w:trPr>
        <w:tc>
          <w:tcPr>
            <w:tcW w:w="5120" w:type="dxa"/>
            <w:vAlign w:val="bottom"/>
            <w:tcBorders>
              <w:bottom w:val="single" w:sz="8" w:color="auto"/>
            </w:tcBorders>
          </w:tcPr>
          <w:p>
            <w:pPr>
              <w:ind w:left="20"/>
              <w:spacing w:after="0" w:line="192" w:lineRule="exact"/>
              <w:rPr>
                <w:sz w:val="20"/>
                <w:szCs w:val="20"/>
                <w:color w:val="auto"/>
              </w:rPr>
            </w:pPr>
            <w:r>
              <w:rPr>
                <w:rFonts w:ascii="Calibri" w:cs="Calibri" w:eastAsia="Calibri" w:hAnsi="Calibri"/>
                <w:sz w:val="16"/>
                <w:szCs w:val="16"/>
                <w:b w:val="1"/>
                <w:bCs w:val="1"/>
                <w:color w:val="auto"/>
              </w:rPr>
              <w:t>Income tax recovery</w:t>
            </w:r>
          </w:p>
        </w:tc>
        <w:tc>
          <w:tcPr>
            <w:tcW w:w="1800" w:type="dxa"/>
            <w:vAlign w:val="bottom"/>
            <w:tcBorders>
              <w:bottom w:val="single" w:sz="8" w:color="auto"/>
            </w:tcBorders>
          </w:tcPr>
          <w:p>
            <w:pPr>
              <w:jc w:val="right"/>
              <w:ind w:right="419"/>
              <w:spacing w:after="0" w:line="192" w:lineRule="exact"/>
              <w:rPr>
                <w:sz w:val="20"/>
                <w:szCs w:val="20"/>
                <w:color w:val="auto"/>
              </w:rPr>
            </w:pPr>
            <w:r>
              <w:rPr>
                <w:rFonts w:ascii="Calibri" w:cs="Calibri" w:eastAsia="Calibri" w:hAnsi="Calibri"/>
                <w:sz w:val="16"/>
                <w:szCs w:val="16"/>
                <w:b w:val="1"/>
                <w:bCs w:val="1"/>
                <w:color w:val="auto"/>
              </w:rPr>
              <w:t>—</w:t>
            </w:r>
          </w:p>
        </w:tc>
        <w:tc>
          <w:tcPr>
            <w:tcW w:w="940" w:type="dxa"/>
            <w:vAlign w:val="bottom"/>
            <w:tcBorders>
              <w:bottom w:val="single" w:sz="8" w:color="auto"/>
            </w:tcBorders>
          </w:tcPr>
          <w:p>
            <w:pPr>
              <w:jc w:val="right"/>
              <w:spacing w:after="0" w:line="192" w:lineRule="exact"/>
              <w:rPr>
                <w:sz w:val="20"/>
                <w:szCs w:val="20"/>
                <w:color w:val="auto"/>
              </w:rPr>
            </w:pPr>
            <w:r>
              <w:rPr>
                <w:rFonts w:ascii="Calibri" w:cs="Calibri" w:eastAsia="Calibri" w:hAnsi="Calibri"/>
                <w:sz w:val="16"/>
                <w:szCs w:val="16"/>
                <w:color w:val="auto"/>
              </w:rPr>
              <w:t>—</w:t>
            </w:r>
          </w:p>
        </w:tc>
        <w:tc>
          <w:tcPr>
            <w:tcW w:w="1700" w:type="dxa"/>
            <w:vAlign w:val="bottom"/>
            <w:tcBorders>
              <w:bottom w:val="single" w:sz="8" w:color="auto"/>
            </w:tcBorders>
          </w:tcPr>
          <w:p>
            <w:pPr>
              <w:jc w:val="right"/>
              <w:ind w:right="359"/>
              <w:spacing w:after="0" w:line="192" w:lineRule="exact"/>
              <w:rPr>
                <w:sz w:val="20"/>
                <w:szCs w:val="20"/>
                <w:color w:val="auto"/>
              </w:rPr>
            </w:pPr>
            <w:r>
              <w:rPr>
                <w:rFonts w:ascii="Calibri" w:cs="Calibri" w:eastAsia="Calibri" w:hAnsi="Calibri"/>
                <w:sz w:val="16"/>
                <w:szCs w:val="16"/>
                <w:color w:val="auto"/>
              </w:rPr>
              <w:t>—</w:t>
            </w:r>
          </w:p>
        </w:tc>
        <w:tc>
          <w:tcPr>
            <w:tcW w:w="980" w:type="dxa"/>
            <w:vAlign w:val="bottom"/>
            <w:tcBorders>
              <w:bottom w:val="single" w:sz="8" w:color="auto"/>
            </w:tcBorders>
          </w:tcPr>
          <w:p>
            <w:pPr>
              <w:jc w:val="right"/>
              <w:spacing w:after="0" w:line="192" w:lineRule="exact"/>
              <w:rPr>
                <w:sz w:val="20"/>
                <w:szCs w:val="20"/>
                <w:color w:val="auto"/>
              </w:rPr>
            </w:pPr>
            <w:r>
              <w:rPr>
                <w:rFonts w:ascii="Calibri" w:cs="Calibri" w:eastAsia="Calibri" w:hAnsi="Calibri"/>
                <w:sz w:val="16"/>
                <w:szCs w:val="16"/>
                <w:color w:val="auto"/>
              </w:rPr>
              <w:t>—</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ind w:right="-39"/>
        <w:spacing w:after="0"/>
        <w:rPr>
          <w:sz w:val="20"/>
          <w:szCs w:val="20"/>
          <w:color w:val="auto"/>
        </w:rPr>
      </w:pPr>
      <w:r>
        <w:rPr>
          <w:rFonts w:ascii="Calibri" w:cs="Calibri" w:eastAsia="Calibri" w:hAnsi="Calibri"/>
          <w:sz w:val="16"/>
          <w:szCs w:val="16"/>
          <w:b w:val="1"/>
          <w:bCs w:val="1"/>
          <w:color w:val="auto"/>
        </w:rPr>
        <w:t>Page 21 of 23</w:t>
      </w:r>
    </w:p>
    <w:p>
      <w:pPr>
        <w:sectPr>
          <w:pgSz w:w="11900" w:h="16838" w:orient="portrait"/>
          <w:cols w:equalWidth="0" w:num="1">
            <w:col w:w="11080"/>
          </w:cols>
          <w:pgMar w:left="320" w:top="209" w:right="499" w:bottom="1440" w:gutter="0" w:footer="0" w:header="0"/>
        </w:sectPr>
      </w:pPr>
    </w:p>
    <w:bookmarkStart w:id="24" w:name="page25"/>
    <w:bookmarkEnd w:id="24"/>
    <w:p>
      <w:pPr>
        <w:spacing w:after="0"/>
        <w:rPr>
          <w:sz w:val="20"/>
          <w:szCs w:val="20"/>
          <w:color w:val="auto"/>
        </w:rPr>
      </w:pPr>
      <w:r>
        <w:rPr>
          <w:rFonts w:ascii="Calibri" w:cs="Calibri" w:eastAsia="Calibri" w:hAnsi="Calibri"/>
          <w:sz w:val="19"/>
          <w:szCs w:val="19"/>
          <w:b w:val="1"/>
          <w:bCs w:val="1"/>
          <w:color w:val="auto"/>
        </w:rPr>
        <w:t>CYBIN INC.</w:t>
      </w:r>
    </w:p>
    <w:p>
      <w:pPr>
        <w:spacing w:after="0" w:line="237" w:lineRule="auto"/>
        <w:rPr>
          <w:sz w:val="20"/>
          <w:szCs w:val="20"/>
          <w:color w:val="auto"/>
        </w:rPr>
      </w:pPr>
      <w:r>
        <w:rPr>
          <w:rFonts w:ascii="Calibri" w:cs="Calibri" w:eastAsia="Calibri" w:hAnsi="Calibri"/>
          <w:sz w:val="19"/>
          <w:szCs w:val="19"/>
          <w:b w:val="1"/>
          <w:bCs w:val="1"/>
          <w:color w:val="auto"/>
        </w:rPr>
        <w:t>NOTES TO THE CONDENSED INTERIM CONSOLIDATED FINANCIAL STATEMENTS</w:t>
      </w:r>
    </w:p>
    <w:p>
      <w:pPr>
        <w:spacing w:after="0" w:line="238" w:lineRule="auto"/>
        <w:rPr>
          <w:sz w:val="20"/>
          <w:szCs w:val="20"/>
          <w:color w:val="auto"/>
        </w:rPr>
      </w:pPr>
      <w:r>
        <w:rPr>
          <w:rFonts w:ascii="Calibri" w:cs="Calibri" w:eastAsia="Calibri" w:hAnsi="Calibri"/>
          <w:sz w:val="19"/>
          <w:szCs w:val="19"/>
          <w:b w:val="1"/>
          <w:bCs w:val="1"/>
          <w:color w:val="auto"/>
        </w:rPr>
        <w:t>September 30, 2024</w:t>
      </w:r>
    </w:p>
    <w:p>
      <w:pPr>
        <w:spacing w:after="0" w:line="3" w:lineRule="exact"/>
        <w:rPr>
          <w:sz w:val="20"/>
          <w:szCs w:val="20"/>
          <w:color w:val="auto"/>
        </w:rPr>
      </w:pPr>
    </w:p>
    <w:p>
      <w:pPr>
        <w:ind w:right="200"/>
        <w:spacing w:after="0" w:line="234" w:lineRule="auto"/>
        <w:rPr>
          <w:sz w:val="20"/>
          <w:szCs w:val="20"/>
          <w:color w:val="auto"/>
        </w:rPr>
      </w:pPr>
      <w:r>
        <w:rPr>
          <w:rFonts w:ascii="Calibri" w:cs="Calibri" w:eastAsia="Calibri" w:hAnsi="Calibri"/>
          <w:sz w:val="18"/>
          <w:szCs w:val="18"/>
          <w:b w:val="1"/>
          <w:bCs w:val="1"/>
          <w:color w:val="auto"/>
        </w:rPr>
        <w:t>(All amounts expressed in thousands of Canadian dollars, except share and per share amounts, and those otherwise stated in US dollars, Euros and Great Britain pounds which are in thousands.)</w:t>
      </w:r>
    </w:p>
    <w:p>
      <w:pPr>
        <w:spacing w:after="0" w:line="224" w:lineRule="auto"/>
        <w:rPr>
          <w:sz w:val="20"/>
          <w:szCs w:val="20"/>
          <w:color w:val="auto"/>
        </w:rPr>
      </w:pPr>
      <w:r>
        <w:rPr>
          <w:rFonts w:ascii="Calibri" w:cs="Calibri" w:eastAsia="Calibri" w:hAnsi="Calibri"/>
          <w:sz w:val="18"/>
          <w:szCs w:val="18"/>
          <w:b w:val="1"/>
          <w:bCs w:val="1"/>
          <w:color w:val="auto"/>
        </w:rPr>
        <w:t>(Unaudited)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-39370</wp:posOffset>
            </wp:positionH>
            <wp:positionV relativeFrom="paragraph">
              <wp:posOffset>48895</wp:posOffset>
            </wp:positionV>
            <wp:extent cx="7146925" cy="762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46925" cy="76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ind w:left="220"/>
        <w:spacing w:after="0" w:line="264" w:lineRule="auto"/>
        <w:rPr>
          <w:sz w:val="20"/>
          <w:szCs w:val="20"/>
          <w:color w:val="auto"/>
        </w:rPr>
      </w:pPr>
      <w:r>
        <w:rPr>
          <w:rFonts w:ascii="Calibri" w:cs="Calibri" w:eastAsia="Calibri" w:hAnsi="Calibri"/>
          <w:sz w:val="16"/>
          <w:szCs w:val="16"/>
          <w:color w:val="auto"/>
        </w:rPr>
        <w:t>The signifcant components of the Company’s temporary diferences, unused tax credits and unused tax losses, that have not been included on the consolidated statements of fnancial positon, are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144145</wp:posOffset>
            </wp:positionH>
            <wp:positionV relativeFrom="paragraph">
              <wp:posOffset>131445</wp:posOffset>
            </wp:positionV>
            <wp:extent cx="6724650" cy="762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6724650" cy="7620"/>
                    </a:xfrm>
                    <a:prstGeom prst="rect">
                      <a:avLst/>
                    </a:prstGeom>
                    <a:noFill/>
                  </pic:spPr>
                </pic:pic>
              </a:graphicData>
            </a:graphic>
          </wp:anchor>
        </w:drawing>
      </w:r>
    </w:p>
    <w:p>
      <w:pPr>
        <w:spacing w:after="0" w:line="189" w:lineRule="exact"/>
        <w:rPr>
          <w:sz w:val="20"/>
          <w:szCs w:val="20"/>
          <w:color w:val="auto"/>
        </w:rPr>
      </w:pPr>
    </w:p>
    <w:tbl>
      <w:tblPr>
        <w:tblLayout w:type="fixed"/>
        <w:tblInd w:w="220" w:type="dxa"/>
        <w:tblCellMar>
          <w:top w:w="0" w:type="dxa"/>
          <w:left w:w="0" w:type="dxa"/>
          <w:bottom w:w="0" w:type="dxa"/>
          <w:right w:w="0" w:type="dxa"/>
        </w:tblCellMar>
      </w:tblPr>
      <w:tr>
        <w:trPr>
          <w:trHeight w:val="244"/>
        </w:trPr>
        <w:tc>
          <w:tcPr>
            <w:tcW w:w="4220" w:type="dxa"/>
            <w:vAlign w:val="bottom"/>
          </w:tcPr>
          <w:p>
            <w:pPr>
              <w:ind w:left="20"/>
              <w:spacing w:after="0"/>
              <w:rPr>
                <w:sz w:val="20"/>
                <w:szCs w:val="20"/>
                <w:color w:val="auto"/>
              </w:rPr>
            </w:pPr>
            <w:r>
              <w:rPr>
                <w:rFonts w:ascii="Calibri" w:cs="Calibri" w:eastAsia="Calibri" w:hAnsi="Calibri"/>
                <w:sz w:val="16"/>
                <w:szCs w:val="16"/>
                <w:b w:val="1"/>
                <w:bCs w:val="1"/>
                <w:color w:val="auto"/>
              </w:rPr>
              <w:t>As at</w:t>
            </w:r>
          </w:p>
        </w:tc>
        <w:tc>
          <w:tcPr>
            <w:tcW w:w="4880" w:type="dxa"/>
            <w:vAlign w:val="bottom"/>
          </w:tcPr>
          <w:p>
            <w:pPr>
              <w:jc w:val="right"/>
              <w:ind w:right="1239"/>
              <w:spacing w:after="0"/>
              <w:rPr>
                <w:sz w:val="20"/>
                <w:szCs w:val="20"/>
                <w:color w:val="auto"/>
              </w:rPr>
            </w:pPr>
            <w:r>
              <w:rPr>
                <w:rFonts w:ascii="Calibri" w:cs="Calibri" w:eastAsia="Calibri" w:hAnsi="Calibri"/>
                <w:sz w:val="16"/>
                <w:szCs w:val="16"/>
                <w:b w:val="1"/>
                <w:bCs w:val="1"/>
                <w:color w:val="auto"/>
              </w:rPr>
              <w:t>September 30, 2024</w:t>
            </w:r>
          </w:p>
        </w:tc>
        <w:tc>
          <w:tcPr>
            <w:tcW w:w="1500" w:type="dxa"/>
            <w:vAlign w:val="bottom"/>
          </w:tcPr>
          <w:p>
            <w:pPr>
              <w:jc w:val="right"/>
              <w:spacing w:after="0"/>
              <w:rPr>
                <w:sz w:val="20"/>
                <w:szCs w:val="20"/>
                <w:color w:val="auto"/>
              </w:rPr>
            </w:pPr>
            <w:r>
              <w:rPr>
                <w:rFonts w:ascii="Calibri" w:cs="Calibri" w:eastAsia="Calibri" w:hAnsi="Calibri"/>
                <w:sz w:val="16"/>
                <w:szCs w:val="16"/>
                <w:b w:val="1"/>
                <w:bCs w:val="1"/>
                <w:color w:val="auto"/>
              </w:rPr>
              <w:t>March 31, 2024</w:t>
            </w:r>
          </w:p>
        </w:tc>
      </w:tr>
      <w:tr>
        <w:trPr>
          <w:trHeight w:val="242"/>
        </w:trPr>
        <w:tc>
          <w:tcPr>
            <w:tcW w:w="4220" w:type="dxa"/>
            <w:vAlign w:val="bottom"/>
          </w:tcPr>
          <w:p>
            <w:pPr>
              <w:spacing w:after="0"/>
              <w:rPr>
                <w:sz w:val="21"/>
                <w:szCs w:val="21"/>
                <w:color w:val="auto"/>
              </w:rPr>
            </w:pPr>
          </w:p>
        </w:tc>
        <w:tc>
          <w:tcPr>
            <w:tcW w:w="4880" w:type="dxa"/>
            <w:vAlign w:val="bottom"/>
          </w:tcPr>
          <w:p>
            <w:pPr>
              <w:jc w:val="right"/>
              <w:ind w:right="359"/>
              <w:spacing w:after="0"/>
              <w:rPr>
                <w:sz w:val="20"/>
                <w:szCs w:val="20"/>
                <w:color w:val="auto"/>
              </w:rPr>
            </w:pPr>
            <w:r>
              <w:rPr>
                <w:rFonts w:ascii="Calibri" w:cs="Calibri" w:eastAsia="Calibri" w:hAnsi="Calibri"/>
                <w:sz w:val="16"/>
                <w:szCs w:val="16"/>
                <w:b w:val="1"/>
                <w:bCs w:val="1"/>
                <w:color w:val="auto"/>
              </w:rPr>
              <w:t>$</w:t>
            </w:r>
          </w:p>
        </w:tc>
        <w:tc>
          <w:tcPr>
            <w:tcW w:w="1500" w:type="dxa"/>
            <w:vAlign w:val="bottom"/>
          </w:tcPr>
          <w:p>
            <w:pPr>
              <w:jc w:val="right"/>
              <w:spacing w:after="0"/>
              <w:rPr>
                <w:sz w:val="20"/>
                <w:szCs w:val="20"/>
                <w:color w:val="auto"/>
              </w:rPr>
            </w:pPr>
            <w:r>
              <w:rPr>
                <w:rFonts w:ascii="Calibri" w:cs="Calibri" w:eastAsia="Calibri" w:hAnsi="Calibri"/>
                <w:sz w:val="16"/>
                <w:szCs w:val="16"/>
                <w:color w:val="auto"/>
              </w:rPr>
              <w:t>$</w:t>
            </w:r>
          </w:p>
        </w:tc>
      </w:tr>
      <w:tr>
        <w:trPr>
          <w:trHeight w:val="20"/>
        </w:trPr>
        <w:tc>
          <w:tcPr>
            <w:tcW w:w="4220" w:type="dxa"/>
            <w:vAlign w:val="bottom"/>
            <w:tcBorders>
              <w:bottom w:val="single" w:sz="8" w:color="auto"/>
            </w:tcBorders>
          </w:tcPr>
          <w:p>
            <w:pPr>
              <w:spacing w:after="0" w:line="20" w:lineRule="exact"/>
              <w:rPr>
                <w:sz w:val="1"/>
                <w:szCs w:val="1"/>
                <w:color w:val="auto"/>
              </w:rPr>
            </w:pPr>
          </w:p>
        </w:tc>
        <w:tc>
          <w:tcPr>
            <w:tcW w:w="488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r>
      <w:tr>
        <w:trPr>
          <w:trHeight w:val="185"/>
        </w:trPr>
        <w:tc>
          <w:tcPr>
            <w:tcW w:w="4220" w:type="dxa"/>
            <w:vAlign w:val="bottom"/>
          </w:tcPr>
          <w:p>
            <w:pPr>
              <w:ind w:left="20"/>
              <w:spacing w:after="0" w:line="185" w:lineRule="exact"/>
              <w:rPr>
                <w:sz w:val="20"/>
                <w:szCs w:val="20"/>
                <w:color w:val="auto"/>
              </w:rPr>
            </w:pPr>
            <w:r>
              <w:rPr>
                <w:rFonts w:ascii="Calibri" w:cs="Calibri" w:eastAsia="Calibri" w:hAnsi="Calibri"/>
                <w:sz w:val="16"/>
                <w:szCs w:val="16"/>
                <w:color w:val="auto"/>
              </w:rPr>
              <w:t>Non-capital loss carryforwards</w:t>
            </w:r>
          </w:p>
        </w:tc>
        <w:tc>
          <w:tcPr>
            <w:tcW w:w="4880" w:type="dxa"/>
            <w:vAlign w:val="bottom"/>
          </w:tcPr>
          <w:p>
            <w:pPr>
              <w:jc w:val="right"/>
              <w:ind w:right="359"/>
              <w:spacing w:after="0" w:line="185" w:lineRule="exact"/>
              <w:rPr>
                <w:sz w:val="20"/>
                <w:szCs w:val="20"/>
                <w:color w:val="auto"/>
              </w:rPr>
            </w:pPr>
            <w:r>
              <w:rPr>
                <w:rFonts w:ascii="Calibri" w:cs="Calibri" w:eastAsia="Calibri" w:hAnsi="Calibri"/>
                <w:sz w:val="16"/>
                <w:szCs w:val="16"/>
                <w:b w:val="1"/>
                <w:bCs w:val="1"/>
                <w:color w:val="auto"/>
              </w:rPr>
              <w:t>49,534</w:t>
            </w:r>
          </w:p>
        </w:tc>
        <w:tc>
          <w:tcPr>
            <w:tcW w:w="1500" w:type="dxa"/>
            <w:vAlign w:val="bottom"/>
          </w:tcPr>
          <w:p>
            <w:pPr>
              <w:jc w:val="right"/>
              <w:spacing w:after="0" w:line="185" w:lineRule="exact"/>
              <w:rPr>
                <w:sz w:val="20"/>
                <w:szCs w:val="20"/>
                <w:color w:val="auto"/>
              </w:rPr>
            </w:pPr>
            <w:r>
              <w:rPr>
                <w:rFonts w:ascii="Calibri" w:cs="Calibri" w:eastAsia="Calibri" w:hAnsi="Calibri"/>
                <w:sz w:val="16"/>
                <w:szCs w:val="16"/>
                <w:color w:val="auto"/>
              </w:rPr>
              <w:t>43,185</w:t>
            </w:r>
          </w:p>
        </w:tc>
      </w:tr>
      <w:tr>
        <w:trPr>
          <w:trHeight w:val="198"/>
        </w:trPr>
        <w:tc>
          <w:tcPr>
            <w:tcW w:w="4220" w:type="dxa"/>
            <w:vAlign w:val="bottom"/>
          </w:tcPr>
          <w:p>
            <w:pPr>
              <w:ind w:left="20"/>
              <w:spacing w:after="0"/>
              <w:rPr>
                <w:sz w:val="20"/>
                <w:szCs w:val="20"/>
                <w:color w:val="auto"/>
              </w:rPr>
            </w:pPr>
            <w:r>
              <w:rPr>
                <w:rFonts w:ascii="Calibri" w:cs="Calibri" w:eastAsia="Calibri" w:hAnsi="Calibri"/>
                <w:sz w:val="16"/>
                <w:szCs w:val="16"/>
                <w:color w:val="auto"/>
              </w:rPr>
              <w:t>Deferred compensaton</w:t>
            </w:r>
          </w:p>
        </w:tc>
        <w:tc>
          <w:tcPr>
            <w:tcW w:w="4880" w:type="dxa"/>
            <w:vAlign w:val="bottom"/>
          </w:tcPr>
          <w:p>
            <w:pPr>
              <w:jc w:val="right"/>
              <w:ind w:right="359"/>
              <w:spacing w:after="0"/>
              <w:rPr>
                <w:sz w:val="20"/>
                <w:szCs w:val="20"/>
                <w:color w:val="auto"/>
              </w:rPr>
            </w:pPr>
            <w:r>
              <w:rPr>
                <w:rFonts w:ascii="Calibri" w:cs="Calibri" w:eastAsia="Calibri" w:hAnsi="Calibri"/>
                <w:sz w:val="16"/>
                <w:szCs w:val="16"/>
                <w:b w:val="1"/>
                <w:bCs w:val="1"/>
                <w:color w:val="auto"/>
              </w:rPr>
              <w:t>1,505</w:t>
            </w:r>
          </w:p>
        </w:tc>
        <w:tc>
          <w:tcPr>
            <w:tcW w:w="1500" w:type="dxa"/>
            <w:vAlign w:val="bottom"/>
          </w:tcPr>
          <w:p>
            <w:pPr>
              <w:jc w:val="right"/>
              <w:spacing w:after="0"/>
              <w:rPr>
                <w:sz w:val="20"/>
                <w:szCs w:val="20"/>
                <w:color w:val="auto"/>
              </w:rPr>
            </w:pPr>
            <w:r>
              <w:rPr>
                <w:rFonts w:ascii="Calibri" w:cs="Calibri" w:eastAsia="Calibri" w:hAnsi="Calibri"/>
                <w:sz w:val="16"/>
                <w:szCs w:val="16"/>
                <w:color w:val="auto"/>
              </w:rPr>
              <w:t>1,474</w:t>
            </w:r>
          </w:p>
        </w:tc>
      </w:tr>
      <w:tr>
        <w:trPr>
          <w:trHeight w:val="206"/>
        </w:trPr>
        <w:tc>
          <w:tcPr>
            <w:tcW w:w="4220" w:type="dxa"/>
            <w:vAlign w:val="bottom"/>
          </w:tcPr>
          <w:p>
            <w:pPr>
              <w:ind w:left="20"/>
              <w:spacing w:after="0"/>
              <w:rPr>
                <w:sz w:val="20"/>
                <w:szCs w:val="20"/>
                <w:color w:val="auto"/>
              </w:rPr>
            </w:pPr>
            <w:r>
              <w:rPr>
                <w:rFonts w:ascii="Calibri" w:cs="Calibri" w:eastAsia="Calibri" w:hAnsi="Calibri"/>
                <w:sz w:val="16"/>
                <w:szCs w:val="16"/>
                <w:color w:val="auto"/>
              </w:rPr>
              <w:t>R&amp;D expenditures</w:t>
            </w:r>
          </w:p>
        </w:tc>
        <w:tc>
          <w:tcPr>
            <w:tcW w:w="4880" w:type="dxa"/>
            <w:vAlign w:val="bottom"/>
          </w:tcPr>
          <w:p>
            <w:pPr>
              <w:jc w:val="right"/>
              <w:ind w:right="359"/>
              <w:spacing w:after="0"/>
              <w:rPr>
                <w:sz w:val="20"/>
                <w:szCs w:val="20"/>
                <w:color w:val="auto"/>
              </w:rPr>
            </w:pPr>
            <w:r>
              <w:rPr>
                <w:rFonts w:ascii="Calibri" w:cs="Calibri" w:eastAsia="Calibri" w:hAnsi="Calibri"/>
                <w:sz w:val="16"/>
                <w:szCs w:val="16"/>
                <w:b w:val="1"/>
                <w:bCs w:val="1"/>
                <w:color w:val="auto"/>
              </w:rPr>
              <w:t>1,937</w:t>
            </w:r>
          </w:p>
        </w:tc>
        <w:tc>
          <w:tcPr>
            <w:tcW w:w="1500" w:type="dxa"/>
            <w:vAlign w:val="bottom"/>
          </w:tcPr>
          <w:p>
            <w:pPr>
              <w:jc w:val="right"/>
              <w:spacing w:after="0"/>
              <w:rPr>
                <w:sz w:val="20"/>
                <w:szCs w:val="20"/>
                <w:color w:val="auto"/>
              </w:rPr>
            </w:pPr>
            <w:r>
              <w:rPr>
                <w:rFonts w:ascii="Calibri" w:cs="Calibri" w:eastAsia="Calibri" w:hAnsi="Calibri"/>
                <w:sz w:val="16"/>
                <w:szCs w:val="16"/>
                <w:color w:val="auto"/>
              </w:rPr>
              <w:t>1,681</w:t>
            </w:r>
          </w:p>
        </w:tc>
      </w:tr>
      <w:tr>
        <w:trPr>
          <w:trHeight w:val="206"/>
        </w:trPr>
        <w:tc>
          <w:tcPr>
            <w:tcW w:w="4220" w:type="dxa"/>
            <w:vAlign w:val="bottom"/>
          </w:tcPr>
          <w:p>
            <w:pPr>
              <w:ind w:left="20"/>
              <w:spacing w:after="0"/>
              <w:rPr>
                <w:sz w:val="20"/>
                <w:szCs w:val="20"/>
                <w:color w:val="auto"/>
              </w:rPr>
            </w:pPr>
            <w:r>
              <w:rPr>
                <w:rFonts w:ascii="Calibri" w:cs="Calibri" w:eastAsia="Calibri" w:hAnsi="Calibri"/>
                <w:sz w:val="16"/>
                <w:szCs w:val="16"/>
                <w:color w:val="auto"/>
              </w:rPr>
              <w:t>Share issuance costs</w:t>
            </w:r>
          </w:p>
        </w:tc>
        <w:tc>
          <w:tcPr>
            <w:tcW w:w="4880" w:type="dxa"/>
            <w:vAlign w:val="bottom"/>
          </w:tcPr>
          <w:p>
            <w:pPr>
              <w:jc w:val="right"/>
              <w:ind w:right="359"/>
              <w:spacing w:after="0"/>
              <w:rPr>
                <w:sz w:val="20"/>
                <w:szCs w:val="20"/>
                <w:color w:val="auto"/>
              </w:rPr>
            </w:pPr>
            <w:r>
              <w:rPr>
                <w:rFonts w:ascii="Calibri" w:cs="Calibri" w:eastAsia="Calibri" w:hAnsi="Calibri"/>
                <w:sz w:val="16"/>
                <w:szCs w:val="16"/>
                <w:b w:val="1"/>
                <w:bCs w:val="1"/>
                <w:color w:val="auto"/>
              </w:rPr>
              <w:t>3,748</w:t>
            </w:r>
          </w:p>
        </w:tc>
        <w:tc>
          <w:tcPr>
            <w:tcW w:w="1500" w:type="dxa"/>
            <w:vAlign w:val="bottom"/>
          </w:tcPr>
          <w:p>
            <w:pPr>
              <w:jc w:val="right"/>
              <w:spacing w:after="0"/>
              <w:rPr>
                <w:sz w:val="20"/>
                <w:szCs w:val="20"/>
                <w:color w:val="auto"/>
              </w:rPr>
            </w:pPr>
            <w:r>
              <w:rPr>
                <w:rFonts w:ascii="Calibri" w:cs="Calibri" w:eastAsia="Calibri" w:hAnsi="Calibri"/>
                <w:sz w:val="16"/>
                <w:szCs w:val="16"/>
                <w:color w:val="auto"/>
              </w:rPr>
              <w:t>4,361</w:t>
            </w:r>
          </w:p>
        </w:tc>
      </w:tr>
      <w:tr>
        <w:trPr>
          <w:trHeight w:val="206"/>
        </w:trPr>
        <w:tc>
          <w:tcPr>
            <w:tcW w:w="4220" w:type="dxa"/>
            <w:vAlign w:val="bottom"/>
          </w:tcPr>
          <w:p>
            <w:pPr>
              <w:ind w:left="20"/>
              <w:spacing w:after="0"/>
              <w:rPr>
                <w:sz w:val="20"/>
                <w:szCs w:val="20"/>
                <w:color w:val="auto"/>
              </w:rPr>
            </w:pPr>
            <w:r>
              <w:rPr>
                <w:rFonts w:ascii="Calibri" w:cs="Calibri" w:eastAsia="Calibri" w:hAnsi="Calibri"/>
                <w:sz w:val="16"/>
                <w:szCs w:val="16"/>
                <w:color w:val="auto"/>
              </w:rPr>
              <w:t>Depreciaton/CCA diferences</w:t>
            </w:r>
          </w:p>
        </w:tc>
        <w:tc>
          <w:tcPr>
            <w:tcW w:w="4880" w:type="dxa"/>
            <w:vAlign w:val="bottom"/>
          </w:tcPr>
          <w:p>
            <w:pPr>
              <w:jc w:val="right"/>
              <w:ind w:right="359"/>
              <w:spacing w:after="0"/>
              <w:rPr>
                <w:sz w:val="20"/>
                <w:szCs w:val="20"/>
                <w:color w:val="auto"/>
              </w:rPr>
            </w:pPr>
            <w:r>
              <w:rPr>
                <w:rFonts w:ascii="Calibri" w:cs="Calibri" w:eastAsia="Calibri" w:hAnsi="Calibri"/>
                <w:sz w:val="16"/>
                <w:szCs w:val="16"/>
                <w:b w:val="1"/>
                <w:bCs w:val="1"/>
                <w:color w:val="auto"/>
              </w:rPr>
              <w:t>9</w:t>
            </w:r>
          </w:p>
        </w:tc>
        <w:tc>
          <w:tcPr>
            <w:tcW w:w="1500" w:type="dxa"/>
            <w:vAlign w:val="bottom"/>
          </w:tcPr>
          <w:p>
            <w:pPr>
              <w:jc w:val="right"/>
              <w:spacing w:after="0"/>
              <w:rPr>
                <w:sz w:val="20"/>
                <w:szCs w:val="20"/>
                <w:color w:val="auto"/>
              </w:rPr>
            </w:pPr>
            <w:r>
              <w:rPr>
                <w:rFonts w:ascii="Calibri" w:cs="Calibri" w:eastAsia="Calibri" w:hAnsi="Calibri"/>
                <w:sz w:val="16"/>
                <w:szCs w:val="16"/>
                <w:color w:val="auto"/>
              </w:rPr>
              <w:t>7</w:t>
            </w:r>
          </w:p>
        </w:tc>
      </w:tr>
      <w:tr>
        <w:trPr>
          <w:trHeight w:val="20"/>
        </w:trPr>
        <w:tc>
          <w:tcPr>
            <w:tcW w:w="4220" w:type="dxa"/>
            <w:vAlign w:val="bottom"/>
            <w:tcBorders>
              <w:bottom w:val="single" w:sz="8" w:color="auto"/>
            </w:tcBorders>
          </w:tcPr>
          <w:p>
            <w:pPr>
              <w:spacing w:after="0" w:line="20" w:lineRule="exact"/>
              <w:rPr>
                <w:sz w:val="1"/>
                <w:szCs w:val="1"/>
                <w:color w:val="auto"/>
              </w:rPr>
            </w:pPr>
          </w:p>
        </w:tc>
        <w:tc>
          <w:tcPr>
            <w:tcW w:w="488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r>
      <w:tr>
        <w:trPr>
          <w:trHeight w:val="185"/>
        </w:trPr>
        <w:tc>
          <w:tcPr>
            <w:tcW w:w="4220" w:type="dxa"/>
            <w:vAlign w:val="bottom"/>
          </w:tcPr>
          <w:p>
            <w:pPr>
              <w:spacing w:after="0"/>
              <w:rPr>
                <w:sz w:val="16"/>
                <w:szCs w:val="16"/>
                <w:color w:val="auto"/>
              </w:rPr>
            </w:pPr>
          </w:p>
        </w:tc>
        <w:tc>
          <w:tcPr>
            <w:tcW w:w="4880" w:type="dxa"/>
            <w:vAlign w:val="bottom"/>
          </w:tcPr>
          <w:p>
            <w:pPr>
              <w:jc w:val="right"/>
              <w:ind w:right="359"/>
              <w:spacing w:after="0" w:line="185" w:lineRule="exact"/>
              <w:rPr>
                <w:sz w:val="20"/>
                <w:szCs w:val="20"/>
                <w:color w:val="auto"/>
              </w:rPr>
            </w:pPr>
            <w:r>
              <w:rPr>
                <w:rFonts w:ascii="Calibri" w:cs="Calibri" w:eastAsia="Calibri" w:hAnsi="Calibri"/>
                <w:sz w:val="16"/>
                <w:szCs w:val="16"/>
                <w:b w:val="1"/>
                <w:bCs w:val="1"/>
                <w:color w:val="auto"/>
              </w:rPr>
              <w:t>56,733</w:t>
            </w:r>
          </w:p>
        </w:tc>
        <w:tc>
          <w:tcPr>
            <w:tcW w:w="1500" w:type="dxa"/>
            <w:vAlign w:val="bottom"/>
          </w:tcPr>
          <w:p>
            <w:pPr>
              <w:jc w:val="right"/>
              <w:spacing w:after="0" w:line="185" w:lineRule="exact"/>
              <w:rPr>
                <w:sz w:val="20"/>
                <w:szCs w:val="20"/>
                <w:color w:val="auto"/>
              </w:rPr>
            </w:pPr>
            <w:r>
              <w:rPr>
                <w:rFonts w:ascii="Calibri" w:cs="Calibri" w:eastAsia="Calibri" w:hAnsi="Calibri"/>
                <w:sz w:val="16"/>
                <w:szCs w:val="16"/>
                <w:color w:val="auto"/>
              </w:rPr>
              <w:t>50,708</w:t>
            </w:r>
          </w:p>
        </w:tc>
      </w:tr>
      <w:tr>
        <w:trPr>
          <w:trHeight w:val="198"/>
        </w:trPr>
        <w:tc>
          <w:tcPr>
            <w:tcW w:w="4220" w:type="dxa"/>
            <w:vAlign w:val="bottom"/>
          </w:tcPr>
          <w:p>
            <w:pPr>
              <w:ind w:left="20"/>
              <w:spacing w:after="0"/>
              <w:rPr>
                <w:sz w:val="20"/>
                <w:szCs w:val="20"/>
                <w:color w:val="auto"/>
              </w:rPr>
            </w:pPr>
            <w:r>
              <w:rPr>
                <w:rFonts w:ascii="Calibri" w:cs="Calibri" w:eastAsia="Calibri" w:hAnsi="Calibri"/>
                <w:sz w:val="16"/>
                <w:szCs w:val="16"/>
                <w:color w:val="auto"/>
              </w:rPr>
              <w:t>Valuaton allowance</w:t>
            </w:r>
          </w:p>
        </w:tc>
        <w:tc>
          <w:tcPr>
            <w:tcW w:w="4880" w:type="dxa"/>
            <w:vAlign w:val="bottom"/>
          </w:tcPr>
          <w:p>
            <w:pPr>
              <w:jc w:val="right"/>
              <w:ind w:right="359"/>
              <w:spacing w:after="0"/>
              <w:rPr>
                <w:sz w:val="20"/>
                <w:szCs w:val="20"/>
                <w:color w:val="auto"/>
              </w:rPr>
            </w:pPr>
            <w:r>
              <w:rPr>
                <w:rFonts w:ascii="Calibri" w:cs="Calibri" w:eastAsia="Calibri" w:hAnsi="Calibri"/>
                <w:sz w:val="16"/>
                <w:szCs w:val="16"/>
                <w:b w:val="1"/>
                <w:bCs w:val="1"/>
                <w:color w:val="auto"/>
              </w:rPr>
              <w:t>(56,733)</w:t>
            </w:r>
          </w:p>
        </w:tc>
        <w:tc>
          <w:tcPr>
            <w:tcW w:w="1500" w:type="dxa"/>
            <w:vAlign w:val="bottom"/>
          </w:tcPr>
          <w:p>
            <w:pPr>
              <w:jc w:val="right"/>
              <w:spacing w:after="0"/>
              <w:rPr>
                <w:sz w:val="20"/>
                <w:szCs w:val="20"/>
                <w:color w:val="auto"/>
              </w:rPr>
            </w:pPr>
            <w:r>
              <w:rPr>
                <w:rFonts w:ascii="Calibri" w:cs="Calibri" w:eastAsia="Calibri" w:hAnsi="Calibri"/>
                <w:sz w:val="16"/>
                <w:szCs w:val="16"/>
                <w:color w:val="auto"/>
              </w:rPr>
              <w:t>(50,708)</w:t>
            </w:r>
          </w:p>
        </w:tc>
      </w:tr>
      <w:tr>
        <w:trPr>
          <w:trHeight w:val="20"/>
        </w:trPr>
        <w:tc>
          <w:tcPr>
            <w:tcW w:w="4220" w:type="dxa"/>
            <w:vAlign w:val="bottom"/>
            <w:tcBorders>
              <w:bottom w:val="single" w:sz="8" w:color="auto"/>
            </w:tcBorders>
          </w:tcPr>
          <w:p>
            <w:pPr>
              <w:spacing w:after="0" w:line="20" w:lineRule="exact"/>
              <w:rPr>
                <w:sz w:val="1"/>
                <w:szCs w:val="1"/>
                <w:color w:val="auto"/>
              </w:rPr>
            </w:pPr>
          </w:p>
        </w:tc>
        <w:tc>
          <w:tcPr>
            <w:tcW w:w="488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r>
      <w:tr>
        <w:trPr>
          <w:trHeight w:val="191"/>
        </w:trPr>
        <w:tc>
          <w:tcPr>
            <w:tcW w:w="4220" w:type="dxa"/>
            <w:vAlign w:val="bottom"/>
            <w:tcBorders>
              <w:bottom w:val="single" w:sz="8" w:color="auto"/>
            </w:tcBorders>
          </w:tcPr>
          <w:p>
            <w:pPr>
              <w:spacing w:after="0"/>
              <w:rPr>
                <w:sz w:val="16"/>
                <w:szCs w:val="16"/>
                <w:color w:val="auto"/>
              </w:rPr>
            </w:pPr>
          </w:p>
        </w:tc>
        <w:tc>
          <w:tcPr>
            <w:tcW w:w="4880" w:type="dxa"/>
            <w:vAlign w:val="bottom"/>
            <w:tcBorders>
              <w:bottom w:val="single" w:sz="8" w:color="auto"/>
            </w:tcBorders>
          </w:tcPr>
          <w:p>
            <w:pPr>
              <w:jc w:val="right"/>
              <w:ind w:right="359"/>
              <w:spacing w:after="0" w:line="192" w:lineRule="exact"/>
              <w:rPr>
                <w:sz w:val="20"/>
                <w:szCs w:val="20"/>
                <w:color w:val="auto"/>
              </w:rPr>
            </w:pPr>
            <w:r>
              <w:rPr>
                <w:rFonts w:ascii="Calibri" w:cs="Calibri" w:eastAsia="Calibri" w:hAnsi="Calibri"/>
                <w:sz w:val="16"/>
                <w:szCs w:val="16"/>
                <w:b w:val="1"/>
                <w:bCs w:val="1"/>
                <w:color w:val="auto"/>
              </w:rPr>
              <w:t>—</w:t>
            </w:r>
          </w:p>
        </w:tc>
        <w:tc>
          <w:tcPr>
            <w:tcW w:w="1500" w:type="dxa"/>
            <w:vAlign w:val="bottom"/>
            <w:tcBorders>
              <w:bottom w:val="single" w:sz="8" w:color="auto"/>
            </w:tcBorders>
          </w:tcPr>
          <w:p>
            <w:pPr>
              <w:jc w:val="right"/>
              <w:spacing w:after="0" w:line="192" w:lineRule="exact"/>
              <w:rPr>
                <w:sz w:val="20"/>
                <w:szCs w:val="20"/>
                <w:color w:val="auto"/>
              </w:rPr>
            </w:pPr>
            <w:r>
              <w:rPr>
                <w:rFonts w:ascii="Calibri" w:cs="Calibri" w:eastAsia="Calibri" w:hAnsi="Calibri"/>
                <w:sz w:val="16"/>
                <w:szCs w:val="16"/>
                <w:color w:val="auto"/>
              </w:rPr>
              <w:t>—</w:t>
            </w:r>
          </w:p>
        </w:tc>
      </w:tr>
    </w:tbl>
    <w:p>
      <w:pPr>
        <w:spacing w:after="0" w:line="232" w:lineRule="exact"/>
        <w:rPr>
          <w:sz w:val="20"/>
          <w:szCs w:val="20"/>
          <w:color w:val="auto"/>
        </w:rPr>
      </w:pPr>
    </w:p>
    <w:p>
      <w:pPr>
        <w:ind w:left="220"/>
        <w:spacing w:after="0"/>
        <w:rPr>
          <w:sz w:val="20"/>
          <w:szCs w:val="20"/>
          <w:color w:val="auto"/>
        </w:rPr>
      </w:pPr>
      <w:r>
        <w:rPr>
          <w:rFonts w:ascii="Calibri" w:cs="Calibri" w:eastAsia="Calibri" w:hAnsi="Calibri"/>
          <w:sz w:val="16"/>
          <w:szCs w:val="16"/>
          <w:b w:val="1"/>
          <w:bCs w:val="1"/>
          <w:color w:val="auto"/>
        </w:rPr>
        <w:t>Non-capital loss balance</w:t>
      </w:r>
    </w:p>
    <w:p>
      <w:pPr>
        <w:spacing w:after="0" w:line="194" w:lineRule="exact"/>
        <w:rPr>
          <w:sz w:val="20"/>
          <w:szCs w:val="20"/>
          <w:color w:val="auto"/>
        </w:rPr>
      </w:pPr>
    </w:p>
    <w:p>
      <w:pPr>
        <w:ind w:left="220" w:right="20"/>
        <w:spacing w:after="0" w:line="279" w:lineRule="auto"/>
        <w:rPr>
          <w:sz w:val="20"/>
          <w:szCs w:val="20"/>
          <w:color w:val="auto"/>
        </w:rPr>
      </w:pPr>
      <w:r>
        <w:rPr>
          <w:rFonts w:ascii="Calibri" w:cs="Calibri" w:eastAsia="Calibri" w:hAnsi="Calibri"/>
          <w:sz w:val="16"/>
          <w:szCs w:val="16"/>
          <w:color w:val="auto"/>
        </w:rPr>
        <w:t>As at September 30, 2024, the Company has non-capital losses in Canada, which under certain circumstances can be used to reduce taxable income of future years. The non-capital losses expire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144145</wp:posOffset>
            </wp:positionH>
            <wp:positionV relativeFrom="paragraph">
              <wp:posOffset>261620</wp:posOffset>
            </wp:positionV>
            <wp:extent cx="6693535" cy="762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6693535" cy="7620"/>
                    </a:xfrm>
                    <a:prstGeom prst="rect">
                      <a:avLst/>
                    </a:prstGeom>
                    <a:noFill/>
                  </pic:spPr>
                </pic:pic>
              </a:graphicData>
            </a:graphic>
          </wp:anchor>
        </w:drawing>
      </w:r>
    </w:p>
    <w:p>
      <w:pPr>
        <w:spacing w:after="0" w:line="394" w:lineRule="exact"/>
        <w:rPr>
          <w:sz w:val="20"/>
          <w:szCs w:val="20"/>
          <w:color w:val="auto"/>
        </w:rPr>
      </w:pPr>
    </w:p>
    <w:tbl>
      <w:tblPr>
        <w:tblLayout w:type="fixed"/>
        <w:tblInd w:w="220" w:type="dxa"/>
        <w:tblCellMar>
          <w:top w:w="0" w:type="dxa"/>
          <w:left w:w="0" w:type="dxa"/>
          <w:bottom w:w="0" w:type="dxa"/>
          <w:right w:w="0" w:type="dxa"/>
        </w:tblCellMar>
      </w:tblPr>
      <w:tr>
        <w:trPr>
          <w:trHeight w:val="195"/>
        </w:trPr>
        <w:tc>
          <w:tcPr>
            <w:tcW w:w="5460" w:type="dxa"/>
            <w:vAlign w:val="bottom"/>
          </w:tcPr>
          <w:p>
            <w:pPr>
              <w:ind w:left="20"/>
              <w:spacing w:after="0"/>
              <w:rPr>
                <w:sz w:val="20"/>
                <w:szCs w:val="20"/>
                <w:color w:val="auto"/>
              </w:rPr>
            </w:pPr>
            <w:r>
              <w:rPr>
                <w:rFonts w:ascii="Calibri" w:cs="Calibri" w:eastAsia="Calibri" w:hAnsi="Calibri"/>
                <w:sz w:val="16"/>
                <w:szCs w:val="16"/>
                <w:color w:val="auto"/>
              </w:rPr>
              <w:t>Year of expiry</w:t>
            </w:r>
          </w:p>
        </w:tc>
        <w:tc>
          <w:tcPr>
            <w:tcW w:w="5080" w:type="dxa"/>
            <w:vAlign w:val="bottom"/>
          </w:tcPr>
          <w:p>
            <w:pPr>
              <w:jc w:val="right"/>
              <w:spacing w:after="0"/>
              <w:rPr>
                <w:sz w:val="20"/>
                <w:szCs w:val="20"/>
                <w:color w:val="auto"/>
              </w:rPr>
            </w:pPr>
            <w:r>
              <w:rPr>
                <w:rFonts w:ascii="Calibri" w:cs="Calibri" w:eastAsia="Calibri" w:hAnsi="Calibri"/>
                <w:sz w:val="16"/>
                <w:szCs w:val="16"/>
                <w:b w:val="1"/>
                <w:bCs w:val="1"/>
                <w:color w:val="auto"/>
              </w:rPr>
              <w:t>$</w:t>
            </w:r>
          </w:p>
        </w:tc>
      </w:tr>
      <w:tr>
        <w:trPr>
          <w:trHeight w:val="20"/>
        </w:trPr>
        <w:tc>
          <w:tcPr>
            <w:tcW w:w="5460" w:type="dxa"/>
            <w:vAlign w:val="bottom"/>
            <w:tcBorders>
              <w:bottom w:val="single" w:sz="8" w:color="auto"/>
            </w:tcBorders>
          </w:tcPr>
          <w:p>
            <w:pPr>
              <w:spacing w:after="0" w:line="20" w:lineRule="exact"/>
              <w:rPr>
                <w:sz w:val="1"/>
                <w:szCs w:val="1"/>
                <w:color w:val="auto"/>
              </w:rPr>
            </w:pPr>
          </w:p>
        </w:tc>
        <w:tc>
          <w:tcPr>
            <w:tcW w:w="5080" w:type="dxa"/>
            <w:vAlign w:val="bottom"/>
            <w:tcBorders>
              <w:bottom w:val="single" w:sz="8" w:color="auto"/>
            </w:tcBorders>
          </w:tcPr>
          <w:p>
            <w:pPr>
              <w:spacing w:after="0" w:line="20" w:lineRule="exact"/>
              <w:rPr>
                <w:sz w:val="1"/>
                <w:szCs w:val="1"/>
                <w:color w:val="auto"/>
              </w:rPr>
            </w:pPr>
          </w:p>
        </w:tc>
      </w:tr>
      <w:tr>
        <w:trPr>
          <w:trHeight w:val="185"/>
        </w:trPr>
        <w:tc>
          <w:tcPr>
            <w:tcW w:w="5460" w:type="dxa"/>
            <w:vAlign w:val="bottom"/>
          </w:tcPr>
          <w:p>
            <w:pPr>
              <w:ind w:left="20"/>
              <w:spacing w:after="0" w:line="185" w:lineRule="exact"/>
              <w:rPr>
                <w:sz w:val="20"/>
                <w:szCs w:val="20"/>
                <w:color w:val="auto"/>
              </w:rPr>
            </w:pPr>
            <w:r>
              <w:rPr>
                <w:rFonts w:ascii="Calibri" w:cs="Calibri" w:eastAsia="Calibri" w:hAnsi="Calibri"/>
                <w:sz w:val="16"/>
                <w:szCs w:val="16"/>
                <w:color w:val="auto"/>
              </w:rPr>
              <w:t>2036</w:t>
            </w:r>
          </w:p>
        </w:tc>
        <w:tc>
          <w:tcPr>
            <w:tcW w:w="5080" w:type="dxa"/>
            <w:vAlign w:val="bottom"/>
          </w:tcPr>
          <w:p>
            <w:pPr>
              <w:jc w:val="right"/>
              <w:spacing w:after="0" w:line="185" w:lineRule="exact"/>
              <w:rPr>
                <w:sz w:val="20"/>
                <w:szCs w:val="20"/>
                <w:color w:val="auto"/>
              </w:rPr>
            </w:pPr>
            <w:r>
              <w:rPr>
                <w:rFonts w:ascii="Calibri" w:cs="Calibri" w:eastAsia="Calibri" w:hAnsi="Calibri"/>
                <w:sz w:val="16"/>
                <w:szCs w:val="16"/>
                <w:b w:val="1"/>
                <w:bCs w:val="1"/>
                <w:color w:val="auto"/>
              </w:rPr>
              <w:t>1</w:t>
            </w:r>
          </w:p>
        </w:tc>
      </w:tr>
      <w:tr>
        <w:trPr>
          <w:trHeight w:val="198"/>
        </w:trPr>
        <w:tc>
          <w:tcPr>
            <w:tcW w:w="5460" w:type="dxa"/>
            <w:vAlign w:val="bottom"/>
          </w:tcPr>
          <w:p>
            <w:pPr>
              <w:ind w:left="20"/>
              <w:spacing w:after="0"/>
              <w:rPr>
                <w:sz w:val="20"/>
                <w:szCs w:val="20"/>
                <w:color w:val="auto"/>
              </w:rPr>
            </w:pPr>
            <w:r>
              <w:rPr>
                <w:rFonts w:ascii="Calibri" w:cs="Calibri" w:eastAsia="Calibri" w:hAnsi="Calibri"/>
                <w:sz w:val="16"/>
                <w:szCs w:val="16"/>
                <w:color w:val="auto"/>
              </w:rPr>
              <w:t>2037</w:t>
            </w:r>
          </w:p>
        </w:tc>
        <w:tc>
          <w:tcPr>
            <w:tcW w:w="5080" w:type="dxa"/>
            <w:vAlign w:val="bottom"/>
          </w:tcPr>
          <w:p>
            <w:pPr>
              <w:jc w:val="right"/>
              <w:spacing w:after="0"/>
              <w:rPr>
                <w:sz w:val="20"/>
                <w:szCs w:val="20"/>
                <w:color w:val="auto"/>
              </w:rPr>
            </w:pPr>
            <w:r>
              <w:rPr>
                <w:rFonts w:ascii="Calibri" w:cs="Calibri" w:eastAsia="Calibri" w:hAnsi="Calibri"/>
                <w:sz w:val="16"/>
                <w:szCs w:val="16"/>
                <w:b w:val="1"/>
                <w:bCs w:val="1"/>
                <w:color w:val="auto"/>
              </w:rPr>
              <w:t>62</w:t>
            </w:r>
          </w:p>
        </w:tc>
      </w:tr>
      <w:tr>
        <w:trPr>
          <w:trHeight w:val="206"/>
        </w:trPr>
        <w:tc>
          <w:tcPr>
            <w:tcW w:w="5460" w:type="dxa"/>
            <w:vAlign w:val="bottom"/>
          </w:tcPr>
          <w:p>
            <w:pPr>
              <w:ind w:left="20"/>
              <w:spacing w:after="0"/>
              <w:rPr>
                <w:sz w:val="20"/>
                <w:szCs w:val="20"/>
                <w:color w:val="auto"/>
              </w:rPr>
            </w:pPr>
            <w:r>
              <w:rPr>
                <w:rFonts w:ascii="Calibri" w:cs="Calibri" w:eastAsia="Calibri" w:hAnsi="Calibri"/>
                <w:sz w:val="16"/>
                <w:szCs w:val="16"/>
                <w:color w:val="auto"/>
              </w:rPr>
              <w:t>2038</w:t>
            </w:r>
          </w:p>
        </w:tc>
        <w:tc>
          <w:tcPr>
            <w:tcW w:w="5080" w:type="dxa"/>
            <w:vAlign w:val="bottom"/>
          </w:tcPr>
          <w:p>
            <w:pPr>
              <w:jc w:val="right"/>
              <w:spacing w:after="0"/>
              <w:rPr>
                <w:sz w:val="20"/>
                <w:szCs w:val="20"/>
                <w:color w:val="auto"/>
              </w:rPr>
            </w:pPr>
            <w:r>
              <w:rPr>
                <w:rFonts w:ascii="Calibri" w:cs="Calibri" w:eastAsia="Calibri" w:hAnsi="Calibri"/>
                <w:sz w:val="16"/>
                <w:szCs w:val="16"/>
                <w:b w:val="1"/>
                <w:bCs w:val="1"/>
                <w:color w:val="auto"/>
              </w:rPr>
              <w:t>32</w:t>
            </w:r>
          </w:p>
        </w:tc>
      </w:tr>
      <w:tr>
        <w:trPr>
          <w:trHeight w:val="206"/>
        </w:trPr>
        <w:tc>
          <w:tcPr>
            <w:tcW w:w="5460" w:type="dxa"/>
            <w:vAlign w:val="bottom"/>
          </w:tcPr>
          <w:p>
            <w:pPr>
              <w:ind w:left="20"/>
              <w:spacing w:after="0"/>
              <w:rPr>
                <w:sz w:val="20"/>
                <w:szCs w:val="20"/>
                <w:color w:val="auto"/>
              </w:rPr>
            </w:pPr>
            <w:r>
              <w:rPr>
                <w:rFonts w:ascii="Calibri" w:cs="Calibri" w:eastAsia="Calibri" w:hAnsi="Calibri"/>
                <w:sz w:val="16"/>
                <w:szCs w:val="16"/>
                <w:color w:val="auto"/>
              </w:rPr>
              <w:t>2039</w:t>
            </w:r>
          </w:p>
        </w:tc>
        <w:tc>
          <w:tcPr>
            <w:tcW w:w="5080" w:type="dxa"/>
            <w:vAlign w:val="bottom"/>
          </w:tcPr>
          <w:p>
            <w:pPr>
              <w:jc w:val="right"/>
              <w:spacing w:after="0"/>
              <w:rPr>
                <w:sz w:val="20"/>
                <w:szCs w:val="20"/>
                <w:color w:val="auto"/>
              </w:rPr>
            </w:pPr>
            <w:r>
              <w:rPr>
                <w:rFonts w:ascii="Calibri" w:cs="Calibri" w:eastAsia="Calibri" w:hAnsi="Calibri"/>
                <w:sz w:val="16"/>
                <w:szCs w:val="16"/>
                <w:b w:val="1"/>
                <w:bCs w:val="1"/>
                <w:color w:val="auto"/>
              </w:rPr>
              <w:t>115</w:t>
            </w:r>
          </w:p>
        </w:tc>
      </w:tr>
      <w:tr>
        <w:trPr>
          <w:trHeight w:val="206"/>
        </w:trPr>
        <w:tc>
          <w:tcPr>
            <w:tcW w:w="5460" w:type="dxa"/>
            <w:vAlign w:val="bottom"/>
          </w:tcPr>
          <w:p>
            <w:pPr>
              <w:ind w:left="20"/>
              <w:spacing w:after="0"/>
              <w:rPr>
                <w:sz w:val="20"/>
                <w:szCs w:val="20"/>
                <w:color w:val="auto"/>
              </w:rPr>
            </w:pPr>
            <w:r>
              <w:rPr>
                <w:rFonts w:ascii="Calibri" w:cs="Calibri" w:eastAsia="Calibri" w:hAnsi="Calibri"/>
                <w:sz w:val="16"/>
                <w:szCs w:val="16"/>
                <w:color w:val="auto"/>
              </w:rPr>
              <w:t>2040</w:t>
            </w:r>
          </w:p>
        </w:tc>
        <w:tc>
          <w:tcPr>
            <w:tcW w:w="5080" w:type="dxa"/>
            <w:vAlign w:val="bottom"/>
          </w:tcPr>
          <w:p>
            <w:pPr>
              <w:jc w:val="right"/>
              <w:spacing w:after="0"/>
              <w:rPr>
                <w:sz w:val="20"/>
                <w:szCs w:val="20"/>
                <w:color w:val="auto"/>
              </w:rPr>
            </w:pPr>
            <w:r>
              <w:rPr>
                <w:rFonts w:ascii="Calibri" w:cs="Calibri" w:eastAsia="Calibri" w:hAnsi="Calibri"/>
                <w:sz w:val="16"/>
                <w:szCs w:val="16"/>
                <w:b w:val="1"/>
                <w:bCs w:val="1"/>
                <w:color w:val="auto"/>
              </w:rPr>
              <w:t>863</w:t>
            </w:r>
          </w:p>
        </w:tc>
      </w:tr>
      <w:tr>
        <w:trPr>
          <w:trHeight w:val="206"/>
        </w:trPr>
        <w:tc>
          <w:tcPr>
            <w:tcW w:w="5460" w:type="dxa"/>
            <w:vAlign w:val="bottom"/>
          </w:tcPr>
          <w:p>
            <w:pPr>
              <w:ind w:left="20"/>
              <w:spacing w:after="0"/>
              <w:rPr>
                <w:sz w:val="20"/>
                <w:szCs w:val="20"/>
                <w:color w:val="auto"/>
              </w:rPr>
            </w:pPr>
            <w:r>
              <w:rPr>
                <w:rFonts w:ascii="Calibri" w:cs="Calibri" w:eastAsia="Calibri" w:hAnsi="Calibri"/>
                <w:sz w:val="16"/>
                <w:szCs w:val="16"/>
                <w:color w:val="auto"/>
              </w:rPr>
              <w:t>2041</w:t>
            </w:r>
          </w:p>
        </w:tc>
        <w:tc>
          <w:tcPr>
            <w:tcW w:w="5080" w:type="dxa"/>
            <w:vAlign w:val="bottom"/>
          </w:tcPr>
          <w:p>
            <w:pPr>
              <w:jc w:val="right"/>
              <w:spacing w:after="0"/>
              <w:rPr>
                <w:sz w:val="20"/>
                <w:szCs w:val="20"/>
                <w:color w:val="auto"/>
              </w:rPr>
            </w:pPr>
            <w:r>
              <w:rPr>
                <w:rFonts w:ascii="Calibri" w:cs="Calibri" w:eastAsia="Calibri" w:hAnsi="Calibri"/>
                <w:sz w:val="16"/>
                <w:szCs w:val="16"/>
                <w:b w:val="1"/>
                <w:bCs w:val="1"/>
                <w:color w:val="auto"/>
              </w:rPr>
              <w:t>21,856</w:t>
            </w:r>
          </w:p>
        </w:tc>
      </w:tr>
      <w:tr>
        <w:trPr>
          <w:trHeight w:val="206"/>
        </w:trPr>
        <w:tc>
          <w:tcPr>
            <w:tcW w:w="5460" w:type="dxa"/>
            <w:vAlign w:val="bottom"/>
          </w:tcPr>
          <w:p>
            <w:pPr>
              <w:ind w:left="20"/>
              <w:spacing w:after="0"/>
              <w:rPr>
                <w:sz w:val="20"/>
                <w:szCs w:val="20"/>
                <w:color w:val="auto"/>
              </w:rPr>
            </w:pPr>
            <w:r>
              <w:rPr>
                <w:rFonts w:ascii="Calibri" w:cs="Calibri" w:eastAsia="Calibri" w:hAnsi="Calibri"/>
                <w:sz w:val="16"/>
                <w:szCs w:val="16"/>
                <w:color w:val="auto"/>
              </w:rPr>
              <w:t>2042</w:t>
            </w:r>
          </w:p>
        </w:tc>
        <w:tc>
          <w:tcPr>
            <w:tcW w:w="5080" w:type="dxa"/>
            <w:vAlign w:val="bottom"/>
          </w:tcPr>
          <w:p>
            <w:pPr>
              <w:jc w:val="right"/>
              <w:spacing w:after="0"/>
              <w:rPr>
                <w:sz w:val="20"/>
                <w:szCs w:val="20"/>
                <w:color w:val="auto"/>
              </w:rPr>
            </w:pPr>
            <w:r>
              <w:rPr>
                <w:rFonts w:ascii="Calibri" w:cs="Calibri" w:eastAsia="Calibri" w:hAnsi="Calibri"/>
                <w:sz w:val="16"/>
                <w:szCs w:val="16"/>
                <w:b w:val="1"/>
                <w:bCs w:val="1"/>
                <w:color w:val="auto"/>
              </w:rPr>
              <w:t>16,019</w:t>
            </w:r>
          </w:p>
        </w:tc>
      </w:tr>
      <w:tr>
        <w:trPr>
          <w:trHeight w:val="206"/>
        </w:trPr>
        <w:tc>
          <w:tcPr>
            <w:tcW w:w="5460" w:type="dxa"/>
            <w:vAlign w:val="bottom"/>
          </w:tcPr>
          <w:p>
            <w:pPr>
              <w:ind w:left="20"/>
              <w:spacing w:after="0"/>
              <w:rPr>
                <w:sz w:val="20"/>
                <w:szCs w:val="20"/>
                <w:color w:val="auto"/>
              </w:rPr>
            </w:pPr>
            <w:r>
              <w:rPr>
                <w:rFonts w:ascii="Calibri" w:cs="Calibri" w:eastAsia="Calibri" w:hAnsi="Calibri"/>
                <w:sz w:val="16"/>
                <w:szCs w:val="16"/>
                <w:color w:val="auto"/>
              </w:rPr>
              <w:t>2043</w:t>
            </w:r>
          </w:p>
        </w:tc>
        <w:tc>
          <w:tcPr>
            <w:tcW w:w="5080" w:type="dxa"/>
            <w:vAlign w:val="bottom"/>
          </w:tcPr>
          <w:p>
            <w:pPr>
              <w:jc w:val="right"/>
              <w:spacing w:after="0"/>
              <w:rPr>
                <w:sz w:val="20"/>
                <w:szCs w:val="20"/>
                <w:color w:val="auto"/>
              </w:rPr>
            </w:pPr>
            <w:r>
              <w:rPr>
                <w:rFonts w:ascii="Calibri" w:cs="Calibri" w:eastAsia="Calibri" w:hAnsi="Calibri"/>
                <w:sz w:val="16"/>
                <w:szCs w:val="16"/>
                <w:b w:val="1"/>
                <w:bCs w:val="1"/>
                <w:color w:val="auto"/>
              </w:rPr>
              <w:t>10,704</w:t>
            </w:r>
          </w:p>
        </w:tc>
      </w:tr>
      <w:tr>
        <w:trPr>
          <w:trHeight w:val="206"/>
        </w:trPr>
        <w:tc>
          <w:tcPr>
            <w:tcW w:w="5460" w:type="dxa"/>
            <w:vAlign w:val="bottom"/>
          </w:tcPr>
          <w:p>
            <w:pPr>
              <w:ind w:left="20"/>
              <w:spacing w:after="0"/>
              <w:rPr>
                <w:sz w:val="20"/>
                <w:szCs w:val="20"/>
                <w:color w:val="auto"/>
              </w:rPr>
            </w:pPr>
            <w:r>
              <w:rPr>
                <w:rFonts w:ascii="Calibri" w:cs="Calibri" w:eastAsia="Calibri" w:hAnsi="Calibri"/>
                <w:sz w:val="16"/>
                <w:szCs w:val="16"/>
                <w:color w:val="auto"/>
              </w:rPr>
              <w:t>2044</w:t>
            </w:r>
          </w:p>
        </w:tc>
        <w:tc>
          <w:tcPr>
            <w:tcW w:w="5080" w:type="dxa"/>
            <w:vAlign w:val="bottom"/>
          </w:tcPr>
          <w:p>
            <w:pPr>
              <w:jc w:val="right"/>
              <w:spacing w:after="0"/>
              <w:rPr>
                <w:sz w:val="20"/>
                <w:szCs w:val="20"/>
                <w:color w:val="auto"/>
              </w:rPr>
            </w:pPr>
            <w:r>
              <w:rPr>
                <w:rFonts w:ascii="Calibri" w:cs="Calibri" w:eastAsia="Calibri" w:hAnsi="Calibri"/>
                <w:sz w:val="16"/>
                <w:szCs w:val="16"/>
                <w:b w:val="1"/>
                <w:bCs w:val="1"/>
                <w:color w:val="auto"/>
              </w:rPr>
              <w:t>24,397</w:t>
            </w:r>
          </w:p>
        </w:tc>
      </w:tr>
      <w:tr>
        <w:trPr>
          <w:trHeight w:val="206"/>
        </w:trPr>
        <w:tc>
          <w:tcPr>
            <w:tcW w:w="5460" w:type="dxa"/>
            <w:vAlign w:val="bottom"/>
          </w:tcPr>
          <w:p>
            <w:pPr>
              <w:ind w:left="20"/>
              <w:spacing w:after="0"/>
              <w:rPr>
                <w:sz w:val="20"/>
                <w:szCs w:val="20"/>
                <w:color w:val="auto"/>
              </w:rPr>
            </w:pPr>
            <w:r>
              <w:rPr>
                <w:rFonts w:ascii="Calibri" w:cs="Calibri" w:eastAsia="Calibri" w:hAnsi="Calibri"/>
                <w:sz w:val="16"/>
                <w:szCs w:val="16"/>
                <w:color w:val="auto"/>
              </w:rPr>
              <w:t>2045</w:t>
            </w:r>
          </w:p>
        </w:tc>
        <w:tc>
          <w:tcPr>
            <w:tcW w:w="5080" w:type="dxa"/>
            <w:vAlign w:val="bottom"/>
          </w:tcPr>
          <w:p>
            <w:pPr>
              <w:jc w:val="right"/>
              <w:spacing w:after="0"/>
              <w:rPr>
                <w:sz w:val="20"/>
                <w:szCs w:val="20"/>
                <w:color w:val="auto"/>
              </w:rPr>
            </w:pPr>
            <w:r>
              <w:rPr>
                <w:rFonts w:ascii="Calibri" w:cs="Calibri" w:eastAsia="Calibri" w:hAnsi="Calibri"/>
                <w:sz w:val="16"/>
                <w:szCs w:val="16"/>
                <w:b w:val="1"/>
                <w:bCs w:val="1"/>
                <w:color w:val="auto"/>
              </w:rPr>
              <w:t>14,394</w:t>
            </w:r>
          </w:p>
        </w:tc>
      </w:tr>
      <w:tr>
        <w:trPr>
          <w:trHeight w:val="20"/>
        </w:trPr>
        <w:tc>
          <w:tcPr>
            <w:tcW w:w="5460" w:type="dxa"/>
            <w:vAlign w:val="bottom"/>
            <w:tcBorders>
              <w:bottom w:val="single" w:sz="8" w:color="auto"/>
            </w:tcBorders>
          </w:tcPr>
          <w:p>
            <w:pPr>
              <w:spacing w:after="0" w:line="20" w:lineRule="exact"/>
              <w:rPr>
                <w:sz w:val="1"/>
                <w:szCs w:val="1"/>
                <w:color w:val="auto"/>
              </w:rPr>
            </w:pPr>
          </w:p>
        </w:tc>
        <w:tc>
          <w:tcPr>
            <w:tcW w:w="5080" w:type="dxa"/>
            <w:vAlign w:val="bottom"/>
            <w:tcBorders>
              <w:bottom w:val="single" w:sz="8" w:color="auto"/>
            </w:tcBorders>
          </w:tcPr>
          <w:p>
            <w:pPr>
              <w:spacing w:after="0" w:line="20" w:lineRule="exact"/>
              <w:rPr>
                <w:sz w:val="1"/>
                <w:szCs w:val="1"/>
                <w:color w:val="auto"/>
              </w:rPr>
            </w:pPr>
          </w:p>
        </w:tc>
      </w:tr>
      <w:tr>
        <w:trPr>
          <w:trHeight w:val="191"/>
        </w:trPr>
        <w:tc>
          <w:tcPr>
            <w:tcW w:w="5460" w:type="dxa"/>
            <w:vAlign w:val="bottom"/>
            <w:tcBorders>
              <w:bottom w:val="single" w:sz="8" w:color="auto"/>
            </w:tcBorders>
          </w:tcPr>
          <w:p>
            <w:pPr>
              <w:spacing w:after="0"/>
              <w:rPr>
                <w:sz w:val="16"/>
                <w:szCs w:val="16"/>
                <w:color w:val="auto"/>
              </w:rPr>
            </w:pPr>
          </w:p>
        </w:tc>
        <w:tc>
          <w:tcPr>
            <w:tcW w:w="5080" w:type="dxa"/>
            <w:vAlign w:val="bottom"/>
            <w:tcBorders>
              <w:bottom w:val="single" w:sz="8" w:color="auto"/>
            </w:tcBorders>
          </w:tcPr>
          <w:p>
            <w:pPr>
              <w:jc w:val="right"/>
              <w:spacing w:after="0" w:line="192" w:lineRule="exact"/>
              <w:rPr>
                <w:sz w:val="20"/>
                <w:szCs w:val="20"/>
                <w:color w:val="auto"/>
              </w:rPr>
            </w:pPr>
            <w:r>
              <w:rPr>
                <w:rFonts w:ascii="Calibri" w:cs="Calibri" w:eastAsia="Calibri" w:hAnsi="Calibri"/>
                <w:sz w:val="16"/>
                <w:szCs w:val="16"/>
                <w:b w:val="1"/>
                <w:bCs w:val="1"/>
                <w:color w:val="auto"/>
              </w:rPr>
              <w:t>88,443</w:t>
            </w:r>
          </w:p>
        </w:tc>
      </w:tr>
    </w:tbl>
    <w:p>
      <w:pPr>
        <w:spacing w:after="0" w:line="234" w:lineRule="exact"/>
        <w:rPr>
          <w:sz w:val="20"/>
          <w:szCs w:val="20"/>
          <w:color w:val="auto"/>
        </w:rPr>
      </w:pPr>
    </w:p>
    <w:p>
      <w:pPr>
        <w:ind w:left="220" w:right="20"/>
        <w:spacing w:after="0" w:line="264" w:lineRule="auto"/>
        <w:rPr>
          <w:sz w:val="20"/>
          <w:szCs w:val="20"/>
          <w:color w:val="auto"/>
        </w:rPr>
      </w:pPr>
      <w:r>
        <w:rPr>
          <w:rFonts w:ascii="Calibri" w:cs="Calibri" w:eastAsia="Calibri" w:hAnsi="Calibri"/>
          <w:sz w:val="16"/>
          <w:szCs w:val="16"/>
          <w:color w:val="auto"/>
        </w:rPr>
        <w:t>As at September 30, 2024, the Company has non-capital losses in the United States, which under certain circumstances can be used to reduce the taxable income of future years. The non-capital losses, stated in Canadian dollars that will expire as follows: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jc w:val="center"/>
        <w:ind w:right="200"/>
        <w:spacing w:after="0"/>
        <w:rPr>
          <w:sz w:val="20"/>
          <w:szCs w:val="20"/>
          <w:color w:val="auto"/>
        </w:rPr>
      </w:pPr>
      <w:r>
        <w:rPr>
          <w:rFonts w:ascii="Calibri" w:cs="Calibri" w:eastAsia="Calibri" w:hAnsi="Calibri"/>
          <w:sz w:val="16"/>
          <w:szCs w:val="16"/>
          <w:b w:val="1"/>
          <w:bCs w:val="1"/>
          <w:color w:val="auto"/>
        </w:rPr>
        <w:t>Page 22 of 23</w:t>
      </w:r>
    </w:p>
    <w:p>
      <w:pPr>
        <w:sectPr>
          <w:pgSz w:w="11900" w:h="16838" w:orient="portrait"/>
          <w:cols w:equalWidth="0" w:num="1">
            <w:col w:w="11200"/>
          </w:cols>
          <w:pgMar w:left="380" w:top="209" w:right="319" w:bottom="1440" w:gutter="0" w:footer="0" w:header="0"/>
        </w:sectPr>
      </w:pPr>
    </w:p>
    <w:bookmarkStart w:id="25" w:name="page26"/>
    <w:bookmarkEnd w:id="25"/>
    <w:p>
      <w:pPr>
        <w:spacing w:after="0"/>
        <w:rPr>
          <w:sz w:val="20"/>
          <w:szCs w:val="20"/>
          <w:color w:val="auto"/>
        </w:rPr>
      </w:pPr>
      <w:r>
        <w:rPr>
          <w:rFonts w:ascii="Calibri" w:cs="Calibri" w:eastAsia="Calibri" w:hAnsi="Calibri"/>
          <w:sz w:val="19"/>
          <w:szCs w:val="19"/>
          <w:b w:val="1"/>
          <w:bCs w:val="1"/>
          <w:color w:val="auto"/>
        </w:rPr>
        <w:t>CYBIN INC.</w:t>
      </w:r>
    </w:p>
    <w:p>
      <w:pPr>
        <w:spacing w:after="0" w:line="237" w:lineRule="auto"/>
        <w:rPr>
          <w:sz w:val="20"/>
          <w:szCs w:val="20"/>
          <w:color w:val="auto"/>
        </w:rPr>
      </w:pPr>
      <w:r>
        <w:rPr>
          <w:rFonts w:ascii="Calibri" w:cs="Calibri" w:eastAsia="Calibri" w:hAnsi="Calibri"/>
          <w:sz w:val="19"/>
          <w:szCs w:val="19"/>
          <w:b w:val="1"/>
          <w:bCs w:val="1"/>
          <w:color w:val="auto"/>
        </w:rPr>
        <w:t>NOTES TO THE CONDENSED INTERIM CONSOLIDATED FINANCIAL STATEMENTS</w:t>
      </w:r>
    </w:p>
    <w:p>
      <w:pPr>
        <w:spacing w:after="0" w:line="238" w:lineRule="auto"/>
        <w:rPr>
          <w:sz w:val="20"/>
          <w:szCs w:val="20"/>
          <w:color w:val="auto"/>
        </w:rPr>
      </w:pPr>
      <w:r>
        <w:rPr>
          <w:rFonts w:ascii="Calibri" w:cs="Calibri" w:eastAsia="Calibri" w:hAnsi="Calibri"/>
          <w:sz w:val="19"/>
          <w:szCs w:val="19"/>
          <w:b w:val="1"/>
          <w:bCs w:val="1"/>
          <w:color w:val="auto"/>
        </w:rPr>
        <w:t>September 30, 2024</w:t>
      </w:r>
    </w:p>
    <w:p>
      <w:pPr>
        <w:spacing w:after="0" w:line="3" w:lineRule="exact"/>
        <w:rPr>
          <w:sz w:val="20"/>
          <w:szCs w:val="20"/>
          <w:color w:val="auto"/>
        </w:rPr>
      </w:pPr>
    </w:p>
    <w:p>
      <w:pPr>
        <w:ind w:right="180"/>
        <w:spacing w:after="0" w:line="234" w:lineRule="auto"/>
        <w:rPr>
          <w:sz w:val="20"/>
          <w:szCs w:val="20"/>
          <w:color w:val="auto"/>
        </w:rPr>
      </w:pPr>
      <w:r>
        <w:rPr>
          <w:rFonts w:ascii="Calibri" w:cs="Calibri" w:eastAsia="Calibri" w:hAnsi="Calibri"/>
          <w:sz w:val="18"/>
          <w:szCs w:val="18"/>
          <w:b w:val="1"/>
          <w:bCs w:val="1"/>
          <w:color w:val="auto"/>
        </w:rPr>
        <w:t>(All amounts expressed in thousands of Canadian dollars, except share and per share amounts, and those otherwise stated in US dollars, Euros and Great Britain pounds which are in thousands.)</w:t>
      </w:r>
    </w:p>
    <w:p>
      <w:pPr>
        <w:spacing w:after="0" w:line="224" w:lineRule="auto"/>
        <w:rPr>
          <w:sz w:val="20"/>
          <w:szCs w:val="20"/>
          <w:color w:val="auto"/>
        </w:rPr>
      </w:pPr>
      <w:r>
        <w:rPr>
          <w:rFonts w:ascii="Calibri" w:cs="Calibri" w:eastAsia="Calibri" w:hAnsi="Calibri"/>
          <w:sz w:val="18"/>
          <w:szCs w:val="18"/>
          <w:b w:val="1"/>
          <w:bCs w:val="1"/>
          <w:color w:val="auto"/>
        </w:rPr>
        <w:t>(Unaudited)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-39370</wp:posOffset>
            </wp:positionH>
            <wp:positionV relativeFrom="paragraph">
              <wp:posOffset>48895</wp:posOffset>
            </wp:positionV>
            <wp:extent cx="7146925" cy="762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46925" cy="76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tbl>
      <w:tblPr>
        <w:tblLayout w:type="fixed"/>
        <w:tblInd w:w="220" w:type="dxa"/>
        <w:tblCellMar>
          <w:top w:w="0" w:type="dxa"/>
          <w:left w:w="0" w:type="dxa"/>
          <w:bottom w:w="0" w:type="dxa"/>
          <w:right w:w="0" w:type="dxa"/>
        </w:tblCellMar>
      </w:tblPr>
      <w:tr>
        <w:trPr>
          <w:trHeight w:val="195"/>
        </w:trPr>
        <w:tc>
          <w:tcPr>
            <w:tcW w:w="7240" w:type="dxa"/>
            <w:vAlign w:val="bottom"/>
          </w:tcPr>
          <w:p>
            <w:pPr>
              <w:spacing w:after="0"/>
              <w:rPr>
                <w:sz w:val="16"/>
                <w:szCs w:val="16"/>
                <w:color w:val="auto"/>
              </w:rPr>
            </w:pPr>
          </w:p>
        </w:tc>
        <w:tc>
          <w:tcPr>
            <w:tcW w:w="3280" w:type="dxa"/>
            <w:vAlign w:val="bottom"/>
          </w:tcPr>
          <w:p>
            <w:pPr>
              <w:jc w:val="right"/>
              <w:spacing w:after="0"/>
              <w:rPr>
                <w:sz w:val="20"/>
                <w:szCs w:val="20"/>
                <w:color w:val="auto"/>
              </w:rPr>
            </w:pPr>
            <w:r>
              <w:rPr>
                <w:rFonts w:ascii="Calibri" w:cs="Calibri" w:eastAsia="Calibri" w:hAnsi="Calibri"/>
                <w:sz w:val="16"/>
                <w:szCs w:val="16"/>
                <w:b w:val="1"/>
                <w:bCs w:val="1"/>
                <w:color w:val="auto"/>
              </w:rPr>
              <w:t>$</w:t>
            </w:r>
          </w:p>
        </w:tc>
      </w:tr>
      <w:tr>
        <w:trPr>
          <w:trHeight w:val="20"/>
        </w:trPr>
        <w:tc>
          <w:tcPr>
            <w:tcW w:w="7240" w:type="dxa"/>
            <w:vAlign w:val="bottom"/>
            <w:tcBorders>
              <w:bottom w:val="single" w:sz="8" w:color="auto"/>
            </w:tcBorders>
          </w:tcPr>
          <w:p>
            <w:pPr>
              <w:spacing w:after="0" w:line="20" w:lineRule="exact"/>
              <w:rPr>
                <w:sz w:val="1"/>
                <w:szCs w:val="1"/>
                <w:color w:val="auto"/>
              </w:rPr>
            </w:pPr>
          </w:p>
        </w:tc>
        <w:tc>
          <w:tcPr>
            <w:tcW w:w="3280" w:type="dxa"/>
            <w:vAlign w:val="bottom"/>
            <w:tcBorders>
              <w:bottom w:val="single" w:sz="8" w:color="auto"/>
            </w:tcBorders>
          </w:tcPr>
          <w:p>
            <w:pPr>
              <w:spacing w:after="0" w:line="20" w:lineRule="exact"/>
              <w:rPr>
                <w:sz w:val="1"/>
                <w:szCs w:val="1"/>
                <w:color w:val="auto"/>
              </w:rPr>
            </w:pPr>
          </w:p>
        </w:tc>
      </w:tr>
      <w:tr>
        <w:trPr>
          <w:trHeight w:val="185"/>
        </w:trPr>
        <w:tc>
          <w:tcPr>
            <w:tcW w:w="7240" w:type="dxa"/>
            <w:vAlign w:val="bottom"/>
          </w:tcPr>
          <w:p>
            <w:pPr>
              <w:ind w:left="20"/>
              <w:spacing w:after="0" w:line="185" w:lineRule="exact"/>
              <w:rPr>
                <w:sz w:val="20"/>
                <w:szCs w:val="20"/>
                <w:color w:val="auto"/>
              </w:rPr>
            </w:pPr>
            <w:r>
              <w:rPr>
                <w:rFonts w:ascii="Calibri" w:cs="Calibri" w:eastAsia="Calibri" w:hAnsi="Calibri"/>
                <w:sz w:val="16"/>
                <w:szCs w:val="16"/>
                <w:color w:val="auto"/>
              </w:rPr>
              <w:t>Pre-acquisiton loss generated in the period ended December 4, 2020</w:t>
            </w:r>
          </w:p>
        </w:tc>
        <w:tc>
          <w:tcPr>
            <w:tcW w:w="3280" w:type="dxa"/>
            <w:vAlign w:val="bottom"/>
          </w:tcPr>
          <w:p>
            <w:pPr>
              <w:jc w:val="right"/>
              <w:spacing w:after="0" w:line="185" w:lineRule="exact"/>
              <w:rPr>
                <w:sz w:val="20"/>
                <w:szCs w:val="20"/>
                <w:color w:val="auto"/>
              </w:rPr>
            </w:pPr>
            <w:r>
              <w:rPr>
                <w:rFonts w:ascii="Calibri" w:cs="Calibri" w:eastAsia="Calibri" w:hAnsi="Calibri"/>
                <w:sz w:val="16"/>
                <w:szCs w:val="16"/>
                <w:b w:val="1"/>
                <w:bCs w:val="1"/>
                <w:color w:val="auto"/>
              </w:rPr>
              <w:t>989</w:t>
            </w:r>
          </w:p>
        </w:tc>
      </w:tr>
      <w:tr>
        <w:trPr>
          <w:trHeight w:val="198"/>
        </w:trPr>
        <w:tc>
          <w:tcPr>
            <w:tcW w:w="7240" w:type="dxa"/>
            <w:vAlign w:val="bottom"/>
          </w:tcPr>
          <w:p>
            <w:pPr>
              <w:ind w:left="20"/>
              <w:spacing w:after="0"/>
              <w:rPr>
                <w:sz w:val="20"/>
                <w:szCs w:val="20"/>
                <w:color w:val="auto"/>
              </w:rPr>
            </w:pPr>
            <w:r>
              <w:rPr>
                <w:rFonts w:ascii="Calibri" w:cs="Calibri" w:eastAsia="Calibri" w:hAnsi="Calibri"/>
                <w:sz w:val="16"/>
                <w:szCs w:val="16"/>
                <w:color w:val="auto"/>
              </w:rPr>
              <w:t>Post-acquisiton loss generated in the period ending March 31, 2021</w:t>
            </w:r>
          </w:p>
        </w:tc>
        <w:tc>
          <w:tcPr>
            <w:tcW w:w="3280" w:type="dxa"/>
            <w:vAlign w:val="bottom"/>
          </w:tcPr>
          <w:p>
            <w:pPr>
              <w:jc w:val="right"/>
              <w:spacing w:after="0"/>
              <w:rPr>
                <w:sz w:val="20"/>
                <w:szCs w:val="20"/>
                <w:color w:val="auto"/>
              </w:rPr>
            </w:pPr>
            <w:r>
              <w:rPr>
                <w:rFonts w:ascii="Calibri" w:cs="Calibri" w:eastAsia="Calibri" w:hAnsi="Calibri"/>
                <w:sz w:val="16"/>
                <w:szCs w:val="16"/>
                <w:b w:val="1"/>
                <w:bCs w:val="1"/>
                <w:color w:val="auto"/>
              </w:rPr>
              <w:t>1,320</w:t>
            </w:r>
          </w:p>
        </w:tc>
      </w:tr>
      <w:tr>
        <w:trPr>
          <w:trHeight w:val="206"/>
        </w:trPr>
        <w:tc>
          <w:tcPr>
            <w:tcW w:w="7240" w:type="dxa"/>
            <w:vAlign w:val="bottom"/>
          </w:tcPr>
          <w:p>
            <w:pPr>
              <w:ind w:left="20"/>
              <w:spacing w:after="0"/>
              <w:rPr>
                <w:sz w:val="20"/>
                <w:szCs w:val="20"/>
                <w:color w:val="auto"/>
              </w:rPr>
            </w:pPr>
            <w:r>
              <w:rPr>
                <w:rFonts w:ascii="Calibri" w:cs="Calibri" w:eastAsia="Calibri" w:hAnsi="Calibri"/>
                <w:sz w:val="16"/>
                <w:szCs w:val="16"/>
                <w:color w:val="auto"/>
              </w:rPr>
              <w:t>Loss generated in the year ending March 31, 2022</w:t>
            </w:r>
          </w:p>
        </w:tc>
        <w:tc>
          <w:tcPr>
            <w:tcW w:w="3280" w:type="dxa"/>
            <w:vAlign w:val="bottom"/>
          </w:tcPr>
          <w:p>
            <w:pPr>
              <w:jc w:val="right"/>
              <w:spacing w:after="0"/>
              <w:rPr>
                <w:sz w:val="20"/>
                <w:szCs w:val="20"/>
                <w:color w:val="auto"/>
              </w:rPr>
            </w:pPr>
            <w:r>
              <w:rPr>
                <w:rFonts w:ascii="Calibri" w:cs="Calibri" w:eastAsia="Calibri" w:hAnsi="Calibri"/>
                <w:sz w:val="16"/>
                <w:szCs w:val="16"/>
                <w:b w:val="1"/>
                <w:bCs w:val="1"/>
                <w:color w:val="auto"/>
              </w:rPr>
              <w:t>5,849</w:t>
            </w:r>
          </w:p>
        </w:tc>
      </w:tr>
      <w:tr>
        <w:trPr>
          <w:trHeight w:val="206"/>
        </w:trPr>
        <w:tc>
          <w:tcPr>
            <w:tcW w:w="7240" w:type="dxa"/>
            <w:vAlign w:val="bottom"/>
          </w:tcPr>
          <w:p>
            <w:pPr>
              <w:ind w:left="20"/>
              <w:spacing w:after="0"/>
              <w:rPr>
                <w:sz w:val="20"/>
                <w:szCs w:val="20"/>
                <w:color w:val="auto"/>
              </w:rPr>
            </w:pPr>
            <w:r>
              <w:rPr>
                <w:rFonts w:ascii="Calibri" w:cs="Calibri" w:eastAsia="Calibri" w:hAnsi="Calibri"/>
                <w:sz w:val="16"/>
                <w:szCs w:val="16"/>
                <w:color w:val="auto"/>
              </w:rPr>
              <w:t>Loss generated in the year ending March 31, 2023</w:t>
            </w:r>
          </w:p>
        </w:tc>
        <w:tc>
          <w:tcPr>
            <w:tcW w:w="3280" w:type="dxa"/>
            <w:vAlign w:val="bottom"/>
          </w:tcPr>
          <w:p>
            <w:pPr>
              <w:jc w:val="right"/>
              <w:spacing w:after="0"/>
              <w:rPr>
                <w:sz w:val="20"/>
                <w:szCs w:val="20"/>
                <w:color w:val="auto"/>
              </w:rPr>
            </w:pPr>
            <w:r>
              <w:rPr>
                <w:rFonts w:ascii="Calibri" w:cs="Calibri" w:eastAsia="Calibri" w:hAnsi="Calibri"/>
                <w:sz w:val="16"/>
                <w:szCs w:val="16"/>
                <w:b w:val="1"/>
                <w:bCs w:val="1"/>
                <w:color w:val="auto"/>
              </w:rPr>
              <w:t>5,311</w:t>
            </w:r>
          </w:p>
        </w:tc>
      </w:tr>
      <w:tr>
        <w:trPr>
          <w:trHeight w:val="206"/>
        </w:trPr>
        <w:tc>
          <w:tcPr>
            <w:tcW w:w="7240" w:type="dxa"/>
            <w:vAlign w:val="bottom"/>
          </w:tcPr>
          <w:p>
            <w:pPr>
              <w:ind w:left="20"/>
              <w:spacing w:after="0"/>
              <w:rPr>
                <w:sz w:val="20"/>
                <w:szCs w:val="20"/>
                <w:color w:val="auto"/>
              </w:rPr>
            </w:pPr>
            <w:r>
              <w:rPr>
                <w:rFonts w:ascii="Calibri" w:cs="Calibri" w:eastAsia="Calibri" w:hAnsi="Calibri"/>
                <w:sz w:val="16"/>
                <w:szCs w:val="16"/>
                <w:color w:val="auto"/>
              </w:rPr>
              <w:t>Loss generated in the year ending March 31, 2024</w:t>
            </w:r>
          </w:p>
        </w:tc>
        <w:tc>
          <w:tcPr>
            <w:tcW w:w="3280" w:type="dxa"/>
            <w:vAlign w:val="bottom"/>
          </w:tcPr>
          <w:p>
            <w:pPr>
              <w:jc w:val="right"/>
              <w:spacing w:after="0"/>
              <w:rPr>
                <w:sz w:val="20"/>
                <w:szCs w:val="20"/>
                <w:color w:val="auto"/>
              </w:rPr>
            </w:pPr>
            <w:r>
              <w:rPr>
                <w:rFonts w:ascii="Calibri" w:cs="Calibri" w:eastAsia="Calibri" w:hAnsi="Calibri"/>
                <w:sz w:val="16"/>
                <w:szCs w:val="16"/>
                <w:b w:val="1"/>
                <w:bCs w:val="1"/>
                <w:color w:val="auto"/>
              </w:rPr>
              <w:t>2,792</w:t>
            </w:r>
          </w:p>
        </w:tc>
      </w:tr>
      <w:tr>
        <w:trPr>
          <w:trHeight w:val="206"/>
        </w:trPr>
        <w:tc>
          <w:tcPr>
            <w:tcW w:w="7240" w:type="dxa"/>
            <w:vAlign w:val="bottom"/>
          </w:tcPr>
          <w:p>
            <w:pPr>
              <w:ind w:left="20"/>
              <w:spacing w:after="0"/>
              <w:rPr>
                <w:sz w:val="20"/>
                <w:szCs w:val="20"/>
                <w:color w:val="auto"/>
              </w:rPr>
            </w:pPr>
            <w:r>
              <w:rPr>
                <w:rFonts w:ascii="Calibri" w:cs="Calibri" w:eastAsia="Calibri" w:hAnsi="Calibri"/>
                <w:sz w:val="16"/>
                <w:szCs w:val="16"/>
                <w:color w:val="auto"/>
              </w:rPr>
              <w:t>Loss generated in the three-month period ended September 30, 2024</w:t>
            </w:r>
          </w:p>
        </w:tc>
        <w:tc>
          <w:tcPr>
            <w:tcW w:w="3280" w:type="dxa"/>
            <w:vAlign w:val="bottom"/>
          </w:tcPr>
          <w:p>
            <w:pPr>
              <w:jc w:val="right"/>
              <w:spacing w:after="0"/>
              <w:rPr>
                <w:sz w:val="20"/>
                <w:szCs w:val="20"/>
                <w:color w:val="auto"/>
              </w:rPr>
            </w:pPr>
            <w:r>
              <w:rPr>
                <w:rFonts w:ascii="Calibri" w:cs="Calibri" w:eastAsia="Calibri" w:hAnsi="Calibri"/>
                <w:sz w:val="16"/>
                <w:szCs w:val="16"/>
                <w:b w:val="1"/>
                <w:bCs w:val="1"/>
                <w:color w:val="auto"/>
              </w:rPr>
              <w:t>3,010</w:t>
            </w:r>
          </w:p>
        </w:tc>
      </w:tr>
      <w:tr>
        <w:trPr>
          <w:trHeight w:val="20"/>
        </w:trPr>
        <w:tc>
          <w:tcPr>
            <w:tcW w:w="7240" w:type="dxa"/>
            <w:vAlign w:val="bottom"/>
            <w:tcBorders>
              <w:bottom w:val="single" w:sz="8" w:color="auto"/>
            </w:tcBorders>
          </w:tcPr>
          <w:p>
            <w:pPr>
              <w:spacing w:after="0" w:line="20" w:lineRule="exact"/>
              <w:rPr>
                <w:sz w:val="1"/>
                <w:szCs w:val="1"/>
                <w:color w:val="auto"/>
              </w:rPr>
            </w:pPr>
          </w:p>
        </w:tc>
        <w:tc>
          <w:tcPr>
            <w:tcW w:w="3280" w:type="dxa"/>
            <w:vAlign w:val="bottom"/>
            <w:tcBorders>
              <w:bottom w:val="single" w:sz="8" w:color="auto"/>
            </w:tcBorders>
          </w:tcPr>
          <w:p>
            <w:pPr>
              <w:spacing w:after="0" w:line="20" w:lineRule="exact"/>
              <w:rPr>
                <w:sz w:val="1"/>
                <w:szCs w:val="1"/>
                <w:color w:val="auto"/>
              </w:rPr>
            </w:pPr>
          </w:p>
        </w:tc>
      </w:tr>
      <w:tr>
        <w:trPr>
          <w:trHeight w:val="191"/>
        </w:trPr>
        <w:tc>
          <w:tcPr>
            <w:tcW w:w="7240" w:type="dxa"/>
            <w:vAlign w:val="bottom"/>
            <w:tcBorders>
              <w:bottom w:val="single" w:sz="8" w:color="auto"/>
            </w:tcBorders>
          </w:tcPr>
          <w:p>
            <w:pPr>
              <w:spacing w:after="0"/>
              <w:rPr>
                <w:sz w:val="16"/>
                <w:szCs w:val="16"/>
                <w:color w:val="auto"/>
              </w:rPr>
            </w:pPr>
          </w:p>
        </w:tc>
        <w:tc>
          <w:tcPr>
            <w:tcW w:w="3280" w:type="dxa"/>
            <w:vAlign w:val="bottom"/>
            <w:tcBorders>
              <w:bottom w:val="single" w:sz="8" w:color="auto"/>
            </w:tcBorders>
          </w:tcPr>
          <w:p>
            <w:pPr>
              <w:jc w:val="right"/>
              <w:spacing w:after="0" w:line="192" w:lineRule="exact"/>
              <w:rPr>
                <w:sz w:val="20"/>
                <w:szCs w:val="20"/>
                <w:color w:val="auto"/>
              </w:rPr>
            </w:pPr>
            <w:r>
              <w:rPr>
                <w:rFonts w:ascii="Calibri" w:cs="Calibri" w:eastAsia="Calibri" w:hAnsi="Calibri"/>
                <w:sz w:val="16"/>
                <w:szCs w:val="16"/>
                <w:b w:val="1"/>
                <w:bCs w:val="1"/>
                <w:color w:val="auto"/>
              </w:rPr>
              <w:t>19,271</w:t>
            </w:r>
          </w:p>
        </w:tc>
      </w:tr>
    </w:tbl>
    <w:p>
      <w:pPr>
        <w:spacing w:after="0" w:line="282" w:lineRule="exact"/>
        <w:rPr>
          <w:sz w:val="20"/>
          <w:szCs w:val="20"/>
          <w:color w:val="auto"/>
        </w:rPr>
      </w:pPr>
    </w:p>
    <w:p>
      <w:pPr>
        <w:jc w:val="both"/>
        <w:ind w:left="220"/>
        <w:spacing w:after="0" w:line="273" w:lineRule="auto"/>
        <w:rPr>
          <w:sz w:val="20"/>
          <w:szCs w:val="20"/>
          <w:color w:val="auto"/>
        </w:rPr>
      </w:pPr>
      <w:r>
        <w:rPr>
          <w:rFonts w:ascii="Calibri" w:cs="Calibri" w:eastAsia="Calibri" w:hAnsi="Calibri"/>
          <w:sz w:val="16"/>
          <w:szCs w:val="16"/>
          <w:color w:val="auto"/>
        </w:rPr>
        <w:t>Although the US federal losses carryforward indefnitely, they are subject to restrictons on their deductbility. The deductbility of the pre-acquisiton loss and the post-acquisiton loss is restricted to 80% of taxable income in the year of deducton. The pre-acquisiton loss is further restricted to an annual limitaton under Secton 382. As at September 30, 2024, the annual limitaton was $144.</w:t>
      </w:r>
    </w:p>
    <w:p>
      <w:pPr>
        <w:spacing w:after="0" w:line="165" w:lineRule="exact"/>
        <w:rPr>
          <w:sz w:val="20"/>
          <w:szCs w:val="20"/>
          <w:color w:val="auto"/>
        </w:rPr>
      </w:pPr>
    </w:p>
    <w:p>
      <w:pPr>
        <w:ind w:left="220"/>
        <w:spacing w:after="0"/>
        <w:rPr>
          <w:sz w:val="20"/>
          <w:szCs w:val="20"/>
          <w:color w:val="auto"/>
        </w:rPr>
      </w:pPr>
      <w:r>
        <w:rPr>
          <w:rFonts w:ascii="Calibri" w:cs="Calibri" w:eastAsia="Calibri" w:hAnsi="Calibri"/>
          <w:sz w:val="16"/>
          <w:szCs w:val="16"/>
          <w:color w:val="auto"/>
        </w:rPr>
        <w:t>Massachusets allows for a 20-year carryforward period for restricted and unrestricted losses without limitaton.</w:t>
      </w:r>
    </w:p>
    <w:p>
      <w:pPr>
        <w:spacing w:after="0" w:line="194" w:lineRule="exact"/>
        <w:rPr>
          <w:sz w:val="20"/>
          <w:szCs w:val="20"/>
          <w:color w:val="auto"/>
        </w:rPr>
      </w:pPr>
    </w:p>
    <w:p>
      <w:pPr>
        <w:jc w:val="both"/>
        <w:ind w:left="220"/>
        <w:spacing w:after="0" w:line="279" w:lineRule="auto"/>
        <w:rPr>
          <w:sz w:val="20"/>
          <w:szCs w:val="20"/>
          <w:color w:val="auto"/>
        </w:rPr>
      </w:pPr>
      <w:r>
        <w:rPr>
          <w:rFonts w:ascii="Calibri" w:cs="Calibri" w:eastAsia="Calibri" w:hAnsi="Calibri"/>
          <w:sz w:val="16"/>
          <w:szCs w:val="16"/>
          <w:color w:val="auto"/>
        </w:rPr>
        <w:t>As at September 30, 2024, the Company has non-capital losses in Ireland, which under certain circumstances can be used to reduce taxable income of future years. The non-capital losses in Ireland , stated in Canadian Dollars, expire as follows:</w:t>
      </w:r>
    </w:p>
    <w:p>
      <w:pPr>
        <w:spacing w:after="0" w:line="305" w:lineRule="exact"/>
        <w:rPr>
          <w:sz w:val="20"/>
          <w:szCs w:val="20"/>
          <w:color w:val="auto"/>
        </w:rPr>
      </w:pPr>
    </w:p>
    <w:tbl>
      <w:tblPr>
        <w:tblLayout w:type="fixed"/>
        <w:tblInd w:w="220" w:type="dxa"/>
        <w:tblCellMar>
          <w:top w:w="0" w:type="dxa"/>
          <w:left w:w="0" w:type="dxa"/>
          <w:bottom w:w="0" w:type="dxa"/>
          <w:right w:w="0" w:type="dxa"/>
        </w:tblCellMar>
      </w:tblPr>
      <w:tr>
        <w:trPr>
          <w:trHeight w:val="195"/>
        </w:trPr>
        <w:tc>
          <w:tcPr>
            <w:tcW w:w="5540" w:type="dxa"/>
            <w:vAlign w:val="bottom"/>
          </w:tcPr>
          <w:p>
            <w:pPr>
              <w:ind w:left="20"/>
              <w:spacing w:after="0"/>
              <w:rPr>
                <w:sz w:val="20"/>
                <w:szCs w:val="20"/>
                <w:color w:val="auto"/>
              </w:rPr>
            </w:pPr>
            <w:r>
              <w:rPr>
                <w:rFonts w:ascii="Calibri" w:cs="Calibri" w:eastAsia="Calibri" w:hAnsi="Calibri"/>
                <w:sz w:val="16"/>
                <w:szCs w:val="16"/>
                <w:b w:val="1"/>
                <w:bCs w:val="1"/>
                <w:color w:val="auto"/>
              </w:rPr>
              <w:t>Year of expiry</w:t>
            </w:r>
          </w:p>
        </w:tc>
        <w:tc>
          <w:tcPr>
            <w:tcW w:w="5120" w:type="dxa"/>
            <w:vAlign w:val="bottom"/>
            <w:vMerge w:val="restart"/>
          </w:tcPr>
          <w:p>
            <w:pPr>
              <w:jc w:val="right"/>
              <w:spacing w:after="0"/>
              <w:rPr>
                <w:sz w:val="20"/>
                <w:szCs w:val="20"/>
                <w:color w:val="auto"/>
              </w:rPr>
            </w:pPr>
            <w:r>
              <w:rPr>
                <w:rFonts w:ascii="Calibri" w:cs="Calibri" w:eastAsia="Calibri" w:hAnsi="Calibri"/>
                <w:sz w:val="16"/>
                <w:szCs w:val="16"/>
                <w:b w:val="1"/>
                <w:bCs w:val="1"/>
                <w:color w:val="auto"/>
              </w:rPr>
              <w:t>$</w:t>
            </w:r>
          </w:p>
        </w:tc>
        <w:tc>
          <w:tcPr>
            <w:tcW w:w="0" w:type="dxa"/>
            <w:vAlign w:val="bottom"/>
          </w:tcPr>
          <w:p>
            <w:pPr>
              <w:spacing w:after="0"/>
              <w:rPr>
                <w:sz w:val="1"/>
                <w:szCs w:val="1"/>
                <w:color w:val="auto"/>
              </w:rPr>
            </w:pPr>
          </w:p>
        </w:tc>
      </w:tr>
      <w:tr>
        <w:trPr>
          <w:trHeight w:val="60"/>
        </w:trPr>
        <w:tc>
          <w:tcPr>
            <w:tcW w:w="5540" w:type="dxa"/>
            <w:vAlign w:val="bottom"/>
          </w:tcPr>
          <w:p>
            <w:pPr>
              <w:spacing w:after="0"/>
              <w:rPr>
                <w:sz w:val="5"/>
                <w:szCs w:val="5"/>
                <w:color w:val="auto"/>
              </w:rPr>
            </w:pPr>
          </w:p>
        </w:tc>
        <w:tc>
          <w:tcPr>
            <w:tcW w:w="512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0"/>
        </w:trPr>
        <w:tc>
          <w:tcPr>
            <w:tcW w:w="5540" w:type="dxa"/>
            <w:vAlign w:val="bottom"/>
            <w:tcBorders>
              <w:bottom w:val="single" w:sz="8" w:color="auto"/>
            </w:tcBorders>
          </w:tcPr>
          <w:p>
            <w:pPr>
              <w:spacing w:after="0" w:line="20" w:lineRule="exact"/>
              <w:rPr>
                <w:sz w:val="1"/>
                <w:szCs w:val="1"/>
                <w:color w:val="auto"/>
              </w:rPr>
            </w:pPr>
          </w:p>
        </w:tc>
        <w:tc>
          <w:tcPr>
            <w:tcW w:w="5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5"/>
        </w:trPr>
        <w:tc>
          <w:tcPr>
            <w:tcW w:w="5540" w:type="dxa"/>
            <w:vAlign w:val="bottom"/>
            <w:vMerge w:val="restart"/>
          </w:tcPr>
          <w:p>
            <w:pPr>
              <w:ind w:left="20"/>
              <w:spacing w:after="0"/>
              <w:rPr>
                <w:sz w:val="20"/>
                <w:szCs w:val="20"/>
                <w:color w:val="auto"/>
              </w:rPr>
            </w:pPr>
            <w:r>
              <w:rPr>
                <w:rFonts w:ascii="Calibri" w:cs="Calibri" w:eastAsia="Calibri" w:hAnsi="Calibri"/>
                <w:sz w:val="16"/>
                <w:szCs w:val="16"/>
                <w:color w:val="auto"/>
              </w:rPr>
              <w:t>2042</w:t>
            </w:r>
          </w:p>
        </w:tc>
        <w:tc>
          <w:tcPr>
            <w:tcW w:w="5120" w:type="dxa"/>
            <w:vAlign w:val="bottom"/>
          </w:tcPr>
          <w:p>
            <w:pPr>
              <w:jc w:val="right"/>
              <w:spacing w:after="0" w:line="185" w:lineRule="exact"/>
              <w:rPr>
                <w:sz w:val="20"/>
                <w:szCs w:val="20"/>
                <w:color w:val="auto"/>
              </w:rPr>
            </w:pPr>
            <w:r>
              <w:rPr>
                <w:rFonts w:ascii="Calibri" w:cs="Calibri" w:eastAsia="Calibri" w:hAnsi="Calibri"/>
                <w:sz w:val="16"/>
                <w:szCs w:val="16"/>
                <w:b w:val="1"/>
                <w:bCs w:val="1"/>
                <w:color w:val="auto"/>
              </w:rPr>
              <w:t>22,965</w:t>
            </w:r>
          </w:p>
        </w:tc>
        <w:tc>
          <w:tcPr>
            <w:tcW w:w="0" w:type="dxa"/>
            <w:vAlign w:val="bottom"/>
          </w:tcPr>
          <w:p>
            <w:pPr>
              <w:spacing w:after="0"/>
              <w:rPr>
                <w:sz w:val="1"/>
                <w:szCs w:val="1"/>
                <w:color w:val="auto"/>
              </w:rPr>
            </w:pPr>
          </w:p>
        </w:tc>
      </w:tr>
      <w:tr>
        <w:trPr>
          <w:trHeight w:val="53"/>
        </w:trPr>
        <w:tc>
          <w:tcPr>
            <w:tcW w:w="5540" w:type="dxa"/>
            <w:vAlign w:val="bottom"/>
            <w:vMerge w:val="continue"/>
          </w:tcPr>
          <w:p>
            <w:pPr>
              <w:spacing w:after="0"/>
              <w:rPr>
                <w:sz w:val="4"/>
                <w:szCs w:val="4"/>
                <w:color w:val="auto"/>
              </w:rPr>
            </w:pPr>
          </w:p>
        </w:tc>
        <w:tc>
          <w:tcPr>
            <w:tcW w:w="51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6"/>
        </w:trPr>
        <w:tc>
          <w:tcPr>
            <w:tcW w:w="5540" w:type="dxa"/>
            <w:vAlign w:val="bottom"/>
            <w:vMerge w:val="restart"/>
          </w:tcPr>
          <w:p>
            <w:pPr>
              <w:ind w:left="20"/>
              <w:spacing w:after="0"/>
              <w:rPr>
                <w:sz w:val="20"/>
                <w:szCs w:val="20"/>
                <w:color w:val="auto"/>
              </w:rPr>
            </w:pPr>
            <w:r>
              <w:rPr>
                <w:rFonts w:ascii="Calibri" w:cs="Calibri" w:eastAsia="Calibri" w:hAnsi="Calibri"/>
                <w:sz w:val="16"/>
                <w:szCs w:val="16"/>
                <w:color w:val="auto"/>
              </w:rPr>
              <w:t>2043</w:t>
            </w:r>
          </w:p>
        </w:tc>
        <w:tc>
          <w:tcPr>
            <w:tcW w:w="5120" w:type="dxa"/>
            <w:vAlign w:val="bottom"/>
          </w:tcPr>
          <w:p>
            <w:pPr>
              <w:jc w:val="right"/>
              <w:spacing w:after="0"/>
              <w:rPr>
                <w:sz w:val="20"/>
                <w:szCs w:val="20"/>
                <w:color w:val="auto"/>
              </w:rPr>
            </w:pPr>
            <w:r>
              <w:rPr>
                <w:rFonts w:ascii="Calibri" w:cs="Calibri" w:eastAsia="Calibri" w:hAnsi="Calibri"/>
                <w:sz w:val="16"/>
                <w:szCs w:val="16"/>
                <w:b w:val="1"/>
                <w:bCs w:val="1"/>
                <w:color w:val="auto"/>
              </w:rPr>
              <w:t>23,017</w:t>
            </w:r>
          </w:p>
        </w:tc>
        <w:tc>
          <w:tcPr>
            <w:tcW w:w="0" w:type="dxa"/>
            <w:vAlign w:val="bottom"/>
          </w:tcPr>
          <w:p>
            <w:pPr>
              <w:spacing w:after="0"/>
              <w:rPr>
                <w:sz w:val="1"/>
                <w:szCs w:val="1"/>
                <w:color w:val="auto"/>
              </w:rPr>
            </w:pPr>
          </w:p>
        </w:tc>
      </w:tr>
      <w:tr>
        <w:trPr>
          <w:trHeight w:val="73"/>
        </w:trPr>
        <w:tc>
          <w:tcPr>
            <w:tcW w:w="5540" w:type="dxa"/>
            <w:vAlign w:val="bottom"/>
            <w:vMerge w:val="continue"/>
          </w:tcPr>
          <w:p>
            <w:pPr>
              <w:spacing w:after="0"/>
              <w:rPr>
                <w:sz w:val="6"/>
                <w:szCs w:val="6"/>
                <w:color w:val="auto"/>
              </w:rPr>
            </w:pPr>
          </w:p>
        </w:tc>
        <w:tc>
          <w:tcPr>
            <w:tcW w:w="51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66"/>
        </w:trPr>
        <w:tc>
          <w:tcPr>
            <w:tcW w:w="5540" w:type="dxa"/>
            <w:vAlign w:val="bottom"/>
            <w:vMerge w:val="restart"/>
          </w:tcPr>
          <w:p>
            <w:pPr>
              <w:ind w:left="20"/>
              <w:spacing w:after="0"/>
              <w:rPr>
                <w:sz w:val="20"/>
                <w:szCs w:val="20"/>
                <w:color w:val="auto"/>
              </w:rPr>
            </w:pPr>
            <w:r>
              <w:rPr>
                <w:rFonts w:ascii="Calibri" w:cs="Calibri" w:eastAsia="Calibri" w:hAnsi="Calibri"/>
                <w:sz w:val="16"/>
                <w:szCs w:val="16"/>
                <w:color w:val="auto"/>
              </w:rPr>
              <w:t>2044</w:t>
            </w:r>
          </w:p>
        </w:tc>
        <w:tc>
          <w:tcPr>
            <w:tcW w:w="5120" w:type="dxa"/>
            <w:vAlign w:val="bottom"/>
          </w:tcPr>
          <w:p>
            <w:pPr>
              <w:jc w:val="right"/>
              <w:spacing w:after="0"/>
              <w:rPr>
                <w:sz w:val="20"/>
                <w:szCs w:val="20"/>
                <w:color w:val="auto"/>
              </w:rPr>
            </w:pPr>
            <w:r>
              <w:rPr>
                <w:rFonts w:ascii="Calibri" w:cs="Calibri" w:eastAsia="Calibri" w:hAnsi="Calibri"/>
                <w:sz w:val="16"/>
                <w:szCs w:val="16"/>
                <w:b w:val="1"/>
                <w:bCs w:val="1"/>
                <w:color w:val="auto"/>
              </w:rPr>
              <w:t>33,857</w:t>
            </w:r>
          </w:p>
        </w:tc>
        <w:tc>
          <w:tcPr>
            <w:tcW w:w="0" w:type="dxa"/>
            <w:vAlign w:val="bottom"/>
          </w:tcPr>
          <w:p>
            <w:pPr>
              <w:spacing w:after="0"/>
              <w:rPr>
                <w:sz w:val="1"/>
                <w:szCs w:val="1"/>
                <w:color w:val="auto"/>
              </w:rPr>
            </w:pPr>
          </w:p>
        </w:tc>
      </w:tr>
      <w:tr>
        <w:trPr>
          <w:trHeight w:val="73"/>
        </w:trPr>
        <w:tc>
          <w:tcPr>
            <w:tcW w:w="5540" w:type="dxa"/>
            <w:vAlign w:val="bottom"/>
            <w:vMerge w:val="continue"/>
          </w:tcPr>
          <w:p>
            <w:pPr>
              <w:spacing w:after="0"/>
              <w:rPr>
                <w:sz w:val="6"/>
                <w:szCs w:val="6"/>
                <w:color w:val="auto"/>
              </w:rPr>
            </w:pPr>
          </w:p>
        </w:tc>
        <w:tc>
          <w:tcPr>
            <w:tcW w:w="51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66"/>
        </w:trPr>
        <w:tc>
          <w:tcPr>
            <w:tcW w:w="5540" w:type="dxa"/>
            <w:vAlign w:val="bottom"/>
            <w:vMerge w:val="restart"/>
          </w:tcPr>
          <w:p>
            <w:pPr>
              <w:ind w:left="20"/>
              <w:spacing w:after="0"/>
              <w:rPr>
                <w:sz w:val="20"/>
                <w:szCs w:val="20"/>
                <w:color w:val="auto"/>
              </w:rPr>
            </w:pPr>
            <w:r>
              <w:rPr>
                <w:rFonts w:ascii="Calibri" w:cs="Calibri" w:eastAsia="Calibri" w:hAnsi="Calibri"/>
                <w:sz w:val="16"/>
                <w:szCs w:val="16"/>
                <w:color w:val="auto"/>
              </w:rPr>
              <w:t>2045</w:t>
            </w:r>
          </w:p>
        </w:tc>
        <w:tc>
          <w:tcPr>
            <w:tcW w:w="5120" w:type="dxa"/>
            <w:vAlign w:val="bottom"/>
          </w:tcPr>
          <w:p>
            <w:pPr>
              <w:jc w:val="right"/>
              <w:spacing w:after="0"/>
              <w:rPr>
                <w:sz w:val="20"/>
                <w:szCs w:val="20"/>
                <w:color w:val="auto"/>
              </w:rPr>
            </w:pPr>
            <w:r>
              <w:rPr>
                <w:rFonts w:ascii="Calibri" w:cs="Calibri" w:eastAsia="Calibri" w:hAnsi="Calibri"/>
                <w:sz w:val="16"/>
                <w:szCs w:val="16"/>
                <w:b w:val="1"/>
                <w:bCs w:val="1"/>
                <w:color w:val="auto"/>
              </w:rPr>
              <w:t>18,572</w:t>
            </w:r>
          </w:p>
        </w:tc>
        <w:tc>
          <w:tcPr>
            <w:tcW w:w="0" w:type="dxa"/>
            <w:vAlign w:val="bottom"/>
          </w:tcPr>
          <w:p>
            <w:pPr>
              <w:spacing w:after="0"/>
              <w:rPr>
                <w:sz w:val="1"/>
                <w:szCs w:val="1"/>
                <w:color w:val="auto"/>
              </w:rPr>
            </w:pPr>
          </w:p>
        </w:tc>
      </w:tr>
      <w:tr>
        <w:trPr>
          <w:trHeight w:val="73"/>
        </w:trPr>
        <w:tc>
          <w:tcPr>
            <w:tcW w:w="5540" w:type="dxa"/>
            <w:vAlign w:val="bottom"/>
            <w:vMerge w:val="continue"/>
          </w:tcPr>
          <w:p>
            <w:pPr>
              <w:spacing w:after="0"/>
              <w:rPr>
                <w:sz w:val="6"/>
                <w:szCs w:val="6"/>
                <w:color w:val="auto"/>
              </w:rPr>
            </w:pPr>
          </w:p>
        </w:tc>
        <w:tc>
          <w:tcPr>
            <w:tcW w:w="51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81"/>
        </w:trPr>
        <w:tc>
          <w:tcPr>
            <w:tcW w:w="5540" w:type="dxa"/>
            <w:vAlign w:val="bottom"/>
            <w:tcBorders>
              <w:bottom w:val="single" w:sz="8" w:color="auto"/>
            </w:tcBorders>
          </w:tcPr>
          <w:p>
            <w:pPr>
              <w:spacing w:after="0"/>
              <w:rPr>
                <w:sz w:val="7"/>
                <w:szCs w:val="7"/>
                <w:color w:val="auto"/>
              </w:rPr>
            </w:pPr>
          </w:p>
        </w:tc>
        <w:tc>
          <w:tcPr>
            <w:tcW w:w="5120" w:type="dxa"/>
            <w:vAlign w:val="bottom"/>
            <w:tcBorders>
              <w:bottom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191"/>
        </w:trPr>
        <w:tc>
          <w:tcPr>
            <w:tcW w:w="5540" w:type="dxa"/>
            <w:vAlign w:val="bottom"/>
            <w:tcBorders>
              <w:bottom w:val="single" w:sz="8" w:color="auto"/>
            </w:tcBorders>
          </w:tcPr>
          <w:p>
            <w:pPr>
              <w:spacing w:after="0"/>
              <w:rPr>
                <w:sz w:val="16"/>
                <w:szCs w:val="16"/>
                <w:color w:val="auto"/>
              </w:rPr>
            </w:pPr>
          </w:p>
        </w:tc>
        <w:tc>
          <w:tcPr>
            <w:tcW w:w="5120" w:type="dxa"/>
            <w:vAlign w:val="bottom"/>
            <w:tcBorders>
              <w:bottom w:val="single" w:sz="8" w:color="auto"/>
            </w:tcBorders>
          </w:tcPr>
          <w:p>
            <w:pPr>
              <w:jc w:val="right"/>
              <w:spacing w:after="0" w:line="192" w:lineRule="exact"/>
              <w:rPr>
                <w:sz w:val="20"/>
                <w:szCs w:val="20"/>
                <w:color w:val="auto"/>
              </w:rPr>
            </w:pPr>
            <w:r>
              <w:rPr>
                <w:rFonts w:ascii="Calibri" w:cs="Calibri" w:eastAsia="Calibri" w:hAnsi="Calibri"/>
                <w:sz w:val="16"/>
                <w:szCs w:val="16"/>
                <w:b w:val="1"/>
                <w:bCs w:val="1"/>
                <w:color w:val="auto"/>
              </w:rPr>
              <w:t>98,411</w:t>
            </w:r>
          </w:p>
        </w:tc>
        <w:tc>
          <w:tcPr>
            <w:tcW w:w="0" w:type="dxa"/>
            <w:vAlign w:val="bottom"/>
          </w:tcPr>
          <w:p>
            <w:pPr>
              <w:spacing w:after="0"/>
              <w:rPr>
                <w:sz w:val="1"/>
                <w:szCs w:val="1"/>
                <w:color w:val="auto"/>
              </w:rPr>
            </w:pPr>
          </w:p>
        </w:tc>
      </w:tr>
    </w:tbl>
    <w:p>
      <w:pPr>
        <w:spacing w:after="0" w:line="234" w:lineRule="exact"/>
        <w:rPr>
          <w:sz w:val="20"/>
          <w:szCs w:val="20"/>
          <w:color w:val="auto"/>
        </w:rPr>
      </w:pPr>
    </w:p>
    <w:p>
      <w:pPr>
        <w:ind w:left="220"/>
        <w:spacing w:after="0" w:line="249" w:lineRule="auto"/>
        <w:rPr>
          <w:sz w:val="20"/>
          <w:szCs w:val="20"/>
          <w:color w:val="auto"/>
        </w:rPr>
      </w:pPr>
      <w:r>
        <w:rPr>
          <w:rFonts w:ascii="Calibri" w:cs="Calibri" w:eastAsia="Calibri" w:hAnsi="Calibri"/>
          <w:sz w:val="16"/>
          <w:szCs w:val="16"/>
          <w:color w:val="auto"/>
        </w:rPr>
        <w:t>As at September 30, 2024 the Company had $41,640 of non-capital losses in UK which under certain circumstances can be used to reduce the taxable income of future years. These losses do not expire.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ind w:right="180"/>
        <w:spacing w:after="0"/>
        <w:rPr>
          <w:sz w:val="20"/>
          <w:szCs w:val="20"/>
          <w:color w:val="auto"/>
        </w:rPr>
      </w:pPr>
      <w:r>
        <w:rPr>
          <w:rFonts w:ascii="Calibri" w:cs="Calibri" w:eastAsia="Calibri" w:hAnsi="Calibri"/>
          <w:sz w:val="16"/>
          <w:szCs w:val="16"/>
          <w:b w:val="1"/>
          <w:bCs w:val="1"/>
          <w:color w:val="auto"/>
        </w:rPr>
        <w:t>Page 23 of 23</w:t>
      </w:r>
    </w:p>
    <w:p>
      <w:pPr>
        <w:sectPr>
          <w:pgSz w:w="11900" w:h="16838" w:orient="portrait"/>
          <w:cols w:equalWidth="0" w:num="1">
            <w:col w:w="11180"/>
          </w:cols>
          <w:pgMar w:left="380" w:top="209" w:right="339" w:bottom="1440" w:gutter="0" w:footer="0" w:header="0"/>
        </w:sectPr>
      </w:pPr>
    </w:p>
    <w:bookmarkStart w:id="26" w:name="page27"/>
    <w:bookmarkEnd w:id="26"/>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3126105</wp:posOffset>
            </wp:positionH>
            <wp:positionV relativeFrom="page">
              <wp:posOffset>2737485</wp:posOffset>
            </wp:positionV>
            <wp:extent cx="1304925" cy="76009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clrChange>
                        <a:clrFrom>
                          <a:srgbClr val="FFFFFF"/>
                        </a:clrFrom>
                        <a:clrTo>
                          <a:srgbClr val="FFFFFF">
                            <a:alpha val="0"/>
                          </a:srgbClr>
                        </a:clrTo>
                      </a:clrChange>
                      <a:extLst>
                        <a:ext uri="{28A0092B-C50C-407E-A947-70E740481C1C}"/>
                      </a:extLst>
                    </a:blip>
                    <a:srcRect/>
                    <a:stretch>
                      <a:fillRect/>
                    </a:stretch>
                  </pic:blipFill>
                  <pic:spPr bwMode="auto">
                    <a:xfrm>
                      <a:off x="0" y="0"/>
                      <a:ext cx="1304925" cy="7600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Cybin Inc.</w:t>
      </w:r>
    </w:p>
    <w:p>
      <w:pPr>
        <w:spacing w:after="0" w:line="200" w:lineRule="exact"/>
        <w:rPr>
          <w:sz w:val="20"/>
          <w:szCs w:val="20"/>
          <w:color w:val="auto"/>
        </w:rPr>
      </w:pPr>
    </w:p>
    <w:p>
      <w:pPr>
        <w:spacing w:after="0" w:line="30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Management’s Discussion and Analysis</w:t>
      </w:r>
    </w:p>
    <w:p>
      <w:pPr>
        <w:spacing w:after="0" w:line="3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of Financial Condition and Operating Performance</w:t>
      </w:r>
    </w:p>
    <w:p>
      <w:pPr>
        <w:spacing w:after="0" w:line="24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For the three and six months ended September 30, 2024</w:t>
      </w:r>
    </w:p>
    <w:p>
      <w:pPr>
        <w:spacing w:after="0" w:line="26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Date: November 12, 2024</w:t>
      </w:r>
    </w:p>
    <w:p>
      <w:pPr>
        <w:sectPr>
          <w:pgSz w:w="11900" w:h="16838" w:orient="portrait"/>
          <w:cols w:equalWidth="0" w:num="1">
            <w:col w:w="9019"/>
          </w:cols>
          <w:pgMar w:left="1440" w:top="1440" w:right="1440" w:bottom="1440" w:gutter="0" w:footer="0" w:header="0"/>
        </w:sectPr>
      </w:pPr>
    </w:p>
    <w:bookmarkStart w:id="27" w:name="page28"/>
    <w:bookmarkEnd w:id="27"/>
    <w:p>
      <w:pPr>
        <w:jc w:val="center"/>
        <w:spacing w:after="0"/>
        <w:rPr>
          <w:sz w:val="20"/>
          <w:szCs w:val="20"/>
          <w:color w:val="auto"/>
        </w:rPr>
      </w:pPr>
      <w:r>
        <w:rPr>
          <w:rFonts w:ascii="Times New Roman" w:cs="Times New Roman" w:eastAsia="Times New Roman" w:hAnsi="Times New Roman"/>
          <w:sz w:val="18"/>
          <w:szCs w:val="18"/>
          <w:b w:val="1"/>
          <w:bCs w:val="1"/>
          <w:color w:val="auto"/>
        </w:rPr>
        <w:t>CYBIN INC.</w:t>
      </w:r>
    </w:p>
    <w:p>
      <w:pPr>
        <w:spacing w:after="0" w:line="2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MANAGEMENT’S DISCUSSION AND ANALYSIS</w:t>
      </w:r>
    </w:p>
    <w:p>
      <w:pPr>
        <w:spacing w:after="0" w:line="228" w:lineRule="exact"/>
        <w:rPr>
          <w:sz w:val="20"/>
          <w:szCs w:val="20"/>
          <w:color w:val="auto"/>
        </w:rPr>
      </w:pPr>
    </w:p>
    <w:p>
      <w:pPr>
        <w:jc w:val="both"/>
        <w:spacing w:after="0" w:line="292" w:lineRule="auto"/>
        <w:rPr>
          <w:sz w:val="20"/>
          <w:szCs w:val="20"/>
          <w:color w:val="auto"/>
        </w:rPr>
      </w:pPr>
      <w:r>
        <w:rPr>
          <w:rFonts w:ascii="Times New Roman" w:cs="Times New Roman" w:eastAsia="Times New Roman" w:hAnsi="Times New Roman"/>
          <w:sz w:val="18"/>
          <w:szCs w:val="18"/>
          <w:color w:val="auto"/>
        </w:rPr>
        <w:t>This Management’s Discussion and Analysis (“</w:t>
      </w:r>
      <w:r>
        <w:rPr>
          <w:rFonts w:ascii="Times New Roman" w:cs="Times New Roman" w:eastAsia="Times New Roman" w:hAnsi="Times New Roman"/>
          <w:sz w:val="18"/>
          <w:szCs w:val="18"/>
          <w:b w:val="1"/>
          <w:bCs w:val="1"/>
          <w:color w:val="auto"/>
        </w:rPr>
        <w:t>MD&amp;A</w:t>
      </w:r>
      <w:r>
        <w:rPr>
          <w:rFonts w:ascii="Times New Roman" w:cs="Times New Roman" w:eastAsia="Times New Roman" w:hAnsi="Times New Roman"/>
          <w:sz w:val="18"/>
          <w:szCs w:val="18"/>
          <w:color w:val="auto"/>
        </w:rPr>
        <w:t>”) has been prepared by management of Cybin Inc. (“</w:t>
      </w:r>
      <w:r>
        <w:rPr>
          <w:rFonts w:ascii="Times New Roman" w:cs="Times New Roman" w:eastAsia="Times New Roman" w:hAnsi="Times New Roman"/>
          <w:sz w:val="18"/>
          <w:szCs w:val="18"/>
          <w:b w:val="1"/>
          <w:bCs w:val="1"/>
          <w:color w:val="auto"/>
        </w:rPr>
        <w:t>Cybin</w:t>
      </w:r>
      <w:r>
        <w:rPr>
          <w:rFonts w:ascii="Times New Roman" w:cs="Times New Roman" w:eastAsia="Times New Roman" w:hAnsi="Times New Roman"/>
          <w:sz w:val="18"/>
          <w:szCs w:val="18"/>
          <w:color w:val="auto"/>
        </w:rPr>
        <w:t>” or the “</w:t>
      </w:r>
      <w:r>
        <w:rPr>
          <w:rFonts w:ascii="Times New Roman" w:cs="Times New Roman" w:eastAsia="Times New Roman" w:hAnsi="Times New Roman"/>
          <w:sz w:val="18"/>
          <w:szCs w:val="18"/>
          <w:b w:val="1"/>
          <w:bCs w:val="1"/>
          <w:color w:val="auto"/>
        </w:rPr>
        <w:t>Company</w:t>
      </w:r>
      <w:r>
        <w:rPr>
          <w:rFonts w:ascii="Times New Roman" w:cs="Times New Roman" w:eastAsia="Times New Roman" w:hAnsi="Times New Roman"/>
          <w:sz w:val="18"/>
          <w:szCs w:val="18"/>
          <w:color w:val="auto"/>
        </w:rPr>
        <w:t>”) and should be read in conjunction with Cybin’s unaudited condensed interim consolidated financial statements and notes for the three and six months ended September 30, 2024 (the “ Financial Statements”). This MD&amp;A does not address all of the changes to the Company and its business, such changes are addressed in the Company’s most recently filed annual information form (the “</w:t>
      </w:r>
      <w:r>
        <w:rPr>
          <w:rFonts w:ascii="Times New Roman" w:cs="Times New Roman" w:eastAsia="Times New Roman" w:hAnsi="Times New Roman"/>
          <w:sz w:val="18"/>
          <w:szCs w:val="18"/>
          <w:b w:val="1"/>
          <w:bCs w:val="1"/>
          <w:color w:val="auto"/>
        </w:rPr>
        <w:t>AIF</w:t>
      </w:r>
      <w:r>
        <w:rPr>
          <w:rFonts w:ascii="Times New Roman" w:cs="Times New Roman" w:eastAsia="Times New Roman" w:hAnsi="Times New Roman"/>
          <w:sz w:val="18"/>
          <w:szCs w:val="18"/>
          <w:color w:val="auto"/>
        </w:rPr>
        <w:t>”) on SEDAR+. The Financial Statements have been prepared using International Financial Reporting Standards (“</w:t>
      </w:r>
      <w:r>
        <w:rPr>
          <w:rFonts w:ascii="Times New Roman" w:cs="Times New Roman" w:eastAsia="Times New Roman" w:hAnsi="Times New Roman"/>
          <w:sz w:val="18"/>
          <w:szCs w:val="18"/>
          <w:b w:val="1"/>
          <w:bCs w:val="1"/>
          <w:color w:val="auto"/>
        </w:rPr>
        <w:t>IFRS</w:t>
      </w:r>
      <w:r>
        <w:rPr>
          <w:rFonts w:ascii="Times New Roman" w:cs="Times New Roman" w:eastAsia="Times New Roman" w:hAnsi="Times New Roman"/>
          <w:sz w:val="18"/>
          <w:szCs w:val="18"/>
          <w:color w:val="auto"/>
        </w:rPr>
        <w:t>”) as issued by the International Accounting Standards Board. All amounts are in Canadian dollars unless otherwise indicated. The Financial Statements may be viewed on the SEDAR+ profile of Cybin at www.sedarplus.ca.</w:t>
      </w:r>
    </w:p>
    <w:p>
      <w:pPr>
        <w:spacing w:after="0" w:line="183" w:lineRule="exact"/>
        <w:rPr>
          <w:sz w:val="20"/>
          <w:szCs w:val="20"/>
          <w:color w:val="auto"/>
        </w:rPr>
      </w:pPr>
    </w:p>
    <w:p>
      <w:pPr>
        <w:jc w:val="both"/>
        <w:ind w:right="20"/>
        <w:spacing w:after="0" w:line="323" w:lineRule="auto"/>
        <w:rPr>
          <w:sz w:val="20"/>
          <w:szCs w:val="20"/>
          <w:color w:val="auto"/>
        </w:rPr>
      </w:pPr>
      <w:r>
        <w:rPr>
          <w:rFonts w:ascii="Times New Roman" w:cs="Times New Roman" w:eastAsia="Times New Roman" w:hAnsi="Times New Roman"/>
          <w:sz w:val="18"/>
          <w:szCs w:val="18"/>
          <w:color w:val="auto"/>
        </w:rPr>
        <w:t>This MD&amp;A contains disclosure related to Cybin occurring up to and including November 12, 2024. Unless otherwise indicated, all amounts in this MD&amp;A are in thousands of Canadian dollars.</w:t>
      </w:r>
    </w:p>
    <w:p>
      <w:pPr>
        <w:spacing w:after="0" w:line="132" w:lineRule="exact"/>
        <w:rPr>
          <w:sz w:val="20"/>
          <w:szCs w:val="20"/>
          <w:color w:val="auto"/>
        </w:rPr>
      </w:pPr>
    </w:p>
    <w:p>
      <w:pPr>
        <w:jc w:val="both"/>
        <w:spacing w:after="0" w:line="290" w:lineRule="auto"/>
        <w:rPr>
          <w:sz w:val="20"/>
          <w:szCs w:val="20"/>
          <w:color w:val="auto"/>
        </w:rPr>
      </w:pPr>
      <w:r>
        <w:rPr>
          <w:rFonts w:ascii="Times New Roman" w:cs="Times New Roman" w:eastAsia="Times New Roman" w:hAnsi="Times New Roman"/>
          <w:sz w:val="18"/>
          <w:szCs w:val="18"/>
          <w:color w:val="auto"/>
        </w:rPr>
        <w:t>Cybin was incorporated under the laws of the Province of British Columbia. Its wholly owned subsidiary, Cybin Corp. was incorporated under the laws of the Province of Ontario. Prior to November 5, 2020, the Company’s operations were conducted through Cybin Corp. On November 5, 2020, the Company completed a reverse takeover transaction pursuant to the terms of an amalgamation agreement dated June 26, 2020, as amended on October 21, 2020, among the Company, Cybin Corp. and 2762898 Ontario Inc. (“</w:t>
      </w:r>
      <w:r>
        <w:rPr>
          <w:rFonts w:ascii="Times New Roman" w:cs="Times New Roman" w:eastAsia="Times New Roman" w:hAnsi="Times New Roman"/>
          <w:sz w:val="18"/>
          <w:szCs w:val="18"/>
          <w:b w:val="1"/>
          <w:bCs w:val="1"/>
          <w:color w:val="auto"/>
        </w:rPr>
        <w:t>SubCo</w:t>
      </w:r>
      <w:r>
        <w:rPr>
          <w:rFonts w:ascii="Times New Roman" w:cs="Times New Roman" w:eastAsia="Times New Roman" w:hAnsi="Times New Roman"/>
          <w:sz w:val="18"/>
          <w:szCs w:val="18"/>
          <w:color w:val="auto"/>
        </w:rPr>
        <w:t>”), a wholly-owned subsidiary of the Company (the “</w:t>
      </w:r>
      <w:r>
        <w:rPr>
          <w:rFonts w:ascii="Times New Roman" w:cs="Times New Roman" w:eastAsia="Times New Roman" w:hAnsi="Times New Roman"/>
          <w:sz w:val="18"/>
          <w:szCs w:val="18"/>
          <w:b w:val="1"/>
          <w:bCs w:val="1"/>
          <w:color w:val="auto"/>
        </w:rPr>
        <w:t>Reverse Takeover</w:t>
      </w:r>
      <w:r>
        <w:rPr>
          <w:rFonts w:ascii="Times New Roman" w:cs="Times New Roman" w:eastAsia="Times New Roman" w:hAnsi="Times New Roman"/>
          <w:sz w:val="18"/>
          <w:szCs w:val="18"/>
          <w:color w:val="auto"/>
        </w:rPr>
        <w:t xml:space="preserve">”). The Reverse Takeover was completed by way of a “three-cornered” amalgamation pursuant to the provisions of the </w:t>
      </w:r>
      <w:r>
        <w:rPr>
          <w:rFonts w:ascii="Times New Roman" w:cs="Times New Roman" w:eastAsia="Times New Roman" w:hAnsi="Times New Roman"/>
          <w:sz w:val="18"/>
          <w:szCs w:val="18"/>
          <w:i w:val="1"/>
          <w:iCs w:val="1"/>
          <w:color w:val="auto"/>
        </w:rPr>
        <w:t>Business Corporations Act</w:t>
      </w:r>
      <w:r>
        <w:rPr>
          <w:rFonts w:ascii="Times New Roman" w:cs="Times New Roman" w:eastAsia="Times New Roman" w:hAnsi="Times New Roman"/>
          <w:sz w:val="18"/>
          <w:szCs w:val="18"/>
          <w:color w:val="auto"/>
        </w:rPr>
        <w:t xml:space="preserve"> (Ontario) whereby Cybin Corp. amalgamated with SubCo to form an amalgamated corporation and a wholly owned subsidiary of the Company. Cybin Corp. is deemed to be the acquirer in the Reverse Takeover. As a result, the consolidated statements of financial position are presented as a continuance of Cybin Corp. and the comparative figures presented are those of Cybin Corp.</w:t>
      </w:r>
    </w:p>
    <w:p>
      <w:pPr>
        <w:spacing w:after="0" w:line="1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FORWARD-LOOKING STATEMENTS</w:t>
      </w:r>
    </w:p>
    <w:p>
      <w:pPr>
        <w:spacing w:after="0" w:line="230" w:lineRule="exact"/>
        <w:rPr>
          <w:sz w:val="20"/>
          <w:szCs w:val="20"/>
          <w:color w:val="auto"/>
        </w:rPr>
      </w:pPr>
    </w:p>
    <w:p>
      <w:pPr>
        <w:jc w:val="both"/>
        <w:spacing w:after="0" w:line="290" w:lineRule="auto"/>
        <w:rPr>
          <w:sz w:val="20"/>
          <w:szCs w:val="20"/>
          <w:color w:val="auto"/>
        </w:rPr>
      </w:pPr>
      <w:r>
        <w:rPr>
          <w:rFonts w:ascii="Times New Roman" w:cs="Times New Roman" w:eastAsia="Times New Roman" w:hAnsi="Times New Roman"/>
          <w:sz w:val="18"/>
          <w:szCs w:val="18"/>
          <w:color w:val="auto"/>
        </w:rPr>
        <w:t>Certain statements contained in this MD&amp;A constitute “forward-looking information” and “forward-looking statements”. All statements, other than statements of historical fact, contained in this MD&amp;A are forward-looking statements, including, without limitation, statements regarding future financial position, business strategy, budgets, research and development and plans and objectives of management for future operations. Such statements can, in some cases, be identified by the use of forward-looking terminology such as “expect,” “likely”, “may,” “will,” “should,” “intend,” or “anticipate,” “potential,” “proposed,” “estimate” and other similar words, including negative and grammatical variations thereof, or statements that certain events or conditions “may” or “will” happen, or by discussions of strategy. The forward-looking statements included in this MD&amp;A are made only as of the date of this MD&amp;A and the Company assumes no obligation to update or revise them to reflect subsequent information, events or circumstances or otherwise, except as required by applicable securities laws.</w:t>
      </w:r>
    </w:p>
    <w:p>
      <w:pPr>
        <w:spacing w:after="0" w:line="163" w:lineRule="exact"/>
        <w:rPr>
          <w:sz w:val="20"/>
          <w:szCs w:val="20"/>
          <w:color w:val="auto"/>
        </w:rPr>
      </w:pPr>
    </w:p>
    <w:p>
      <w:pPr>
        <w:jc w:val="both"/>
        <w:ind w:right="20"/>
        <w:spacing w:after="0" w:line="323" w:lineRule="auto"/>
        <w:rPr>
          <w:sz w:val="20"/>
          <w:szCs w:val="20"/>
          <w:color w:val="auto"/>
        </w:rPr>
      </w:pPr>
      <w:r>
        <w:rPr>
          <w:rFonts w:ascii="Times New Roman" w:cs="Times New Roman" w:eastAsia="Times New Roman" w:hAnsi="Times New Roman"/>
          <w:sz w:val="18"/>
          <w:szCs w:val="18"/>
          <w:color w:val="auto"/>
        </w:rPr>
        <w:t>Forward-looking statements in this MD&amp;A are not guarantees of future performance and involve assumptions, risks and uncertainties that are difficult to predict. Therefore, actual results may differ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ectPr>
          <w:pgSz w:w="11900" w:h="16838" w:orient="portrait"/>
          <w:cols w:equalWidth="0" w:num="1">
            <w:col w:w="11260"/>
          </w:cols>
          <w:pgMar w:left="320" w:top="1301" w:right="319" w:bottom="1440" w:gutter="0" w:footer="0" w:header="0"/>
        </w:sectPr>
      </w:pPr>
    </w:p>
    <w:bookmarkStart w:id="28" w:name="page29"/>
    <w:bookmarkEnd w:id="28"/>
    <w:p>
      <w:pPr>
        <w:jc w:val="both"/>
        <w:spacing w:after="0" w:line="301" w:lineRule="auto"/>
        <w:rPr>
          <w:sz w:val="20"/>
          <w:szCs w:val="20"/>
          <w:color w:val="auto"/>
        </w:rPr>
      </w:pPr>
      <w:r>
        <w:rPr>
          <w:rFonts w:ascii="Times New Roman" w:cs="Times New Roman" w:eastAsia="Times New Roman" w:hAnsi="Times New Roman"/>
          <w:sz w:val="18"/>
          <w:szCs w:val="18"/>
          <w:color w:val="auto"/>
        </w:rPr>
        <w:t>materially from what is expressed, implied or forecasted in such forward-looking statements. Management provides forward-looking statements because it believes they provide useful information to readers when considering their investment objectives and cautions readers that the information may not be appropriate for other purposes.</w:t>
      </w:r>
    </w:p>
    <w:p>
      <w:pPr>
        <w:spacing w:after="0" w:line="152" w:lineRule="exact"/>
        <w:rPr>
          <w:sz w:val="20"/>
          <w:szCs w:val="20"/>
          <w:color w:val="auto"/>
        </w:rPr>
      </w:pPr>
    </w:p>
    <w:p>
      <w:pPr>
        <w:jc w:val="both"/>
        <w:ind w:right="20"/>
        <w:spacing w:after="0" w:line="323" w:lineRule="auto"/>
        <w:rPr>
          <w:sz w:val="20"/>
          <w:szCs w:val="20"/>
          <w:color w:val="auto"/>
        </w:rPr>
      </w:pPr>
      <w:r>
        <w:rPr>
          <w:rFonts w:ascii="Times New Roman" w:cs="Times New Roman" w:eastAsia="Times New Roman" w:hAnsi="Times New Roman"/>
          <w:sz w:val="18"/>
          <w:szCs w:val="18"/>
          <w:color w:val="auto"/>
        </w:rPr>
        <w:t>Some of the risks which could affect future results and could cause results to differ materially from those expressed in the forward-looking statements contained herein include:</w:t>
      </w:r>
    </w:p>
    <w:p>
      <w:pPr>
        <w:spacing w:after="0" w:line="132" w:lineRule="exact"/>
        <w:rPr>
          <w:sz w:val="20"/>
          <w:szCs w:val="20"/>
          <w:color w:val="auto"/>
        </w:rPr>
      </w:pPr>
    </w:p>
    <w:p>
      <w:pPr>
        <w:ind w:left="560" w:hanging="276"/>
        <w:spacing w:after="0"/>
        <w:tabs>
          <w:tab w:leader="none" w:pos="560" w:val="left"/>
        </w:tabs>
        <w:numPr>
          <w:ilvl w:val="0"/>
          <w:numId w:val="7"/>
        </w:numPr>
        <w:rPr>
          <w:rFonts w:ascii="Calibri" w:cs="Calibri" w:eastAsia="Calibri" w:hAnsi="Calibri"/>
          <w:sz w:val="18"/>
          <w:szCs w:val="18"/>
          <w:color w:val="auto"/>
        </w:rPr>
      </w:pPr>
      <w:r>
        <w:rPr>
          <w:rFonts w:ascii="Times New Roman" w:cs="Times New Roman" w:eastAsia="Times New Roman" w:hAnsi="Times New Roman"/>
          <w:sz w:val="18"/>
          <w:szCs w:val="18"/>
          <w:color w:val="auto"/>
        </w:rPr>
        <w:t>limited operating history;</w:t>
      </w:r>
    </w:p>
    <w:p>
      <w:pPr>
        <w:spacing w:after="0" w:line="46" w:lineRule="exact"/>
        <w:rPr>
          <w:rFonts w:ascii="Calibri" w:cs="Calibri" w:eastAsia="Calibri" w:hAnsi="Calibri"/>
          <w:sz w:val="18"/>
          <w:szCs w:val="18"/>
          <w:color w:val="auto"/>
        </w:rPr>
      </w:pPr>
    </w:p>
    <w:p>
      <w:pPr>
        <w:ind w:left="560" w:hanging="276"/>
        <w:spacing w:after="0"/>
        <w:tabs>
          <w:tab w:leader="none" w:pos="560" w:val="left"/>
        </w:tabs>
        <w:numPr>
          <w:ilvl w:val="0"/>
          <w:numId w:val="7"/>
        </w:numPr>
        <w:rPr>
          <w:rFonts w:ascii="Calibri" w:cs="Calibri" w:eastAsia="Calibri" w:hAnsi="Calibri"/>
          <w:sz w:val="18"/>
          <w:szCs w:val="18"/>
          <w:color w:val="auto"/>
        </w:rPr>
      </w:pPr>
      <w:r>
        <w:rPr>
          <w:rFonts w:ascii="Times New Roman" w:cs="Times New Roman" w:eastAsia="Times New Roman" w:hAnsi="Times New Roman"/>
          <w:sz w:val="18"/>
          <w:szCs w:val="18"/>
          <w:color w:val="auto"/>
        </w:rPr>
        <w:t>achieving publicly announced milestones;</w:t>
      </w:r>
    </w:p>
    <w:p>
      <w:pPr>
        <w:spacing w:after="0" w:line="58" w:lineRule="exact"/>
        <w:rPr>
          <w:rFonts w:ascii="Calibri" w:cs="Calibri" w:eastAsia="Calibri" w:hAnsi="Calibri"/>
          <w:sz w:val="18"/>
          <w:szCs w:val="18"/>
          <w:color w:val="auto"/>
        </w:rPr>
      </w:pPr>
    </w:p>
    <w:p>
      <w:pPr>
        <w:ind w:left="560" w:hanging="276"/>
        <w:spacing w:after="0"/>
        <w:tabs>
          <w:tab w:leader="none" w:pos="560" w:val="left"/>
        </w:tabs>
        <w:numPr>
          <w:ilvl w:val="0"/>
          <w:numId w:val="7"/>
        </w:numPr>
        <w:rPr>
          <w:rFonts w:ascii="Calibri" w:cs="Calibri" w:eastAsia="Calibri" w:hAnsi="Calibri"/>
          <w:sz w:val="18"/>
          <w:szCs w:val="18"/>
          <w:color w:val="auto"/>
        </w:rPr>
      </w:pPr>
      <w:r>
        <w:rPr>
          <w:rFonts w:ascii="Times New Roman" w:cs="Times New Roman" w:eastAsia="Times New Roman" w:hAnsi="Times New Roman"/>
          <w:sz w:val="18"/>
          <w:szCs w:val="18"/>
          <w:color w:val="auto"/>
        </w:rPr>
        <w:t>speculative nature of investment risk;</w:t>
      </w:r>
    </w:p>
    <w:p>
      <w:pPr>
        <w:spacing w:after="0" w:line="46" w:lineRule="exact"/>
        <w:rPr>
          <w:rFonts w:ascii="Calibri" w:cs="Calibri" w:eastAsia="Calibri" w:hAnsi="Calibri"/>
          <w:sz w:val="18"/>
          <w:szCs w:val="18"/>
          <w:color w:val="auto"/>
        </w:rPr>
      </w:pPr>
    </w:p>
    <w:p>
      <w:pPr>
        <w:ind w:left="560" w:hanging="276"/>
        <w:spacing w:after="0"/>
        <w:tabs>
          <w:tab w:leader="none" w:pos="560" w:val="left"/>
        </w:tabs>
        <w:numPr>
          <w:ilvl w:val="0"/>
          <w:numId w:val="7"/>
        </w:numPr>
        <w:rPr>
          <w:rFonts w:ascii="Calibri" w:cs="Calibri" w:eastAsia="Calibri" w:hAnsi="Calibri"/>
          <w:sz w:val="18"/>
          <w:szCs w:val="18"/>
          <w:color w:val="auto"/>
        </w:rPr>
      </w:pPr>
      <w:r>
        <w:rPr>
          <w:rFonts w:ascii="Times New Roman" w:cs="Times New Roman" w:eastAsia="Times New Roman" w:hAnsi="Times New Roman"/>
          <w:sz w:val="18"/>
          <w:szCs w:val="18"/>
          <w:color w:val="auto"/>
        </w:rPr>
        <w:t>early stage of the industry and product development;</w:t>
      </w:r>
    </w:p>
    <w:p>
      <w:pPr>
        <w:spacing w:after="0" w:line="58" w:lineRule="exact"/>
        <w:rPr>
          <w:rFonts w:ascii="Calibri" w:cs="Calibri" w:eastAsia="Calibri" w:hAnsi="Calibri"/>
          <w:sz w:val="18"/>
          <w:szCs w:val="18"/>
          <w:color w:val="auto"/>
        </w:rPr>
      </w:pPr>
    </w:p>
    <w:p>
      <w:pPr>
        <w:ind w:left="560" w:hanging="276"/>
        <w:spacing w:after="0"/>
        <w:tabs>
          <w:tab w:leader="none" w:pos="560" w:val="left"/>
        </w:tabs>
        <w:numPr>
          <w:ilvl w:val="0"/>
          <w:numId w:val="7"/>
        </w:numPr>
        <w:rPr>
          <w:rFonts w:ascii="Calibri" w:cs="Calibri" w:eastAsia="Calibri" w:hAnsi="Calibri"/>
          <w:sz w:val="18"/>
          <w:szCs w:val="18"/>
          <w:color w:val="auto"/>
        </w:rPr>
      </w:pPr>
      <w:r>
        <w:rPr>
          <w:rFonts w:ascii="Times New Roman" w:cs="Times New Roman" w:eastAsia="Times New Roman" w:hAnsi="Times New Roman"/>
          <w:sz w:val="18"/>
          <w:szCs w:val="18"/>
          <w:color w:val="auto"/>
        </w:rPr>
        <w:t>regulatory risks and uncertainties</w:t>
      </w:r>
    </w:p>
    <w:p>
      <w:pPr>
        <w:spacing w:after="0" w:line="46" w:lineRule="exact"/>
        <w:rPr>
          <w:rFonts w:ascii="Calibri" w:cs="Calibri" w:eastAsia="Calibri" w:hAnsi="Calibri"/>
          <w:sz w:val="18"/>
          <w:szCs w:val="18"/>
          <w:color w:val="auto"/>
        </w:rPr>
      </w:pPr>
    </w:p>
    <w:p>
      <w:pPr>
        <w:ind w:left="560" w:hanging="276"/>
        <w:spacing w:after="0"/>
        <w:tabs>
          <w:tab w:leader="none" w:pos="560" w:val="left"/>
        </w:tabs>
        <w:numPr>
          <w:ilvl w:val="0"/>
          <w:numId w:val="7"/>
        </w:numPr>
        <w:rPr>
          <w:rFonts w:ascii="Calibri" w:cs="Calibri" w:eastAsia="Calibri" w:hAnsi="Calibri"/>
          <w:sz w:val="18"/>
          <w:szCs w:val="18"/>
          <w:color w:val="auto"/>
        </w:rPr>
      </w:pPr>
      <w:r>
        <w:rPr>
          <w:rFonts w:ascii="Times New Roman" w:cs="Times New Roman" w:eastAsia="Times New Roman" w:hAnsi="Times New Roman"/>
          <w:sz w:val="18"/>
          <w:szCs w:val="18"/>
          <w:color w:val="auto"/>
        </w:rPr>
        <w:t>risks of operating in European countries;</w:t>
      </w:r>
    </w:p>
    <w:p>
      <w:pPr>
        <w:spacing w:after="0" w:line="46" w:lineRule="exact"/>
        <w:rPr>
          <w:rFonts w:ascii="Calibri" w:cs="Calibri" w:eastAsia="Calibri" w:hAnsi="Calibri"/>
          <w:sz w:val="18"/>
          <w:szCs w:val="18"/>
          <w:color w:val="auto"/>
        </w:rPr>
      </w:pPr>
    </w:p>
    <w:p>
      <w:pPr>
        <w:ind w:left="560" w:hanging="276"/>
        <w:spacing w:after="0"/>
        <w:tabs>
          <w:tab w:leader="none" w:pos="560" w:val="left"/>
        </w:tabs>
        <w:numPr>
          <w:ilvl w:val="0"/>
          <w:numId w:val="7"/>
        </w:numPr>
        <w:rPr>
          <w:rFonts w:ascii="Calibri" w:cs="Calibri" w:eastAsia="Calibri" w:hAnsi="Calibri"/>
          <w:sz w:val="18"/>
          <w:szCs w:val="18"/>
          <w:color w:val="auto"/>
        </w:rPr>
      </w:pPr>
      <w:r>
        <w:rPr>
          <w:rFonts w:ascii="Times New Roman" w:cs="Times New Roman" w:eastAsia="Times New Roman" w:hAnsi="Times New Roman"/>
          <w:sz w:val="18"/>
          <w:szCs w:val="18"/>
          <w:color w:val="auto"/>
        </w:rPr>
        <w:t>“foreign private issuer” status under U.S. Securities Laws;</w:t>
      </w:r>
    </w:p>
    <w:p>
      <w:pPr>
        <w:spacing w:after="0" w:line="58" w:lineRule="exact"/>
        <w:rPr>
          <w:rFonts w:ascii="Calibri" w:cs="Calibri" w:eastAsia="Calibri" w:hAnsi="Calibri"/>
          <w:sz w:val="18"/>
          <w:szCs w:val="18"/>
          <w:color w:val="auto"/>
        </w:rPr>
      </w:pPr>
    </w:p>
    <w:p>
      <w:pPr>
        <w:ind w:left="560" w:hanging="276"/>
        <w:spacing w:after="0"/>
        <w:tabs>
          <w:tab w:leader="none" w:pos="560" w:val="left"/>
        </w:tabs>
        <w:numPr>
          <w:ilvl w:val="0"/>
          <w:numId w:val="7"/>
        </w:numPr>
        <w:rPr>
          <w:rFonts w:ascii="Calibri" w:cs="Calibri" w:eastAsia="Calibri" w:hAnsi="Calibri"/>
          <w:sz w:val="18"/>
          <w:szCs w:val="18"/>
          <w:color w:val="auto"/>
        </w:rPr>
      </w:pPr>
      <w:r>
        <w:rPr>
          <w:rFonts w:ascii="Times New Roman" w:cs="Times New Roman" w:eastAsia="Times New Roman" w:hAnsi="Times New Roman"/>
          <w:sz w:val="18"/>
          <w:szCs w:val="18"/>
          <w:color w:val="auto"/>
        </w:rPr>
        <w:t>plans for growth;</w:t>
      </w:r>
    </w:p>
    <w:p>
      <w:pPr>
        <w:spacing w:after="0" w:line="46" w:lineRule="exact"/>
        <w:rPr>
          <w:rFonts w:ascii="Calibri" w:cs="Calibri" w:eastAsia="Calibri" w:hAnsi="Calibri"/>
          <w:sz w:val="18"/>
          <w:szCs w:val="18"/>
          <w:color w:val="auto"/>
        </w:rPr>
      </w:pPr>
    </w:p>
    <w:p>
      <w:pPr>
        <w:ind w:left="560" w:hanging="276"/>
        <w:spacing w:after="0"/>
        <w:tabs>
          <w:tab w:leader="none" w:pos="560" w:val="left"/>
        </w:tabs>
        <w:numPr>
          <w:ilvl w:val="0"/>
          <w:numId w:val="7"/>
        </w:numPr>
        <w:rPr>
          <w:rFonts w:ascii="Calibri" w:cs="Calibri" w:eastAsia="Calibri" w:hAnsi="Calibri"/>
          <w:sz w:val="18"/>
          <w:szCs w:val="18"/>
          <w:color w:val="auto"/>
        </w:rPr>
      </w:pPr>
      <w:r>
        <w:rPr>
          <w:rFonts w:ascii="Times New Roman" w:cs="Times New Roman" w:eastAsia="Times New Roman" w:hAnsi="Times New Roman"/>
          <w:sz w:val="18"/>
          <w:szCs w:val="18"/>
          <w:color w:val="auto"/>
        </w:rPr>
        <w:t>limited products;</w:t>
      </w:r>
    </w:p>
    <w:p>
      <w:pPr>
        <w:spacing w:after="0" w:line="46" w:lineRule="exact"/>
        <w:rPr>
          <w:rFonts w:ascii="Calibri" w:cs="Calibri" w:eastAsia="Calibri" w:hAnsi="Calibri"/>
          <w:sz w:val="18"/>
          <w:szCs w:val="18"/>
          <w:color w:val="auto"/>
        </w:rPr>
      </w:pPr>
    </w:p>
    <w:p>
      <w:pPr>
        <w:ind w:left="560" w:hanging="276"/>
        <w:spacing w:after="0"/>
        <w:tabs>
          <w:tab w:leader="none" w:pos="560" w:val="left"/>
        </w:tabs>
        <w:numPr>
          <w:ilvl w:val="0"/>
          <w:numId w:val="7"/>
        </w:numPr>
        <w:rPr>
          <w:rFonts w:ascii="Calibri" w:cs="Calibri" w:eastAsia="Calibri" w:hAnsi="Calibri"/>
          <w:sz w:val="18"/>
          <w:szCs w:val="18"/>
          <w:color w:val="auto"/>
        </w:rPr>
      </w:pPr>
      <w:r>
        <w:rPr>
          <w:rFonts w:ascii="Times New Roman" w:cs="Times New Roman" w:eastAsia="Times New Roman" w:hAnsi="Times New Roman"/>
          <w:sz w:val="18"/>
          <w:szCs w:val="18"/>
          <w:color w:val="auto"/>
        </w:rPr>
        <w:t>limited marketing and sales capabilities;</w:t>
      </w:r>
    </w:p>
    <w:p>
      <w:pPr>
        <w:spacing w:after="0" w:line="58" w:lineRule="exact"/>
        <w:rPr>
          <w:rFonts w:ascii="Calibri" w:cs="Calibri" w:eastAsia="Calibri" w:hAnsi="Calibri"/>
          <w:sz w:val="18"/>
          <w:szCs w:val="18"/>
          <w:color w:val="auto"/>
        </w:rPr>
      </w:pPr>
    </w:p>
    <w:p>
      <w:pPr>
        <w:ind w:left="560" w:hanging="276"/>
        <w:spacing w:after="0"/>
        <w:tabs>
          <w:tab w:leader="none" w:pos="560" w:val="left"/>
        </w:tabs>
        <w:numPr>
          <w:ilvl w:val="0"/>
          <w:numId w:val="7"/>
        </w:numPr>
        <w:rPr>
          <w:rFonts w:ascii="Calibri" w:cs="Calibri" w:eastAsia="Calibri" w:hAnsi="Calibri"/>
          <w:sz w:val="18"/>
          <w:szCs w:val="18"/>
          <w:color w:val="auto"/>
        </w:rPr>
      </w:pPr>
      <w:r>
        <w:rPr>
          <w:rFonts w:ascii="Times New Roman" w:cs="Times New Roman" w:eastAsia="Times New Roman" w:hAnsi="Times New Roman"/>
          <w:sz w:val="18"/>
          <w:szCs w:val="18"/>
          <w:color w:val="auto"/>
        </w:rPr>
        <w:t>no assurance of commercial success;</w:t>
      </w:r>
    </w:p>
    <w:p>
      <w:pPr>
        <w:spacing w:after="0" w:line="46" w:lineRule="exact"/>
        <w:rPr>
          <w:rFonts w:ascii="Calibri" w:cs="Calibri" w:eastAsia="Calibri" w:hAnsi="Calibri"/>
          <w:sz w:val="18"/>
          <w:szCs w:val="18"/>
          <w:color w:val="auto"/>
        </w:rPr>
      </w:pPr>
    </w:p>
    <w:p>
      <w:pPr>
        <w:ind w:left="560" w:hanging="276"/>
        <w:spacing w:after="0"/>
        <w:tabs>
          <w:tab w:leader="none" w:pos="560" w:val="left"/>
        </w:tabs>
        <w:numPr>
          <w:ilvl w:val="0"/>
          <w:numId w:val="7"/>
        </w:numPr>
        <w:rPr>
          <w:rFonts w:ascii="Calibri" w:cs="Calibri" w:eastAsia="Calibri" w:hAnsi="Calibri"/>
          <w:sz w:val="18"/>
          <w:szCs w:val="18"/>
          <w:color w:val="auto"/>
        </w:rPr>
      </w:pPr>
      <w:r>
        <w:rPr>
          <w:rFonts w:ascii="Times New Roman" w:cs="Times New Roman" w:eastAsia="Times New Roman" w:hAnsi="Times New Roman"/>
          <w:sz w:val="18"/>
          <w:szCs w:val="18"/>
          <w:color w:val="auto"/>
        </w:rPr>
        <w:t>no profits or significant revenues;</w:t>
      </w:r>
    </w:p>
    <w:p>
      <w:pPr>
        <w:spacing w:after="0" w:line="58" w:lineRule="exact"/>
        <w:rPr>
          <w:rFonts w:ascii="Calibri" w:cs="Calibri" w:eastAsia="Calibri" w:hAnsi="Calibri"/>
          <w:sz w:val="18"/>
          <w:szCs w:val="18"/>
          <w:color w:val="auto"/>
        </w:rPr>
      </w:pPr>
    </w:p>
    <w:p>
      <w:pPr>
        <w:ind w:left="560" w:hanging="276"/>
        <w:spacing w:after="0"/>
        <w:tabs>
          <w:tab w:leader="none" w:pos="560" w:val="left"/>
        </w:tabs>
        <w:numPr>
          <w:ilvl w:val="0"/>
          <w:numId w:val="7"/>
        </w:numPr>
        <w:rPr>
          <w:rFonts w:ascii="Calibri" w:cs="Calibri" w:eastAsia="Calibri" w:hAnsi="Calibri"/>
          <w:sz w:val="18"/>
          <w:szCs w:val="18"/>
          <w:color w:val="auto"/>
        </w:rPr>
      </w:pPr>
      <w:r>
        <w:rPr>
          <w:rFonts w:ascii="Times New Roman" w:cs="Times New Roman" w:eastAsia="Times New Roman" w:hAnsi="Times New Roman"/>
          <w:sz w:val="18"/>
          <w:szCs w:val="18"/>
          <w:color w:val="auto"/>
        </w:rPr>
        <w:t>reliance on third parties for clinical development activities;</w:t>
      </w:r>
    </w:p>
    <w:p>
      <w:pPr>
        <w:spacing w:after="0" w:line="46" w:lineRule="exact"/>
        <w:rPr>
          <w:rFonts w:ascii="Calibri" w:cs="Calibri" w:eastAsia="Calibri" w:hAnsi="Calibri"/>
          <w:sz w:val="18"/>
          <w:szCs w:val="18"/>
          <w:color w:val="auto"/>
        </w:rPr>
      </w:pPr>
    </w:p>
    <w:p>
      <w:pPr>
        <w:ind w:left="560" w:hanging="276"/>
        <w:spacing w:after="0"/>
        <w:tabs>
          <w:tab w:leader="none" w:pos="560" w:val="left"/>
        </w:tabs>
        <w:numPr>
          <w:ilvl w:val="0"/>
          <w:numId w:val="7"/>
        </w:numPr>
        <w:rPr>
          <w:rFonts w:ascii="Calibri" w:cs="Calibri" w:eastAsia="Calibri" w:hAnsi="Calibri"/>
          <w:sz w:val="18"/>
          <w:szCs w:val="18"/>
          <w:color w:val="auto"/>
        </w:rPr>
      </w:pPr>
      <w:r>
        <w:rPr>
          <w:rFonts w:ascii="Times New Roman" w:cs="Times New Roman" w:eastAsia="Times New Roman" w:hAnsi="Times New Roman"/>
          <w:sz w:val="18"/>
          <w:szCs w:val="18"/>
          <w:color w:val="auto"/>
        </w:rPr>
        <w:t>risks related to third party relationships;</w:t>
      </w:r>
    </w:p>
    <w:p>
      <w:pPr>
        <w:spacing w:after="0" w:line="46" w:lineRule="exact"/>
        <w:rPr>
          <w:rFonts w:ascii="Calibri" w:cs="Calibri" w:eastAsia="Calibri" w:hAnsi="Calibri"/>
          <w:sz w:val="18"/>
          <w:szCs w:val="18"/>
          <w:color w:val="auto"/>
        </w:rPr>
      </w:pPr>
    </w:p>
    <w:p>
      <w:pPr>
        <w:ind w:left="560" w:hanging="276"/>
        <w:spacing w:after="0"/>
        <w:tabs>
          <w:tab w:leader="none" w:pos="560" w:val="left"/>
        </w:tabs>
        <w:numPr>
          <w:ilvl w:val="0"/>
          <w:numId w:val="7"/>
        </w:numPr>
        <w:rPr>
          <w:rFonts w:ascii="Calibri" w:cs="Calibri" w:eastAsia="Calibri" w:hAnsi="Calibri"/>
          <w:sz w:val="18"/>
          <w:szCs w:val="18"/>
          <w:color w:val="auto"/>
        </w:rPr>
      </w:pPr>
      <w:r>
        <w:rPr>
          <w:rFonts w:ascii="Times New Roman" w:cs="Times New Roman" w:eastAsia="Times New Roman" w:hAnsi="Times New Roman"/>
          <w:sz w:val="18"/>
          <w:szCs w:val="18"/>
          <w:color w:val="auto"/>
        </w:rPr>
        <w:t>reliance on contract manufacturers;</w:t>
      </w:r>
    </w:p>
    <w:p>
      <w:pPr>
        <w:spacing w:after="0" w:line="58" w:lineRule="exact"/>
        <w:rPr>
          <w:rFonts w:ascii="Calibri" w:cs="Calibri" w:eastAsia="Calibri" w:hAnsi="Calibri"/>
          <w:sz w:val="18"/>
          <w:szCs w:val="18"/>
          <w:color w:val="auto"/>
        </w:rPr>
      </w:pPr>
    </w:p>
    <w:p>
      <w:pPr>
        <w:ind w:left="560" w:hanging="276"/>
        <w:spacing w:after="0"/>
        <w:tabs>
          <w:tab w:leader="none" w:pos="560" w:val="left"/>
        </w:tabs>
        <w:numPr>
          <w:ilvl w:val="0"/>
          <w:numId w:val="7"/>
        </w:numPr>
        <w:rPr>
          <w:rFonts w:ascii="Calibri" w:cs="Calibri" w:eastAsia="Calibri" w:hAnsi="Calibri"/>
          <w:sz w:val="18"/>
          <w:szCs w:val="18"/>
          <w:color w:val="auto"/>
        </w:rPr>
      </w:pPr>
      <w:r>
        <w:rPr>
          <w:rFonts w:ascii="Times New Roman" w:cs="Times New Roman" w:eastAsia="Times New Roman" w:hAnsi="Times New Roman"/>
          <w:sz w:val="18"/>
          <w:szCs w:val="18"/>
          <w:color w:val="auto"/>
        </w:rPr>
        <w:t>safety and efficacy of products;</w:t>
      </w:r>
    </w:p>
    <w:p>
      <w:pPr>
        <w:spacing w:after="0" w:line="46" w:lineRule="exact"/>
        <w:rPr>
          <w:rFonts w:ascii="Calibri" w:cs="Calibri" w:eastAsia="Calibri" w:hAnsi="Calibri"/>
          <w:sz w:val="18"/>
          <w:szCs w:val="18"/>
          <w:color w:val="auto"/>
        </w:rPr>
      </w:pPr>
    </w:p>
    <w:p>
      <w:pPr>
        <w:ind w:left="560" w:hanging="276"/>
        <w:spacing w:after="0"/>
        <w:tabs>
          <w:tab w:leader="none" w:pos="560" w:val="left"/>
        </w:tabs>
        <w:numPr>
          <w:ilvl w:val="0"/>
          <w:numId w:val="7"/>
        </w:numPr>
        <w:rPr>
          <w:rFonts w:ascii="Calibri" w:cs="Calibri" w:eastAsia="Calibri" w:hAnsi="Calibri"/>
          <w:sz w:val="18"/>
          <w:szCs w:val="18"/>
          <w:color w:val="auto"/>
        </w:rPr>
      </w:pPr>
      <w:r>
        <w:rPr>
          <w:rFonts w:ascii="Times New Roman" w:cs="Times New Roman" w:eastAsia="Times New Roman" w:hAnsi="Times New Roman"/>
          <w:sz w:val="18"/>
          <w:szCs w:val="18"/>
          <w:color w:val="auto"/>
        </w:rPr>
        <w:t>clinical testing and commercializing products;</w:t>
      </w:r>
    </w:p>
    <w:p>
      <w:pPr>
        <w:spacing w:after="0" w:line="46" w:lineRule="exact"/>
        <w:rPr>
          <w:rFonts w:ascii="Calibri" w:cs="Calibri" w:eastAsia="Calibri" w:hAnsi="Calibri"/>
          <w:sz w:val="18"/>
          <w:szCs w:val="18"/>
          <w:color w:val="auto"/>
        </w:rPr>
      </w:pPr>
    </w:p>
    <w:p>
      <w:pPr>
        <w:ind w:left="560" w:hanging="276"/>
        <w:spacing w:after="0"/>
        <w:tabs>
          <w:tab w:leader="none" w:pos="560" w:val="left"/>
        </w:tabs>
        <w:numPr>
          <w:ilvl w:val="0"/>
          <w:numId w:val="7"/>
        </w:numPr>
        <w:rPr>
          <w:rFonts w:ascii="Calibri" w:cs="Calibri" w:eastAsia="Calibri" w:hAnsi="Calibri"/>
          <w:sz w:val="18"/>
          <w:szCs w:val="18"/>
          <w:color w:val="auto"/>
        </w:rPr>
      </w:pPr>
      <w:r>
        <w:rPr>
          <w:rFonts w:ascii="Times New Roman" w:cs="Times New Roman" w:eastAsia="Times New Roman" w:hAnsi="Times New Roman"/>
          <w:sz w:val="18"/>
          <w:szCs w:val="18"/>
          <w:color w:val="auto"/>
        </w:rPr>
        <w:t>completion of clinical trials;</w:t>
      </w:r>
    </w:p>
    <w:p>
      <w:pPr>
        <w:spacing w:after="0" w:line="58" w:lineRule="exact"/>
        <w:rPr>
          <w:rFonts w:ascii="Calibri" w:cs="Calibri" w:eastAsia="Calibri" w:hAnsi="Calibri"/>
          <w:sz w:val="18"/>
          <w:szCs w:val="18"/>
          <w:color w:val="auto"/>
        </w:rPr>
      </w:pPr>
    </w:p>
    <w:p>
      <w:pPr>
        <w:ind w:left="560" w:hanging="276"/>
        <w:spacing w:after="0"/>
        <w:tabs>
          <w:tab w:leader="none" w:pos="560" w:val="left"/>
        </w:tabs>
        <w:numPr>
          <w:ilvl w:val="0"/>
          <w:numId w:val="7"/>
        </w:numPr>
        <w:rPr>
          <w:rFonts w:ascii="Calibri" w:cs="Calibri" w:eastAsia="Calibri" w:hAnsi="Calibri"/>
          <w:sz w:val="18"/>
          <w:szCs w:val="18"/>
          <w:color w:val="auto"/>
        </w:rPr>
      </w:pPr>
      <w:r>
        <w:rPr>
          <w:rFonts w:ascii="Times New Roman" w:cs="Times New Roman" w:eastAsia="Times New Roman" w:hAnsi="Times New Roman"/>
          <w:sz w:val="18"/>
          <w:szCs w:val="18"/>
          <w:color w:val="auto"/>
        </w:rPr>
        <w:t>commercial grade product manufacturing;</w:t>
      </w:r>
    </w:p>
    <w:p>
      <w:pPr>
        <w:spacing w:after="0" w:line="46" w:lineRule="exact"/>
        <w:rPr>
          <w:rFonts w:ascii="Calibri" w:cs="Calibri" w:eastAsia="Calibri" w:hAnsi="Calibri"/>
          <w:sz w:val="18"/>
          <w:szCs w:val="18"/>
          <w:color w:val="auto"/>
        </w:rPr>
      </w:pPr>
    </w:p>
    <w:p>
      <w:pPr>
        <w:ind w:left="560" w:hanging="276"/>
        <w:spacing w:after="0"/>
        <w:tabs>
          <w:tab w:leader="none" w:pos="560" w:val="left"/>
        </w:tabs>
        <w:numPr>
          <w:ilvl w:val="0"/>
          <w:numId w:val="7"/>
        </w:numPr>
        <w:rPr>
          <w:rFonts w:ascii="Calibri" w:cs="Calibri" w:eastAsia="Calibri" w:hAnsi="Calibri"/>
          <w:sz w:val="18"/>
          <w:szCs w:val="18"/>
          <w:color w:val="auto"/>
        </w:rPr>
      </w:pPr>
      <w:r>
        <w:rPr>
          <w:rFonts w:ascii="Times New Roman" w:cs="Times New Roman" w:eastAsia="Times New Roman" w:hAnsi="Times New Roman"/>
          <w:sz w:val="18"/>
          <w:szCs w:val="18"/>
          <w:color w:val="auto"/>
        </w:rPr>
        <w:t>nature of regulatory approvals;</w:t>
      </w:r>
    </w:p>
    <w:p>
      <w:pPr>
        <w:spacing w:after="0" w:line="58" w:lineRule="exact"/>
        <w:rPr>
          <w:rFonts w:ascii="Calibri" w:cs="Calibri" w:eastAsia="Calibri" w:hAnsi="Calibri"/>
          <w:sz w:val="18"/>
          <w:szCs w:val="18"/>
          <w:color w:val="auto"/>
        </w:rPr>
      </w:pPr>
    </w:p>
    <w:p>
      <w:pPr>
        <w:ind w:left="560" w:hanging="276"/>
        <w:spacing w:after="0"/>
        <w:tabs>
          <w:tab w:leader="none" w:pos="560" w:val="left"/>
        </w:tabs>
        <w:numPr>
          <w:ilvl w:val="0"/>
          <w:numId w:val="7"/>
        </w:numPr>
        <w:rPr>
          <w:rFonts w:ascii="Calibri" w:cs="Calibri" w:eastAsia="Calibri" w:hAnsi="Calibri"/>
          <w:sz w:val="18"/>
          <w:szCs w:val="18"/>
          <w:color w:val="auto"/>
        </w:rPr>
      </w:pPr>
      <w:r>
        <w:rPr>
          <w:rFonts w:ascii="Times New Roman" w:cs="Times New Roman" w:eastAsia="Times New Roman" w:hAnsi="Times New Roman"/>
          <w:sz w:val="18"/>
          <w:szCs w:val="18"/>
          <w:color w:val="auto"/>
        </w:rPr>
        <w:t>market access and acceptance;</w:t>
      </w:r>
    </w:p>
    <w:p>
      <w:pPr>
        <w:spacing w:after="0" w:line="46" w:lineRule="exact"/>
        <w:rPr>
          <w:rFonts w:ascii="Calibri" w:cs="Calibri" w:eastAsia="Calibri" w:hAnsi="Calibri"/>
          <w:sz w:val="18"/>
          <w:szCs w:val="18"/>
          <w:color w:val="auto"/>
        </w:rPr>
      </w:pPr>
    </w:p>
    <w:p>
      <w:pPr>
        <w:ind w:left="560" w:hanging="276"/>
        <w:spacing w:after="0"/>
        <w:tabs>
          <w:tab w:leader="none" w:pos="560" w:val="left"/>
        </w:tabs>
        <w:numPr>
          <w:ilvl w:val="0"/>
          <w:numId w:val="7"/>
        </w:numPr>
        <w:rPr>
          <w:rFonts w:ascii="Calibri" w:cs="Calibri" w:eastAsia="Calibri" w:hAnsi="Calibri"/>
          <w:sz w:val="18"/>
          <w:szCs w:val="18"/>
          <w:color w:val="auto"/>
        </w:rPr>
      </w:pPr>
      <w:r>
        <w:rPr>
          <w:rFonts w:ascii="Times New Roman" w:cs="Times New Roman" w:eastAsia="Times New Roman" w:hAnsi="Times New Roman"/>
          <w:sz w:val="18"/>
          <w:szCs w:val="18"/>
          <w:color w:val="auto"/>
        </w:rPr>
        <w:t>unfavourable publicity or consumer perception;</w:t>
      </w:r>
    </w:p>
    <w:p>
      <w:pPr>
        <w:spacing w:after="0" w:line="46" w:lineRule="exact"/>
        <w:rPr>
          <w:rFonts w:ascii="Calibri" w:cs="Calibri" w:eastAsia="Calibri" w:hAnsi="Calibri"/>
          <w:sz w:val="18"/>
          <w:szCs w:val="18"/>
          <w:color w:val="auto"/>
        </w:rPr>
      </w:pPr>
    </w:p>
    <w:p>
      <w:pPr>
        <w:ind w:left="560" w:hanging="276"/>
        <w:spacing w:after="0"/>
        <w:tabs>
          <w:tab w:leader="none" w:pos="560" w:val="left"/>
        </w:tabs>
        <w:numPr>
          <w:ilvl w:val="0"/>
          <w:numId w:val="7"/>
        </w:numPr>
        <w:rPr>
          <w:rFonts w:ascii="Calibri" w:cs="Calibri" w:eastAsia="Calibri" w:hAnsi="Calibri"/>
          <w:sz w:val="18"/>
          <w:szCs w:val="18"/>
          <w:color w:val="auto"/>
        </w:rPr>
      </w:pPr>
      <w:r>
        <w:rPr>
          <w:rFonts w:ascii="Times New Roman" w:cs="Times New Roman" w:eastAsia="Times New Roman" w:hAnsi="Times New Roman"/>
          <w:sz w:val="18"/>
          <w:szCs w:val="18"/>
          <w:color w:val="auto"/>
        </w:rPr>
        <w:t>social media;</w:t>
      </w:r>
    </w:p>
    <w:p>
      <w:pPr>
        <w:spacing w:after="0" w:line="58" w:lineRule="exact"/>
        <w:rPr>
          <w:rFonts w:ascii="Calibri" w:cs="Calibri" w:eastAsia="Calibri" w:hAnsi="Calibri"/>
          <w:sz w:val="18"/>
          <w:szCs w:val="18"/>
          <w:color w:val="auto"/>
        </w:rPr>
      </w:pPr>
    </w:p>
    <w:p>
      <w:pPr>
        <w:ind w:left="560" w:hanging="276"/>
        <w:spacing w:after="0"/>
        <w:tabs>
          <w:tab w:leader="none" w:pos="560" w:val="left"/>
        </w:tabs>
        <w:numPr>
          <w:ilvl w:val="0"/>
          <w:numId w:val="7"/>
        </w:numPr>
        <w:rPr>
          <w:rFonts w:ascii="Calibri" w:cs="Calibri" w:eastAsia="Calibri" w:hAnsi="Calibri"/>
          <w:sz w:val="18"/>
          <w:szCs w:val="18"/>
          <w:color w:val="auto"/>
        </w:rPr>
      </w:pPr>
      <w:r>
        <w:rPr>
          <w:rFonts w:ascii="Times New Roman" w:cs="Times New Roman" w:eastAsia="Times New Roman" w:hAnsi="Times New Roman"/>
          <w:sz w:val="18"/>
          <w:szCs w:val="18"/>
          <w:color w:val="auto"/>
        </w:rPr>
        <w:t>biotechnology and pharmaceutical market competition;</w:t>
      </w:r>
    </w:p>
    <w:p>
      <w:pPr>
        <w:spacing w:after="0" w:line="46" w:lineRule="exact"/>
        <w:rPr>
          <w:rFonts w:ascii="Calibri" w:cs="Calibri" w:eastAsia="Calibri" w:hAnsi="Calibri"/>
          <w:sz w:val="18"/>
          <w:szCs w:val="18"/>
          <w:color w:val="auto"/>
        </w:rPr>
      </w:pPr>
    </w:p>
    <w:p>
      <w:pPr>
        <w:ind w:left="560" w:hanging="276"/>
        <w:spacing w:after="0"/>
        <w:tabs>
          <w:tab w:leader="none" w:pos="560" w:val="left"/>
        </w:tabs>
        <w:numPr>
          <w:ilvl w:val="0"/>
          <w:numId w:val="7"/>
        </w:numPr>
        <w:rPr>
          <w:rFonts w:ascii="Calibri" w:cs="Calibri" w:eastAsia="Calibri" w:hAnsi="Calibri"/>
          <w:sz w:val="18"/>
          <w:szCs w:val="18"/>
          <w:color w:val="auto"/>
        </w:rPr>
      </w:pPr>
      <w:r>
        <w:rPr>
          <w:rFonts w:ascii="Times New Roman" w:cs="Times New Roman" w:eastAsia="Times New Roman" w:hAnsi="Times New Roman"/>
          <w:sz w:val="18"/>
          <w:szCs w:val="18"/>
          <w:color w:val="auto"/>
        </w:rPr>
        <w:t>reliance on key executives and scientists;</w:t>
      </w:r>
    </w:p>
    <w:p>
      <w:pPr>
        <w:spacing w:after="0" w:line="46" w:lineRule="exact"/>
        <w:rPr>
          <w:rFonts w:ascii="Calibri" w:cs="Calibri" w:eastAsia="Calibri" w:hAnsi="Calibri"/>
          <w:sz w:val="18"/>
          <w:szCs w:val="18"/>
          <w:color w:val="auto"/>
        </w:rPr>
      </w:pPr>
    </w:p>
    <w:p>
      <w:pPr>
        <w:ind w:left="560" w:hanging="276"/>
        <w:spacing w:after="0"/>
        <w:tabs>
          <w:tab w:leader="none" w:pos="560" w:val="left"/>
        </w:tabs>
        <w:numPr>
          <w:ilvl w:val="0"/>
          <w:numId w:val="7"/>
        </w:numPr>
        <w:rPr>
          <w:rFonts w:ascii="Calibri" w:cs="Calibri" w:eastAsia="Calibri" w:hAnsi="Calibri"/>
          <w:sz w:val="18"/>
          <w:szCs w:val="18"/>
          <w:color w:val="auto"/>
        </w:rPr>
      </w:pPr>
      <w:r>
        <w:rPr>
          <w:rFonts w:ascii="Times New Roman" w:cs="Times New Roman" w:eastAsia="Times New Roman" w:hAnsi="Times New Roman"/>
          <w:sz w:val="18"/>
          <w:szCs w:val="18"/>
          <w:color w:val="auto"/>
        </w:rPr>
        <w:t>employee misconduct;</w:t>
      </w:r>
    </w:p>
    <w:p>
      <w:pPr>
        <w:spacing w:after="0" w:line="58" w:lineRule="exact"/>
        <w:rPr>
          <w:rFonts w:ascii="Calibri" w:cs="Calibri" w:eastAsia="Calibri" w:hAnsi="Calibri"/>
          <w:sz w:val="18"/>
          <w:szCs w:val="18"/>
          <w:color w:val="auto"/>
        </w:rPr>
      </w:pPr>
    </w:p>
    <w:p>
      <w:pPr>
        <w:ind w:left="560" w:hanging="276"/>
        <w:spacing w:after="0"/>
        <w:tabs>
          <w:tab w:leader="none" w:pos="560" w:val="left"/>
        </w:tabs>
        <w:numPr>
          <w:ilvl w:val="0"/>
          <w:numId w:val="7"/>
        </w:numPr>
        <w:rPr>
          <w:rFonts w:ascii="Calibri" w:cs="Calibri" w:eastAsia="Calibri" w:hAnsi="Calibri"/>
          <w:sz w:val="18"/>
          <w:szCs w:val="18"/>
          <w:color w:val="auto"/>
        </w:rPr>
      </w:pPr>
      <w:r>
        <w:rPr>
          <w:rFonts w:ascii="Times New Roman" w:cs="Times New Roman" w:eastAsia="Times New Roman" w:hAnsi="Times New Roman"/>
          <w:sz w:val="18"/>
          <w:szCs w:val="18"/>
          <w:color w:val="auto"/>
        </w:rPr>
        <w:t>business expansion and growth;</w:t>
      </w:r>
    </w:p>
    <w:p>
      <w:pPr>
        <w:spacing w:after="0" w:line="46" w:lineRule="exact"/>
        <w:rPr>
          <w:rFonts w:ascii="Calibri" w:cs="Calibri" w:eastAsia="Calibri" w:hAnsi="Calibri"/>
          <w:sz w:val="18"/>
          <w:szCs w:val="18"/>
          <w:color w:val="auto"/>
        </w:rPr>
      </w:pPr>
    </w:p>
    <w:p>
      <w:pPr>
        <w:ind w:left="560" w:hanging="276"/>
        <w:spacing w:after="0"/>
        <w:tabs>
          <w:tab w:leader="none" w:pos="560" w:val="left"/>
        </w:tabs>
        <w:numPr>
          <w:ilvl w:val="0"/>
          <w:numId w:val="7"/>
        </w:numPr>
        <w:rPr>
          <w:rFonts w:ascii="Calibri" w:cs="Calibri" w:eastAsia="Calibri" w:hAnsi="Calibri"/>
          <w:sz w:val="18"/>
          <w:szCs w:val="18"/>
          <w:color w:val="auto"/>
        </w:rPr>
      </w:pPr>
      <w:r>
        <w:rPr>
          <w:rFonts w:ascii="Times New Roman" w:cs="Times New Roman" w:eastAsia="Times New Roman" w:hAnsi="Times New Roman"/>
          <w:sz w:val="18"/>
          <w:szCs w:val="18"/>
          <w:color w:val="auto"/>
        </w:rPr>
        <w:t>negative results of external clinical trials or studies;</w:t>
      </w:r>
    </w:p>
    <w:p>
      <w:pPr>
        <w:spacing w:after="0" w:line="58" w:lineRule="exact"/>
        <w:rPr>
          <w:rFonts w:ascii="Calibri" w:cs="Calibri" w:eastAsia="Calibri" w:hAnsi="Calibri"/>
          <w:sz w:val="18"/>
          <w:szCs w:val="18"/>
          <w:color w:val="auto"/>
        </w:rPr>
      </w:pPr>
    </w:p>
    <w:p>
      <w:pPr>
        <w:ind w:left="560" w:hanging="276"/>
        <w:spacing w:after="0"/>
        <w:tabs>
          <w:tab w:leader="none" w:pos="560" w:val="left"/>
        </w:tabs>
        <w:numPr>
          <w:ilvl w:val="0"/>
          <w:numId w:val="7"/>
        </w:numPr>
        <w:rPr>
          <w:rFonts w:ascii="Calibri" w:cs="Calibri" w:eastAsia="Calibri" w:hAnsi="Calibri"/>
          <w:sz w:val="18"/>
          <w:szCs w:val="18"/>
          <w:color w:val="auto"/>
        </w:rPr>
      </w:pPr>
      <w:r>
        <w:rPr>
          <w:rFonts w:ascii="Times New Roman" w:cs="Times New Roman" w:eastAsia="Times New Roman" w:hAnsi="Times New Roman"/>
          <w:sz w:val="18"/>
          <w:szCs w:val="18"/>
          <w:color w:val="auto"/>
        </w:rPr>
        <w:t>product liability;</w:t>
      </w:r>
    </w:p>
    <w:p>
      <w:pPr>
        <w:spacing w:after="0" w:line="46" w:lineRule="exact"/>
        <w:rPr>
          <w:rFonts w:ascii="Calibri" w:cs="Calibri" w:eastAsia="Calibri" w:hAnsi="Calibri"/>
          <w:sz w:val="18"/>
          <w:szCs w:val="18"/>
          <w:color w:val="auto"/>
        </w:rPr>
      </w:pPr>
    </w:p>
    <w:p>
      <w:pPr>
        <w:ind w:left="560" w:hanging="276"/>
        <w:spacing w:after="0"/>
        <w:tabs>
          <w:tab w:leader="none" w:pos="560" w:val="left"/>
        </w:tabs>
        <w:numPr>
          <w:ilvl w:val="0"/>
          <w:numId w:val="7"/>
        </w:numPr>
        <w:rPr>
          <w:rFonts w:ascii="Calibri" w:cs="Calibri" w:eastAsia="Calibri" w:hAnsi="Calibri"/>
          <w:sz w:val="18"/>
          <w:szCs w:val="18"/>
          <w:color w:val="auto"/>
        </w:rPr>
      </w:pPr>
      <w:r>
        <w:rPr>
          <w:rFonts w:ascii="Times New Roman" w:cs="Times New Roman" w:eastAsia="Times New Roman" w:hAnsi="Times New Roman"/>
          <w:sz w:val="18"/>
          <w:szCs w:val="18"/>
          <w:color w:val="auto"/>
        </w:rPr>
        <w:t>enforcing contracts;</w:t>
      </w:r>
    </w:p>
    <w:p>
      <w:pPr>
        <w:spacing w:after="0" w:line="46" w:lineRule="exact"/>
        <w:rPr>
          <w:rFonts w:ascii="Calibri" w:cs="Calibri" w:eastAsia="Calibri" w:hAnsi="Calibri"/>
          <w:sz w:val="18"/>
          <w:szCs w:val="18"/>
          <w:color w:val="auto"/>
        </w:rPr>
      </w:pPr>
    </w:p>
    <w:p>
      <w:pPr>
        <w:ind w:left="560" w:hanging="276"/>
        <w:spacing w:after="0"/>
        <w:tabs>
          <w:tab w:leader="none" w:pos="560" w:val="left"/>
        </w:tabs>
        <w:numPr>
          <w:ilvl w:val="0"/>
          <w:numId w:val="7"/>
        </w:numPr>
        <w:rPr>
          <w:rFonts w:ascii="Calibri" w:cs="Calibri" w:eastAsia="Calibri" w:hAnsi="Calibri"/>
          <w:sz w:val="18"/>
          <w:szCs w:val="18"/>
          <w:color w:val="auto"/>
        </w:rPr>
      </w:pPr>
      <w:r>
        <w:rPr>
          <w:rFonts w:ascii="Times New Roman" w:cs="Times New Roman" w:eastAsia="Times New Roman" w:hAnsi="Times New Roman"/>
          <w:sz w:val="18"/>
          <w:szCs w:val="18"/>
          <w:color w:val="auto"/>
        </w:rPr>
        <w:t>product and material recalls;</w:t>
      </w:r>
    </w:p>
    <w:p>
      <w:pPr>
        <w:spacing w:after="0" w:line="58" w:lineRule="exact"/>
        <w:rPr>
          <w:rFonts w:ascii="Calibri" w:cs="Calibri" w:eastAsia="Calibri" w:hAnsi="Calibri"/>
          <w:sz w:val="18"/>
          <w:szCs w:val="18"/>
          <w:color w:val="auto"/>
        </w:rPr>
      </w:pPr>
    </w:p>
    <w:p>
      <w:pPr>
        <w:ind w:left="560" w:hanging="276"/>
        <w:spacing w:after="0"/>
        <w:tabs>
          <w:tab w:leader="none" w:pos="560" w:val="left"/>
        </w:tabs>
        <w:numPr>
          <w:ilvl w:val="0"/>
          <w:numId w:val="7"/>
        </w:numPr>
        <w:rPr>
          <w:rFonts w:ascii="Calibri" w:cs="Calibri" w:eastAsia="Calibri" w:hAnsi="Calibri"/>
          <w:sz w:val="18"/>
          <w:szCs w:val="18"/>
          <w:color w:val="auto"/>
        </w:rPr>
      </w:pPr>
      <w:r>
        <w:rPr>
          <w:rFonts w:ascii="Times New Roman" w:cs="Times New Roman" w:eastAsia="Times New Roman" w:hAnsi="Times New Roman"/>
          <w:sz w:val="18"/>
          <w:szCs w:val="18"/>
          <w:color w:val="auto"/>
        </w:rPr>
        <w:t>distribution and supply chain interruption;</w:t>
      </w:r>
    </w:p>
    <w:p>
      <w:pPr>
        <w:spacing w:after="0" w:line="46" w:lineRule="exact"/>
        <w:rPr>
          <w:rFonts w:ascii="Calibri" w:cs="Calibri" w:eastAsia="Calibri" w:hAnsi="Calibri"/>
          <w:sz w:val="18"/>
          <w:szCs w:val="18"/>
          <w:color w:val="auto"/>
        </w:rPr>
      </w:pPr>
    </w:p>
    <w:p>
      <w:pPr>
        <w:ind w:left="560" w:hanging="276"/>
        <w:spacing w:after="0"/>
        <w:tabs>
          <w:tab w:leader="none" w:pos="560" w:val="left"/>
        </w:tabs>
        <w:numPr>
          <w:ilvl w:val="0"/>
          <w:numId w:val="7"/>
        </w:numPr>
        <w:rPr>
          <w:rFonts w:ascii="Calibri" w:cs="Calibri" w:eastAsia="Calibri" w:hAnsi="Calibri"/>
          <w:sz w:val="18"/>
          <w:szCs w:val="18"/>
          <w:color w:val="auto"/>
        </w:rPr>
      </w:pPr>
      <w:r>
        <w:rPr>
          <w:rFonts w:ascii="Times New Roman" w:cs="Times New Roman" w:eastAsia="Times New Roman" w:hAnsi="Times New Roman"/>
          <w:sz w:val="18"/>
          <w:szCs w:val="18"/>
          <w:color w:val="auto"/>
        </w:rPr>
        <w:t>difficulty to forecast;</w:t>
      </w:r>
    </w:p>
    <w:p>
      <w:pPr>
        <w:spacing w:after="0" w:line="46" w:lineRule="exact"/>
        <w:rPr>
          <w:rFonts w:ascii="Calibri" w:cs="Calibri" w:eastAsia="Calibri" w:hAnsi="Calibri"/>
          <w:sz w:val="18"/>
          <w:szCs w:val="18"/>
          <w:color w:val="auto"/>
        </w:rPr>
      </w:pPr>
    </w:p>
    <w:p>
      <w:pPr>
        <w:ind w:left="560" w:hanging="276"/>
        <w:spacing w:after="0"/>
        <w:tabs>
          <w:tab w:leader="none" w:pos="560" w:val="left"/>
        </w:tabs>
        <w:numPr>
          <w:ilvl w:val="0"/>
          <w:numId w:val="7"/>
        </w:numPr>
        <w:rPr>
          <w:rFonts w:ascii="Calibri" w:cs="Calibri" w:eastAsia="Calibri" w:hAnsi="Calibri"/>
          <w:sz w:val="18"/>
          <w:szCs w:val="18"/>
          <w:color w:val="auto"/>
        </w:rPr>
      </w:pPr>
      <w:r>
        <w:rPr>
          <w:rFonts w:ascii="Times New Roman" w:cs="Times New Roman" w:eastAsia="Times New Roman" w:hAnsi="Times New Roman"/>
          <w:sz w:val="18"/>
          <w:szCs w:val="18"/>
          <w:color w:val="auto"/>
        </w:rPr>
        <w:t>promoting the brand;</w:t>
      </w:r>
    </w:p>
    <w:p>
      <w:pPr>
        <w:spacing w:after="0" w:line="58" w:lineRule="exact"/>
        <w:rPr>
          <w:rFonts w:ascii="Calibri" w:cs="Calibri" w:eastAsia="Calibri" w:hAnsi="Calibri"/>
          <w:sz w:val="18"/>
          <w:szCs w:val="18"/>
          <w:color w:val="auto"/>
        </w:rPr>
      </w:pPr>
    </w:p>
    <w:p>
      <w:pPr>
        <w:ind w:left="560" w:hanging="276"/>
        <w:spacing w:after="0"/>
        <w:tabs>
          <w:tab w:leader="none" w:pos="560" w:val="left"/>
        </w:tabs>
        <w:numPr>
          <w:ilvl w:val="0"/>
          <w:numId w:val="7"/>
        </w:numPr>
        <w:rPr>
          <w:rFonts w:ascii="Calibri" w:cs="Calibri" w:eastAsia="Calibri" w:hAnsi="Calibri"/>
          <w:sz w:val="18"/>
          <w:szCs w:val="18"/>
          <w:color w:val="auto"/>
        </w:rPr>
      </w:pPr>
      <w:r>
        <w:rPr>
          <w:rFonts w:ascii="Times New Roman" w:cs="Times New Roman" w:eastAsia="Times New Roman" w:hAnsi="Times New Roman"/>
          <w:sz w:val="18"/>
          <w:szCs w:val="18"/>
          <w:color w:val="auto"/>
        </w:rPr>
        <w:t>product viability;</w:t>
      </w:r>
    </w:p>
    <w:p>
      <w:pPr>
        <w:spacing w:after="0" w:line="46" w:lineRule="exact"/>
        <w:rPr>
          <w:rFonts w:ascii="Calibri" w:cs="Calibri" w:eastAsia="Calibri" w:hAnsi="Calibri"/>
          <w:sz w:val="18"/>
          <w:szCs w:val="18"/>
          <w:color w:val="auto"/>
        </w:rPr>
      </w:pPr>
    </w:p>
    <w:p>
      <w:pPr>
        <w:ind w:left="560" w:hanging="276"/>
        <w:spacing w:after="0"/>
        <w:tabs>
          <w:tab w:leader="none" w:pos="560" w:val="left"/>
        </w:tabs>
        <w:numPr>
          <w:ilvl w:val="0"/>
          <w:numId w:val="7"/>
        </w:numPr>
        <w:rPr>
          <w:rFonts w:ascii="Calibri" w:cs="Calibri" w:eastAsia="Calibri" w:hAnsi="Calibri"/>
          <w:sz w:val="18"/>
          <w:szCs w:val="18"/>
          <w:color w:val="auto"/>
        </w:rPr>
      </w:pPr>
      <w:r>
        <w:rPr>
          <w:rFonts w:ascii="Times New Roman" w:cs="Times New Roman" w:eastAsia="Times New Roman" w:hAnsi="Times New Roman"/>
          <w:sz w:val="18"/>
          <w:szCs w:val="18"/>
          <w:color w:val="auto"/>
        </w:rPr>
        <w:t>success of quality control systems;</w:t>
      </w:r>
    </w:p>
    <w:p>
      <w:pPr>
        <w:spacing w:after="0" w:line="58" w:lineRule="exact"/>
        <w:rPr>
          <w:rFonts w:ascii="Calibri" w:cs="Calibri" w:eastAsia="Calibri" w:hAnsi="Calibri"/>
          <w:sz w:val="18"/>
          <w:szCs w:val="18"/>
          <w:color w:val="auto"/>
        </w:rPr>
      </w:pPr>
    </w:p>
    <w:p>
      <w:pPr>
        <w:ind w:left="560" w:hanging="276"/>
        <w:spacing w:after="0"/>
        <w:tabs>
          <w:tab w:leader="none" w:pos="560" w:val="left"/>
        </w:tabs>
        <w:numPr>
          <w:ilvl w:val="0"/>
          <w:numId w:val="7"/>
        </w:numPr>
        <w:rPr>
          <w:rFonts w:ascii="Calibri" w:cs="Calibri" w:eastAsia="Calibri" w:hAnsi="Calibri"/>
          <w:sz w:val="18"/>
          <w:szCs w:val="18"/>
          <w:color w:val="auto"/>
        </w:rPr>
      </w:pPr>
      <w:r>
        <w:rPr>
          <w:rFonts w:ascii="Times New Roman" w:cs="Times New Roman" w:eastAsia="Times New Roman" w:hAnsi="Times New Roman"/>
          <w:sz w:val="18"/>
          <w:szCs w:val="18"/>
          <w:color w:val="auto"/>
        </w:rPr>
        <w:t>reliance on key inputs;</w:t>
      </w:r>
    </w:p>
    <w:p>
      <w:pPr>
        <w:spacing w:after="0" w:line="46" w:lineRule="exact"/>
        <w:rPr>
          <w:rFonts w:ascii="Calibri" w:cs="Calibri" w:eastAsia="Calibri" w:hAnsi="Calibri"/>
          <w:sz w:val="18"/>
          <w:szCs w:val="18"/>
          <w:color w:val="auto"/>
        </w:rPr>
      </w:pPr>
    </w:p>
    <w:p>
      <w:pPr>
        <w:ind w:left="560" w:hanging="276"/>
        <w:spacing w:after="0"/>
        <w:tabs>
          <w:tab w:leader="none" w:pos="560" w:val="left"/>
        </w:tabs>
        <w:numPr>
          <w:ilvl w:val="0"/>
          <w:numId w:val="7"/>
        </w:numPr>
        <w:rPr>
          <w:rFonts w:ascii="Calibri" w:cs="Calibri" w:eastAsia="Calibri" w:hAnsi="Calibri"/>
          <w:sz w:val="18"/>
          <w:szCs w:val="18"/>
          <w:color w:val="auto"/>
        </w:rPr>
      </w:pPr>
      <w:r>
        <w:rPr>
          <w:rFonts w:ascii="Times New Roman" w:cs="Times New Roman" w:eastAsia="Times New Roman" w:hAnsi="Times New Roman"/>
          <w:sz w:val="18"/>
          <w:szCs w:val="18"/>
          <w:color w:val="auto"/>
        </w:rPr>
        <w:t>liability arising from fraudulent or illegal activity;</w:t>
      </w:r>
    </w:p>
    <w:p>
      <w:pPr>
        <w:sectPr>
          <w:pgSz w:w="11900" w:h="16838" w:orient="portrait"/>
          <w:cols w:equalWidth="0" w:num="1">
            <w:col w:w="11260"/>
          </w:cols>
          <w:pgMar w:left="320" w:top="1303" w:right="31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color w:val="auto"/>
        </w:rPr>
        <w:t>3</w:t>
      </w:r>
    </w:p>
    <w:p>
      <w:pPr>
        <w:sectPr>
          <w:pgSz w:w="11900" w:h="16838" w:orient="portrait"/>
          <w:cols w:equalWidth="0" w:num="1">
            <w:col w:w="11260"/>
          </w:cols>
          <w:pgMar w:left="320" w:top="1303" w:right="319" w:bottom="1440" w:gutter="0" w:footer="0" w:header="0"/>
          <w:type w:val="continuous"/>
        </w:sectPr>
      </w:pPr>
    </w:p>
    <w:bookmarkStart w:id="29" w:name="page30"/>
    <w:bookmarkEnd w:id="29"/>
    <w:p>
      <w:pPr>
        <w:ind w:left="560" w:hanging="276"/>
        <w:spacing w:after="0"/>
        <w:tabs>
          <w:tab w:leader="none" w:pos="560" w:val="left"/>
        </w:tabs>
        <w:numPr>
          <w:ilvl w:val="0"/>
          <w:numId w:val="8"/>
        </w:numPr>
        <w:rPr>
          <w:rFonts w:ascii="Calibri" w:cs="Calibri" w:eastAsia="Calibri" w:hAnsi="Calibri"/>
          <w:sz w:val="18"/>
          <w:szCs w:val="18"/>
          <w:color w:val="auto"/>
        </w:rPr>
      </w:pPr>
      <w:r>
        <w:rPr>
          <w:rFonts w:ascii="Times New Roman" w:cs="Times New Roman" w:eastAsia="Times New Roman" w:hAnsi="Times New Roman"/>
          <w:sz w:val="18"/>
          <w:szCs w:val="18"/>
          <w:color w:val="auto"/>
        </w:rPr>
        <w:t>operating risk and insurance coverage;</w:t>
      </w:r>
    </w:p>
    <w:p>
      <w:pPr>
        <w:spacing w:after="0" w:line="58" w:lineRule="exact"/>
        <w:rPr>
          <w:rFonts w:ascii="Calibri" w:cs="Calibri" w:eastAsia="Calibri" w:hAnsi="Calibri"/>
          <w:sz w:val="18"/>
          <w:szCs w:val="18"/>
          <w:color w:val="auto"/>
        </w:rPr>
      </w:pPr>
    </w:p>
    <w:p>
      <w:pPr>
        <w:ind w:left="560" w:hanging="276"/>
        <w:spacing w:after="0"/>
        <w:tabs>
          <w:tab w:leader="none" w:pos="560" w:val="left"/>
        </w:tabs>
        <w:numPr>
          <w:ilvl w:val="0"/>
          <w:numId w:val="8"/>
        </w:numPr>
        <w:rPr>
          <w:rFonts w:ascii="Calibri" w:cs="Calibri" w:eastAsia="Calibri" w:hAnsi="Calibri"/>
          <w:sz w:val="18"/>
          <w:szCs w:val="18"/>
          <w:color w:val="auto"/>
        </w:rPr>
      </w:pPr>
      <w:r>
        <w:rPr>
          <w:rFonts w:ascii="Times New Roman" w:cs="Times New Roman" w:eastAsia="Times New Roman" w:hAnsi="Times New Roman"/>
          <w:sz w:val="18"/>
          <w:szCs w:val="18"/>
          <w:color w:val="auto"/>
        </w:rPr>
        <w:t>costs of operating as public company;</w:t>
      </w:r>
    </w:p>
    <w:p>
      <w:pPr>
        <w:spacing w:after="0" w:line="46" w:lineRule="exact"/>
        <w:rPr>
          <w:rFonts w:ascii="Calibri" w:cs="Calibri" w:eastAsia="Calibri" w:hAnsi="Calibri"/>
          <w:sz w:val="18"/>
          <w:szCs w:val="18"/>
          <w:color w:val="auto"/>
        </w:rPr>
      </w:pPr>
    </w:p>
    <w:p>
      <w:pPr>
        <w:ind w:left="560" w:hanging="276"/>
        <w:spacing w:after="0"/>
        <w:tabs>
          <w:tab w:leader="none" w:pos="560" w:val="left"/>
        </w:tabs>
        <w:numPr>
          <w:ilvl w:val="0"/>
          <w:numId w:val="8"/>
        </w:numPr>
        <w:rPr>
          <w:rFonts w:ascii="Calibri" w:cs="Calibri" w:eastAsia="Calibri" w:hAnsi="Calibri"/>
          <w:sz w:val="18"/>
          <w:szCs w:val="18"/>
          <w:color w:val="auto"/>
        </w:rPr>
      </w:pPr>
      <w:r>
        <w:rPr>
          <w:rFonts w:ascii="Times New Roman" w:cs="Times New Roman" w:eastAsia="Times New Roman" w:hAnsi="Times New Roman"/>
          <w:sz w:val="18"/>
          <w:szCs w:val="18"/>
          <w:color w:val="auto"/>
        </w:rPr>
        <w:t>management of growth;</w:t>
      </w:r>
    </w:p>
    <w:p>
      <w:pPr>
        <w:spacing w:after="0" w:line="46" w:lineRule="exact"/>
        <w:rPr>
          <w:rFonts w:ascii="Calibri" w:cs="Calibri" w:eastAsia="Calibri" w:hAnsi="Calibri"/>
          <w:sz w:val="18"/>
          <w:szCs w:val="18"/>
          <w:color w:val="auto"/>
        </w:rPr>
      </w:pPr>
    </w:p>
    <w:p>
      <w:pPr>
        <w:ind w:left="560" w:hanging="276"/>
        <w:spacing w:after="0"/>
        <w:tabs>
          <w:tab w:leader="none" w:pos="560" w:val="left"/>
        </w:tabs>
        <w:numPr>
          <w:ilvl w:val="0"/>
          <w:numId w:val="8"/>
        </w:numPr>
        <w:rPr>
          <w:rFonts w:ascii="Calibri" w:cs="Calibri" w:eastAsia="Calibri" w:hAnsi="Calibri"/>
          <w:sz w:val="18"/>
          <w:szCs w:val="18"/>
          <w:color w:val="auto"/>
        </w:rPr>
      </w:pPr>
      <w:r>
        <w:rPr>
          <w:rFonts w:ascii="Times New Roman" w:cs="Times New Roman" w:eastAsia="Times New Roman" w:hAnsi="Times New Roman"/>
          <w:sz w:val="18"/>
          <w:szCs w:val="18"/>
          <w:color w:val="auto"/>
        </w:rPr>
        <w:t>conflicts of interest;</w:t>
      </w:r>
    </w:p>
    <w:p>
      <w:pPr>
        <w:spacing w:after="0" w:line="58" w:lineRule="exact"/>
        <w:rPr>
          <w:rFonts w:ascii="Calibri" w:cs="Calibri" w:eastAsia="Calibri" w:hAnsi="Calibri"/>
          <w:sz w:val="18"/>
          <w:szCs w:val="18"/>
          <w:color w:val="auto"/>
        </w:rPr>
      </w:pPr>
    </w:p>
    <w:p>
      <w:pPr>
        <w:ind w:left="560" w:hanging="276"/>
        <w:spacing w:after="0"/>
        <w:tabs>
          <w:tab w:leader="none" w:pos="560" w:val="left"/>
        </w:tabs>
        <w:numPr>
          <w:ilvl w:val="0"/>
          <w:numId w:val="8"/>
        </w:numPr>
        <w:rPr>
          <w:rFonts w:ascii="Calibri" w:cs="Calibri" w:eastAsia="Calibri" w:hAnsi="Calibri"/>
          <w:sz w:val="18"/>
          <w:szCs w:val="18"/>
          <w:color w:val="auto"/>
        </w:rPr>
      </w:pPr>
      <w:r>
        <w:rPr>
          <w:rFonts w:ascii="Times New Roman" w:cs="Times New Roman" w:eastAsia="Times New Roman" w:hAnsi="Times New Roman"/>
          <w:sz w:val="18"/>
          <w:szCs w:val="18"/>
          <w:color w:val="auto"/>
        </w:rPr>
        <w:t>foreign operations;</w:t>
      </w:r>
    </w:p>
    <w:p>
      <w:pPr>
        <w:spacing w:after="0" w:line="46" w:lineRule="exact"/>
        <w:rPr>
          <w:rFonts w:ascii="Calibri" w:cs="Calibri" w:eastAsia="Calibri" w:hAnsi="Calibri"/>
          <w:sz w:val="18"/>
          <w:szCs w:val="18"/>
          <w:color w:val="auto"/>
        </w:rPr>
      </w:pPr>
    </w:p>
    <w:p>
      <w:pPr>
        <w:ind w:left="560" w:hanging="276"/>
        <w:spacing w:after="0"/>
        <w:tabs>
          <w:tab w:leader="none" w:pos="560" w:val="left"/>
        </w:tabs>
        <w:numPr>
          <w:ilvl w:val="0"/>
          <w:numId w:val="8"/>
        </w:numPr>
        <w:rPr>
          <w:rFonts w:ascii="Calibri" w:cs="Calibri" w:eastAsia="Calibri" w:hAnsi="Calibri"/>
          <w:sz w:val="18"/>
          <w:szCs w:val="18"/>
          <w:color w:val="auto"/>
        </w:rPr>
      </w:pPr>
      <w:r>
        <w:rPr>
          <w:rFonts w:ascii="Times New Roman" w:cs="Times New Roman" w:eastAsia="Times New Roman" w:hAnsi="Times New Roman"/>
          <w:sz w:val="18"/>
          <w:szCs w:val="18"/>
          <w:color w:val="auto"/>
        </w:rPr>
        <w:t>exchange rate fluctuations;</w:t>
      </w:r>
    </w:p>
    <w:p>
      <w:pPr>
        <w:spacing w:after="0" w:line="46" w:lineRule="exact"/>
        <w:rPr>
          <w:rFonts w:ascii="Calibri" w:cs="Calibri" w:eastAsia="Calibri" w:hAnsi="Calibri"/>
          <w:sz w:val="18"/>
          <w:szCs w:val="18"/>
          <w:color w:val="auto"/>
        </w:rPr>
      </w:pPr>
    </w:p>
    <w:p>
      <w:pPr>
        <w:ind w:left="560" w:hanging="276"/>
        <w:spacing w:after="0"/>
        <w:tabs>
          <w:tab w:leader="none" w:pos="560" w:val="left"/>
        </w:tabs>
        <w:numPr>
          <w:ilvl w:val="0"/>
          <w:numId w:val="8"/>
        </w:numPr>
        <w:rPr>
          <w:rFonts w:ascii="Calibri" w:cs="Calibri" w:eastAsia="Calibri" w:hAnsi="Calibri"/>
          <w:sz w:val="18"/>
          <w:szCs w:val="18"/>
          <w:color w:val="auto"/>
        </w:rPr>
      </w:pPr>
      <w:r>
        <w:rPr>
          <w:rFonts w:ascii="Times New Roman" w:cs="Times New Roman" w:eastAsia="Times New Roman" w:hAnsi="Times New Roman"/>
          <w:sz w:val="18"/>
          <w:szCs w:val="18"/>
          <w:color w:val="auto"/>
        </w:rPr>
        <w:t>cybersecurity and privacy risk;</w:t>
      </w:r>
    </w:p>
    <w:p>
      <w:pPr>
        <w:spacing w:after="0" w:line="58" w:lineRule="exact"/>
        <w:rPr>
          <w:rFonts w:ascii="Calibri" w:cs="Calibri" w:eastAsia="Calibri" w:hAnsi="Calibri"/>
          <w:sz w:val="18"/>
          <w:szCs w:val="18"/>
          <w:color w:val="auto"/>
        </w:rPr>
      </w:pPr>
    </w:p>
    <w:p>
      <w:pPr>
        <w:ind w:left="560" w:hanging="276"/>
        <w:spacing w:after="0"/>
        <w:tabs>
          <w:tab w:leader="none" w:pos="560" w:val="left"/>
        </w:tabs>
        <w:numPr>
          <w:ilvl w:val="0"/>
          <w:numId w:val="8"/>
        </w:numPr>
        <w:rPr>
          <w:rFonts w:ascii="Calibri" w:cs="Calibri" w:eastAsia="Calibri" w:hAnsi="Calibri"/>
          <w:sz w:val="18"/>
          <w:szCs w:val="18"/>
          <w:color w:val="auto"/>
        </w:rPr>
      </w:pPr>
      <w:r>
        <w:rPr>
          <w:rFonts w:ascii="Times New Roman" w:cs="Times New Roman" w:eastAsia="Times New Roman" w:hAnsi="Times New Roman"/>
          <w:sz w:val="18"/>
          <w:szCs w:val="18"/>
          <w:color w:val="auto"/>
        </w:rPr>
        <w:t>environmental regulation and risks;</w:t>
      </w:r>
    </w:p>
    <w:p>
      <w:pPr>
        <w:spacing w:after="0" w:line="46" w:lineRule="exact"/>
        <w:rPr>
          <w:rFonts w:ascii="Calibri" w:cs="Calibri" w:eastAsia="Calibri" w:hAnsi="Calibri"/>
          <w:sz w:val="18"/>
          <w:szCs w:val="18"/>
          <w:color w:val="auto"/>
        </w:rPr>
      </w:pPr>
    </w:p>
    <w:p>
      <w:pPr>
        <w:ind w:left="560" w:hanging="276"/>
        <w:spacing w:after="0"/>
        <w:tabs>
          <w:tab w:leader="none" w:pos="560" w:val="left"/>
        </w:tabs>
        <w:numPr>
          <w:ilvl w:val="0"/>
          <w:numId w:val="8"/>
        </w:numPr>
        <w:rPr>
          <w:rFonts w:ascii="Calibri" w:cs="Calibri" w:eastAsia="Calibri" w:hAnsi="Calibri"/>
          <w:sz w:val="18"/>
          <w:szCs w:val="18"/>
          <w:color w:val="auto"/>
        </w:rPr>
      </w:pPr>
      <w:r>
        <w:rPr>
          <w:rFonts w:ascii="Times New Roman" w:cs="Times New Roman" w:eastAsia="Times New Roman" w:hAnsi="Times New Roman"/>
          <w:sz w:val="18"/>
          <w:szCs w:val="18"/>
          <w:color w:val="auto"/>
        </w:rPr>
        <w:t>decriminalization of psychedelics;</w:t>
      </w:r>
    </w:p>
    <w:p>
      <w:pPr>
        <w:spacing w:after="0" w:line="58" w:lineRule="exact"/>
        <w:rPr>
          <w:rFonts w:ascii="Calibri" w:cs="Calibri" w:eastAsia="Calibri" w:hAnsi="Calibri"/>
          <w:sz w:val="18"/>
          <w:szCs w:val="18"/>
          <w:color w:val="auto"/>
        </w:rPr>
      </w:pPr>
    </w:p>
    <w:p>
      <w:pPr>
        <w:ind w:left="560" w:hanging="276"/>
        <w:spacing w:after="0"/>
        <w:tabs>
          <w:tab w:leader="none" w:pos="560" w:val="left"/>
        </w:tabs>
        <w:numPr>
          <w:ilvl w:val="0"/>
          <w:numId w:val="8"/>
        </w:numPr>
        <w:rPr>
          <w:rFonts w:ascii="Calibri" w:cs="Calibri" w:eastAsia="Calibri" w:hAnsi="Calibri"/>
          <w:sz w:val="18"/>
          <w:szCs w:val="18"/>
          <w:color w:val="auto"/>
        </w:rPr>
      </w:pPr>
      <w:r>
        <w:rPr>
          <w:rFonts w:ascii="Times New Roman" w:cs="Times New Roman" w:eastAsia="Times New Roman" w:hAnsi="Times New Roman"/>
          <w:sz w:val="18"/>
          <w:szCs w:val="18"/>
          <w:color w:val="auto"/>
        </w:rPr>
        <w:t>forward-looking statements may prove to be inaccurate;</w:t>
      </w:r>
    </w:p>
    <w:p>
      <w:pPr>
        <w:spacing w:after="0" w:line="46" w:lineRule="exact"/>
        <w:rPr>
          <w:rFonts w:ascii="Calibri" w:cs="Calibri" w:eastAsia="Calibri" w:hAnsi="Calibri"/>
          <w:sz w:val="18"/>
          <w:szCs w:val="18"/>
          <w:color w:val="auto"/>
        </w:rPr>
      </w:pPr>
    </w:p>
    <w:p>
      <w:pPr>
        <w:ind w:left="560" w:hanging="276"/>
        <w:spacing w:after="0"/>
        <w:tabs>
          <w:tab w:leader="none" w:pos="560" w:val="left"/>
        </w:tabs>
        <w:numPr>
          <w:ilvl w:val="0"/>
          <w:numId w:val="8"/>
        </w:numPr>
        <w:rPr>
          <w:rFonts w:ascii="Calibri" w:cs="Calibri" w:eastAsia="Calibri" w:hAnsi="Calibri"/>
          <w:sz w:val="18"/>
          <w:szCs w:val="18"/>
          <w:color w:val="auto"/>
        </w:rPr>
      </w:pPr>
      <w:r>
        <w:rPr>
          <w:rFonts w:ascii="Times New Roman" w:cs="Times New Roman" w:eastAsia="Times New Roman" w:hAnsi="Times New Roman"/>
          <w:sz w:val="18"/>
          <w:szCs w:val="18"/>
          <w:color w:val="auto"/>
        </w:rPr>
        <w:t>effects of inflation;</w:t>
      </w:r>
    </w:p>
    <w:p>
      <w:pPr>
        <w:spacing w:after="0" w:line="46" w:lineRule="exact"/>
        <w:rPr>
          <w:rFonts w:ascii="Calibri" w:cs="Calibri" w:eastAsia="Calibri" w:hAnsi="Calibri"/>
          <w:sz w:val="18"/>
          <w:szCs w:val="18"/>
          <w:color w:val="auto"/>
        </w:rPr>
      </w:pPr>
    </w:p>
    <w:p>
      <w:pPr>
        <w:ind w:left="560" w:hanging="276"/>
        <w:spacing w:after="0"/>
        <w:tabs>
          <w:tab w:leader="none" w:pos="560" w:val="left"/>
        </w:tabs>
        <w:numPr>
          <w:ilvl w:val="0"/>
          <w:numId w:val="8"/>
        </w:numPr>
        <w:rPr>
          <w:rFonts w:ascii="Calibri" w:cs="Calibri" w:eastAsia="Calibri" w:hAnsi="Calibri"/>
          <w:sz w:val="18"/>
          <w:szCs w:val="18"/>
          <w:color w:val="auto"/>
        </w:rPr>
      </w:pPr>
      <w:r>
        <w:rPr>
          <w:rFonts w:ascii="Times New Roman" w:cs="Times New Roman" w:eastAsia="Times New Roman" w:hAnsi="Times New Roman"/>
          <w:sz w:val="18"/>
          <w:szCs w:val="18"/>
          <w:color w:val="auto"/>
        </w:rPr>
        <w:t>political and economic conditions;</w:t>
      </w:r>
    </w:p>
    <w:p>
      <w:pPr>
        <w:spacing w:after="0" w:line="58" w:lineRule="exact"/>
        <w:rPr>
          <w:rFonts w:ascii="Calibri" w:cs="Calibri" w:eastAsia="Calibri" w:hAnsi="Calibri"/>
          <w:sz w:val="18"/>
          <w:szCs w:val="18"/>
          <w:color w:val="auto"/>
        </w:rPr>
      </w:pPr>
    </w:p>
    <w:p>
      <w:pPr>
        <w:ind w:left="560" w:hanging="276"/>
        <w:spacing w:after="0"/>
        <w:tabs>
          <w:tab w:leader="none" w:pos="560" w:val="left"/>
        </w:tabs>
        <w:numPr>
          <w:ilvl w:val="0"/>
          <w:numId w:val="8"/>
        </w:numPr>
        <w:rPr>
          <w:rFonts w:ascii="Calibri" w:cs="Calibri" w:eastAsia="Calibri" w:hAnsi="Calibri"/>
          <w:sz w:val="18"/>
          <w:szCs w:val="18"/>
          <w:color w:val="auto"/>
        </w:rPr>
      </w:pPr>
      <w:r>
        <w:rPr>
          <w:rFonts w:ascii="Times New Roman" w:cs="Times New Roman" w:eastAsia="Times New Roman" w:hAnsi="Times New Roman"/>
          <w:sz w:val="18"/>
          <w:szCs w:val="18"/>
          <w:color w:val="auto"/>
        </w:rPr>
        <w:t>application and interpretation of tax laws;</w:t>
      </w:r>
    </w:p>
    <w:p>
      <w:pPr>
        <w:spacing w:after="0" w:line="46" w:lineRule="exact"/>
        <w:rPr>
          <w:rFonts w:ascii="Calibri" w:cs="Calibri" w:eastAsia="Calibri" w:hAnsi="Calibri"/>
          <w:sz w:val="18"/>
          <w:szCs w:val="18"/>
          <w:color w:val="auto"/>
        </w:rPr>
      </w:pPr>
    </w:p>
    <w:p>
      <w:pPr>
        <w:ind w:left="560" w:hanging="276"/>
        <w:spacing w:after="0"/>
        <w:tabs>
          <w:tab w:leader="none" w:pos="560" w:val="left"/>
        </w:tabs>
        <w:numPr>
          <w:ilvl w:val="0"/>
          <w:numId w:val="8"/>
        </w:numPr>
        <w:rPr>
          <w:rFonts w:ascii="Calibri" w:cs="Calibri" w:eastAsia="Calibri" w:hAnsi="Calibri"/>
          <w:sz w:val="18"/>
          <w:szCs w:val="18"/>
          <w:color w:val="auto"/>
        </w:rPr>
      </w:pPr>
      <w:r>
        <w:rPr>
          <w:rFonts w:ascii="Times New Roman" w:cs="Times New Roman" w:eastAsia="Times New Roman" w:hAnsi="Times New Roman"/>
          <w:sz w:val="18"/>
          <w:szCs w:val="18"/>
          <w:color w:val="auto"/>
        </w:rPr>
        <w:t>enforcement of civil liabilities;</w:t>
      </w:r>
    </w:p>
    <w:p>
      <w:pPr>
        <w:spacing w:after="0" w:line="46" w:lineRule="exact"/>
        <w:rPr>
          <w:rFonts w:ascii="Calibri" w:cs="Calibri" w:eastAsia="Calibri" w:hAnsi="Calibri"/>
          <w:sz w:val="18"/>
          <w:szCs w:val="18"/>
          <w:color w:val="auto"/>
        </w:rPr>
      </w:pPr>
    </w:p>
    <w:p>
      <w:pPr>
        <w:ind w:left="560" w:hanging="276"/>
        <w:spacing w:after="0"/>
        <w:tabs>
          <w:tab w:leader="none" w:pos="560" w:val="left"/>
        </w:tabs>
        <w:numPr>
          <w:ilvl w:val="0"/>
          <w:numId w:val="8"/>
        </w:numPr>
        <w:rPr>
          <w:rFonts w:ascii="Calibri" w:cs="Calibri" w:eastAsia="Calibri" w:hAnsi="Calibri"/>
          <w:sz w:val="18"/>
          <w:szCs w:val="18"/>
          <w:color w:val="auto"/>
        </w:rPr>
      </w:pPr>
      <w:r>
        <w:rPr>
          <w:rFonts w:ascii="Times New Roman" w:cs="Times New Roman" w:eastAsia="Times New Roman" w:hAnsi="Times New Roman"/>
          <w:sz w:val="18"/>
          <w:szCs w:val="18"/>
          <w:color w:val="auto"/>
        </w:rPr>
        <w:t>pandemics;</w:t>
      </w:r>
    </w:p>
    <w:p>
      <w:pPr>
        <w:spacing w:after="0" w:line="2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Risks Related to Intellectual Property:</w:t>
      </w:r>
    </w:p>
    <w:p>
      <w:pPr>
        <w:spacing w:after="0" w:line="252" w:lineRule="exact"/>
        <w:rPr>
          <w:sz w:val="20"/>
          <w:szCs w:val="20"/>
          <w:color w:val="auto"/>
        </w:rPr>
      </w:pPr>
    </w:p>
    <w:p>
      <w:pPr>
        <w:ind w:left="560" w:hanging="276"/>
        <w:spacing w:after="0"/>
        <w:tabs>
          <w:tab w:leader="none" w:pos="560" w:val="left"/>
        </w:tabs>
        <w:numPr>
          <w:ilvl w:val="0"/>
          <w:numId w:val="9"/>
        </w:numPr>
        <w:rPr>
          <w:rFonts w:ascii="Calibri" w:cs="Calibri" w:eastAsia="Calibri" w:hAnsi="Calibri"/>
          <w:sz w:val="18"/>
          <w:szCs w:val="18"/>
          <w:color w:val="auto"/>
        </w:rPr>
      </w:pPr>
      <w:r>
        <w:rPr>
          <w:rFonts w:ascii="Times New Roman" w:cs="Times New Roman" w:eastAsia="Times New Roman" w:hAnsi="Times New Roman"/>
          <w:sz w:val="18"/>
          <w:szCs w:val="18"/>
          <w:color w:val="auto"/>
        </w:rPr>
        <w:t>trademark protection;</w:t>
      </w:r>
    </w:p>
    <w:p>
      <w:pPr>
        <w:spacing w:after="0" w:line="58" w:lineRule="exact"/>
        <w:rPr>
          <w:rFonts w:ascii="Calibri" w:cs="Calibri" w:eastAsia="Calibri" w:hAnsi="Calibri"/>
          <w:sz w:val="18"/>
          <w:szCs w:val="18"/>
          <w:color w:val="auto"/>
        </w:rPr>
      </w:pPr>
    </w:p>
    <w:p>
      <w:pPr>
        <w:ind w:left="560" w:hanging="276"/>
        <w:spacing w:after="0"/>
        <w:tabs>
          <w:tab w:leader="none" w:pos="560" w:val="left"/>
        </w:tabs>
        <w:numPr>
          <w:ilvl w:val="0"/>
          <w:numId w:val="9"/>
        </w:numPr>
        <w:rPr>
          <w:rFonts w:ascii="Calibri" w:cs="Calibri" w:eastAsia="Calibri" w:hAnsi="Calibri"/>
          <w:sz w:val="18"/>
          <w:szCs w:val="18"/>
          <w:color w:val="auto"/>
        </w:rPr>
      </w:pPr>
      <w:r>
        <w:rPr>
          <w:rFonts w:ascii="Times New Roman" w:cs="Times New Roman" w:eastAsia="Times New Roman" w:hAnsi="Times New Roman"/>
          <w:sz w:val="18"/>
          <w:szCs w:val="18"/>
          <w:color w:val="auto"/>
        </w:rPr>
        <w:t>trade secrets;</w:t>
      </w:r>
    </w:p>
    <w:p>
      <w:pPr>
        <w:spacing w:after="0" w:line="46" w:lineRule="exact"/>
        <w:rPr>
          <w:rFonts w:ascii="Calibri" w:cs="Calibri" w:eastAsia="Calibri" w:hAnsi="Calibri"/>
          <w:sz w:val="18"/>
          <w:szCs w:val="18"/>
          <w:color w:val="auto"/>
        </w:rPr>
      </w:pPr>
    </w:p>
    <w:p>
      <w:pPr>
        <w:ind w:left="560" w:hanging="276"/>
        <w:spacing w:after="0"/>
        <w:tabs>
          <w:tab w:leader="none" w:pos="560" w:val="left"/>
        </w:tabs>
        <w:numPr>
          <w:ilvl w:val="0"/>
          <w:numId w:val="9"/>
        </w:numPr>
        <w:rPr>
          <w:rFonts w:ascii="Calibri" w:cs="Calibri" w:eastAsia="Calibri" w:hAnsi="Calibri"/>
          <w:sz w:val="18"/>
          <w:szCs w:val="18"/>
          <w:color w:val="auto"/>
        </w:rPr>
      </w:pPr>
      <w:r>
        <w:rPr>
          <w:rFonts w:ascii="Times New Roman" w:cs="Times New Roman" w:eastAsia="Times New Roman" w:hAnsi="Times New Roman"/>
          <w:sz w:val="18"/>
          <w:szCs w:val="18"/>
          <w:color w:val="auto"/>
        </w:rPr>
        <w:t>patent law reform;</w:t>
      </w:r>
    </w:p>
    <w:p>
      <w:pPr>
        <w:spacing w:after="0" w:line="46" w:lineRule="exact"/>
        <w:rPr>
          <w:rFonts w:ascii="Calibri" w:cs="Calibri" w:eastAsia="Calibri" w:hAnsi="Calibri"/>
          <w:sz w:val="18"/>
          <w:szCs w:val="18"/>
          <w:color w:val="auto"/>
        </w:rPr>
      </w:pPr>
    </w:p>
    <w:p>
      <w:pPr>
        <w:ind w:left="560" w:hanging="276"/>
        <w:spacing w:after="0"/>
        <w:tabs>
          <w:tab w:leader="none" w:pos="560" w:val="left"/>
        </w:tabs>
        <w:numPr>
          <w:ilvl w:val="0"/>
          <w:numId w:val="9"/>
        </w:numPr>
        <w:rPr>
          <w:rFonts w:ascii="Calibri" w:cs="Calibri" w:eastAsia="Calibri" w:hAnsi="Calibri"/>
          <w:sz w:val="18"/>
          <w:szCs w:val="18"/>
          <w:color w:val="auto"/>
        </w:rPr>
      </w:pPr>
      <w:r>
        <w:rPr>
          <w:rFonts w:ascii="Times New Roman" w:cs="Times New Roman" w:eastAsia="Times New Roman" w:hAnsi="Times New Roman"/>
          <w:sz w:val="18"/>
          <w:szCs w:val="18"/>
          <w:color w:val="auto"/>
        </w:rPr>
        <w:t>patent litigation and intellectual property;</w:t>
      </w:r>
    </w:p>
    <w:p>
      <w:pPr>
        <w:spacing w:after="0" w:line="58" w:lineRule="exact"/>
        <w:rPr>
          <w:rFonts w:ascii="Calibri" w:cs="Calibri" w:eastAsia="Calibri" w:hAnsi="Calibri"/>
          <w:sz w:val="18"/>
          <w:szCs w:val="18"/>
          <w:color w:val="auto"/>
        </w:rPr>
      </w:pPr>
    </w:p>
    <w:p>
      <w:pPr>
        <w:ind w:left="560" w:hanging="276"/>
        <w:spacing w:after="0"/>
        <w:tabs>
          <w:tab w:leader="none" w:pos="560" w:val="left"/>
        </w:tabs>
        <w:numPr>
          <w:ilvl w:val="0"/>
          <w:numId w:val="9"/>
        </w:numPr>
        <w:rPr>
          <w:rFonts w:ascii="Calibri" w:cs="Calibri" w:eastAsia="Calibri" w:hAnsi="Calibri"/>
          <w:sz w:val="18"/>
          <w:szCs w:val="18"/>
          <w:color w:val="auto"/>
        </w:rPr>
      </w:pPr>
      <w:r>
        <w:rPr>
          <w:rFonts w:ascii="Times New Roman" w:cs="Times New Roman" w:eastAsia="Times New Roman" w:hAnsi="Times New Roman"/>
          <w:sz w:val="18"/>
          <w:szCs w:val="18"/>
          <w:color w:val="auto"/>
        </w:rPr>
        <w:t>protection of intellectual property;</w:t>
      </w:r>
    </w:p>
    <w:p>
      <w:pPr>
        <w:spacing w:after="0" w:line="46" w:lineRule="exact"/>
        <w:rPr>
          <w:rFonts w:ascii="Calibri" w:cs="Calibri" w:eastAsia="Calibri" w:hAnsi="Calibri"/>
          <w:sz w:val="18"/>
          <w:szCs w:val="18"/>
          <w:color w:val="auto"/>
        </w:rPr>
      </w:pPr>
    </w:p>
    <w:p>
      <w:pPr>
        <w:ind w:left="560" w:hanging="276"/>
        <w:spacing w:after="0"/>
        <w:tabs>
          <w:tab w:leader="none" w:pos="560" w:val="left"/>
        </w:tabs>
        <w:numPr>
          <w:ilvl w:val="0"/>
          <w:numId w:val="9"/>
        </w:numPr>
        <w:rPr>
          <w:rFonts w:ascii="Calibri" w:cs="Calibri" w:eastAsia="Calibri" w:hAnsi="Calibri"/>
          <w:sz w:val="18"/>
          <w:szCs w:val="18"/>
          <w:color w:val="auto"/>
        </w:rPr>
      </w:pPr>
      <w:r>
        <w:rPr>
          <w:rFonts w:ascii="Times New Roman" w:cs="Times New Roman" w:eastAsia="Times New Roman" w:hAnsi="Times New Roman"/>
          <w:sz w:val="18"/>
          <w:szCs w:val="18"/>
          <w:color w:val="auto"/>
        </w:rPr>
        <w:t>third-party licences;</w:t>
      </w:r>
    </w:p>
    <w:p>
      <w:pPr>
        <w:spacing w:after="0" w:line="2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Financial and Accounting Risks:</w:t>
      </w:r>
    </w:p>
    <w:p>
      <w:pPr>
        <w:spacing w:after="0" w:line="264" w:lineRule="exact"/>
        <w:rPr>
          <w:sz w:val="20"/>
          <w:szCs w:val="20"/>
          <w:color w:val="auto"/>
        </w:rPr>
      </w:pPr>
    </w:p>
    <w:p>
      <w:pPr>
        <w:ind w:left="560" w:hanging="276"/>
        <w:spacing w:after="0"/>
        <w:tabs>
          <w:tab w:leader="none" w:pos="560" w:val="left"/>
        </w:tabs>
        <w:numPr>
          <w:ilvl w:val="0"/>
          <w:numId w:val="10"/>
        </w:numPr>
        <w:rPr>
          <w:rFonts w:ascii="Calibri" w:cs="Calibri" w:eastAsia="Calibri" w:hAnsi="Calibri"/>
          <w:sz w:val="18"/>
          <w:szCs w:val="18"/>
          <w:color w:val="auto"/>
        </w:rPr>
      </w:pPr>
      <w:r>
        <w:rPr>
          <w:rFonts w:ascii="Times New Roman" w:cs="Times New Roman" w:eastAsia="Times New Roman" w:hAnsi="Times New Roman"/>
          <w:sz w:val="18"/>
          <w:szCs w:val="18"/>
          <w:color w:val="auto"/>
        </w:rPr>
        <w:t>substantial number of authorized but unissued Common Shares (as defined herein);</w:t>
      </w:r>
    </w:p>
    <w:p>
      <w:pPr>
        <w:spacing w:after="0" w:line="46" w:lineRule="exact"/>
        <w:rPr>
          <w:rFonts w:ascii="Calibri" w:cs="Calibri" w:eastAsia="Calibri" w:hAnsi="Calibri"/>
          <w:sz w:val="18"/>
          <w:szCs w:val="18"/>
          <w:color w:val="auto"/>
        </w:rPr>
      </w:pPr>
    </w:p>
    <w:p>
      <w:pPr>
        <w:ind w:left="560" w:hanging="276"/>
        <w:spacing w:after="0"/>
        <w:tabs>
          <w:tab w:leader="none" w:pos="560" w:val="left"/>
        </w:tabs>
        <w:numPr>
          <w:ilvl w:val="0"/>
          <w:numId w:val="10"/>
        </w:numPr>
        <w:rPr>
          <w:rFonts w:ascii="Calibri" w:cs="Calibri" w:eastAsia="Calibri" w:hAnsi="Calibri"/>
          <w:sz w:val="18"/>
          <w:szCs w:val="18"/>
          <w:color w:val="auto"/>
        </w:rPr>
      </w:pPr>
      <w:r>
        <w:rPr>
          <w:rFonts w:ascii="Times New Roman" w:cs="Times New Roman" w:eastAsia="Times New Roman" w:hAnsi="Times New Roman"/>
          <w:sz w:val="18"/>
          <w:szCs w:val="18"/>
          <w:color w:val="auto"/>
        </w:rPr>
        <w:t>dilution;</w:t>
      </w:r>
    </w:p>
    <w:p>
      <w:pPr>
        <w:spacing w:after="0" w:line="58" w:lineRule="exact"/>
        <w:rPr>
          <w:rFonts w:ascii="Calibri" w:cs="Calibri" w:eastAsia="Calibri" w:hAnsi="Calibri"/>
          <w:sz w:val="18"/>
          <w:szCs w:val="18"/>
          <w:color w:val="auto"/>
        </w:rPr>
      </w:pPr>
    </w:p>
    <w:p>
      <w:pPr>
        <w:ind w:left="560" w:hanging="276"/>
        <w:spacing w:after="0"/>
        <w:tabs>
          <w:tab w:leader="none" w:pos="560" w:val="left"/>
        </w:tabs>
        <w:numPr>
          <w:ilvl w:val="0"/>
          <w:numId w:val="10"/>
        </w:numPr>
        <w:rPr>
          <w:rFonts w:ascii="Calibri" w:cs="Calibri" w:eastAsia="Calibri" w:hAnsi="Calibri"/>
          <w:sz w:val="18"/>
          <w:szCs w:val="18"/>
          <w:color w:val="auto"/>
        </w:rPr>
      </w:pPr>
      <w:r>
        <w:rPr>
          <w:rFonts w:ascii="Times New Roman" w:cs="Times New Roman" w:eastAsia="Times New Roman" w:hAnsi="Times New Roman"/>
          <w:sz w:val="18"/>
          <w:szCs w:val="18"/>
          <w:color w:val="auto"/>
        </w:rPr>
        <w:t>negative cash flow from operating activities;</w:t>
      </w:r>
    </w:p>
    <w:p>
      <w:pPr>
        <w:spacing w:after="0" w:line="46" w:lineRule="exact"/>
        <w:rPr>
          <w:rFonts w:ascii="Calibri" w:cs="Calibri" w:eastAsia="Calibri" w:hAnsi="Calibri"/>
          <w:sz w:val="18"/>
          <w:szCs w:val="18"/>
          <w:color w:val="auto"/>
        </w:rPr>
      </w:pPr>
    </w:p>
    <w:p>
      <w:pPr>
        <w:ind w:left="560" w:hanging="276"/>
        <w:spacing w:after="0"/>
        <w:tabs>
          <w:tab w:leader="none" w:pos="560" w:val="left"/>
        </w:tabs>
        <w:numPr>
          <w:ilvl w:val="0"/>
          <w:numId w:val="10"/>
        </w:numPr>
        <w:rPr>
          <w:rFonts w:ascii="Calibri" w:cs="Calibri" w:eastAsia="Calibri" w:hAnsi="Calibri"/>
          <w:sz w:val="18"/>
          <w:szCs w:val="18"/>
          <w:color w:val="auto"/>
        </w:rPr>
      </w:pPr>
      <w:r>
        <w:rPr>
          <w:rFonts w:ascii="Times New Roman" w:cs="Times New Roman" w:eastAsia="Times New Roman" w:hAnsi="Times New Roman"/>
          <w:sz w:val="18"/>
          <w:szCs w:val="18"/>
          <w:color w:val="auto"/>
        </w:rPr>
        <w:t>additional capital requirements;</w:t>
      </w:r>
    </w:p>
    <w:p>
      <w:pPr>
        <w:spacing w:after="0" w:line="46" w:lineRule="exact"/>
        <w:rPr>
          <w:rFonts w:ascii="Calibri" w:cs="Calibri" w:eastAsia="Calibri" w:hAnsi="Calibri"/>
          <w:sz w:val="18"/>
          <w:szCs w:val="18"/>
          <w:color w:val="auto"/>
        </w:rPr>
      </w:pPr>
    </w:p>
    <w:p>
      <w:pPr>
        <w:ind w:left="560" w:hanging="276"/>
        <w:spacing w:after="0"/>
        <w:tabs>
          <w:tab w:leader="none" w:pos="560" w:val="left"/>
        </w:tabs>
        <w:numPr>
          <w:ilvl w:val="0"/>
          <w:numId w:val="10"/>
        </w:numPr>
        <w:rPr>
          <w:rFonts w:ascii="Calibri" w:cs="Calibri" w:eastAsia="Calibri" w:hAnsi="Calibri"/>
          <w:sz w:val="18"/>
          <w:szCs w:val="18"/>
          <w:color w:val="auto"/>
        </w:rPr>
      </w:pPr>
      <w:r>
        <w:rPr>
          <w:rFonts w:ascii="Times New Roman" w:cs="Times New Roman" w:eastAsia="Times New Roman" w:hAnsi="Times New Roman"/>
          <w:sz w:val="18"/>
          <w:szCs w:val="18"/>
          <w:color w:val="auto"/>
        </w:rPr>
        <w:t>lack of significant product revenue;</w:t>
      </w:r>
    </w:p>
    <w:p>
      <w:pPr>
        <w:spacing w:after="0" w:line="58" w:lineRule="exact"/>
        <w:rPr>
          <w:rFonts w:ascii="Calibri" w:cs="Calibri" w:eastAsia="Calibri" w:hAnsi="Calibri"/>
          <w:sz w:val="18"/>
          <w:szCs w:val="18"/>
          <w:color w:val="auto"/>
        </w:rPr>
      </w:pPr>
    </w:p>
    <w:p>
      <w:pPr>
        <w:ind w:left="560" w:hanging="276"/>
        <w:spacing w:after="0"/>
        <w:tabs>
          <w:tab w:leader="none" w:pos="560" w:val="left"/>
        </w:tabs>
        <w:numPr>
          <w:ilvl w:val="0"/>
          <w:numId w:val="10"/>
        </w:numPr>
        <w:rPr>
          <w:rFonts w:ascii="Calibri" w:cs="Calibri" w:eastAsia="Calibri" w:hAnsi="Calibri"/>
          <w:sz w:val="18"/>
          <w:szCs w:val="18"/>
          <w:color w:val="auto"/>
        </w:rPr>
      </w:pPr>
      <w:r>
        <w:rPr>
          <w:rFonts w:ascii="Times New Roman" w:cs="Times New Roman" w:eastAsia="Times New Roman" w:hAnsi="Times New Roman"/>
          <w:sz w:val="18"/>
          <w:szCs w:val="18"/>
          <w:color w:val="auto"/>
        </w:rPr>
        <w:t>estimates or judgments relating to critical accounting policies;</w:t>
      </w:r>
    </w:p>
    <w:p>
      <w:pPr>
        <w:spacing w:after="0" w:line="46" w:lineRule="exact"/>
        <w:rPr>
          <w:rFonts w:ascii="Calibri" w:cs="Calibri" w:eastAsia="Calibri" w:hAnsi="Calibri"/>
          <w:sz w:val="18"/>
          <w:szCs w:val="18"/>
          <w:color w:val="auto"/>
        </w:rPr>
      </w:pPr>
    </w:p>
    <w:p>
      <w:pPr>
        <w:ind w:left="560" w:hanging="276"/>
        <w:spacing w:after="0"/>
        <w:tabs>
          <w:tab w:leader="none" w:pos="560" w:val="left"/>
        </w:tabs>
        <w:numPr>
          <w:ilvl w:val="0"/>
          <w:numId w:val="10"/>
        </w:numPr>
        <w:rPr>
          <w:rFonts w:ascii="Calibri" w:cs="Calibri" w:eastAsia="Calibri" w:hAnsi="Calibri"/>
          <w:sz w:val="18"/>
          <w:szCs w:val="18"/>
          <w:color w:val="auto"/>
        </w:rPr>
      </w:pPr>
      <w:r>
        <w:rPr>
          <w:rFonts w:ascii="Times New Roman" w:cs="Times New Roman" w:eastAsia="Times New Roman" w:hAnsi="Times New Roman"/>
          <w:sz w:val="18"/>
          <w:szCs w:val="18"/>
          <w:color w:val="auto"/>
        </w:rPr>
        <w:t>inadequate internal controls;</w:t>
      </w:r>
    </w:p>
    <w:p>
      <w:pPr>
        <w:spacing w:after="0" w:line="2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Risks related to the Common Shares:</w:t>
      </w:r>
    </w:p>
    <w:p>
      <w:pPr>
        <w:spacing w:after="0" w:line="264" w:lineRule="exact"/>
        <w:rPr>
          <w:sz w:val="20"/>
          <w:szCs w:val="20"/>
          <w:color w:val="auto"/>
        </w:rPr>
      </w:pPr>
    </w:p>
    <w:p>
      <w:pPr>
        <w:ind w:left="560" w:hanging="276"/>
        <w:spacing w:after="0"/>
        <w:tabs>
          <w:tab w:leader="none" w:pos="560" w:val="left"/>
        </w:tabs>
        <w:numPr>
          <w:ilvl w:val="0"/>
          <w:numId w:val="11"/>
        </w:numPr>
        <w:rPr>
          <w:rFonts w:ascii="Calibri" w:cs="Calibri" w:eastAsia="Calibri" w:hAnsi="Calibri"/>
          <w:sz w:val="18"/>
          <w:szCs w:val="18"/>
          <w:color w:val="auto"/>
        </w:rPr>
      </w:pPr>
      <w:r>
        <w:rPr>
          <w:rFonts w:ascii="Times New Roman" w:cs="Times New Roman" w:eastAsia="Times New Roman" w:hAnsi="Times New Roman"/>
          <w:sz w:val="18"/>
          <w:szCs w:val="18"/>
          <w:color w:val="auto"/>
        </w:rPr>
        <w:t>market for the Common Shares;</w:t>
      </w:r>
    </w:p>
    <w:p>
      <w:pPr>
        <w:spacing w:after="0" w:line="46" w:lineRule="exact"/>
        <w:rPr>
          <w:rFonts w:ascii="Calibri" w:cs="Calibri" w:eastAsia="Calibri" w:hAnsi="Calibri"/>
          <w:sz w:val="18"/>
          <w:szCs w:val="18"/>
          <w:color w:val="auto"/>
        </w:rPr>
      </w:pPr>
    </w:p>
    <w:p>
      <w:pPr>
        <w:ind w:left="560" w:hanging="276"/>
        <w:spacing w:after="0"/>
        <w:tabs>
          <w:tab w:leader="none" w:pos="560" w:val="left"/>
        </w:tabs>
        <w:numPr>
          <w:ilvl w:val="0"/>
          <w:numId w:val="11"/>
        </w:numPr>
        <w:rPr>
          <w:rFonts w:ascii="Calibri" w:cs="Calibri" w:eastAsia="Calibri" w:hAnsi="Calibri"/>
          <w:sz w:val="18"/>
          <w:szCs w:val="18"/>
          <w:color w:val="auto"/>
        </w:rPr>
      </w:pPr>
      <w:r>
        <w:rPr>
          <w:rFonts w:ascii="Times New Roman" w:cs="Times New Roman" w:eastAsia="Times New Roman" w:hAnsi="Times New Roman"/>
          <w:sz w:val="18"/>
          <w:szCs w:val="18"/>
          <w:color w:val="auto"/>
        </w:rPr>
        <w:t>significant sales of Common Shares;</w:t>
      </w:r>
    </w:p>
    <w:p>
      <w:pPr>
        <w:spacing w:after="0" w:line="58" w:lineRule="exact"/>
        <w:rPr>
          <w:rFonts w:ascii="Calibri" w:cs="Calibri" w:eastAsia="Calibri" w:hAnsi="Calibri"/>
          <w:sz w:val="18"/>
          <w:szCs w:val="18"/>
          <w:color w:val="auto"/>
        </w:rPr>
      </w:pPr>
    </w:p>
    <w:p>
      <w:pPr>
        <w:ind w:left="560" w:hanging="276"/>
        <w:spacing w:after="0"/>
        <w:tabs>
          <w:tab w:leader="none" w:pos="560" w:val="left"/>
        </w:tabs>
        <w:numPr>
          <w:ilvl w:val="0"/>
          <w:numId w:val="11"/>
        </w:numPr>
        <w:rPr>
          <w:rFonts w:ascii="Calibri" w:cs="Calibri" w:eastAsia="Calibri" w:hAnsi="Calibri"/>
          <w:sz w:val="18"/>
          <w:szCs w:val="18"/>
          <w:color w:val="auto"/>
        </w:rPr>
      </w:pPr>
      <w:r>
        <w:rPr>
          <w:rFonts w:ascii="Times New Roman" w:cs="Times New Roman" w:eastAsia="Times New Roman" w:hAnsi="Times New Roman"/>
          <w:sz w:val="18"/>
          <w:szCs w:val="18"/>
          <w:color w:val="auto"/>
        </w:rPr>
        <w:t>volatile market price for the Common Shares;</w:t>
      </w:r>
    </w:p>
    <w:p>
      <w:pPr>
        <w:spacing w:after="0" w:line="46" w:lineRule="exact"/>
        <w:rPr>
          <w:rFonts w:ascii="Calibri" w:cs="Calibri" w:eastAsia="Calibri" w:hAnsi="Calibri"/>
          <w:sz w:val="18"/>
          <w:szCs w:val="18"/>
          <w:color w:val="auto"/>
        </w:rPr>
      </w:pPr>
    </w:p>
    <w:p>
      <w:pPr>
        <w:ind w:left="560" w:hanging="276"/>
        <w:spacing w:after="0"/>
        <w:tabs>
          <w:tab w:leader="none" w:pos="560" w:val="left"/>
        </w:tabs>
        <w:numPr>
          <w:ilvl w:val="0"/>
          <w:numId w:val="11"/>
        </w:numPr>
        <w:rPr>
          <w:rFonts w:ascii="Calibri" w:cs="Calibri" w:eastAsia="Calibri" w:hAnsi="Calibri"/>
          <w:sz w:val="18"/>
          <w:szCs w:val="18"/>
          <w:color w:val="auto"/>
        </w:rPr>
      </w:pPr>
      <w:r>
        <w:rPr>
          <w:rFonts w:ascii="Times New Roman" w:cs="Times New Roman" w:eastAsia="Times New Roman" w:hAnsi="Times New Roman"/>
          <w:sz w:val="18"/>
          <w:szCs w:val="18"/>
          <w:color w:val="auto"/>
        </w:rPr>
        <w:t>tax issues; and</w:t>
      </w:r>
    </w:p>
    <w:p>
      <w:pPr>
        <w:spacing w:after="0" w:line="46" w:lineRule="exact"/>
        <w:rPr>
          <w:rFonts w:ascii="Calibri" w:cs="Calibri" w:eastAsia="Calibri" w:hAnsi="Calibri"/>
          <w:sz w:val="18"/>
          <w:szCs w:val="18"/>
          <w:color w:val="auto"/>
        </w:rPr>
      </w:pPr>
    </w:p>
    <w:p>
      <w:pPr>
        <w:ind w:left="560" w:hanging="276"/>
        <w:spacing w:after="0"/>
        <w:tabs>
          <w:tab w:leader="none" w:pos="560" w:val="left"/>
        </w:tabs>
        <w:numPr>
          <w:ilvl w:val="0"/>
          <w:numId w:val="11"/>
        </w:numPr>
        <w:rPr>
          <w:rFonts w:ascii="Calibri" w:cs="Calibri" w:eastAsia="Calibri" w:hAnsi="Calibri"/>
          <w:sz w:val="18"/>
          <w:szCs w:val="18"/>
          <w:color w:val="auto"/>
        </w:rPr>
      </w:pPr>
      <w:r>
        <w:rPr>
          <w:rFonts w:ascii="Times New Roman" w:cs="Times New Roman" w:eastAsia="Times New Roman" w:hAnsi="Times New Roman"/>
          <w:sz w:val="18"/>
          <w:szCs w:val="18"/>
          <w:color w:val="auto"/>
        </w:rPr>
        <w:t>no dividends.</w:t>
      </w:r>
    </w:p>
    <w:p>
      <w:pPr>
        <w:spacing w:after="0" w:line="276" w:lineRule="exact"/>
        <w:rPr>
          <w:sz w:val="20"/>
          <w:szCs w:val="20"/>
          <w:color w:val="auto"/>
        </w:rPr>
      </w:pPr>
    </w:p>
    <w:p>
      <w:pPr>
        <w:spacing w:after="0" w:line="309" w:lineRule="auto"/>
        <w:rPr>
          <w:sz w:val="20"/>
          <w:szCs w:val="20"/>
          <w:color w:val="auto"/>
        </w:rPr>
      </w:pPr>
      <w:r>
        <w:rPr>
          <w:rFonts w:ascii="Times New Roman" w:cs="Times New Roman" w:eastAsia="Times New Roman" w:hAnsi="Times New Roman"/>
          <w:sz w:val="18"/>
          <w:szCs w:val="18"/>
          <w:color w:val="auto"/>
        </w:rPr>
        <w:t>Although the forward-looking statements contained in this MD&amp;A are based upon what management currently believes to be reasonable assumptions, the Company cannot assure prospective investors</w:t>
      </w:r>
    </w:p>
    <w:p>
      <w:pPr>
        <w:sectPr>
          <w:pgSz w:w="11900" w:h="16838" w:orient="portrait"/>
          <w:cols w:equalWidth="0" w:num="1">
            <w:col w:w="11240"/>
          </w:cols>
          <w:pgMar w:left="320" w:top="1303"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4</w:t>
      </w:r>
    </w:p>
    <w:p>
      <w:pPr>
        <w:sectPr>
          <w:pgSz w:w="11900" w:h="16838" w:orient="portrait"/>
          <w:cols w:equalWidth="0" w:num="1">
            <w:col w:w="11240"/>
          </w:cols>
          <w:pgMar w:left="320" w:top="1303" w:right="339" w:bottom="1440" w:gutter="0" w:footer="0" w:header="0"/>
          <w:type w:val="continuous"/>
        </w:sectPr>
      </w:pPr>
    </w:p>
    <w:bookmarkStart w:id="30" w:name="page31"/>
    <w:bookmarkEnd w:id="30"/>
    <w:p>
      <w:pPr>
        <w:ind w:right="20"/>
        <w:spacing w:after="0" w:line="323" w:lineRule="auto"/>
        <w:rPr>
          <w:sz w:val="20"/>
          <w:szCs w:val="20"/>
          <w:color w:val="auto"/>
        </w:rPr>
      </w:pPr>
      <w:r>
        <w:rPr>
          <w:rFonts w:ascii="Times New Roman" w:cs="Times New Roman" w:eastAsia="Times New Roman" w:hAnsi="Times New Roman"/>
          <w:sz w:val="18"/>
          <w:szCs w:val="18"/>
          <w:color w:val="auto"/>
        </w:rPr>
        <w:t>that actual results, performance or achievements will be consistent with these forward-looking statements. In particular, the Company has made assumptions regarding, among other things:</w:t>
      </w:r>
    </w:p>
    <w:p>
      <w:pPr>
        <w:spacing w:after="0" w:line="132" w:lineRule="exact"/>
        <w:rPr>
          <w:sz w:val="20"/>
          <w:szCs w:val="20"/>
          <w:color w:val="auto"/>
        </w:rPr>
      </w:pPr>
    </w:p>
    <w:p>
      <w:pPr>
        <w:ind w:left="580" w:right="20" w:hanging="296"/>
        <w:spacing w:after="0" w:line="292" w:lineRule="auto"/>
        <w:tabs>
          <w:tab w:leader="none" w:pos="576" w:val="left"/>
        </w:tabs>
        <w:numPr>
          <w:ilvl w:val="0"/>
          <w:numId w:val="12"/>
        </w:numPr>
        <w:rPr>
          <w:rFonts w:ascii="Calibri" w:cs="Calibri" w:eastAsia="Calibri" w:hAnsi="Calibri"/>
          <w:sz w:val="18"/>
          <w:szCs w:val="18"/>
          <w:color w:val="auto"/>
        </w:rPr>
      </w:pPr>
      <w:r>
        <w:rPr>
          <w:rFonts w:ascii="Times New Roman" w:cs="Times New Roman" w:eastAsia="Times New Roman" w:hAnsi="Times New Roman"/>
          <w:sz w:val="18"/>
          <w:szCs w:val="18"/>
          <w:color w:val="auto"/>
        </w:rPr>
        <w:t>substantial fluctuation of losses from quarter to quarter and year to year due to numerous external risk factors, and anticipation that we will continue to incur significant losses in the future;</w:t>
      </w:r>
    </w:p>
    <w:p>
      <w:pPr>
        <w:ind w:left="560" w:hanging="276"/>
        <w:spacing w:after="0"/>
        <w:tabs>
          <w:tab w:leader="none" w:pos="560" w:val="left"/>
        </w:tabs>
        <w:numPr>
          <w:ilvl w:val="0"/>
          <w:numId w:val="12"/>
        </w:numPr>
        <w:rPr>
          <w:rFonts w:ascii="Calibri" w:cs="Calibri" w:eastAsia="Calibri" w:hAnsi="Calibri"/>
          <w:sz w:val="18"/>
          <w:szCs w:val="18"/>
          <w:color w:val="auto"/>
        </w:rPr>
      </w:pPr>
      <w:r>
        <w:rPr>
          <w:rFonts w:ascii="Times New Roman" w:cs="Times New Roman" w:eastAsia="Times New Roman" w:hAnsi="Times New Roman"/>
          <w:sz w:val="18"/>
          <w:szCs w:val="18"/>
          <w:color w:val="auto"/>
        </w:rPr>
        <w:t>uncertainty as to the Company’s ability to raise additional funding to support operations;</w:t>
      </w:r>
    </w:p>
    <w:p>
      <w:pPr>
        <w:spacing w:after="0" w:line="46" w:lineRule="exact"/>
        <w:rPr>
          <w:rFonts w:ascii="Calibri" w:cs="Calibri" w:eastAsia="Calibri" w:hAnsi="Calibri"/>
          <w:sz w:val="18"/>
          <w:szCs w:val="18"/>
          <w:color w:val="auto"/>
        </w:rPr>
      </w:pPr>
    </w:p>
    <w:p>
      <w:pPr>
        <w:ind w:left="560" w:hanging="276"/>
        <w:spacing w:after="0"/>
        <w:tabs>
          <w:tab w:leader="none" w:pos="560" w:val="left"/>
        </w:tabs>
        <w:numPr>
          <w:ilvl w:val="0"/>
          <w:numId w:val="12"/>
        </w:numPr>
        <w:rPr>
          <w:rFonts w:ascii="Calibri" w:cs="Calibri" w:eastAsia="Calibri" w:hAnsi="Calibri"/>
          <w:sz w:val="18"/>
          <w:szCs w:val="18"/>
          <w:color w:val="auto"/>
        </w:rPr>
      </w:pPr>
      <w:r>
        <w:rPr>
          <w:rFonts w:ascii="Times New Roman" w:cs="Times New Roman" w:eastAsia="Times New Roman" w:hAnsi="Times New Roman"/>
          <w:sz w:val="18"/>
          <w:szCs w:val="18"/>
          <w:color w:val="auto"/>
        </w:rPr>
        <w:t>the Company’s ability to access additional funding;</w:t>
      </w:r>
    </w:p>
    <w:p>
      <w:pPr>
        <w:spacing w:after="0" w:line="46" w:lineRule="exact"/>
        <w:rPr>
          <w:rFonts w:ascii="Calibri" w:cs="Calibri" w:eastAsia="Calibri" w:hAnsi="Calibri"/>
          <w:sz w:val="18"/>
          <w:szCs w:val="18"/>
          <w:color w:val="auto"/>
        </w:rPr>
      </w:pPr>
    </w:p>
    <w:p>
      <w:pPr>
        <w:ind w:left="560" w:hanging="276"/>
        <w:spacing w:after="0"/>
        <w:tabs>
          <w:tab w:leader="none" w:pos="560" w:val="left"/>
        </w:tabs>
        <w:numPr>
          <w:ilvl w:val="0"/>
          <w:numId w:val="12"/>
        </w:numPr>
        <w:rPr>
          <w:rFonts w:ascii="Calibri" w:cs="Calibri" w:eastAsia="Calibri" w:hAnsi="Calibri"/>
          <w:sz w:val="18"/>
          <w:szCs w:val="18"/>
          <w:color w:val="auto"/>
        </w:rPr>
      </w:pPr>
      <w:r>
        <w:rPr>
          <w:rFonts w:ascii="Times New Roman" w:cs="Times New Roman" w:eastAsia="Times New Roman" w:hAnsi="Times New Roman"/>
          <w:sz w:val="18"/>
          <w:szCs w:val="18"/>
          <w:color w:val="auto"/>
        </w:rPr>
        <w:t>the fluctuation of foreign exchange rates;</w:t>
      </w:r>
    </w:p>
    <w:p>
      <w:pPr>
        <w:spacing w:after="0" w:line="58" w:lineRule="exact"/>
        <w:rPr>
          <w:rFonts w:ascii="Calibri" w:cs="Calibri" w:eastAsia="Calibri" w:hAnsi="Calibri"/>
          <w:sz w:val="18"/>
          <w:szCs w:val="18"/>
          <w:color w:val="auto"/>
        </w:rPr>
      </w:pPr>
    </w:p>
    <w:p>
      <w:pPr>
        <w:ind w:left="560" w:hanging="276"/>
        <w:spacing w:after="0"/>
        <w:tabs>
          <w:tab w:leader="none" w:pos="560" w:val="left"/>
        </w:tabs>
        <w:numPr>
          <w:ilvl w:val="0"/>
          <w:numId w:val="12"/>
        </w:numPr>
        <w:rPr>
          <w:rFonts w:ascii="Calibri" w:cs="Calibri" w:eastAsia="Calibri" w:hAnsi="Calibri"/>
          <w:sz w:val="18"/>
          <w:szCs w:val="18"/>
          <w:color w:val="auto"/>
        </w:rPr>
      </w:pPr>
      <w:r>
        <w:rPr>
          <w:rFonts w:ascii="Times New Roman" w:cs="Times New Roman" w:eastAsia="Times New Roman" w:hAnsi="Times New Roman"/>
          <w:sz w:val="18"/>
          <w:szCs w:val="18"/>
          <w:color w:val="auto"/>
        </w:rPr>
        <w:t>the risks associated with pandemics;</w:t>
      </w:r>
    </w:p>
    <w:p>
      <w:pPr>
        <w:spacing w:after="0" w:line="46" w:lineRule="exact"/>
        <w:rPr>
          <w:rFonts w:ascii="Calibri" w:cs="Calibri" w:eastAsia="Calibri" w:hAnsi="Calibri"/>
          <w:sz w:val="18"/>
          <w:szCs w:val="18"/>
          <w:color w:val="auto"/>
        </w:rPr>
      </w:pPr>
    </w:p>
    <w:p>
      <w:pPr>
        <w:ind w:left="560" w:hanging="276"/>
        <w:spacing w:after="0"/>
        <w:tabs>
          <w:tab w:leader="none" w:pos="560" w:val="left"/>
        </w:tabs>
        <w:numPr>
          <w:ilvl w:val="0"/>
          <w:numId w:val="12"/>
        </w:numPr>
        <w:rPr>
          <w:rFonts w:ascii="Calibri" w:cs="Calibri" w:eastAsia="Calibri" w:hAnsi="Calibri"/>
          <w:sz w:val="18"/>
          <w:szCs w:val="18"/>
          <w:color w:val="auto"/>
        </w:rPr>
      </w:pPr>
      <w:r>
        <w:rPr>
          <w:rFonts w:ascii="Times New Roman" w:cs="Times New Roman" w:eastAsia="Times New Roman" w:hAnsi="Times New Roman"/>
          <w:sz w:val="18"/>
          <w:szCs w:val="18"/>
          <w:color w:val="auto"/>
        </w:rPr>
        <w:t>the risks associated with the development of the Company’s product candidates which are at early stages of development;</w:t>
      </w:r>
    </w:p>
    <w:p>
      <w:pPr>
        <w:spacing w:after="0" w:line="58" w:lineRule="exact"/>
        <w:rPr>
          <w:rFonts w:ascii="Calibri" w:cs="Calibri" w:eastAsia="Calibri" w:hAnsi="Calibri"/>
          <w:sz w:val="18"/>
          <w:szCs w:val="18"/>
          <w:color w:val="auto"/>
        </w:rPr>
      </w:pPr>
    </w:p>
    <w:p>
      <w:pPr>
        <w:ind w:left="560" w:hanging="276"/>
        <w:spacing w:after="0"/>
        <w:tabs>
          <w:tab w:leader="none" w:pos="560" w:val="left"/>
        </w:tabs>
        <w:numPr>
          <w:ilvl w:val="0"/>
          <w:numId w:val="12"/>
        </w:numPr>
        <w:rPr>
          <w:rFonts w:ascii="Calibri" w:cs="Calibri" w:eastAsia="Calibri" w:hAnsi="Calibri"/>
          <w:sz w:val="18"/>
          <w:szCs w:val="18"/>
          <w:color w:val="auto"/>
        </w:rPr>
      </w:pPr>
      <w:r>
        <w:rPr>
          <w:rFonts w:ascii="Times New Roman" w:cs="Times New Roman" w:eastAsia="Times New Roman" w:hAnsi="Times New Roman"/>
          <w:sz w:val="18"/>
          <w:szCs w:val="18"/>
          <w:color w:val="auto"/>
        </w:rPr>
        <w:t>reliance upon industry publications as the Company’s primary sources for third-party industry data and forecasts;</w:t>
      </w:r>
    </w:p>
    <w:p>
      <w:pPr>
        <w:spacing w:after="0" w:line="46" w:lineRule="exact"/>
        <w:rPr>
          <w:rFonts w:ascii="Calibri" w:cs="Calibri" w:eastAsia="Calibri" w:hAnsi="Calibri"/>
          <w:sz w:val="18"/>
          <w:szCs w:val="18"/>
          <w:color w:val="auto"/>
        </w:rPr>
      </w:pPr>
    </w:p>
    <w:p>
      <w:pPr>
        <w:ind w:left="560" w:hanging="276"/>
        <w:spacing w:after="0"/>
        <w:tabs>
          <w:tab w:leader="none" w:pos="560" w:val="left"/>
        </w:tabs>
        <w:numPr>
          <w:ilvl w:val="0"/>
          <w:numId w:val="12"/>
        </w:numPr>
        <w:rPr>
          <w:rFonts w:ascii="Calibri" w:cs="Calibri" w:eastAsia="Calibri" w:hAnsi="Calibri"/>
          <w:sz w:val="18"/>
          <w:szCs w:val="18"/>
          <w:color w:val="auto"/>
        </w:rPr>
      </w:pPr>
      <w:r>
        <w:rPr>
          <w:rFonts w:ascii="Times New Roman" w:cs="Times New Roman" w:eastAsia="Times New Roman" w:hAnsi="Times New Roman"/>
          <w:sz w:val="18"/>
          <w:szCs w:val="18"/>
          <w:color w:val="auto"/>
        </w:rPr>
        <w:t>reliance on third parties to plan, conduct and monitor the Company’s preclinical studies and clinical trials;</w:t>
      </w:r>
    </w:p>
    <w:p>
      <w:pPr>
        <w:spacing w:after="0" w:line="46" w:lineRule="exact"/>
        <w:rPr>
          <w:rFonts w:ascii="Calibri" w:cs="Calibri" w:eastAsia="Calibri" w:hAnsi="Calibri"/>
          <w:sz w:val="18"/>
          <w:szCs w:val="18"/>
          <w:color w:val="auto"/>
        </w:rPr>
      </w:pPr>
    </w:p>
    <w:p>
      <w:pPr>
        <w:ind w:left="560" w:hanging="276"/>
        <w:spacing w:after="0"/>
        <w:tabs>
          <w:tab w:leader="none" w:pos="560" w:val="left"/>
        </w:tabs>
        <w:numPr>
          <w:ilvl w:val="0"/>
          <w:numId w:val="12"/>
        </w:numPr>
        <w:rPr>
          <w:rFonts w:ascii="Calibri" w:cs="Calibri" w:eastAsia="Calibri" w:hAnsi="Calibri"/>
          <w:sz w:val="18"/>
          <w:szCs w:val="18"/>
          <w:color w:val="auto"/>
        </w:rPr>
      </w:pPr>
      <w:r>
        <w:rPr>
          <w:rFonts w:ascii="Times New Roman" w:cs="Times New Roman" w:eastAsia="Times New Roman" w:hAnsi="Times New Roman"/>
          <w:sz w:val="18"/>
          <w:szCs w:val="18"/>
          <w:color w:val="auto"/>
        </w:rPr>
        <w:t>reliance on third party contract manufacturers to deliver quality clinical and preclinical materials;</w:t>
      </w:r>
    </w:p>
    <w:p>
      <w:pPr>
        <w:spacing w:after="0" w:line="58" w:lineRule="exact"/>
        <w:rPr>
          <w:rFonts w:ascii="Calibri" w:cs="Calibri" w:eastAsia="Calibri" w:hAnsi="Calibri"/>
          <w:sz w:val="18"/>
          <w:szCs w:val="18"/>
          <w:color w:val="auto"/>
        </w:rPr>
      </w:pPr>
    </w:p>
    <w:p>
      <w:pPr>
        <w:ind w:left="580" w:right="20" w:hanging="296"/>
        <w:spacing w:after="0" w:line="285" w:lineRule="auto"/>
        <w:tabs>
          <w:tab w:leader="none" w:pos="576" w:val="left"/>
        </w:tabs>
        <w:numPr>
          <w:ilvl w:val="0"/>
          <w:numId w:val="12"/>
        </w:numPr>
        <w:rPr>
          <w:rFonts w:ascii="Calibri" w:cs="Calibri" w:eastAsia="Calibri" w:hAnsi="Calibri"/>
          <w:sz w:val="18"/>
          <w:szCs w:val="18"/>
          <w:color w:val="auto"/>
        </w:rPr>
      </w:pPr>
      <w:r>
        <w:rPr>
          <w:rFonts w:ascii="Times New Roman" w:cs="Times New Roman" w:eastAsia="Times New Roman" w:hAnsi="Times New Roman"/>
          <w:sz w:val="18"/>
          <w:szCs w:val="18"/>
          <w:color w:val="auto"/>
        </w:rPr>
        <w:t>the Company’s product candidates may fail to demonstrate safety and efficacy to the satisfaction of regulatory authorities or may not otherwise produce positive results;</w:t>
      </w:r>
    </w:p>
    <w:p>
      <w:pPr>
        <w:ind w:left="560" w:hanging="276"/>
        <w:spacing w:after="0"/>
        <w:tabs>
          <w:tab w:leader="none" w:pos="560" w:val="left"/>
        </w:tabs>
        <w:numPr>
          <w:ilvl w:val="0"/>
          <w:numId w:val="12"/>
        </w:numPr>
        <w:rPr>
          <w:rFonts w:ascii="Calibri" w:cs="Calibri" w:eastAsia="Calibri" w:hAnsi="Calibri"/>
          <w:sz w:val="18"/>
          <w:szCs w:val="18"/>
          <w:color w:val="auto"/>
        </w:rPr>
      </w:pPr>
      <w:r>
        <w:rPr>
          <w:rFonts w:ascii="Times New Roman" w:cs="Times New Roman" w:eastAsia="Times New Roman" w:hAnsi="Times New Roman"/>
          <w:sz w:val="18"/>
          <w:szCs w:val="18"/>
          <w:color w:val="auto"/>
        </w:rPr>
        <w:t>risks related to filing investigational new drug applications to commence clinical trials and to continue clinical trials if approved;</w:t>
      </w:r>
    </w:p>
    <w:p>
      <w:pPr>
        <w:spacing w:after="0" w:line="58" w:lineRule="exact"/>
        <w:rPr>
          <w:rFonts w:ascii="Calibri" w:cs="Calibri" w:eastAsia="Calibri" w:hAnsi="Calibri"/>
          <w:sz w:val="18"/>
          <w:szCs w:val="18"/>
          <w:color w:val="auto"/>
        </w:rPr>
      </w:pPr>
    </w:p>
    <w:p>
      <w:pPr>
        <w:ind w:left="560" w:hanging="276"/>
        <w:spacing w:after="0"/>
        <w:tabs>
          <w:tab w:leader="none" w:pos="560" w:val="left"/>
        </w:tabs>
        <w:numPr>
          <w:ilvl w:val="0"/>
          <w:numId w:val="12"/>
        </w:numPr>
        <w:rPr>
          <w:rFonts w:ascii="Calibri" w:cs="Calibri" w:eastAsia="Calibri" w:hAnsi="Calibri"/>
          <w:sz w:val="18"/>
          <w:szCs w:val="18"/>
          <w:color w:val="auto"/>
        </w:rPr>
      </w:pPr>
      <w:r>
        <w:rPr>
          <w:rFonts w:ascii="Times New Roman" w:cs="Times New Roman" w:eastAsia="Times New Roman" w:hAnsi="Times New Roman"/>
          <w:sz w:val="18"/>
          <w:szCs w:val="18"/>
          <w:color w:val="auto"/>
        </w:rPr>
        <w:t>the risks of delays and inability to complete clinical trials due to difficulties enrolling patients;</w:t>
      </w:r>
    </w:p>
    <w:p>
      <w:pPr>
        <w:spacing w:after="0" w:line="46" w:lineRule="exact"/>
        <w:rPr>
          <w:rFonts w:ascii="Calibri" w:cs="Calibri" w:eastAsia="Calibri" w:hAnsi="Calibri"/>
          <w:sz w:val="18"/>
          <w:szCs w:val="18"/>
          <w:color w:val="auto"/>
        </w:rPr>
      </w:pPr>
    </w:p>
    <w:p>
      <w:pPr>
        <w:ind w:left="560" w:hanging="276"/>
        <w:spacing w:after="0"/>
        <w:tabs>
          <w:tab w:leader="none" w:pos="560" w:val="left"/>
        </w:tabs>
        <w:numPr>
          <w:ilvl w:val="0"/>
          <w:numId w:val="12"/>
        </w:numPr>
        <w:rPr>
          <w:rFonts w:ascii="Calibri" w:cs="Calibri" w:eastAsia="Calibri" w:hAnsi="Calibri"/>
          <w:sz w:val="18"/>
          <w:szCs w:val="18"/>
          <w:color w:val="auto"/>
        </w:rPr>
      </w:pPr>
      <w:r>
        <w:rPr>
          <w:rFonts w:ascii="Times New Roman" w:cs="Times New Roman" w:eastAsia="Times New Roman" w:hAnsi="Times New Roman"/>
          <w:sz w:val="18"/>
          <w:szCs w:val="18"/>
          <w:color w:val="auto"/>
        </w:rPr>
        <w:t>competition from other biotechnology and pharmaceutical companies;</w:t>
      </w:r>
    </w:p>
    <w:p>
      <w:pPr>
        <w:spacing w:after="0" w:line="58" w:lineRule="exact"/>
        <w:rPr>
          <w:rFonts w:ascii="Calibri" w:cs="Calibri" w:eastAsia="Calibri" w:hAnsi="Calibri"/>
          <w:sz w:val="18"/>
          <w:szCs w:val="18"/>
          <w:color w:val="auto"/>
        </w:rPr>
      </w:pPr>
    </w:p>
    <w:p>
      <w:pPr>
        <w:ind w:left="580" w:right="20" w:hanging="296"/>
        <w:spacing w:after="0" w:line="285" w:lineRule="auto"/>
        <w:tabs>
          <w:tab w:leader="none" w:pos="576" w:val="left"/>
        </w:tabs>
        <w:numPr>
          <w:ilvl w:val="0"/>
          <w:numId w:val="12"/>
        </w:numPr>
        <w:rPr>
          <w:rFonts w:ascii="Calibri" w:cs="Calibri" w:eastAsia="Calibri" w:hAnsi="Calibri"/>
          <w:sz w:val="18"/>
          <w:szCs w:val="18"/>
          <w:color w:val="auto"/>
        </w:rPr>
      </w:pPr>
      <w:r>
        <w:rPr>
          <w:rFonts w:ascii="Times New Roman" w:cs="Times New Roman" w:eastAsia="Times New Roman" w:hAnsi="Times New Roman"/>
          <w:sz w:val="18"/>
          <w:szCs w:val="18"/>
          <w:color w:val="auto"/>
        </w:rPr>
        <w:t>the Company’s reliance on the capabilities and experience of the Company’s key executives and scientists and the resulting loss of any of these individuals;</w:t>
      </w:r>
    </w:p>
    <w:p>
      <w:pPr>
        <w:ind w:left="560" w:hanging="276"/>
        <w:spacing w:after="0"/>
        <w:tabs>
          <w:tab w:leader="none" w:pos="560" w:val="left"/>
        </w:tabs>
        <w:numPr>
          <w:ilvl w:val="0"/>
          <w:numId w:val="12"/>
        </w:numPr>
        <w:rPr>
          <w:rFonts w:ascii="Calibri" w:cs="Calibri" w:eastAsia="Calibri" w:hAnsi="Calibri"/>
          <w:sz w:val="18"/>
          <w:szCs w:val="18"/>
          <w:color w:val="auto"/>
        </w:rPr>
      </w:pPr>
      <w:r>
        <w:rPr>
          <w:rFonts w:ascii="Times New Roman" w:cs="Times New Roman" w:eastAsia="Times New Roman" w:hAnsi="Times New Roman"/>
          <w:sz w:val="18"/>
          <w:szCs w:val="18"/>
          <w:color w:val="auto"/>
        </w:rPr>
        <w:t>the Company’s ability to fully realize the benefits of acquisitions;</w:t>
      </w:r>
    </w:p>
    <w:p>
      <w:pPr>
        <w:spacing w:after="0" w:line="58" w:lineRule="exact"/>
        <w:rPr>
          <w:rFonts w:ascii="Calibri" w:cs="Calibri" w:eastAsia="Calibri" w:hAnsi="Calibri"/>
          <w:sz w:val="18"/>
          <w:szCs w:val="18"/>
          <w:color w:val="auto"/>
        </w:rPr>
      </w:pPr>
    </w:p>
    <w:p>
      <w:pPr>
        <w:ind w:left="560" w:hanging="276"/>
        <w:spacing w:after="0"/>
        <w:tabs>
          <w:tab w:leader="none" w:pos="560" w:val="left"/>
        </w:tabs>
        <w:numPr>
          <w:ilvl w:val="0"/>
          <w:numId w:val="12"/>
        </w:numPr>
        <w:rPr>
          <w:rFonts w:ascii="Calibri" w:cs="Calibri" w:eastAsia="Calibri" w:hAnsi="Calibri"/>
          <w:sz w:val="18"/>
          <w:szCs w:val="18"/>
          <w:color w:val="auto"/>
        </w:rPr>
      </w:pPr>
      <w:r>
        <w:rPr>
          <w:rFonts w:ascii="Times New Roman" w:cs="Times New Roman" w:eastAsia="Times New Roman" w:hAnsi="Times New Roman"/>
          <w:sz w:val="18"/>
          <w:szCs w:val="18"/>
          <w:color w:val="auto"/>
        </w:rPr>
        <w:t>the Company’s ability to adequately protect the Company’s intellectual property and trade secrets;</w:t>
      </w:r>
    </w:p>
    <w:p>
      <w:pPr>
        <w:spacing w:after="0" w:line="46" w:lineRule="exact"/>
        <w:rPr>
          <w:rFonts w:ascii="Calibri" w:cs="Calibri" w:eastAsia="Calibri" w:hAnsi="Calibri"/>
          <w:sz w:val="18"/>
          <w:szCs w:val="18"/>
          <w:color w:val="auto"/>
        </w:rPr>
      </w:pPr>
    </w:p>
    <w:p>
      <w:pPr>
        <w:ind w:left="560" w:hanging="276"/>
        <w:spacing w:after="0"/>
        <w:tabs>
          <w:tab w:leader="none" w:pos="560" w:val="left"/>
        </w:tabs>
        <w:numPr>
          <w:ilvl w:val="0"/>
          <w:numId w:val="12"/>
        </w:numPr>
        <w:rPr>
          <w:rFonts w:ascii="Calibri" w:cs="Calibri" w:eastAsia="Calibri" w:hAnsi="Calibri"/>
          <w:sz w:val="18"/>
          <w:szCs w:val="18"/>
          <w:color w:val="auto"/>
        </w:rPr>
      </w:pPr>
      <w:r>
        <w:rPr>
          <w:rFonts w:ascii="Times New Roman" w:cs="Times New Roman" w:eastAsia="Times New Roman" w:hAnsi="Times New Roman"/>
          <w:sz w:val="18"/>
          <w:szCs w:val="18"/>
          <w:color w:val="auto"/>
        </w:rPr>
        <w:t>the risk of patent-related or other litigation; and</w:t>
      </w:r>
    </w:p>
    <w:p>
      <w:pPr>
        <w:spacing w:after="0" w:line="56" w:lineRule="exact"/>
        <w:rPr>
          <w:rFonts w:ascii="Calibri" w:cs="Calibri" w:eastAsia="Calibri" w:hAnsi="Calibri"/>
          <w:sz w:val="18"/>
          <w:szCs w:val="18"/>
          <w:color w:val="auto"/>
        </w:rPr>
      </w:pPr>
    </w:p>
    <w:p>
      <w:pPr>
        <w:ind w:left="580" w:right="20" w:hanging="296"/>
        <w:spacing w:after="0" w:line="326" w:lineRule="auto"/>
        <w:tabs>
          <w:tab w:leader="none" w:pos="578" w:val="left"/>
        </w:tabs>
        <w:numPr>
          <w:ilvl w:val="0"/>
          <w:numId w:val="12"/>
        </w:numPr>
        <w:rPr>
          <w:rFonts w:ascii="Arial" w:cs="Arial" w:eastAsia="Arial" w:hAnsi="Arial"/>
          <w:sz w:val="19"/>
          <w:szCs w:val="19"/>
          <w:color w:val="auto"/>
        </w:rPr>
      </w:pPr>
      <w:r>
        <w:rPr>
          <w:rFonts w:ascii="Times New Roman" w:cs="Times New Roman" w:eastAsia="Times New Roman" w:hAnsi="Times New Roman"/>
          <w:sz w:val="18"/>
          <w:szCs w:val="18"/>
          <w:color w:val="auto"/>
        </w:rPr>
        <w:t>the risk of unforeseen changes to the laws or regulations in the United States (the “</w:t>
      </w:r>
      <w:r>
        <w:rPr>
          <w:rFonts w:ascii="Times New Roman" w:cs="Times New Roman" w:eastAsia="Times New Roman" w:hAnsi="Times New Roman"/>
          <w:sz w:val="18"/>
          <w:szCs w:val="18"/>
          <w:b w:val="1"/>
          <w:bCs w:val="1"/>
          <w:color w:val="auto"/>
        </w:rPr>
        <w:t>United States</w:t>
      </w:r>
      <w:r>
        <w:rPr>
          <w:rFonts w:ascii="Times New Roman" w:cs="Times New Roman" w:eastAsia="Times New Roman" w:hAnsi="Times New Roman"/>
          <w:sz w:val="18"/>
          <w:szCs w:val="18"/>
          <w:color w:val="auto"/>
        </w:rPr>
        <w:t>” or the “</w:t>
      </w:r>
      <w:r>
        <w:rPr>
          <w:rFonts w:ascii="Times New Roman" w:cs="Times New Roman" w:eastAsia="Times New Roman" w:hAnsi="Times New Roman"/>
          <w:sz w:val="18"/>
          <w:szCs w:val="18"/>
          <w:b w:val="1"/>
          <w:bCs w:val="1"/>
          <w:color w:val="auto"/>
        </w:rPr>
        <w:t>U.S.</w:t>
      </w:r>
      <w:r>
        <w:rPr>
          <w:rFonts w:ascii="Times New Roman" w:cs="Times New Roman" w:eastAsia="Times New Roman" w:hAnsi="Times New Roman"/>
          <w:sz w:val="18"/>
          <w:szCs w:val="18"/>
          <w:color w:val="auto"/>
        </w:rPr>
        <w:t>”), the United Kingdom (the “</w:t>
      </w:r>
      <w:r>
        <w:rPr>
          <w:rFonts w:ascii="Times New Roman" w:cs="Times New Roman" w:eastAsia="Times New Roman" w:hAnsi="Times New Roman"/>
          <w:sz w:val="18"/>
          <w:szCs w:val="18"/>
          <w:b w:val="1"/>
          <w:bCs w:val="1"/>
          <w:color w:val="auto"/>
        </w:rPr>
        <w:t>United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Kingdom</w:t>
      </w:r>
      <w:r>
        <w:rPr>
          <w:rFonts w:ascii="Times New Roman" w:cs="Times New Roman" w:eastAsia="Times New Roman" w:hAnsi="Times New Roman"/>
          <w:sz w:val="18"/>
          <w:szCs w:val="18"/>
          <w:color w:val="auto"/>
        </w:rPr>
        <w:t>” or the “</w:t>
      </w:r>
      <w:r>
        <w:rPr>
          <w:rFonts w:ascii="Times New Roman" w:cs="Times New Roman" w:eastAsia="Times New Roman" w:hAnsi="Times New Roman"/>
          <w:sz w:val="18"/>
          <w:szCs w:val="18"/>
          <w:b w:val="1"/>
          <w:bCs w:val="1"/>
          <w:color w:val="auto"/>
        </w:rPr>
        <w:t>UK</w:t>
      </w:r>
      <w:r>
        <w:rPr>
          <w:rFonts w:ascii="Times New Roman" w:cs="Times New Roman" w:eastAsia="Times New Roman" w:hAnsi="Times New Roman"/>
          <w:sz w:val="18"/>
          <w:szCs w:val="18"/>
          <w:color w:val="auto"/>
        </w:rPr>
        <w:t>”), Canada, the Netherlands, Ireland and other jurisdictions in which the Company operates.</w:t>
      </w:r>
    </w:p>
    <w:p>
      <w:pPr>
        <w:spacing w:after="0" w:line="149" w:lineRule="exact"/>
        <w:rPr>
          <w:sz w:val="20"/>
          <w:szCs w:val="20"/>
          <w:color w:val="auto"/>
        </w:rPr>
      </w:pPr>
    </w:p>
    <w:p>
      <w:pPr>
        <w:jc w:val="both"/>
        <w:spacing w:after="0" w:line="289" w:lineRule="auto"/>
        <w:rPr>
          <w:sz w:val="20"/>
          <w:szCs w:val="20"/>
          <w:color w:val="auto"/>
        </w:rPr>
      </w:pPr>
      <w:r>
        <w:rPr>
          <w:rFonts w:ascii="Times New Roman" w:cs="Times New Roman" w:eastAsia="Times New Roman" w:hAnsi="Times New Roman"/>
          <w:sz w:val="18"/>
          <w:szCs w:val="18"/>
          <w:color w:val="auto"/>
        </w:rPr>
        <w:t>Drug development involves long lead times, is very expensive and involves many variables of uncertainty. Anticipated timelines regarding drug development are based on reasonable assumptions informed by current knowledge and information available to the Company. Every patient treated on future studies can change those assumptions either positively (to indicate a faster timeline to new drug applications and other approvals) or negatively (to indicate a slower timeline to new drug applications and other approvals). This MD&amp;A contains certain forward-looking statements regarding anticipated or possible drug development timelines. Such statements are informed by, among other things, regulatory guidelines for developing a drug with safety studies, proof of concept studies, and pivotal studies for new drug application submission and approval, and assumes the success of implementation and results of such studies on timelines indicated as possible by such guidelines, other industry examples, and the Company’s development efforts to date.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ectPr>
          <w:pgSz w:w="11900" w:h="16838" w:orient="portrait"/>
          <w:cols w:equalWidth="0" w:num="1">
            <w:col w:w="11260"/>
          </w:cols>
          <w:pgMar w:left="320" w:top="1303" w:right="319" w:bottom="1440" w:gutter="0" w:footer="0" w:header="0"/>
        </w:sectPr>
      </w:pPr>
    </w:p>
    <w:bookmarkStart w:id="31" w:name="page32"/>
    <w:bookmarkEnd w:id="31"/>
    <w:p>
      <w:pPr>
        <w:spacing w:after="0" w:line="82" w:lineRule="exact"/>
        <w:rPr>
          <w:sz w:val="20"/>
          <w:szCs w:val="20"/>
          <w:color w:val="auto"/>
        </w:rPr>
      </w:pPr>
    </w:p>
    <w:p>
      <w:pPr>
        <w:jc w:val="both"/>
        <w:spacing w:after="0" w:line="294" w:lineRule="auto"/>
        <w:rPr>
          <w:sz w:val="20"/>
          <w:szCs w:val="20"/>
          <w:color w:val="auto"/>
        </w:rPr>
      </w:pPr>
      <w:r>
        <w:rPr>
          <w:rFonts w:ascii="Times New Roman" w:cs="Times New Roman" w:eastAsia="Times New Roman" w:hAnsi="Times New Roman"/>
          <w:sz w:val="18"/>
          <w:szCs w:val="18"/>
          <w:color w:val="auto"/>
        </w:rPr>
        <w:t>In addition to the factors set out above and those identified in this MD&amp;A under “Risk Factors”, other factors not currently viewed as material could cause actual results to differ materially from those described in the forward-looking statements. Although Cybin has attempted to identify important risks and factors that could cause actual actions, events or results to differ materially from those described in forward-looking statements, there may be other factors and risks that cause actions, events or results not to be anticipated, estimated or intended. Accordingly, readers should not place any undue reliance on forward-looking statements.</w:t>
      </w:r>
    </w:p>
    <w:p>
      <w:pPr>
        <w:spacing w:after="0" w:line="1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CORPORATE STRUCTURE OVERVIEW</w:t>
      </w:r>
    </w:p>
    <w:p>
      <w:pPr>
        <w:spacing w:after="0" w:line="230" w:lineRule="exact"/>
        <w:rPr>
          <w:sz w:val="20"/>
          <w:szCs w:val="20"/>
          <w:color w:val="auto"/>
        </w:rPr>
      </w:pPr>
    </w:p>
    <w:p>
      <w:pPr>
        <w:jc w:val="both"/>
        <w:ind w:right="20"/>
        <w:spacing w:after="0" w:line="299" w:lineRule="auto"/>
        <w:rPr>
          <w:sz w:val="20"/>
          <w:szCs w:val="20"/>
          <w:color w:val="auto"/>
        </w:rPr>
      </w:pPr>
      <w:r>
        <w:rPr>
          <w:rFonts w:ascii="Times New Roman" w:cs="Times New Roman" w:eastAsia="Times New Roman" w:hAnsi="Times New Roman"/>
          <w:sz w:val="18"/>
          <w:szCs w:val="18"/>
          <w:color w:val="auto"/>
        </w:rPr>
        <w:t>The Company is a clinical-stage breakthrough neuropsychiatry company focused on advancing next-generation therapies, delivery mechanisms, novel compounds and protocols as potential treatments for various psychiatric and neurological conditions. The Company is developing technologies and delivery systems aimed at improving the pharmacokinetics of its proprietary molecules while retaining the therapeutic benefit. These new molecules and delivery systems are expected to be studied through clinical trials to confirm safety and efficacy.</w:t>
      </w:r>
    </w:p>
    <w:p>
      <w:pPr>
        <w:spacing w:after="0" w:line="153" w:lineRule="exact"/>
        <w:rPr>
          <w:sz w:val="20"/>
          <w:szCs w:val="20"/>
          <w:color w:val="auto"/>
        </w:rPr>
      </w:pPr>
    </w:p>
    <w:p>
      <w:pPr>
        <w:jc w:val="both"/>
        <w:ind w:right="20"/>
        <w:spacing w:after="0" w:line="294" w:lineRule="auto"/>
        <w:rPr>
          <w:sz w:val="20"/>
          <w:szCs w:val="20"/>
          <w:color w:val="auto"/>
        </w:rPr>
      </w:pPr>
      <w:r>
        <w:rPr>
          <w:rFonts w:ascii="Times New Roman" w:cs="Times New Roman" w:eastAsia="Times New Roman" w:hAnsi="Times New Roman"/>
          <w:sz w:val="18"/>
          <w:szCs w:val="18"/>
          <w:color w:val="auto"/>
        </w:rPr>
        <w:t xml:space="preserve">On November 5, 2020, the Company completed a reverse takeover transaction pursuant to the terms of an amalgamation agreement dated June 26, 2020, as amended on October 21, 2020, among the Company, Cybin Corp. and SubCo, a wholly-owned subsidiary of the Company. The Reverse Takeover was completed by way of a “three-cornered” amalgamation pursuant to the provisions of the </w:t>
      </w:r>
      <w:r>
        <w:rPr>
          <w:rFonts w:ascii="Times New Roman" w:cs="Times New Roman" w:eastAsia="Times New Roman" w:hAnsi="Times New Roman"/>
          <w:sz w:val="18"/>
          <w:szCs w:val="18"/>
          <w:i w:val="1"/>
          <w:iCs w:val="1"/>
          <w:color w:val="auto"/>
        </w:rPr>
        <w:t>Business Corporations Act</w:t>
      </w:r>
      <w:r>
        <w:rPr>
          <w:rFonts w:ascii="Times New Roman" w:cs="Times New Roman" w:eastAsia="Times New Roman" w:hAnsi="Times New Roman"/>
          <w:sz w:val="18"/>
          <w:szCs w:val="18"/>
          <w:color w:val="auto"/>
        </w:rPr>
        <w:t xml:space="preserve"> (Ontario) whereby Cybin Corp. amalgamated with SubCo to form an amalgamated corporation and a wholly owned subsidiary of the Company.</w:t>
      </w:r>
    </w:p>
    <w:p>
      <w:pPr>
        <w:spacing w:after="0" w:line="168" w:lineRule="exact"/>
        <w:rPr>
          <w:sz w:val="20"/>
          <w:szCs w:val="20"/>
          <w:color w:val="auto"/>
        </w:rPr>
      </w:pPr>
    </w:p>
    <w:p>
      <w:pPr>
        <w:jc w:val="both"/>
        <w:ind w:right="20"/>
        <w:spacing w:after="0" w:line="297" w:lineRule="auto"/>
        <w:rPr>
          <w:sz w:val="20"/>
          <w:szCs w:val="20"/>
          <w:color w:val="auto"/>
        </w:rPr>
      </w:pPr>
      <w:r>
        <w:rPr>
          <w:rFonts w:ascii="Times New Roman" w:cs="Times New Roman" w:eastAsia="Times New Roman" w:hAnsi="Times New Roman"/>
          <w:sz w:val="18"/>
          <w:szCs w:val="18"/>
          <w:color w:val="auto"/>
        </w:rPr>
        <w:t>In connection with the Reverse Takeover, Clarmin Explorations Inc. (“</w:t>
      </w:r>
      <w:r>
        <w:rPr>
          <w:rFonts w:ascii="Times New Roman" w:cs="Times New Roman" w:eastAsia="Times New Roman" w:hAnsi="Times New Roman"/>
          <w:sz w:val="18"/>
          <w:szCs w:val="18"/>
          <w:b w:val="1"/>
          <w:bCs w:val="1"/>
          <w:color w:val="auto"/>
        </w:rPr>
        <w:t>Clarmin</w:t>
      </w:r>
      <w:r>
        <w:rPr>
          <w:rFonts w:ascii="Times New Roman" w:cs="Times New Roman" w:eastAsia="Times New Roman" w:hAnsi="Times New Roman"/>
          <w:sz w:val="18"/>
          <w:szCs w:val="18"/>
          <w:color w:val="auto"/>
        </w:rPr>
        <w:t>”) changed its name to “Cybin Inc.” and the common shares (“</w:t>
      </w:r>
      <w:r>
        <w:rPr>
          <w:rFonts w:ascii="Times New Roman" w:cs="Times New Roman" w:eastAsia="Times New Roman" w:hAnsi="Times New Roman"/>
          <w:sz w:val="18"/>
          <w:szCs w:val="18"/>
          <w:b w:val="1"/>
          <w:bCs w:val="1"/>
          <w:color w:val="auto"/>
        </w:rPr>
        <w:t>Common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Shares</w:t>
      </w:r>
      <w:r>
        <w:rPr>
          <w:rFonts w:ascii="Times New Roman" w:cs="Times New Roman" w:eastAsia="Times New Roman" w:hAnsi="Times New Roman"/>
          <w:sz w:val="18"/>
          <w:szCs w:val="18"/>
          <w:color w:val="auto"/>
        </w:rPr>
        <w:t>”) became listed for trading on Cboe Canada Inc. (the “</w:t>
      </w:r>
      <w:r>
        <w:rPr>
          <w:rFonts w:ascii="Times New Roman" w:cs="Times New Roman" w:eastAsia="Times New Roman" w:hAnsi="Times New Roman"/>
          <w:sz w:val="18"/>
          <w:szCs w:val="18"/>
          <w:b w:val="1"/>
          <w:bCs w:val="1"/>
          <w:color w:val="auto"/>
        </w:rPr>
        <w:t>Exchange</w:t>
      </w:r>
      <w:r>
        <w:rPr>
          <w:rFonts w:ascii="Times New Roman" w:cs="Times New Roman" w:eastAsia="Times New Roman" w:hAnsi="Times New Roman"/>
          <w:sz w:val="18"/>
          <w:szCs w:val="18"/>
          <w:color w:val="auto"/>
        </w:rPr>
        <w:t>”) under the trading symbol “CYBN”.</w:t>
      </w:r>
    </w:p>
    <w:p>
      <w:pPr>
        <w:spacing w:after="0" w:line="191" w:lineRule="exact"/>
        <w:rPr>
          <w:sz w:val="20"/>
          <w:szCs w:val="20"/>
          <w:color w:val="auto"/>
        </w:rPr>
      </w:pPr>
    </w:p>
    <w:p>
      <w:pPr>
        <w:jc w:val="both"/>
        <w:ind w:right="20"/>
        <w:spacing w:after="0" w:line="309" w:lineRule="auto"/>
        <w:rPr>
          <w:sz w:val="20"/>
          <w:szCs w:val="20"/>
          <w:color w:val="auto"/>
        </w:rPr>
      </w:pPr>
      <w:r>
        <w:rPr>
          <w:rFonts w:ascii="Times New Roman" w:cs="Times New Roman" w:eastAsia="Times New Roman" w:hAnsi="Times New Roman"/>
          <w:sz w:val="18"/>
          <w:szCs w:val="18"/>
          <w:color w:val="auto"/>
        </w:rPr>
        <w:t>On July 8, 2021, the Company announced the scale-up of its European operations and research activities with various academic and clinical research organizations, including the transfer of its intellectual property assets to its wholly owned Ireland subsidiary, Cybin IRL Limited (“</w:t>
      </w:r>
      <w:r>
        <w:rPr>
          <w:rFonts w:ascii="Times New Roman" w:cs="Times New Roman" w:eastAsia="Times New Roman" w:hAnsi="Times New Roman"/>
          <w:sz w:val="18"/>
          <w:szCs w:val="18"/>
          <w:b w:val="1"/>
          <w:bCs w:val="1"/>
          <w:color w:val="auto"/>
        </w:rPr>
        <w:t>Cybin Ireland</w:t>
      </w:r>
      <w:r>
        <w:rPr>
          <w:rFonts w:ascii="Times New Roman" w:cs="Times New Roman" w:eastAsia="Times New Roman" w:hAnsi="Times New Roman"/>
          <w:sz w:val="18"/>
          <w:szCs w:val="18"/>
          <w:color w:val="auto"/>
        </w:rPr>
        <w:t>”).</w:t>
      </w:r>
    </w:p>
    <w:p>
      <w:pPr>
        <w:spacing w:after="0" w:line="166" w:lineRule="exact"/>
        <w:rPr>
          <w:sz w:val="20"/>
          <w:szCs w:val="20"/>
          <w:color w:val="auto"/>
        </w:rPr>
      </w:pPr>
    </w:p>
    <w:p>
      <w:pPr>
        <w:jc w:val="both"/>
        <w:ind w:right="20"/>
        <w:spacing w:after="0" w:line="358" w:lineRule="auto"/>
        <w:rPr>
          <w:sz w:val="20"/>
          <w:szCs w:val="20"/>
          <w:color w:val="auto"/>
        </w:rPr>
      </w:pPr>
      <w:r>
        <w:rPr>
          <w:rFonts w:ascii="Times New Roman" w:cs="Times New Roman" w:eastAsia="Times New Roman" w:hAnsi="Times New Roman"/>
          <w:sz w:val="17"/>
          <w:szCs w:val="17"/>
          <w:color w:val="auto"/>
        </w:rPr>
        <w:t>On August 5, 2021, the Common Shares commenced trading on the NYSE American LLC stock exchange (the “</w:t>
      </w:r>
      <w:r>
        <w:rPr>
          <w:rFonts w:ascii="Times New Roman" w:cs="Times New Roman" w:eastAsia="Times New Roman" w:hAnsi="Times New Roman"/>
          <w:sz w:val="17"/>
          <w:szCs w:val="17"/>
          <w:b w:val="1"/>
          <w:bCs w:val="1"/>
          <w:color w:val="auto"/>
        </w:rPr>
        <w:t>NYSE American</w:t>
      </w:r>
      <w:r>
        <w:rPr>
          <w:rFonts w:ascii="Times New Roman" w:cs="Times New Roman" w:eastAsia="Times New Roman" w:hAnsi="Times New Roman"/>
          <w:sz w:val="17"/>
          <w:szCs w:val="17"/>
          <w:color w:val="auto"/>
        </w:rPr>
        <w:t>”) under the symbol “CYBN”. Concurrent with the commencement of trading on the NYSE American, the Common Shares ceased to be quoted on the OTCQB® Venture Market.</w:t>
      </w:r>
    </w:p>
    <w:p>
      <w:pPr>
        <w:spacing w:after="0" w:line="94" w:lineRule="exact"/>
        <w:rPr>
          <w:sz w:val="20"/>
          <w:szCs w:val="20"/>
          <w:color w:val="auto"/>
        </w:rPr>
      </w:pPr>
    </w:p>
    <w:p>
      <w:pPr>
        <w:jc w:val="both"/>
        <w:ind w:right="20"/>
        <w:spacing w:after="0" w:line="276" w:lineRule="auto"/>
        <w:rPr>
          <w:sz w:val="20"/>
          <w:szCs w:val="20"/>
          <w:color w:val="auto"/>
        </w:rPr>
      </w:pPr>
      <w:r>
        <w:rPr>
          <w:rFonts w:ascii="Times New Roman" w:cs="Times New Roman" w:eastAsia="Times New Roman" w:hAnsi="Times New Roman"/>
          <w:sz w:val="18"/>
          <w:szCs w:val="18"/>
          <w:color w:val="auto"/>
        </w:rPr>
        <w:t>On October 23, 2023, the Company announced the completion of the acquisition by Cybin of Small Pharma Inc. (“</w:t>
      </w:r>
      <w:r>
        <w:rPr>
          <w:rFonts w:ascii="Times New Roman" w:cs="Times New Roman" w:eastAsia="Times New Roman" w:hAnsi="Times New Roman"/>
          <w:sz w:val="18"/>
          <w:szCs w:val="18"/>
          <w:b w:val="1"/>
          <w:bCs w:val="1"/>
          <w:color w:val="auto"/>
        </w:rPr>
        <w:t>Small Pharma</w:t>
      </w:r>
      <w:r>
        <w:rPr>
          <w:rFonts w:ascii="Times New Roman" w:cs="Times New Roman" w:eastAsia="Times New Roman" w:hAnsi="Times New Roman"/>
          <w:sz w:val="18"/>
          <w:szCs w:val="18"/>
          <w:color w:val="auto"/>
        </w:rPr>
        <w:t xml:space="preserve">”) by way of a statutory plan of arrangement under the provisions of the </w:t>
      </w:r>
      <w:r>
        <w:rPr>
          <w:rFonts w:ascii="Times New Roman" w:cs="Times New Roman" w:eastAsia="Times New Roman" w:hAnsi="Times New Roman"/>
          <w:sz w:val="18"/>
          <w:szCs w:val="18"/>
          <w:i w:val="1"/>
          <w:iCs w:val="1"/>
          <w:color w:val="auto"/>
        </w:rPr>
        <w:t>Business Corporations Act</w:t>
      </w:r>
      <w:r>
        <w:rPr>
          <w:rFonts w:ascii="Times New Roman" w:cs="Times New Roman" w:eastAsia="Times New Roman" w:hAnsi="Times New Roman"/>
          <w:sz w:val="18"/>
          <w:szCs w:val="18"/>
          <w:color w:val="auto"/>
        </w:rPr>
        <w:t xml:space="preserve"> (British Columbia) (the “</w:t>
      </w:r>
      <w:r>
        <w:rPr>
          <w:rFonts w:ascii="Times New Roman" w:cs="Times New Roman" w:eastAsia="Times New Roman" w:hAnsi="Times New Roman"/>
          <w:sz w:val="18"/>
          <w:szCs w:val="18"/>
          <w:b w:val="1"/>
          <w:bCs w:val="1"/>
          <w:color w:val="auto"/>
        </w:rPr>
        <w:t>Arrangement</w:t>
      </w:r>
      <w:r>
        <w:rPr>
          <w:rFonts w:ascii="Times New Roman" w:cs="Times New Roman" w:eastAsia="Times New Roman" w:hAnsi="Times New Roman"/>
          <w:sz w:val="18"/>
          <w:szCs w:val="18"/>
          <w:color w:val="auto"/>
        </w:rPr>
        <w:t>”). The Arrangement was completed pursuant to the terms of an arrangement agreement entered into between the Company and Small Pharma dated August 28, 2023 (the “</w:t>
      </w:r>
      <w:r>
        <w:rPr>
          <w:rFonts w:ascii="Times New Roman" w:cs="Times New Roman" w:eastAsia="Times New Roman" w:hAnsi="Times New Roman"/>
          <w:sz w:val="18"/>
          <w:szCs w:val="18"/>
          <w:b w:val="1"/>
          <w:bCs w:val="1"/>
          <w:color w:val="auto"/>
        </w:rPr>
        <w:t>Arrangement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Agreement</w:t>
      </w:r>
      <w:r>
        <w:rPr>
          <w:rFonts w:ascii="Times New Roman" w:cs="Times New Roman" w:eastAsia="Times New Roman" w:hAnsi="Times New Roman"/>
          <w:sz w:val="18"/>
          <w:szCs w:val="18"/>
          <w:color w:val="auto"/>
        </w:rPr>
        <w:t>”). As a result of the Arrangement, Small Pharma is now a wholly-owned subsidiary of Cybin.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ectPr>
          <w:pgSz w:w="11900" w:h="16838" w:orient="portrait"/>
          <w:cols w:equalWidth="0" w:num="1">
            <w:col w:w="11260"/>
          </w:cols>
          <w:pgMar w:left="320" w:top="1440" w:right="319" w:bottom="1440" w:gutter="0" w:footer="0" w:header="0"/>
        </w:sectPr>
      </w:pPr>
    </w:p>
    <w:bookmarkStart w:id="32" w:name="page33"/>
    <w:bookmarkEnd w:id="32"/>
    <w:p>
      <w:pPr>
        <w:jc w:val="both"/>
        <w:ind w:left="3" w:right="20"/>
        <w:spacing w:after="0" w:line="301" w:lineRule="auto"/>
        <w:rPr>
          <w:sz w:val="20"/>
          <w:szCs w:val="20"/>
          <w:color w:val="auto"/>
        </w:rPr>
      </w:pPr>
      <w:r>
        <w:rPr>
          <w:rFonts w:ascii="Times New Roman" w:cs="Times New Roman" w:eastAsia="Times New Roman" w:hAnsi="Times New Roman"/>
          <w:sz w:val="18"/>
          <w:szCs w:val="18"/>
          <w:color w:val="auto"/>
        </w:rPr>
        <w:t>On September 19, 2024, the Company consolidated its outstanding Common Shares on the basis of one new Common Share for every 38 existing Common Shares (the “</w:t>
      </w:r>
      <w:r>
        <w:rPr>
          <w:rFonts w:ascii="Times New Roman" w:cs="Times New Roman" w:eastAsia="Times New Roman" w:hAnsi="Times New Roman"/>
          <w:sz w:val="18"/>
          <w:szCs w:val="18"/>
          <w:b w:val="1"/>
          <w:bCs w:val="1"/>
          <w:color w:val="auto"/>
        </w:rPr>
        <w:t>Consolidation</w:t>
      </w:r>
      <w:r>
        <w:rPr>
          <w:rFonts w:ascii="Times New Roman" w:cs="Times New Roman" w:eastAsia="Times New Roman" w:hAnsi="Times New Roman"/>
          <w:sz w:val="18"/>
          <w:szCs w:val="18"/>
          <w:color w:val="auto"/>
        </w:rPr>
        <w:t>”). As a result, all figures related to shares, warrants, options and earnings per share presented in this MD&amp;A have been restated retrospectively for all periods to reflect the Consolidation.</w:t>
      </w:r>
    </w:p>
    <w:p>
      <w:pPr>
        <w:spacing w:after="0" w:line="162" w:lineRule="exact"/>
        <w:rPr>
          <w:sz w:val="20"/>
          <w:szCs w:val="20"/>
          <w:color w:val="auto"/>
        </w:rPr>
      </w:pPr>
    </w:p>
    <w:p>
      <w:pPr>
        <w:jc w:val="both"/>
        <w:ind w:left="3" w:right="20"/>
        <w:spacing w:after="0" w:line="297" w:lineRule="auto"/>
        <w:rPr>
          <w:sz w:val="20"/>
          <w:szCs w:val="20"/>
          <w:color w:val="auto"/>
        </w:rPr>
      </w:pPr>
      <w:r>
        <w:rPr>
          <w:rFonts w:ascii="Times New Roman" w:cs="Times New Roman" w:eastAsia="Times New Roman" w:hAnsi="Times New Roman"/>
          <w:sz w:val="18"/>
          <w:szCs w:val="18"/>
          <w:color w:val="auto"/>
        </w:rPr>
        <w:t>Please refer to “</w:t>
      </w:r>
      <w:r>
        <w:rPr>
          <w:rFonts w:ascii="Times New Roman" w:cs="Times New Roman" w:eastAsia="Times New Roman" w:hAnsi="Times New Roman"/>
          <w:sz w:val="18"/>
          <w:szCs w:val="18"/>
          <w:i w:val="1"/>
          <w:iCs w:val="1"/>
          <w:color w:val="auto"/>
        </w:rPr>
        <w:t>General Development of the Business</w:t>
      </w:r>
      <w:r>
        <w:rPr>
          <w:rFonts w:ascii="Times New Roman" w:cs="Times New Roman" w:eastAsia="Times New Roman" w:hAnsi="Times New Roman"/>
          <w:sz w:val="18"/>
          <w:szCs w:val="18"/>
          <w:color w:val="auto"/>
        </w:rPr>
        <w:t>” in the AIF for additional information on the background and operational highlights of Cybin. The AIF may be viewed under the SEDAR+ profile of Cybin at www.sedarplus.ca.</w:t>
      </w:r>
    </w:p>
    <w:p>
      <w:pPr>
        <w:spacing w:after="0" w:line="189" w:lineRule="exact"/>
        <w:rPr>
          <w:sz w:val="20"/>
          <w:szCs w:val="20"/>
          <w:color w:val="auto"/>
        </w:rPr>
      </w:pPr>
    </w:p>
    <w:p>
      <w:pPr>
        <w:jc w:val="center"/>
        <w:ind w:right="-2"/>
        <w:spacing w:after="0"/>
        <w:rPr>
          <w:sz w:val="20"/>
          <w:szCs w:val="20"/>
          <w:color w:val="auto"/>
        </w:rPr>
      </w:pPr>
      <w:r>
        <w:rPr>
          <w:rFonts w:ascii="Times New Roman" w:cs="Times New Roman" w:eastAsia="Times New Roman" w:hAnsi="Times New Roman"/>
          <w:sz w:val="18"/>
          <w:szCs w:val="18"/>
          <w:b w:val="1"/>
          <w:bCs w:val="1"/>
          <w:color w:val="auto"/>
        </w:rPr>
        <w:t>BUSINESS OVERVIEW</w:t>
      </w:r>
    </w:p>
    <w:p>
      <w:pPr>
        <w:spacing w:after="0" w:line="254" w:lineRule="exact"/>
        <w:rPr>
          <w:sz w:val="20"/>
          <w:szCs w:val="20"/>
          <w:color w:val="auto"/>
        </w:rPr>
      </w:pPr>
    </w:p>
    <w:p>
      <w:pPr>
        <w:jc w:val="both"/>
        <w:ind w:left="3"/>
        <w:spacing w:after="0" w:line="295" w:lineRule="auto"/>
        <w:rPr>
          <w:sz w:val="20"/>
          <w:szCs w:val="20"/>
          <w:color w:val="auto"/>
        </w:rPr>
      </w:pPr>
      <w:r>
        <w:rPr>
          <w:rFonts w:ascii="Times New Roman" w:cs="Times New Roman" w:eastAsia="Times New Roman" w:hAnsi="Times New Roman"/>
          <w:sz w:val="18"/>
          <w:szCs w:val="18"/>
          <w:color w:val="auto"/>
        </w:rPr>
        <w:t>Cybin is a clinical-stage breakthrough neuropsychiatry company on a mission to create safe and effective next-generation therapeutics to address the unmet need for new and innovative treatment options for people who suffer from mental health conditions. Cybin’s goal of revolutionizing mental healthcare is supported by a network of world-class partners and internationally recognized scientists aimed at progressing proprietary drug discovery platforms, innovative drug delivery systems, and novel formulation approaches and treatment regimens.</w:t>
      </w:r>
      <w:r>
        <w:rPr>
          <w:rFonts w:ascii="Times New Roman" w:cs="Times New Roman" w:eastAsia="Times New Roman" w:hAnsi="Times New Roman"/>
          <w:sz w:val="23"/>
          <w:szCs w:val="23"/>
          <w:color w:val="auto"/>
          <w:vertAlign w:val="superscript"/>
        </w:rPr>
        <w:t>1</w:t>
      </w:r>
    </w:p>
    <w:p>
      <w:pPr>
        <w:spacing w:after="0" w:line="121" w:lineRule="exact"/>
        <w:rPr>
          <w:sz w:val="20"/>
          <w:szCs w:val="20"/>
          <w:color w:val="auto"/>
        </w:rPr>
      </w:pPr>
    </w:p>
    <w:p>
      <w:pPr>
        <w:jc w:val="both"/>
        <w:ind w:left="3" w:right="20"/>
        <w:spacing w:after="0" w:line="316" w:lineRule="auto"/>
        <w:rPr>
          <w:sz w:val="20"/>
          <w:szCs w:val="20"/>
          <w:color w:val="auto"/>
        </w:rPr>
      </w:pPr>
      <w:r>
        <w:rPr>
          <w:rFonts w:ascii="Times New Roman" w:cs="Times New Roman" w:eastAsia="Times New Roman" w:hAnsi="Times New Roman"/>
          <w:sz w:val="17"/>
          <w:szCs w:val="17"/>
          <w:color w:val="auto"/>
        </w:rPr>
        <w:t>Cybin’s research and development work focuses on a three-pillar strategy that leverages the Company’s core competencies in preclinical innovation and clinical development. This strategy supports the creation of intellectual property (“</w:t>
      </w:r>
      <w:r>
        <w:rPr>
          <w:rFonts w:ascii="Times New Roman" w:cs="Times New Roman" w:eastAsia="Times New Roman" w:hAnsi="Times New Roman"/>
          <w:sz w:val="17"/>
          <w:szCs w:val="17"/>
          <w:b w:val="1"/>
          <w:bCs w:val="1"/>
          <w:color w:val="auto"/>
        </w:rPr>
        <w:t>IP</w:t>
      </w:r>
      <w:r>
        <w:rPr>
          <w:rFonts w:ascii="Times New Roman" w:cs="Times New Roman" w:eastAsia="Times New Roman" w:hAnsi="Times New Roman"/>
          <w:sz w:val="17"/>
          <w:szCs w:val="17"/>
          <w:color w:val="auto"/>
        </w:rPr>
        <w:t>”) focused on developing the Company’s platform technology, the progression of clinical development programs including CYB003, a deuterated psilocin molecule, CYB004, a deuterated version of N, N-dimethyltryptamine (“</w:t>
      </w:r>
      <w:r>
        <w:rPr>
          <w:rFonts w:ascii="Times New Roman" w:cs="Times New Roman" w:eastAsia="Times New Roman" w:hAnsi="Times New Roman"/>
          <w:sz w:val="17"/>
          <w:szCs w:val="17"/>
          <w:b w:val="1"/>
          <w:bCs w:val="1"/>
          <w:color w:val="auto"/>
        </w:rPr>
        <w:t>DMT</w:t>
      </w:r>
      <w:r>
        <w:rPr>
          <w:rFonts w:ascii="Times New Roman" w:cs="Times New Roman" w:eastAsia="Times New Roman" w:hAnsi="Times New Roman"/>
          <w:sz w:val="17"/>
          <w:szCs w:val="17"/>
          <w:color w:val="auto"/>
        </w:rPr>
        <w:t>”), CYB005, phenethylamine derivatives, and an expansive list of preclinical molecules to facilitate future drug development opportunities.</w:t>
      </w:r>
    </w:p>
    <w:p>
      <w:pPr>
        <w:spacing w:after="0" w:line="167" w:lineRule="exact"/>
        <w:rPr>
          <w:sz w:val="20"/>
          <w:szCs w:val="20"/>
          <w:color w:val="auto"/>
        </w:rPr>
      </w:pPr>
    </w:p>
    <w:p>
      <w:pPr>
        <w:jc w:val="both"/>
        <w:ind w:left="3" w:right="20"/>
        <w:spacing w:after="0" w:line="294" w:lineRule="auto"/>
        <w:rPr>
          <w:sz w:val="20"/>
          <w:szCs w:val="20"/>
          <w:color w:val="auto"/>
        </w:rPr>
      </w:pPr>
      <w:r>
        <w:rPr>
          <w:rFonts w:ascii="Times New Roman" w:cs="Times New Roman" w:eastAsia="Times New Roman" w:hAnsi="Times New Roman"/>
          <w:sz w:val="18"/>
          <w:szCs w:val="18"/>
          <w:color w:val="auto"/>
        </w:rPr>
        <w:t>On October 23, 2023, the Company completed the acquisition of Small Pharma by way of the Arrangement pursuant to which Small Pharma became a wholly-owned subsidiary of Cybin. Small Pharma is a biotechnology company focused on developing short-duration therapies for the treatment of mental health conditions. Small Pharma initiated programs across its “First-generation” and “Second-generation” psychedelics portfolio. First-generation psychedelics refer to the well-known classic psychedelics which includes psilocybin, DMT, and Lysergic acid diethylamide (“</w:t>
      </w:r>
      <w:r>
        <w:rPr>
          <w:rFonts w:ascii="Times New Roman" w:cs="Times New Roman" w:eastAsia="Times New Roman" w:hAnsi="Times New Roman"/>
          <w:sz w:val="18"/>
          <w:szCs w:val="18"/>
          <w:b w:val="1"/>
          <w:bCs w:val="1"/>
          <w:color w:val="auto"/>
        </w:rPr>
        <w:t>LSD</w:t>
      </w:r>
      <w:r>
        <w:rPr>
          <w:rFonts w:ascii="Times New Roman" w:cs="Times New Roman" w:eastAsia="Times New Roman" w:hAnsi="Times New Roman"/>
          <w:sz w:val="18"/>
          <w:szCs w:val="18"/>
          <w:color w:val="auto"/>
        </w:rPr>
        <w:t>”). Second-generation psychedelics refer to those that have been chemically modified with the aim to optimize their therapeutic benefit.</w:t>
      </w:r>
    </w:p>
    <w:p>
      <w:pPr>
        <w:spacing w:after="0" w:line="183" w:lineRule="exact"/>
        <w:rPr>
          <w:sz w:val="20"/>
          <w:szCs w:val="20"/>
          <w:color w:val="auto"/>
        </w:rPr>
      </w:pPr>
    </w:p>
    <w:p>
      <w:pPr>
        <w:jc w:val="both"/>
        <w:ind w:left="3" w:right="20"/>
        <w:spacing w:after="0" w:line="301" w:lineRule="auto"/>
        <w:rPr>
          <w:sz w:val="20"/>
          <w:szCs w:val="20"/>
          <w:color w:val="auto"/>
        </w:rPr>
      </w:pPr>
      <w:r>
        <w:rPr>
          <w:rFonts w:ascii="Times New Roman" w:cs="Times New Roman" w:eastAsia="Times New Roman" w:hAnsi="Times New Roman"/>
          <w:sz w:val="18"/>
          <w:szCs w:val="18"/>
          <w:color w:val="auto"/>
        </w:rPr>
        <w:t>With a common goal to create novel, optimized psychedelic-based therapeutics, the combination of Cybin and Small Pharma creates a leading international, clinical-stage company with potential to transform the treatment paradigm for mental health conditions. The companies’ combined development portfolios are highly complementary and provide multiple opportunities to create operational and cost synergies.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78740</wp:posOffset>
            </wp:positionV>
            <wp:extent cx="1535430" cy="762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1535430" cy="7620"/>
                    </a:xfrm>
                    <a:prstGeom prst="rect">
                      <a:avLst/>
                    </a:prstGeom>
                    <a:noFill/>
                  </pic:spPr>
                </pic:pic>
              </a:graphicData>
            </a:graphic>
          </wp:anchor>
        </w:drawing>
      </w:r>
    </w:p>
    <w:p>
      <w:pPr>
        <w:spacing w:after="0" w:line="177" w:lineRule="exact"/>
        <w:rPr>
          <w:sz w:val="20"/>
          <w:szCs w:val="20"/>
          <w:color w:val="auto"/>
        </w:rPr>
      </w:pPr>
    </w:p>
    <w:p>
      <w:pPr>
        <w:jc w:val="both"/>
        <w:ind w:left="3" w:right="20" w:hanging="3"/>
        <w:spacing w:after="0" w:line="238" w:lineRule="auto"/>
        <w:tabs>
          <w:tab w:leader="none" w:pos="86" w:val="left"/>
        </w:tabs>
        <w:numPr>
          <w:ilvl w:val="0"/>
          <w:numId w:val="13"/>
        </w:numPr>
        <w:rPr>
          <w:rFonts w:ascii="Times New Roman" w:cs="Times New Roman" w:eastAsia="Times New Roman" w:hAnsi="Times New Roman"/>
          <w:sz w:val="19"/>
          <w:szCs w:val="19"/>
          <w:color w:val="auto"/>
          <w:vertAlign w:val="superscript"/>
        </w:rPr>
      </w:pPr>
      <w:r>
        <w:rPr>
          <w:rFonts w:ascii="Times New Roman" w:cs="Times New Roman" w:eastAsia="Times New Roman" w:hAnsi="Times New Roman"/>
          <w:sz w:val="15"/>
          <w:szCs w:val="15"/>
          <w:color w:val="auto"/>
        </w:rPr>
        <w:t>This is a forward-looking statement that involves material assumptions by the Company. Drug development involves long lead times, is very expensive and involves many variables of uncertainty. Anticipated timelines regarding drug development are based on reasonable assumptions informed by current knowledge and information available to the Company. Such statements are informed by, among other things, regulatory guidelines for developing a drug with safety studies, proof of concept studies, and pivotal studies for new drug application submission and approval, and assumes the success of implementation and results of such studies on timelines indicated as possible by such guidelines, other industry examples, and the Company’s development efforts to date.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jc w:val="center"/>
        <w:ind w:right="-2"/>
        <w:spacing w:after="0"/>
        <w:rPr>
          <w:sz w:val="20"/>
          <w:szCs w:val="20"/>
          <w:color w:val="auto"/>
        </w:rPr>
      </w:pPr>
      <w:r>
        <w:rPr>
          <w:rFonts w:ascii="Times New Roman" w:cs="Times New Roman" w:eastAsia="Times New Roman" w:hAnsi="Times New Roman"/>
          <w:sz w:val="18"/>
          <w:szCs w:val="18"/>
          <w:color w:val="auto"/>
        </w:rPr>
        <w:t>7</w:t>
      </w:r>
    </w:p>
    <w:p>
      <w:pPr>
        <w:sectPr>
          <w:pgSz w:w="11900" w:h="16838" w:orient="portrait"/>
          <w:cols w:equalWidth="0" w:num="1">
            <w:col w:w="11263"/>
          </w:cols>
          <w:pgMar w:left="317" w:top="1303" w:right="319" w:bottom="1440" w:gutter="0" w:footer="0" w:header="0"/>
        </w:sectPr>
      </w:pPr>
    </w:p>
    <w:bookmarkStart w:id="33" w:name="page34"/>
    <w:bookmarkEnd w:id="33"/>
    <w:p>
      <w:pPr>
        <w:spacing w:after="0" w:line="106" w:lineRule="exact"/>
        <w:rPr>
          <w:sz w:val="20"/>
          <w:szCs w:val="20"/>
          <w:color w:val="auto"/>
        </w:rPr>
      </w:pPr>
    </w:p>
    <w:p>
      <w:pPr>
        <w:jc w:val="both"/>
        <w:ind w:left="3" w:right="20"/>
        <w:spacing w:after="0" w:line="323" w:lineRule="auto"/>
        <w:rPr>
          <w:sz w:val="20"/>
          <w:szCs w:val="20"/>
          <w:color w:val="auto"/>
        </w:rPr>
      </w:pPr>
      <w:r>
        <w:rPr>
          <w:rFonts w:ascii="Times New Roman" w:cs="Times New Roman" w:eastAsia="Times New Roman" w:hAnsi="Times New Roman"/>
          <w:sz w:val="18"/>
          <w:szCs w:val="18"/>
          <w:color w:val="auto"/>
        </w:rPr>
        <w:t>As a result of the acquisition of Small Pharma by way of the Arrangement, Cybin currently now has over 70 granted patents and over 220 pending applications. See “</w:t>
      </w:r>
      <w:r>
        <w:rPr>
          <w:rFonts w:ascii="Times New Roman" w:cs="Times New Roman" w:eastAsia="Times New Roman" w:hAnsi="Times New Roman"/>
          <w:sz w:val="18"/>
          <w:szCs w:val="18"/>
          <w:i w:val="1"/>
          <w:iCs w:val="1"/>
          <w:color w:val="auto"/>
        </w:rPr>
        <w:t>Intellectual Property</w:t>
      </w:r>
      <w:r>
        <w:rPr>
          <w:rFonts w:ascii="Times New Roman" w:cs="Times New Roman" w:eastAsia="Times New Roman" w:hAnsi="Times New Roman"/>
          <w:sz w:val="18"/>
          <w:szCs w:val="18"/>
          <w:color w:val="auto"/>
        </w:rPr>
        <w:t>”.</w:t>
      </w:r>
    </w:p>
    <w:p>
      <w:pPr>
        <w:spacing w:after="0" w:line="154" w:lineRule="exact"/>
        <w:rPr>
          <w:sz w:val="20"/>
          <w:szCs w:val="20"/>
          <w:color w:val="auto"/>
        </w:rPr>
      </w:pPr>
    </w:p>
    <w:p>
      <w:pPr>
        <w:ind w:left="3"/>
        <w:spacing w:after="0"/>
        <w:rPr>
          <w:sz w:val="20"/>
          <w:szCs w:val="20"/>
          <w:color w:val="auto"/>
        </w:rPr>
      </w:pPr>
      <w:r>
        <w:rPr>
          <w:rFonts w:ascii="Times New Roman" w:cs="Times New Roman" w:eastAsia="Times New Roman" w:hAnsi="Times New Roman"/>
          <w:sz w:val="18"/>
          <w:szCs w:val="18"/>
          <w:b w:val="1"/>
          <w:bCs w:val="1"/>
          <w:u w:val="single" w:color="auto"/>
          <w:color w:val="auto"/>
        </w:rPr>
        <w:t>Advancement of Mental Healthcare</w:t>
      </w:r>
    </w:p>
    <w:p>
      <w:pPr>
        <w:spacing w:after="0" w:line="254" w:lineRule="exact"/>
        <w:rPr>
          <w:sz w:val="20"/>
          <w:szCs w:val="20"/>
          <w:color w:val="auto"/>
        </w:rPr>
      </w:pPr>
    </w:p>
    <w:p>
      <w:pPr>
        <w:jc w:val="both"/>
        <w:ind w:left="3" w:right="20"/>
        <w:spacing w:after="0" w:line="301" w:lineRule="auto"/>
        <w:rPr>
          <w:sz w:val="20"/>
          <w:szCs w:val="20"/>
          <w:color w:val="auto"/>
        </w:rPr>
      </w:pPr>
      <w:r>
        <w:rPr>
          <w:rFonts w:ascii="Times New Roman" w:cs="Times New Roman" w:eastAsia="Times New Roman" w:hAnsi="Times New Roman"/>
          <w:sz w:val="18"/>
          <w:szCs w:val="18"/>
          <w:color w:val="auto"/>
        </w:rPr>
        <w:t>The Company is conducting research and development of next-generation neuropsychiatry therapeutics that aim to address unmet needs in the treatment of mental health conditions. This comprehensive development work is predicated on structural modifications of known tryptamine and phenethylamine derivatives to improve their pharmacokinetic properties while maintaining their respective pharmacology.</w:t>
      </w:r>
    </w:p>
    <w:p>
      <w:pPr>
        <w:spacing w:after="0" w:line="174" w:lineRule="exact"/>
        <w:rPr>
          <w:sz w:val="20"/>
          <w:szCs w:val="20"/>
          <w:color w:val="auto"/>
        </w:rPr>
      </w:pPr>
    </w:p>
    <w:p>
      <w:pPr>
        <w:jc w:val="both"/>
        <w:ind w:left="3"/>
        <w:spacing w:after="0" w:line="303" w:lineRule="auto"/>
        <w:rPr>
          <w:sz w:val="20"/>
          <w:szCs w:val="20"/>
          <w:color w:val="auto"/>
        </w:rPr>
      </w:pPr>
      <w:r>
        <w:rPr>
          <w:rFonts w:ascii="Times New Roman" w:cs="Times New Roman" w:eastAsia="Times New Roman" w:hAnsi="Times New Roman"/>
          <w:sz w:val="18"/>
          <w:szCs w:val="18"/>
          <w:color w:val="auto"/>
        </w:rPr>
        <w:t>Across its extensive research and development programs, Cybin is evaluating a wide array of novel, synthetic active pharmaceutical ingredients (“</w:t>
      </w:r>
      <w:r>
        <w:rPr>
          <w:rFonts w:ascii="Times New Roman" w:cs="Times New Roman" w:eastAsia="Times New Roman" w:hAnsi="Times New Roman"/>
          <w:sz w:val="18"/>
          <w:szCs w:val="18"/>
          <w:b w:val="1"/>
          <w:bCs w:val="1"/>
          <w:color w:val="auto"/>
        </w:rPr>
        <w:t>API</w:t>
      </w:r>
      <w:r>
        <w:rPr>
          <w:rFonts w:ascii="Times New Roman" w:cs="Times New Roman" w:eastAsia="Times New Roman" w:hAnsi="Times New Roman"/>
          <w:sz w:val="18"/>
          <w:szCs w:val="18"/>
          <w:color w:val="auto"/>
        </w:rPr>
        <w:t>”) intended to be delivered through innovative drug delivery systems including via inhalation, via intravenous (“</w:t>
      </w:r>
      <w:r>
        <w:rPr>
          <w:rFonts w:ascii="Times New Roman" w:cs="Times New Roman" w:eastAsia="Times New Roman" w:hAnsi="Times New Roman"/>
          <w:sz w:val="18"/>
          <w:szCs w:val="18"/>
          <w:b w:val="1"/>
          <w:bCs w:val="1"/>
          <w:color w:val="auto"/>
        </w:rPr>
        <w:t>IV</w:t>
      </w:r>
      <w:r>
        <w:rPr>
          <w:rFonts w:ascii="Times New Roman" w:cs="Times New Roman" w:eastAsia="Times New Roman" w:hAnsi="Times New Roman"/>
          <w:sz w:val="18"/>
          <w:szCs w:val="18"/>
          <w:color w:val="auto"/>
        </w:rPr>
        <w:t>”), and intramuscular, or subcutaneous administration.</w:t>
      </w:r>
      <w:r>
        <w:rPr>
          <w:rFonts w:ascii="Times New Roman" w:cs="Times New Roman" w:eastAsia="Times New Roman" w:hAnsi="Times New Roman"/>
          <w:sz w:val="23"/>
          <w:szCs w:val="23"/>
          <w:color w:val="auto"/>
          <w:vertAlign w:val="superscript"/>
        </w:rPr>
        <w:t>2</w:t>
      </w:r>
    </w:p>
    <w:p>
      <w:pPr>
        <w:spacing w:after="0" w:line="111" w:lineRule="exact"/>
        <w:rPr>
          <w:sz w:val="20"/>
          <w:szCs w:val="20"/>
          <w:color w:val="auto"/>
        </w:rPr>
      </w:pPr>
    </w:p>
    <w:p>
      <w:pPr>
        <w:jc w:val="both"/>
        <w:ind w:left="3" w:right="20"/>
        <w:spacing w:after="0" w:line="268" w:lineRule="auto"/>
        <w:rPr>
          <w:sz w:val="20"/>
          <w:szCs w:val="20"/>
          <w:color w:val="auto"/>
        </w:rPr>
      </w:pPr>
      <w:r>
        <w:rPr>
          <w:rFonts w:ascii="Times New Roman" w:cs="Times New Roman" w:eastAsia="Times New Roman" w:hAnsi="Times New Roman"/>
          <w:sz w:val="18"/>
          <w:szCs w:val="18"/>
          <w:color w:val="auto"/>
        </w:rPr>
        <w:t>The Company intends to apply for regulatory approval for therapies targeting indications such as major depressive disorder (“</w:t>
      </w:r>
      <w:r>
        <w:rPr>
          <w:rFonts w:ascii="Times New Roman" w:cs="Times New Roman" w:eastAsia="Times New Roman" w:hAnsi="Times New Roman"/>
          <w:sz w:val="18"/>
          <w:szCs w:val="18"/>
          <w:b w:val="1"/>
          <w:bCs w:val="1"/>
          <w:color w:val="auto"/>
        </w:rPr>
        <w:t>MDD</w:t>
      </w:r>
      <w:r>
        <w:rPr>
          <w:rFonts w:ascii="Times New Roman" w:cs="Times New Roman" w:eastAsia="Times New Roman" w:hAnsi="Times New Roman"/>
          <w:sz w:val="18"/>
          <w:szCs w:val="18"/>
          <w:color w:val="auto"/>
        </w:rPr>
        <w:t>”), alcohol use disorder (“</w:t>
      </w:r>
      <w:r>
        <w:rPr>
          <w:rFonts w:ascii="Times New Roman" w:cs="Times New Roman" w:eastAsia="Times New Roman" w:hAnsi="Times New Roman"/>
          <w:sz w:val="18"/>
          <w:szCs w:val="18"/>
          <w:b w:val="1"/>
          <w:bCs w:val="1"/>
          <w:color w:val="auto"/>
        </w:rPr>
        <w:t>AUD</w:t>
      </w:r>
      <w:r>
        <w:rPr>
          <w:rFonts w:ascii="Times New Roman" w:cs="Times New Roman" w:eastAsia="Times New Roman" w:hAnsi="Times New Roman"/>
          <w:sz w:val="18"/>
          <w:szCs w:val="18"/>
          <w:color w:val="auto"/>
        </w:rPr>
        <w:t>”), generalized anxiety disorder (“</w:t>
      </w:r>
      <w:r>
        <w:rPr>
          <w:rFonts w:ascii="Times New Roman" w:cs="Times New Roman" w:eastAsia="Times New Roman" w:hAnsi="Times New Roman"/>
          <w:sz w:val="18"/>
          <w:szCs w:val="18"/>
          <w:b w:val="1"/>
          <w:bCs w:val="1"/>
          <w:color w:val="auto"/>
        </w:rPr>
        <w:t>GAD</w:t>
      </w:r>
      <w:r>
        <w:rPr>
          <w:rFonts w:ascii="Times New Roman" w:cs="Times New Roman" w:eastAsia="Times New Roman" w:hAnsi="Times New Roman"/>
          <w:sz w:val="18"/>
          <w:szCs w:val="18"/>
          <w:color w:val="auto"/>
        </w:rPr>
        <w:t>”) and potentially other various mental health conditions.</w:t>
      </w:r>
      <w:r>
        <w:rPr>
          <w:rFonts w:ascii="Times New Roman" w:cs="Times New Roman" w:eastAsia="Times New Roman" w:hAnsi="Times New Roman"/>
          <w:sz w:val="23"/>
          <w:szCs w:val="23"/>
          <w:color w:val="auto"/>
          <w:vertAlign w:val="superscript"/>
        </w:rPr>
        <w:t>3</w:t>
      </w:r>
      <w:r>
        <w:rPr>
          <w:rFonts w:ascii="Times New Roman" w:cs="Times New Roman" w:eastAsia="Times New Roman" w:hAnsi="Times New Roman"/>
          <w:sz w:val="18"/>
          <w:szCs w:val="18"/>
          <w:color w:val="auto"/>
        </w:rPr>
        <w:t xml:space="preserve"> The Company is also developing compounds that may have the potential to address neuroinflammation, central nervous system (“</w:t>
      </w:r>
      <w:r>
        <w:rPr>
          <w:rFonts w:ascii="Times New Roman" w:cs="Times New Roman" w:eastAsia="Times New Roman" w:hAnsi="Times New Roman"/>
          <w:sz w:val="18"/>
          <w:szCs w:val="18"/>
          <w:b w:val="1"/>
          <w:bCs w:val="1"/>
          <w:color w:val="auto"/>
        </w:rPr>
        <w:t>CNS</w:t>
      </w:r>
      <w:r>
        <w:rPr>
          <w:rFonts w:ascii="Times New Roman" w:cs="Times New Roman" w:eastAsia="Times New Roman" w:hAnsi="Times New Roman"/>
          <w:sz w:val="18"/>
          <w:szCs w:val="18"/>
          <w:color w:val="auto"/>
        </w:rPr>
        <w:t>”) disorders, and psychiatric disorders.</w:t>
      </w:r>
      <w:r>
        <w:rPr>
          <w:rFonts w:ascii="Times New Roman" w:cs="Times New Roman" w:eastAsia="Times New Roman" w:hAnsi="Times New Roman"/>
          <w:sz w:val="23"/>
          <w:szCs w:val="23"/>
          <w:color w:val="auto"/>
          <w:vertAlign w:val="superscript"/>
        </w:rPr>
        <w:t>4</w:t>
      </w:r>
    </w:p>
    <w:p>
      <w:pPr>
        <w:spacing w:after="0" w:line="135" w:lineRule="exact"/>
        <w:rPr>
          <w:sz w:val="20"/>
          <w:szCs w:val="20"/>
          <w:color w:val="auto"/>
        </w:rPr>
      </w:pPr>
    </w:p>
    <w:p>
      <w:pPr>
        <w:jc w:val="both"/>
        <w:ind w:left="3" w:right="20"/>
        <w:spacing w:after="0" w:line="266" w:lineRule="auto"/>
        <w:rPr>
          <w:sz w:val="20"/>
          <w:szCs w:val="20"/>
          <w:color w:val="auto"/>
        </w:rPr>
      </w:pPr>
      <w:r>
        <w:rPr>
          <w:rFonts w:ascii="Times New Roman" w:cs="Times New Roman" w:eastAsia="Times New Roman" w:hAnsi="Times New Roman"/>
          <w:sz w:val="18"/>
          <w:szCs w:val="18"/>
          <w:color w:val="auto"/>
        </w:rPr>
        <w:t>Further, over the next 12-month period, the Company will continue to seek to establish strategic partnerships that advance the Company’s scientific research and IP for novel compounds and delivery mechanisms.</w:t>
      </w:r>
      <w:r>
        <w:rPr>
          <w:rFonts w:ascii="Times New Roman" w:cs="Times New Roman" w:eastAsia="Times New Roman" w:hAnsi="Times New Roman"/>
          <w:sz w:val="23"/>
          <w:szCs w:val="23"/>
          <w:color w:val="auto"/>
          <w:vertAlign w:val="superscript"/>
        </w:rPr>
        <w:t>5</w:t>
      </w:r>
      <w:r>
        <w:rPr>
          <w:rFonts w:ascii="Times New Roman" w:cs="Times New Roman" w:eastAsia="Times New Roman" w:hAnsi="Times New Roman"/>
          <w:sz w:val="18"/>
          <w:szCs w:val="18"/>
          <w:color w:val="auto"/>
        </w:rPr>
        <w:t xml:space="preserve"> The Company will also continue to sponsor select internal and partner-related clinical trials that advance the understanding of safety and efficacy for various psychedelic agents that target mental health conditions.</w:t>
      </w:r>
      <w:r>
        <w:rPr>
          <w:rFonts w:ascii="Times New Roman" w:cs="Times New Roman" w:eastAsia="Times New Roman" w:hAnsi="Times New Roman"/>
          <w:sz w:val="23"/>
          <w:szCs w:val="23"/>
          <w:color w:val="auto"/>
          <w:vertAlign w:val="superscript"/>
        </w:rPr>
        <w:t>6</w:t>
      </w:r>
    </w:p>
    <w:p>
      <w:pPr>
        <w:spacing w:after="0" w:line="135" w:lineRule="exact"/>
        <w:rPr>
          <w:sz w:val="20"/>
          <w:szCs w:val="20"/>
          <w:color w:val="auto"/>
        </w:rPr>
      </w:pPr>
    </w:p>
    <w:p>
      <w:pPr>
        <w:ind w:left="3"/>
        <w:spacing w:after="0"/>
        <w:rPr>
          <w:sz w:val="20"/>
          <w:szCs w:val="20"/>
          <w:color w:val="auto"/>
        </w:rPr>
      </w:pPr>
      <w:r>
        <w:rPr>
          <w:rFonts w:ascii="Times New Roman" w:cs="Times New Roman" w:eastAsia="Times New Roman" w:hAnsi="Times New Roman"/>
          <w:sz w:val="18"/>
          <w:szCs w:val="18"/>
          <w:b w:val="1"/>
          <w:bCs w:val="1"/>
          <w:i w:val="1"/>
          <w:iCs w:val="1"/>
          <w:color w:val="auto"/>
        </w:rPr>
        <w:t>Stage of Development</w:t>
      </w:r>
    </w:p>
    <w:p>
      <w:pPr>
        <w:spacing w:after="0" w:line="256" w:lineRule="exact"/>
        <w:rPr>
          <w:sz w:val="20"/>
          <w:szCs w:val="20"/>
          <w:color w:val="auto"/>
        </w:rPr>
      </w:pPr>
    </w:p>
    <w:p>
      <w:pPr>
        <w:jc w:val="both"/>
        <w:ind w:left="3" w:right="20"/>
        <w:spacing w:after="0" w:line="356" w:lineRule="auto"/>
        <w:rPr>
          <w:sz w:val="20"/>
          <w:szCs w:val="20"/>
          <w:color w:val="auto"/>
        </w:rPr>
      </w:pPr>
      <w:r>
        <w:rPr>
          <w:rFonts w:ascii="Times New Roman" w:cs="Times New Roman" w:eastAsia="Times New Roman" w:hAnsi="Times New Roman"/>
          <w:sz w:val="17"/>
          <w:szCs w:val="17"/>
          <w:color w:val="auto"/>
        </w:rPr>
        <w:t>Like most life sciences and pharmaceutical companies, the Company’s neuropsychiatry business is focused on research and development and any future revenue will be dependent on a number of factors, including the outcome of the Company’s clinical trials and the receipt of all necessary regulatory approvals.</w:t>
      </w:r>
    </w:p>
    <w:p>
      <w:pPr>
        <w:spacing w:after="0" w:line="133" w:lineRule="exact"/>
        <w:rPr>
          <w:sz w:val="20"/>
          <w:szCs w:val="20"/>
          <w:color w:val="auto"/>
        </w:rPr>
      </w:pPr>
    </w:p>
    <w:p>
      <w:pPr>
        <w:jc w:val="both"/>
        <w:ind w:left="3" w:right="20"/>
        <w:spacing w:after="0" w:line="309" w:lineRule="auto"/>
        <w:rPr>
          <w:sz w:val="20"/>
          <w:szCs w:val="20"/>
          <w:color w:val="auto"/>
        </w:rPr>
      </w:pPr>
      <w:r>
        <w:rPr>
          <w:rFonts w:ascii="Times New Roman" w:cs="Times New Roman" w:eastAsia="Times New Roman" w:hAnsi="Times New Roman"/>
          <w:sz w:val="18"/>
          <w:szCs w:val="18"/>
          <w:color w:val="auto"/>
        </w:rPr>
        <w:t>In order to establish its business operations, Cybin intends to leverage the extensive professional network of its management to build working partnerships with (i) existing producers of products based in Canada, the United States, the European Union (the “</w:t>
      </w:r>
      <w:r>
        <w:rPr>
          <w:rFonts w:ascii="Times New Roman" w:cs="Times New Roman" w:eastAsia="Times New Roman" w:hAnsi="Times New Roman"/>
          <w:sz w:val="18"/>
          <w:szCs w:val="18"/>
          <w:b w:val="1"/>
          <w:bCs w:val="1"/>
          <w:color w:val="auto"/>
        </w:rPr>
        <w:t>EU</w:t>
      </w:r>
      <w:r>
        <w:rPr>
          <w:rFonts w:ascii="Times New Roman" w:cs="Times New Roman" w:eastAsia="Times New Roman" w:hAnsi="Times New Roman"/>
          <w:sz w:val="18"/>
          <w:szCs w:val="18"/>
          <w:color w:val="auto"/>
        </w:rPr>
        <w:t>”) and the UK to source 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73660</wp:posOffset>
            </wp:positionV>
            <wp:extent cx="1535430" cy="762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1535430" cy="7620"/>
                    </a:xfrm>
                    <a:prstGeom prst="rect">
                      <a:avLst/>
                    </a:prstGeom>
                    <a:noFill/>
                  </pic:spPr>
                </pic:pic>
              </a:graphicData>
            </a:graphic>
          </wp:anchor>
        </w:drawing>
      </w:r>
    </w:p>
    <w:p>
      <w:pPr>
        <w:spacing w:after="0" w:line="152" w:lineRule="exact"/>
        <w:rPr>
          <w:sz w:val="20"/>
          <w:szCs w:val="20"/>
          <w:color w:val="auto"/>
        </w:rPr>
      </w:pPr>
    </w:p>
    <w:p>
      <w:pPr>
        <w:ind w:left="83" w:hanging="83"/>
        <w:spacing w:after="0"/>
        <w:tabs>
          <w:tab w:leader="none" w:pos="83" w:val="left"/>
        </w:tabs>
        <w:numPr>
          <w:ilvl w:val="0"/>
          <w:numId w:val="14"/>
        </w:numPr>
        <w:rPr>
          <w:rFonts w:ascii="Times New Roman" w:cs="Times New Roman" w:eastAsia="Times New Roman" w:hAnsi="Times New Roman"/>
          <w:sz w:val="19"/>
          <w:szCs w:val="19"/>
          <w:color w:val="auto"/>
          <w:vertAlign w:val="superscript"/>
        </w:rPr>
      </w:pPr>
      <w:r>
        <w:rPr>
          <w:rFonts w:ascii="Times New Roman" w:cs="Times New Roman" w:eastAsia="Times New Roman" w:hAnsi="Times New Roman"/>
          <w:sz w:val="15"/>
          <w:szCs w:val="15"/>
          <w:color w:val="auto"/>
        </w:rPr>
        <w:t>See footnote 1.</w:t>
      </w:r>
    </w:p>
    <w:p>
      <w:pPr>
        <w:spacing w:after="0" w:line="8" w:lineRule="exact"/>
        <w:rPr>
          <w:rFonts w:ascii="Times New Roman" w:cs="Times New Roman" w:eastAsia="Times New Roman" w:hAnsi="Times New Roman"/>
          <w:sz w:val="19"/>
          <w:szCs w:val="19"/>
          <w:color w:val="auto"/>
          <w:vertAlign w:val="superscript"/>
        </w:rPr>
      </w:pPr>
    </w:p>
    <w:p>
      <w:pPr>
        <w:ind w:left="3"/>
        <w:spacing w:after="0" w:line="210" w:lineRule="auto"/>
        <w:rPr>
          <w:rFonts w:ascii="Times New Roman" w:cs="Times New Roman" w:eastAsia="Times New Roman" w:hAnsi="Times New Roman"/>
          <w:sz w:val="19"/>
          <w:szCs w:val="19"/>
          <w:color w:val="auto"/>
          <w:vertAlign w:val="superscript"/>
        </w:rPr>
      </w:pPr>
      <w:r>
        <w:rPr>
          <w:rFonts w:ascii="Times New Roman" w:cs="Times New Roman" w:eastAsia="Times New Roman" w:hAnsi="Times New Roman"/>
          <w:sz w:val="18"/>
          <w:szCs w:val="18"/>
          <w:color w:val="auto"/>
          <w:vertAlign w:val="superscript"/>
        </w:rPr>
        <w:t>3</w:t>
      </w:r>
      <w:r>
        <w:rPr>
          <w:rFonts w:ascii="Times New Roman" w:cs="Times New Roman" w:eastAsia="Times New Roman" w:hAnsi="Times New Roman"/>
          <w:sz w:val="15"/>
          <w:szCs w:val="15"/>
          <w:color w:val="auto"/>
        </w:rPr>
        <w:t xml:space="preserve"> See footnote 1.</w:t>
      </w:r>
    </w:p>
    <w:p>
      <w:pPr>
        <w:ind w:left="3"/>
        <w:spacing w:after="0" w:line="224" w:lineRule="auto"/>
        <w:rPr>
          <w:rFonts w:ascii="Times New Roman" w:cs="Times New Roman" w:eastAsia="Times New Roman" w:hAnsi="Times New Roman"/>
          <w:sz w:val="19"/>
          <w:szCs w:val="19"/>
          <w:color w:val="auto"/>
          <w:vertAlign w:val="superscript"/>
        </w:rPr>
      </w:pPr>
      <w:r>
        <w:rPr>
          <w:rFonts w:ascii="Times New Roman" w:cs="Times New Roman" w:eastAsia="Times New Roman" w:hAnsi="Times New Roman"/>
          <w:sz w:val="18"/>
          <w:szCs w:val="18"/>
          <w:color w:val="auto"/>
          <w:vertAlign w:val="superscript"/>
        </w:rPr>
        <w:t>4</w:t>
      </w:r>
      <w:r>
        <w:rPr>
          <w:rFonts w:ascii="Times New Roman" w:cs="Times New Roman" w:eastAsia="Times New Roman" w:hAnsi="Times New Roman"/>
          <w:sz w:val="15"/>
          <w:szCs w:val="15"/>
          <w:color w:val="auto"/>
        </w:rPr>
        <w:t xml:space="preserve"> See footnote 1.</w:t>
      </w:r>
    </w:p>
    <w:p>
      <w:pPr>
        <w:ind w:left="3"/>
        <w:spacing w:after="0" w:line="210" w:lineRule="auto"/>
        <w:rPr>
          <w:rFonts w:ascii="Times New Roman" w:cs="Times New Roman" w:eastAsia="Times New Roman" w:hAnsi="Times New Roman"/>
          <w:sz w:val="19"/>
          <w:szCs w:val="19"/>
          <w:color w:val="auto"/>
          <w:vertAlign w:val="superscript"/>
        </w:rPr>
      </w:pPr>
      <w:r>
        <w:rPr>
          <w:rFonts w:ascii="Times New Roman" w:cs="Times New Roman" w:eastAsia="Times New Roman" w:hAnsi="Times New Roman"/>
          <w:sz w:val="18"/>
          <w:szCs w:val="18"/>
          <w:color w:val="auto"/>
          <w:vertAlign w:val="superscript"/>
        </w:rPr>
        <w:t>5</w:t>
      </w:r>
      <w:r>
        <w:rPr>
          <w:rFonts w:ascii="Times New Roman" w:cs="Times New Roman" w:eastAsia="Times New Roman" w:hAnsi="Times New Roman"/>
          <w:sz w:val="15"/>
          <w:szCs w:val="15"/>
          <w:color w:val="auto"/>
        </w:rPr>
        <w:t xml:space="preserve"> A material factor and assumption underlying this forward-looking statement is that the Company will be able to successfully negotiate strategic partnerships.</w:t>
      </w:r>
    </w:p>
    <w:p>
      <w:pPr>
        <w:jc w:val="both"/>
        <w:ind w:left="3" w:right="20"/>
        <w:spacing w:after="0" w:line="227" w:lineRule="auto"/>
        <w:rPr>
          <w:rFonts w:ascii="Times New Roman" w:cs="Times New Roman" w:eastAsia="Times New Roman" w:hAnsi="Times New Roman"/>
          <w:sz w:val="19"/>
          <w:szCs w:val="19"/>
          <w:color w:val="auto"/>
          <w:vertAlign w:val="superscript"/>
        </w:rPr>
      </w:pPr>
      <w:r>
        <w:rPr>
          <w:rFonts w:ascii="Times New Roman" w:cs="Times New Roman" w:eastAsia="Times New Roman" w:hAnsi="Times New Roman"/>
          <w:sz w:val="18"/>
          <w:szCs w:val="18"/>
          <w:color w:val="auto"/>
          <w:vertAlign w:val="superscript"/>
        </w:rPr>
        <w:t>6</w:t>
      </w:r>
      <w:r>
        <w:rPr>
          <w:rFonts w:ascii="Times New Roman" w:cs="Times New Roman" w:eastAsia="Times New Roman" w:hAnsi="Times New Roman"/>
          <w:sz w:val="15"/>
          <w:szCs w:val="15"/>
          <w:color w:val="auto"/>
        </w:rPr>
        <w:t xml:space="preserve"> The material factors and assumptions underlying this forward-looking statement are: (a) that the Company will be able to successfully negotiate strategic partnerships; and (b) all necessary approvals for the studies will be obtained. As of the date hereof, the Company and the University of Washington are co-sponsoring a randomized, placebo-controlled clinical trial of psychedelic-assisted psychotherapy with psilocybin for frontline clinicians experiencing Covid-related distress.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jc w:val="center"/>
        <w:ind w:right="-2"/>
        <w:spacing w:after="0"/>
        <w:rPr>
          <w:sz w:val="20"/>
          <w:szCs w:val="20"/>
          <w:color w:val="auto"/>
        </w:rPr>
      </w:pPr>
      <w:r>
        <w:rPr>
          <w:rFonts w:ascii="Times New Roman" w:cs="Times New Roman" w:eastAsia="Times New Roman" w:hAnsi="Times New Roman"/>
          <w:sz w:val="18"/>
          <w:szCs w:val="18"/>
          <w:color w:val="auto"/>
        </w:rPr>
        <w:t>8</w:t>
      </w:r>
    </w:p>
    <w:p>
      <w:pPr>
        <w:sectPr>
          <w:pgSz w:w="11900" w:h="16838" w:orient="portrait"/>
          <w:cols w:equalWidth="0" w:num="1">
            <w:col w:w="11263"/>
          </w:cols>
          <w:pgMar w:left="317" w:top="1440" w:right="319" w:bottom="1440" w:gutter="0" w:footer="0" w:header="0"/>
        </w:sectPr>
      </w:pPr>
    </w:p>
    <w:bookmarkStart w:id="34" w:name="page35"/>
    <w:bookmarkEnd w:id="34"/>
    <w:p>
      <w:pPr>
        <w:jc w:val="both"/>
        <w:ind w:left="3"/>
        <w:spacing w:after="0" w:line="308" w:lineRule="auto"/>
        <w:rPr>
          <w:sz w:val="20"/>
          <w:szCs w:val="20"/>
          <w:color w:val="auto"/>
        </w:rPr>
      </w:pPr>
      <w:r>
        <w:rPr>
          <w:rFonts w:ascii="Times New Roman" w:cs="Times New Roman" w:eastAsia="Times New Roman" w:hAnsi="Times New Roman"/>
          <w:sz w:val="18"/>
          <w:szCs w:val="18"/>
          <w:color w:val="auto"/>
        </w:rPr>
        <w:t>pharmaceutical products the Company intends to develop and distribute under its specific brand, and (ii) to explore options to facilitate the development and distribution and sale of its specific brand of pharmaceutical products.</w:t>
      </w:r>
      <w:r>
        <w:rPr>
          <w:rFonts w:ascii="Times New Roman" w:cs="Times New Roman" w:eastAsia="Times New Roman" w:hAnsi="Times New Roman"/>
          <w:sz w:val="23"/>
          <w:szCs w:val="23"/>
          <w:color w:val="auto"/>
          <w:vertAlign w:val="superscript"/>
        </w:rPr>
        <w:t>7</w:t>
      </w:r>
    </w:p>
    <w:p>
      <w:pPr>
        <w:spacing w:after="0" w:line="106" w:lineRule="exact"/>
        <w:rPr>
          <w:sz w:val="20"/>
          <w:szCs w:val="20"/>
          <w:color w:val="auto"/>
        </w:rPr>
      </w:pPr>
    </w:p>
    <w:p>
      <w:pPr>
        <w:jc w:val="both"/>
        <w:ind w:left="3" w:right="20"/>
        <w:spacing w:after="0" w:line="302" w:lineRule="auto"/>
        <w:rPr>
          <w:sz w:val="20"/>
          <w:szCs w:val="20"/>
          <w:color w:val="auto"/>
        </w:rPr>
      </w:pPr>
      <w:r>
        <w:rPr>
          <w:rFonts w:ascii="Times New Roman" w:cs="Times New Roman" w:eastAsia="Times New Roman" w:hAnsi="Times New Roman"/>
          <w:sz w:val="18"/>
          <w:szCs w:val="18"/>
          <w:color w:val="auto"/>
        </w:rPr>
        <w:t xml:space="preserve">Prescription drugs are classified and regulated under the federal </w:t>
      </w:r>
      <w:r>
        <w:rPr>
          <w:rFonts w:ascii="Times New Roman" w:cs="Times New Roman" w:eastAsia="Times New Roman" w:hAnsi="Times New Roman"/>
          <w:sz w:val="18"/>
          <w:szCs w:val="18"/>
          <w:i w:val="1"/>
          <w:iCs w:val="1"/>
          <w:color w:val="auto"/>
        </w:rPr>
        <w:t>Food and Drugs Act</w:t>
      </w:r>
      <w:r>
        <w:rPr>
          <w:rFonts w:ascii="Times New Roman" w:cs="Times New Roman" w:eastAsia="Times New Roman" w:hAnsi="Times New Roman"/>
          <w:sz w:val="18"/>
          <w:szCs w:val="18"/>
          <w:color w:val="auto"/>
        </w:rPr>
        <w:t xml:space="preserve"> (Canada) (the “</w:t>
      </w:r>
      <w:r>
        <w:rPr>
          <w:rFonts w:ascii="Times New Roman" w:cs="Times New Roman" w:eastAsia="Times New Roman" w:hAnsi="Times New Roman"/>
          <w:sz w:val="18"/>
          <w:szCs w:val="18"/>
          <w:b w:val="1"/>
          <w:bCs w:val="1"/>
          <w:color w:val="auto"/>
        </w:rPr>
        <w:t>Canadian FDA</w:t>
      </w:r>
      <w:r>
        <w:rPr>
          <w:rFonts w:ascii="Times New Roman" w:cs="Times New Roman" w:eastAsia="Times New Roman" w:hAnsi="Times New Roman"/>
          <w:sz w:val="18"/>
          <w:szCs w:val="18"/>
          <w:color w:val="auto"/>
        </w:rPr>
        <w:t>”). Labeling, marketing and selling of any prescription drug must comply with the Canadian FDA, including by ensuring that the Company’s products are not packaged or marketed in a manner that is misleading or deceptive to a consumer.</w:t>
      </w:r>
    </w:p>
    <w:p>
      <w:pPr>
        <w:spacing w:after="0" w:line="174" w:lineRule="exact"/>
        <w:rPr>
          <w:sz w:val="20"/>
          <w:szCs w:val="20"/>
          <w:color w:val="auto"/>
        </w:rPr>
      </w:pPr>
    </w:p>
    <w:p>
      <w:pPr>
        <w:jc w:val="both"/>
        <w:ind w:left="3" w:right="20"/>
        <w:spacing w:after="0" w:line="295" w:lineRule="auto"/>
        <w:rPr>
          <w:sz w:val="20"/>
          <w:szCs w:val="20"/>
          <w:color w:val="auto"/>
        </w:rPr>
      </w:pPr>
      <w:r>
        <w:rPr>
          <w:rFonts w:ascii="Times New Roman" w:cs="Times New Roman" w:eastAsia="Times New Roman" w:hAnsi="Times New Roman"/>
          <w:sz w:val="18"/>
          <w:szCs w:val="18"/>
          <w:color w:val="auto"/>
        </w:rPr>
        <w:t xml:space="preserve">In the United States, foods, drugs and dietary supplements are subject to extensive regulation. The </w:t>
      </w:r>
      <w:r>
        <w:rPr>
          <w:rFonts w:ascii="Times New Roman" w:cs="Times New Roman" w:eastAsia="Times New Roman" w:hAnsi="Times New Roman"/>
          <w:sz w:val="18"/>
          <w:szCs w:val="18"/>
          <w:i w:val="1"/>
          <w:iCs w:val="1"/>
          <w:color w:val="auto"/>
        </w:rPr>
        <w:t>Federal Food, Drug, and Cosmetic Act</w:t>
      </w:r>
      <w:r>
        <w:rPr>
          <w:rFonts w:ascii="Times New Roman" w:cs="Times New Roman" w:eastAsia="Times New Roman" w:hAnsi="Times New Roman"/>
          <w:sz w:val="18"/>
          <w:szCs w:val="18"/>
          <w:color w:val="auto"/>
        </w:rPr>
        <w:t xml:space="preserve"> (the “</w:t>
      </w:r>
      <w:r>
        <w:rPr>
          <w:rFonts w:ascii="Times New Roman" w:cs="Times New Roman" w:eastAsia="Times New Roman" w:hAnsi="Times New Roman"/>
          <w:sz w:val="18"/>
          <w:szCs w:val="18"/>
          <w:b w:val="1"/>
          <w:bCs w:val="1"/>
          <w:color w:val="auto"/>
        </w:rPr>
        <w:t>FFDCA</w:t>
      </w:r>
      <w:r>
        <w:rPr>
          <w:rFonts w:ascii="Times New Roman" w:cs="Times New Roman" w:eastAsia="Times New Roman" w:hAnsi="Times New Roman"/>
          <w:sz w:val="18"/>
          <w:szCs w:val="18"/>
          <w:color w:val="auto"/>
        </w:rPr>
        <w:t>”) and other federal and state statutes and regulations govern, among other things, the research, development, testing, manufacturing, storage, recordkeeping, approval, labeling, promotion and marketing, distribution, post-approval monitoring and reporting, sampling, and import and export of pharmaceutical products. The Company must ensure that all promotion and marketing, distribution, and labeling of any pharmaceutical products comply with the U.S. regulations, including the FFDCA and the U.S. Food and Drug Administration (the “</w:t>
      </w:r>
      <w:r>
        <w:rPr>
          <w:rFonts w:ascii="Times New Roman" w:cs="Times New Roman" w:eastAsia="Times New Roman" w:hAnsi="Times New Roman"/>
          <w:sz w:val="18"/>
          <w:szCs w:val="18"/>
          <w:b w:val="1"/>
          <w:bCs w:val="1"/>
          <w:color w:val="auto"/>
        </w:rPr>
        <w:t>FDA</w:t>
      </w:r>
      <w:r>
        <w:rPr>
          <w:rFonts w:ascii="Times New Roman" w:cs="Times New Roman" w:eastAsia="Times New Roman" w:hAnsi="Times New Roman"/>
          <w:sz w:val="18"/>
          <w:szCs w:val="18"/>
          <w:color w:val="auto"/>
        </w:rPr>
        <w:t>”).</w:t>
      </w:r>
    </w:p>
    <w:p>
      <w:pPr>
        <w:spacing w:after="0" w:line="181" w:lineRule="exact"/>
        <w:rPr>
          <w:sz w:val="20"/>
          <w:szCs w:val="20"/>
          <w:color w:val="auto"/>
        </w:rPr>
      </w:pPr>
    </w:p>
    <w:p>
      <w:pPr>
        <w:jc w:val="both"/>
        <w:ind w:left="3"/>
        <w:spacing w:after="0" w:line="291" w:lineRule="auto"/>
        <w:rPr>
          <w:sz w:val="20"/>
          <w:szCs w:val="20"/>
          <w:color w:val="auto"/>
        </w:rPr>
      </w:pPr>
      <w:r>
        <w:rPr>
          <w:rFonts w:ascii="Times New Roman" w:cs="Times New Roman" w:eastAsia="Times New Roman" w:hAnsi="Times New Roman"/>
          <w:sz w:val="18"/>
          <w:szCs w:val="18"/>
          <w:color w:val="auto"/>
        </w:rPr>
        <w:t>On November 4, 2021, the Company announced that it had been granted a Schedule I manufacturing license from the U.S. Drug Enforcement Administration (“</w:t>
      </w:r>
      <w:r>
        <w:rPr>
          <w:rFonts w:ascii="Times New Roman" w:cs="Times New Roman" w:eastAsia="Times New Roman" w:hAnsi="Times New Roman"/>
          <w:sz w:val="18"/>
          <w:szCs w:val="18"/>
          <w:b w:val="1"/>
          <w:bCs w:val="1"/>
          <w:color w:val="auto"/>
        </w:rPr>
        <w:t>DEA</w:t>
      </w:r>
      <w:r>
        <w:rPr>
          <w:rFonts w:ascii="Times New Roman" w:cs="Times New Roman" w:eastAsia="Times New Roman" w:hAnsi="Times New Roman"/>
          <w:sz w:val="18"/>
          <w:szCs w:val="18"/>
          <w:color w:val="auto"/>
        </w:rPr>
        <w:t>”). The DEA license is for the Company’s research lab in the Boston area. The license allows the Company to further become a hub for innovation and drug discovery. Previously, the Company conducted much of its R&amp;D work through globally licensed research organizations in the U.S., Canada, and the UK, and through certain in-house capabilities. With the DEA license, the Company has expanded its internal R&amp;D capabilities to support innovative drug discovery and delivery involving Schedule I compounds.</w:t>
      </w:r>
    </w:p>
    <w:p>
      <w:pPr>
        <w:spacing w:after="0" w:line="194" w:lineRule="exact"/>
        <w:rPr>
          <w:sz w:val="20"/>
          <w:szCs w:val="20"/>
          <w:color w:val="auto"/>
        </w:rPr>
      </w:pPr>
    </w:p>
    <w:p>
      <w:pPr>
        <w:jc w:val="both"/>
        <w:ind w:left="3" w:right="20"/>
        <w:spacing w:after="0" w:line="295" w:lineRule="auto"/>
        <w:rPr>
          <w:sz w:val="20"/>
          <w:szCs w:val="20"/>
          <w:color w:val="auto"/>
        </w:rPr>
      </w:pPr>
      <w:r>
        <w:rPr>
          <w:rFonts w:ascii="Times New Roman" w:cs="Times New Roman" w:eastAsia="Times New Roman" w:hAnsi="Times New Roman"/>
          <w:sz w:val="18"/>
          <w:szCs w:val="18"/>
          <w:color w:val="auto"/>
        </w:rPr>
        <w:t>On March 13, 2024, the Company announced that it had been granted Breakthrough Therapy Designation (the “</w:t>
      </w:r>
      <w:r>
        <w:rPr>
          <w:rFonts w:ascii="Times New Roman" w:cs="Times New Roman" w:eastAsia="Times New Roman" w:hAnsi="Times New Roman"/>
          <w:sz w:val="18"/>
          <w:szCs w:val="18"/>
          <w:b w:val="1"/>
          <w:bCs w:val="1"/>
          <w:color w:val="auto"/>
        </w:rPr>
        <w:t>BTD</w:t>
      </w:r>
      <w:r>
        <w:rPr>
          <w:rFonts w:ascii="Times New Roman" w:cs="Times New Roman" w:eastAsia="Times New Roman" w:hAnsi="Times New Roman"/>
          <w:sz w:val="18"/>
          <w:szCs w:val="18"/>
          <w:color w:val="auto"/>
        </w:rPr>
        <w:t>”) by the FDA in respect of CYB003. The BTD provides an expedited review pathway, as well as increased access to FDA guidance on trial design, which has the potential to significantly reduce drug development timelines. The designation includes all “fast track” program features, as well as more intensive FDA guidance and discussion of the CYB003 development program, including planned clinical trials and plans for expediting the manufacturing development strategy.</w:t>
      </w:r>
    </w:p>
    <w:p>
      <w:pPr>
        <w:spacing w:after="0" w:line="177" w:lineRule="exact"/>
        <w:rPr>
          <w:sz w:val="20"/>
          <w:szCs w:val="20"/>
          <w:color w:val="auto"/>
        </w:rPr>
      </w:pPr>
    </w:p>
    <w:p>
      <w:pPr>
        <w:ind w:left="3"/>
        <w:spacing w:after="0"/>
        <w:rPr>
          <w:sz w:val="20"/>
          <w:szCs w:val="20"/>
          <w:color w:val="auto"/>
        </w:rPr>
      </w:pPr>
      <w:r>
        <w:rPr>
          <w:rFonts w:ascii="Times New Roman" w:cs="Times New Roman" w:eastAsia="Times New Roman" w:hAnsi="Times New Roman"/>
          <w:sz w:val="18"/>
          <w:szCs w:val="18"/>
          <w:b w:val="1"/>
          <w:bCs w:val="1"/>
          <w:i w:val="1"/>
          <w:iCs w:val="1"/>
          <w:color w:val="auto"/>
        </w:rPr>
        <w:t>Non-Revenue Generating Projects</w:t>
      </w:r>
      <w:r>
        <w:rPr>
          <w:rFonts w:ascii="Times New Roman" w:cs="Times New Roman" w:eastAsia="Times New Roman" w:hAnsi="Times New Roman"/>
          <w:sz w:val="23"/>
          <w:szCs w:val="23"/>
          <w:i w:val="1"/>
          <w:iCs w:val="1"/>
          <w:color w:val="auto"/>
          <w:vertAlign w:val="superscript"/>
        </w:rPr>
        <w:t>8</w:t>
      </w:r>
    </w:p>
    <w:p>
      <w:pPr>
        <w:spacing w:after="0" w:line="211" w:lineRule="exact"/>
        <w:rPr>
          <w:sz w:val="20"/>
          <w:szCs w:val="20"/>
          <w:color w:val="auto"/>
        </w:rPr>
      </w:pPr>
    </w:p>
    <w:p>
      <w:pPr>
        <w:ind w:left="3"/>
        <w:spacing w:after="0"/>
        <w:rPr>
          <w:sz w:val="20"/>
          <w:szCs w:val="20"/>
          <w:color w:val="auto"/>
        </w:rPr>
      </w:pPr>
      <w:r>
        <w:rPr>
          <w:rFonts w:ascii="Times New Roman" w:cs="Times New Roman" w:eastAsia="Times New Roman" w:hAnsi="Times New Roman"/>
          <w:sz w:val="18"/>
          <w:szCs w:val="18"/>
          <w:color w:val="auto"/>
        </w:rPr>
        <w:t>The Company currently has four significant projects, which have not yet generated revenue:</w:t>
      </w:r>
    </w:p>
    <w:p>
      <w:pPr>
        <w:spacing w:after="0" w:line="35" w:lineRule="exact"/>
        <w:rPr>
          <w:sz w:val="20"/>
          <w:szCs w:val="20"/>
          <w:color w:val="auto"/>
        </w:rPr>
      </w:pPr>
    </w:p>
    <w:p>
      <w:pPr>
        <w:ind w:left="583" w:hanging="293"/>
        <w:spacing w:after="0"/>
        <w:tabs>
          <w:tab w:leader="none" w:pos="583"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Deuterated Psilocin Program (CYB003)</w:t>
      </w:r>
    </w:p>
    <w:p>
      <w:pPr>
        <w:spacing w:after="0" w:line="34" w:lineRule="exact"/>
        <w:rPr>
          <w:rFonts w:ascii="Times New Roman" w:cs="Times New Roman" w:eastAsia="Times New Roman" w:hAnsi="Times New Roman"/>
          <w:sz w:val="18"/>
          <w:szCs w:val="18"/>
          <w:color w:val="auto"/>
        </w:rPr>
      </w:pPr>
    </w:p>
    <w:p>
      <w:pPr>
        <w:ind w:left="583" w:hanging="293"/>
        <w:spacing w:after="0"/>
        <w:tabs>
          <w:tab w:leader="none" w:pos="583"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Deuterated Dimethyltryptamine Program (CYB004)</w:t>
      </w:r>
    </w:p>
    <w:p>
      <w:pPr>
        <w:spacing w:after="0" w:line="46" w:lineRule="exact"/>
        <w:rPr>
          <w:rFonts w:ascii="Times New Roman" w:cs="Times New Roman" w:eastAsia="Times New Roman" w:hAnsi="Times New Roman"/>
          <w:sz w:val="18"/>
          <w:szCs w:val="18"/>
          <w:color w:val="auto"/>
        </w:rPr>
      </w:pPr>
    </w:p>
    <w:p>
      <w:pPr>
        <w:ind w:left="583" w:hanging="293"/>
        <w:spacing w:after="0"/>
        <w:tabs>
          <w:tab w:leader="none" w:pos="583"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Phenethylamine Derivatives Program (CYB005)</w:t>
      </w:r>
    </w:p>
    <w:p>
      <w:pPr>
        <w:spacing w:after="0" w:line="34" w:lineRule="exact"/>
        <w:rPr>
          <w:rFonts w:ascii="Times New Roman" w:cs="Times New Roman" w:eastAsia="Times New Roman" w:hAnsi="Times New Roman"/>
          <w:sz w:val="18"/>
          <w:szCs w:val="18"/>
          <w:color w:val="auto"/>
        </w:rPr>
      </w:pPr>
    </w:p>
    <w:p>
      <w:pPr>
        <w:ind w:left="583" w:hanging="293"/>
        <w:spacing w:after="0"/>
        <w:tabs>
          <w:tab w:leader="none" w:pos="583"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Technology Programs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265430</wp:posOffset>
            </wp:positionV>
            <wp:extent cx="1535430" cy="762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1535430" cy="7620"/>
                    </a:xfrm>
                    <a:prstGeom prst="rect">
                      <a:avLst/>
                    </a:prstGeom>
                    <a:noFill/>
                  </pic:spPr>
                </pic:pic>
              </a:graphicData>
            </a:graphic>
          </wp:anchor>
        </w:drawing>
      </w:r>
    </w:p>
    <w:p>
      <w:pPr>
        <w:spacing w:after="0" w:line="200" w:lineRule="exact"/>
        <w:rPr>
          <w:sz w:val="20"/>
          <w:szCs w:val="20"/>
          <w:color w:val="auto"/>
        </w:rPr>
      </w:pPr>
    </w:p>
    <w:p>
      <w:pPr>
        <w:spacing w:after="0" w:line="283" w:lineRule="exact"/>
        <w:rPr>
          <w:sz w:val="20"/>
          <w:szCs w:val="20"/>
          <w:color w:val="auto"/>
        </w:rPr>
      </w:pPr>
    </w:p>
    <w:p>
      <w:pPr>
        <w:ind w:left="3" w:right="20" w:hanging="3"/>
        <w:spacing w:after="0" w:line="220" w:lineRule="auto"/>
        <w:tabs>
          <w:tab w:leader="none" w:pos="102" w:val="left"/>
        </w:tabs>
        <w:numPr>
          <w:ilvl w:val="0"/>
          <w:numId w:val="16"/>
        </w:numPr>
        <w:rPr>
          <w:rFonts w:ascii="Times New Roman" w:cs="Times New Roman" w:eastAsia="Times New Roman" w:hAnsi="Times New Roman"/>
          <w:sz w:val="19"/>
          <w:szCs w:val="19"/>
          <w:color w:val="auto"/>
          <w:vertAlign w:val="superscript"/>
        </w:rPr>
      </w:pPr>
      <w:r>
        <w:rPr>
          <w:rFonts w:ascii="Times New Roman" w:cs="Times New Roman" w:eastAsia="Times New Roman" w:hAnsi="Times New Roman"/>
          <w:sz w:val="15"/>
          <w:szCs w:val="15"/>
          <w:color w:val="auto"/>
        </w:rPr>
        <w:t>At this time the Company has not entered into commercial supply agreements and has no control over price or conditions. The Company’s assumption is that it will be able to enter into agreements at such a time when there will be sufficient competition in the market which will render prices reasonable.</w:t>
      </w:r>
    </w:p>
    <w:p>
      <w:pPr>
        <w:ind w:left="3"/>
        <w:spacing w:after="0"/>
        <w:rPr>
          <w:rFonts w:ascii="Times New Roman" w:cs="Times New Roman" w:eastAsia="Times New Roman" w:hAnsi="Times New Roman"/>
          <w:sz w:val="19"/>
          <w:szCs w:val="19"/>
          <w:color w:val="auto"/>
          <w:vertAlign w:val="superscript"/>
        </w:rPr>
      </w:pPr>
      <w:r>
        <w:rPr>
          <w:rFonts w:ascii="Times New Roman" w:cs="Times New Roman" w:eastAsia="Times New Roman" w:hAnsi="Times New Roman"/>
          <w:sz w:val="18"/>
          <w:szCs w:val="18"/>
          <w:color w:val="auto"/>
          <w:vertAlign w:val="superscript"/>
        </w:rPr>
        <w:t>8</w:t>
      </w:r>
      <w:r>
        <w:rPr>
          <w:rFonts w:ascii="Times New Roman" w:cs="Times New Roman" w:eastAsia="Times New Roman" w:hAnsi="Times New Roman"/>
          <w:sz w:val="15"/>
          <w:szCs w:val="15"/>
          <w:color w:val="auto"/>
        </w:rPr>
        <w:t xml:space="preserve"> All quarter references in this section are based on calendar year-end.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ind w:right="-2"/>
        <w:spacing w:after="0"/>
        <w:rPr>
          <w:sz w:val="20"/>
          <w:szCs w:val="20"/>
          <w:color w:val="auto"/>
        </w:rPr>
      </w:pPr>
      <w:r>
        <w:rPr>
          <w:rFonts w:ascii="Times New Roman" w:cs="Times New Roman" w:eastAsia="Times New Roman" w:hAnsi="Times New Roman"/>
          <w:sz w:val="18"/>
          <w:szCs w:val="18"/>
          <w:color w:val="auto"/>
        </w:rPr>
        <w:t>9</w:t>
      </w:r>
    </w:p>
    <w:p>
      <w:pPr>
        <w:sectPr>
          <w:pgSz w:w="11900" w:h="16838" w:orient="portrait"/>
          <w:cols w:equalWidth="0" w:num="1">
            <w:col w:w="11263"/>
          </w:cols>
          <w:pgMar w:left="317" w:top="1303" w:right="319" w:bottom="1440" w:gutter="0" w:footer="0" w:header="0"/>
        </w:sectPr>
      </w:pPr>
    </w:p>
    <w:bookmarkStart w:id="35" w:name="page36"/>
    <w:bookmarkEnd w:id="35"/>
    <w:p>
      <w:pPr>
        <w:jc w:val="both"/>
        <w:spacing w:after="0" w:line="275" w:lineRule="auto"/>
        <w:rPr>
          <w:sz w:val="20"/>
          <w:szCs w:val="20"/>
          <w:color w:val="auto"/>
        </w:rPr>
      </w:pPr>
      <w:r>
        <w:rPr>
          <w:rFonts w:ascii="Times New Roman" w:cs="Times New Roman" w:eastAsia="Times New Roman" w:hAnsi="Times New Roman"/>
          <w:sz w:val="18"/>
          <w:szCs w:val="18"/>
          <w:color w:val="auto"/>
        </w:rPr>
        <w:t>The Company has developed EMBARK, a psychological support model that integrates leading clinical approaches to promote supportive healing with pharmacological interventions for neurosychiatry. EMBARK’s six clinical domains (</w:t>
      </w:r>
      <w:r>
        <w:rPr>
          <w:rFonts w:ascii="Times New Roman" w:cs="Times New Roman" w:eastAsia="Times New Roman" w:hAnsi="Times New Roman"/>
          <w:sz w:val="18"/>
          <w:szCs w:val="18"/>
          <w:b w:val="1"/>
          <w:bCs w:val="1"/>
          <w:color w:val="auto"/>
        </w:rPr>
        <w:t>E</w:t>
      </w:r>
      <w:r>
        <w:rPr>
          <w:rFonts w:ascii="Times New Roman" w:cs="Times New Roman" w:eastAsia="Times New Roman" w:hAnsi="Times New Roman"/>
          <w:sz w:val="18"/>
          <w:szCs w:val="18"/>
          <w:color w:val="auto"/>
        </w:rPr>
        <w:t xml:space="preserve">xistential-Spiritual, </w:t>
      </w:r>
      <w:r>
        <w:rPr>
          <w:rFonts w:ascii="Times New Roman" w:cs="Times New Roman" w:eastAsia="Times New Roman" w:hAnsi="Times New Roman"/>
          <w:sz w:val="18"/>
          <w:szCs w:val="18"/>
          <w:b w:val="1"/>
          <w:bCs w:val="1"/>
          <w:color w:val="auto"/>
        </w:rPr>
        <w:t>M</w:t>
      </w:r>
      <w:r>
        <w:rPr>
          <w:rFonts w:ascii="Times New Roman" w:cs="Times New Roman" w:eastAsia="Times New Roman" w:hAnsi="Times New Roman"/>
          <w:sz w:val="18"/>
          <w:szCs w:val="18"/>
          <w:color w:val="auto"/>
        </w:rPr>
        <w:t xml:space="preserve">indfulness, </w:t>
      </w:r>
      <w:r>
        <w:rPr>
          <w:rFonts w:ascii="Times New Roman" w:cs="Times New Roman" w:eastAsia="Times New Roman" w:hAnsi="Times New Roman"/>
          <w:sz w:val="18"/>
          <w:szCs w:val="18"/>
          <w:b w:val="1"/>
          <w:bCs w:val="1"/>
          <w:color w:val="auto"/>
        </w:rPr>
        <w:t>B</w:t>
      </w:r>
      <w:r>
        <w:rPr>
          <w:rFonts w:ascii="Times New Roman" w:cs="Times New Roman" w:eastAsia="Times New Roman" w:hAnsi="Times New Roman"/>
          <w:sz w:val="18"/>
          <w:szCs w:val="18"/>
          <w:color w:val="auto"/>
        </w:rPr>
        <w:t xml:space="preserve">ody Aware, </w:t>
      </w:r>
      <w:r>
        <w:rPr>
          <w:rFonts w:ascii="Times New Roman" w:cs="Times New Roman" w:eastAsia="Times New Roman" w:hAnsi="Times New Roman"/>
          <w:sz w:val="18"/>
          <w:szCs w:val="18"/>
          <w:b w:val="1"/>
          <w:bCs w:val="1"/>
          <w:color w:val="auto"/>
        </w:rPr>
        <w:t>A</w:t>
      </w:r>
      <w:r>
        <w:rPr>
          <w:rFonts w:ascii="Times New Roman" w:cs="Times New Roman" w:eastAsia="Times New Roman" w:hAnsi="Times New Roman"/>
          <w:sz w:val="18"/>
          <w:szCs w:val="18"/>
          <w:color w:val="auto"/>
        </w:rPr>
        <w:t xml:space="preserve">ffective-Cognitive, </w:t>
      </w:r>
      <w:r>
        <w:rPr>
          <w:rFonts w:ascii="Times New Roman" w:cs="Times New Roman" w:eastAsia="Times New Roman" w:hAnsi="Times New Roman"/>
          <w:sz w:val="18"/>
          <w:szCs w:val="18"/>
          <w:b w:val="1"/>
          <w:bCs w:val="1"/>
          <w:color w:val="auto"/>
        </w:rPr>
        <w:t>R</w:t>
      </w:r>
      <w:r>
        <w:rPr>
          <w:rFonts w:ascii="Times New Roman" w:cs="Times New Roman" w:eastAsia="Times New Roman" w:hAnsi="Times New Roman"/>
          <w:sz w:val="18"/>
          <w:szCs w:val="18"/>
          <w:color w:val="auto"/>
        </w:rPr>
        <w:t>elational,</w:t>
      </w:r>
      <w:r>
        <w:rPr>
          <w:rFonts w:ascii="Times New Roman" w:cs="Times New Roman" w:eastAsia="Times New Roman" w:hAnsi="Times New Roman"/>
          <w:sz w:val="18"/>
          <w:szCs w:val="18"/>
          <w:b w:val="1"/>
          <w:bCs w:val="1"/>
          <w:color w:val="auto"/>
        </w:rPr>
        <w:t xml:space="preserve"> K</w:t>
      </w:r>
      <w:r>
        <w:rPr>
          <w:rFonts w:ascii="Times New Roman" w:cs="Times New Roman" w:eastAsia="Times New Roman" w:hAnsi="Times New Roman"/>
          <w:sz w:val="18"/>
          <w:szCs w:val="18"/>
          <w:color w:val="auto"/>
        </w:rPr>
        <w:t>eeping Momentum) represent the broad spectrum of ways in which therapeutic benefits may arise in treatment and the equally broad training</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needed to prepare therapists to support them all. The Company launched its EMBARK training program in June 2021, which prepares facilitators to work within all of these domains, while inviting facilitators to bring in their own therapeutic training and expertise in a flexible, yet structured way. The EMBARK curriculum additionally emphasizes trauma-informed, culturally competent, and ethically rigorous care. On April 12, 2023, the Company announced the launch of EMBARK Open Access (“</w:t>
      </w:r>
      <w:r>
        <w:rPr>
          <w:rFonts w:ascii="Times New Roman" w:cs="Times New Roman" w:eastAsia="Times New Roman" w:hAnsi="Times New Roman"/>
          <w:sz w:val="18"/>
          <w:szCs w:val="18"/>
          <w:b w:val="1"/>
          <w:bCs w:val="1"/>
          <w:color w:val="auto"/>
        </w:rPr>
        <w:t>EMBARK OA</w:t>
      </w:r>
      <w:r>
        <w:rPr>
          <w:rFonts w:ascii="Times New Roman" w:cs="Times New Roman" w:eastAsia="Times New Roman" w:hAnsi="Times New Roman"/>
          <w:sz w:val="18"/>
          <w:szCs w:val="18"/>
          <w:color w:val="auto"/>
        </w:rPr>
        <w:t>”), a free online foundational training course for facilitation. EMBARK Open Access is the first and only free massive open online course that offers foundational facilitation training for healthcare professionals and people interested in offering psychological support. On July 12, 2023, the Company announced that it has commenced the development of a streamlined, scalable version of its EMBARK Training Program, known as EMBARK</w:t>
      </w:r>
      <w:r>
        <w:rPr>
          <w:rFonts w:ascii="Times New Roman" w:cs="Times New Roman" w:eastAsia="Times New Roman" w:hAnsi="Times New Roman"/>
          <w:sz w:val="23"/>
          <w:szCs w:val="23"/>
          <w:color w:val="auto"/>
          <w:vertAlign w:val="superscript"/>
        </w:rPr>
        <w:t>CT</w:t>
      </w:r>
      <w:r>
        <w:rPr>
          <w:rFonts w:ascii="Times New Roman" w:cs="Times New Roman" w:eastAsia="Times New Roman" w:hAnsi="Times New Roman"/>
          <w:sz w:val="18"/>
          <w:szCs w:val="18"/>
          <w:color w:val="auto"/>
        </w:rPr>
        <w:t>, which is designed for individuals with existing knowledge, skills, and experience in facilitation. The EMBARK</w:t>
      </w:r>
      <w:r>
        <w:rPr>
          <w:rFonts w:ascii="Times New Roman" w:cs="Times New Roman" w:eastAsia="Times New Roman" w:hAnsi="Times New Roman"/>
          <w:sz w:val="23"/>
          <w:szCs w:val="23"/>
          <w:color w:val="auto"/>
          <w:vertAlign w:val="superscript"/>
        </w:rPr>
        <w:t>CT</w:t>
      </w:r>
      <w:r>
        <w:rPr>
          <w:rFonts w:ascii="Times New Roman" w:cs="Times New Roman" w:eastAsia="Times New Roman" w:hAnsi="Times New Roman"/>
          <w:sz w:val="18"/>
          <w:szCs w:val="18"/>
          <w:color w:val="auto"/>
        </w:rPr>
        <w:t xml:space="preserve"> training program is expected to enable the Company to effectively screen, qualify, and train facilitators on a multi-site, international level, to provide support and in-person monitoring for study participants receiving the Company’s investigational therapeutics in larger pivotal trials.</w:t>
      </w:r>
    </w:p>
    <w:p>
      <w:pPr>
        <w:spacing w:after="0" w:line="202" w:lineRule="exact"/>
        <w:rPr>
          <w:sz w:val="20"/>
          <w:szCs w:val="20"/>
          <w:color w:val="auto"/>
        </w:rPr>
      </w:pPr>
    </w:p>
    <w:p>
      <w:pPr>
        <w:jc w:val="both"/>
        <w:spacing w:after="0" w:line="294" w:lineRule="auto"/>
        <w:rPr>
          <w:sz w:val="20"/>
          <w:szCs w:val="20"/>
          <w:color w:val="auto"/>
        </w:rPr>
      </w:pPr>
      <w:r>
        <w:rPr>
          <w:rFonts w:ascii="Times New Roman" w:cs="Times New Roman" w:eastAsia="Times New Roman" w:hAnsi="Times New Roman"/>
          <w:sz w:val="18"/>
          <w:szCs w:val="18"/>
          <w:color w:val="auto"/>
        </w:rPr>
        <w:t>The Company is continuing to assess the research and development programs of Small Pharma acquired through the acquisition of Small Pharma by way of the Arrangement and will provide further information and updates upon completion of the integration of Small Pharma’s business, including the anticipated spend associated with any programs.</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Deuterated Psilocin Program (CYB003)</w:t>
      </w:r>
    </w:p>
    <w:p>
      <w:pPr>
        <w:spacing w:after="0" w:line="252" w:lineRule="exact"/>
        <w:rPr>
          <w:sz w:val="20"/>
          <w:szCs w:val="20"/>
          <w:color w:val="auto"/>
        </w:rPr>
      </w:pPr>
    </w:p>
    <w:p>
      <w:pPr>
        <w:jc w:val="both"/>
        <w:ind w:right="20"/>
        <w:spacing w:after="0" w:line="294" w:lineRule="auto"/>
        <w:rPr>
          <w:sz w:val="20"/>
          <w:szCs w:val="20"/>
          <w:color w:val="auto"/>
        </w:rPr>
      </w:pPr>
      <w:r>
        <w:rPr>
          <w:rFonts w:ascii="Times New Roman" w:cs="Times New Roman" w:eastAsia="Times New Roman" w:hAnsi="Times New Roman"/>
          <w:sz w:val="18"/>
          <w:szCs w:val="18"/>
          <w:color w:val="auto"/>
        </w:rPr>
        <w:t>The Company has been investigating the development of short-acting tryptamines with the aim of creating clinical development candidates, utilizing (i) the chemical modification of tryptamine derivatives through the selective substitution of hydrogen atoms with deuterium (i.e. deuteration); and (ii) the combination of such deuterated tryptamine derivative molecules with selected drug delivery methods, including but not limited to oral, inhalation methods, IV and intramuscular delivery.</w:t>
      </w:r>
    </w:p>
    <w:p>
      <w:pPr>
        <w:spacing w:after="0" w:line="195" w:lineRule="exact"/>
        <w:rPr>
          <w:sz w:val="20"/>
          <w:szCs w:val="20"/>
          <w:color w:val="auto"/>
        </w:rPr>
      </w:pPr>
    </w:p>
    <w:p>
      <w:pPr>
        <w:jc w:val="both"/>
        <w:ind w:right="20"/>
        <w:spacing w:after="0" w:line="309" w:lineRule="auto"/>
        <w:rPr>
          <w:sz w:val="20"/>
          <w:szCs w:val="20"/>
          <w:color w:val="auto"/>
        </w:rPr>
      </w:pPr>
      <w:r>
        <w:rPr>
          <w:rFonts w:ascii="Times New Roman" w:cs="Times New Roman" w:eastAsia="Times New Roman" w:hAnsi="Times New Roman"/>
          <w:sz w:val="18"/>
          <w:szCs w:val="18"/>
          <w:color w:val="auto"/>
        </w:rPr>
        <w:t>The Company’s lead program, CYB003, is an orally delivered deuterated psilocin molecule that has been granted FDA BTD for the adjunctive treatment of MDD. CYB003 aims to address the limitations of oral psilocin, including side effects, scalability and accessibility of treatment.</w:t>
      </w:r>
    </w:p>
    <w:p>
      <w:pPr>
        <w:spacing w:after="0" w:line="166" w:lineRule="exact"/>
        <w:rPr>
          <w:sz w:val="20"/>
          <w:szCs w:val="20"/>
          <w:color w:val="auto"/>
        </w:rPr>
      </w:pPr>
    </w:p>
    <w:p>
      <w:pPr>
        <w:jc w:val="both"/>
        <w:ind w:right="20"/>
        <w:spacing w:after="0" w:line="292" w:lineRule="auto"/>
        <w:rPr>
          <w:sz w:val="20"/>
          <w:szCs w:val="20"/>
          <w:color w:val="auto"/>
        </w:rPr>
      </w:pPr>
      <w:r>
        <w:rPr>
          <w:rFonts w:ascii="Times New Roman" w:cs="Times New Roman" w:eastAsia="Times New Roman" w:hAnsi="Times New Roman"/>
          <w:sz w:val="18"/>
          <w:szCs w:val="18"/>
          <w:color w:val="auto"/>
        </w:rPr>
        <w:t>The Company completed its CYB003 Investigational New Drug (“</w:t>
      </w:r>
      <w:r>
        <w:rPr>
          <w:rFonts w:ascii="Times New Roman" w:cs="Times New Roman" w:eastAsia="Times New Roman" w:hAnsi="Times New Roman"/>
          <w:sz w:val="18"/>
          <w:szCs w:val="18"/>
          <w:b w:val="1"/>
          <w:bCs w:val="1"/>
          <w:color w:val="auto"/>
        </w:rPr>
        <w:t>IND</w:t>
      </w:r>
      <w:r>
        <w:rPr>
          <w:rFonts w:ascii="Times New Roman" w:cs="Times New Roman" w:eastAsia="Times New Roman" w:hAnsi="Times New Roman"/>
          <w:sz w:val="18"/>
          <w:szCs w:val="18"/>
          <w:color w:val="auto"/>
        </w:rPr>
        <w:t>”)-enabling preclinical studies and Chemistry, Manufacturing and Control (“</w:t>
      </w:r>
      <w:r>
        <w:rPr>
          <w:rFonts w:ascii="Times New Roman" w:cs="Times New Roman" w:eastAsia="Times New Roman" w:hAnsi="Times New Roman"/>
          <w:sz w:val="18"/>
          <w:szCs w:val="18"/>
          <w:b w:val="1"/>
          <w:bCs w:val="1"/>
          <w:color w:val="auto"/>
        </w:rPr>
        <w:t>CMC</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development, including the production of clinical materials required for clinical trials, in the second quarter of calendar 2022. In the same period, the Company submitted an IND application to the FDA and received a “may proceed letter” and IND application clearance from the FDA as well as Institutional Review Board (the “</w:t>
      </w:r>
      <w:r>
        <w:rPr>
          <w:rFonts w:ascii="Times New Roman" w:cs="Times New Roman" w:eastAsia="Times New Roman" w:hAnsi="Times New Roman"/>
          <w:sz w:val="18"/>
          <w:szCs w:val="18"/>
          <w:b w:val="1"/>
          <w:bCs w:val="1"/>
          <w:color w:val="auto"/>
        </w:rPr>
        <w:t>IRB</w:t>
      </w:r>
      <w:r>
        <w:rPr>
          <w:rFonts w:ascii="Times New Roman" w:cs="Times New Roman" w:eastAsia="Times New Roman" w:hAnsi="Times New Roman"/>
          <w:sz w:val="18"/>
          <w:szCs w:val="18"/>
          <w:color w:val="auto"/>
        </w:rPr>
        <w:t>”) approval in the U.S. to commence its first-in-human Phase 1/2a study of CYB003 in participants with moderate to severe MDD. The Company has engaged Clinilabs Drug Development Corporation (“</w:t>
      </w:r>
      <w:r>
        <w:rPr>
          <w:rFonts w:ascii="Times New Roman" w:cs="Times New Roman" w:eastAsia="Times New Roman" w:hAnsi="Times New Roman"/>
          <w:sz w:val="18"/>
          <w:szCs w:val="18"/>
          <w:b w:val="1"/>
          <w:bCs w:val="1"/>
          <w:color w:val="auto"/>
        </w:rPr>
        <w:t>Clinilabs</w:t>
      </w:r>
      <w:r>
        <w:rPr>
          <w:rFonts w:ascii="Times New Roman" w:cs="Times New Roman" w:eastAsia="Times New Roman" w:hAnsi="Times New Roman"/>
          <w:sz w:val="18"/>
          <w:szCs w:val="18"/>
          <w:color w:val="auto"/>
        </w:rPr>
        <w:t>”), a full-service contract research organization with deep expertise in central nervous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ectPr>
          <w:pgSz w:w="11900" w:h="16838" w:orient="portrait"/>
          <w:cols w:equalWidth="0" w:num="1">
            <w:col w:w="11260"/>
          </w:cols>
          <w:pgMar w:left="320" w:top="1303" w:right="319" w:bottom="1440" w:gutter="0" w:footer="0" w:header="0"/>
        </w:sectPr>
      </w:pPr>
    </w:p>
    <w:bookmarkStart w:id="36" w:name="page37"/>
    <w:bookmarkEnd w:id="36"/>
    <w:p>
      <w:pPr>
        <w:jc w:val="both"/>
        <w:spacing w:after="0" w:line="323" w:lineRule="auto"/>
        <w:rPr>
          <w:sz w:val="20"/>
          <w:szCs w:val="20"/>
          <w:color w:val="auto"/>
        </w:rPr>
      </w:pPr>
      <w:r>
        <w:rPr>
          <w:rFonts w:ascii="Times New Roman" w:cs="Times New Roman" w:eastAsia="Times New Roman" w:hAnsi="Times New Roman"/>
          <w:sz w:val="18"/>
          <w:szCs w:val="18"/>
          <w:color w:val="auto"/>
        </w:rPr>
        <w:t>system drug development, to carry out the Phase 1/2a clinical trial of CYB003. On August 30, 2022, the Company announced that the first two participants had been dosed in the Phase 1/2a study.</w:t>
      </w:r>
    </w:p>
    <w:p>
      <w:pPr>
        <w:spacing w:after="0" w:line="1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About the CYB003 Phase 1/2a Clinical Trial</w:t>
      </w:r>
    </w:p>
    <w:p>
      <w:pPr>
        <w:spacing w:after="0" w:line="252" w:lineRule="exact"/>
        <w:rPr>
          <w:sz w:val="20"/>
          <w:szCs w:val="20"/>
          <w:color w:val="auto"/>
        </w:rPr>
      </w:pPr>
    </w:p>
    <w:p>
      <w:pPr>
        <w:jc w:val="both"/>
        <w:spacing w:after="0" w:line="291" w:lineRule="auto"/>
        <w:rPr>
          <w:sz w:val="20"/>
          <w:szCs w:val="20"/>
          <w:color w:val="auto"/>
        </w:rPr>
      </w:pPr>
      <w:r>
        <w:rPr>
          <w:rFonts w:ascii="Times New Roman" w:cs="Times New Roman" w:eastAsia="Times New Roman" w:hAnsi="Times New Roman"/>
          <w:sz w:val="18"/>
          <w:szCs w:val="18"/>
          <w:color w:val="auto"/>
        </w:rPr>
        <w:t>The Phase 1/2a trial was a randomized, double-blind, placebo-controlled study evaluating CYB003 in participants with moderate to severe MDD and in healthy volunteers. Per a protocol amendment to the initial Phase 1/2a study design that was announced on February 28, 2023, the study introduced healthy volunteers for the lower (sub-therapeutic) dose cohorts and added a bioequivalence cohort to facilitate the transition to pivotal studies. Healthy volunteers received two administrations (placebo/active and active/active) one week apart, and measures of pharmacological effect were assessed after each dose. Participants with MDD received two administrations (placebo/active and active/active) three weeks apart and response/remission were assessed three weeks after each dose. MDD participants in the trial that were being treated with antidepressants were allowed to remain on their antidepressant medication.</w:t>
      </w:r>
    </w:p>
    <w:p>
      <w:pPr>
        <w:spacing w:after="0" w:line="197" w:lineRule="exact"/>
        <w:rPr>
          <w:sz w:val="20"/>
          <w:szCs w:val="20"/>
          <w:color w:val="auto"/>
        </w:rPr>
      </w:pPr>
    </w:p>
    <w:p>
      <w:pPr>
        <w:jc w:val="both"/>
        <w:spacing w:after="0" w:line="317" w:lineRule="auto"/>
        <w:rPr>
          <w:sz w:val="20"/>
          <w:szCs w:val="20"/>
          <w:color w:val="auto"/>
        </w:rPr>
      </w:pPr>
      <w:r>
        <w:rPr>
          <w:rFonts w:ascii="Times New Roman" w:cs="Times New Roman" w:eastAsia="Times New Roman" w:hAnsi="Times New Roman"/>
          <w:sz w:val="17"/>
          <w:szCs w:val="17"/>
          <w:color w:val="auto"/>
        </w:rPr>
        <w:t>The study investigated the safety, tolerability, pharmacokinetics (“</w:t>
      </w:r>
      <w:r>
        <w:rPr>
          <w:rFonts w:ascii="Times New Roman" w:cs="Times New Roman" w:eastAsia="Times New Roman" w:hAnsi="Times New Roman"/>
          <w:sz w:val="17"/>
          <w:szCs w:val="17"/>
          <w:b w:val="1"/>
          <w:bCs w:val="1"/>
          <w:color w:val="auto"/>
        </w:rPr>
        <w:t>PK</w:t>
      </w:r>
      <w:r>
        <w:rPr>
          <w:rFonts w:ascii="Times New Roman" w:cs="Times New Roman" w:eastAsia="Times New Roman" w:hAnsi="Times New Roman"/>
          <w:sz w:val="17"/>
          <w:szCs w:val="17"/>
          <w:color w:val="auto"/>
        </w:rPr>
        <w:t>”) and pharmacodynamics (“</w:t>
      </w:r>
      <w:r>
        <w:rPr>
          <w:rFonts w:ascii="Times New Roman" w:cs="Times New Roman" w:eastAsia="Times New Roman" w:hAnsi="Times New Roman"/>
          <w:sz w:val="17"/>
          <w:szCs w:val="17"/>
          <w:b w:val="1"/>
          <w:bCs w:val="1"/>
          <w:color w:val="auto"/>
        </w:rPr>
        <w:t>PD</w:t>
      </w:r>
      <w:r>
        <w:rPr>
          <w:rFonts w:ascii="Times New Roman" w:cs="Times New Roman" w:eastAsia="Times New Roman" w:hAnsi="Times New Roman"/>
          <w:sz w:val="17"/>
          <w:szCs w:val="17"/>
          <w:color w:val="auto"/>
        </w:rPr>
        <w:t>”), and pharmacological effect of ascending oral doses of CYB003. In participants with MDD, the trial evaluated rapid onset of antidepressant effect on the day of dosing, using the Montgomery-Asberg Depression Rating Scale (“</w:t>
      </w:r>
      <w:r>
        <w:rPr>
          <w:rFonts w:ascii="Times New Roman" w:cs="Times New Roman" w:eastAsia="Times New Roman" w:hAnsi="Times New Roman"/>
          <w:sz w:val="17"/>
          <w:szCs w:val="17"/>
          <w:b w:val="1"/>
          <w:bCs w:val="1"/>
          <w:color w:val="auto"/>
        </w:rPr>
        <w:t>MADRS</w:t>
      </w:r>
      <w:r>
        <w:rPr>
          <w:rFonts w:ascii="Times New Roman" w:cs="Times New Roman" w:eastAsia="Times New Roman" w:hAnsi="Times New Roman"/>
          <w:sz w:val="17"/>
          <w:szCs w:val="17"/>
          <w:color w:val="auto"/>
        </w:rPr>
        <w:t>”), and evaluated the incremental benefit of a second dose of CYB003 when administered at Week 3. An optional period of assessment will help determine the durability of treatment effect out to 12 months. The study is listed on ClinicalTrials.gov under Identifier: NCT05385783.</w:t>
      </w:r>
    </w:p>
    <w:p>
      <w:pPr>
        <w:spacing w:after="0" w:line="166" w:lineRule="exact"/>
        <w:rPr>
          <w:sz w:val="20"/>
          <w:szCs w:val="20"/>
          <w:color w:val="auto"/>
        </w:rPr>
      </w:pPr>
    </w:p>
    <w:p>
      <w:pPr>
        <w:jc w:val="both"/>
        <w:ind w:right="20"/>
        <w:spacing w:after="0" w:line="294" w:lineRule="auto"/>
        <w:rPr>
          <w:sz w:val="20"/>
          <w:szCs w:val="20"/>
          <w:color w:val="auto"/>
        </w:rPr>
      </w:pPr>
      <w:r>
        <w:rPr>
          <w:rFonts w:ascii="Times New Roman" w:cs="Times New Roman" w:eastAsia="Times New Roman" w:hAnsi="Times New Roman"/>
          <w:sz w:val="18"/>
          <w:szCs w:val="18"/>
          <w:color w:val="auto"/>
        </w:rPr>
        <w:t>On February 28, 2023, the Company announced positive interim safety and pharmacokinetics and pharmacodynamics data from the Phase 1/2a study of CYB003. Interim findings showed that CYB003 exhibited rapid, short-acting effects, low variability in plasma levels, and achieved a psychedelic effect at low doses. At the 8mg and 10mg dose levels, most of the participants reported robust and meaningful psychedelic effects, confirming a complete mystical experience was achieved. All doses evaluated (single oral doses of CYB003 up to 10mg) were well-tolerated with no serious adverse events reported.</w:t>
      </w:r>
    </w:p>
    <w:p>
      <w:pPr>
        <w:spacing w:after="0" w:line="195" w:lineRule="exact"/>
        <w:rPr>
          <w:sz w:val="20"/>
          <w:szCs w:val="20"/>
          <w:color w:val="auto"/>
        </w:rPr>
      </w:pPr>
    </w:p>
    <w:p>
      <w:pPr>
        <w:jc w:val="both"/>
        <w:ind w:right="20"/>
        <w:spacing w:after="0" w:line="294" w:lineRule="auto"/>
        <w:rPr>
          <w:sz w:val="20"/>
          <w:szCs w:val="20"/>
          <w:color w:val="auto"/>
        </w:rPr>
      </w:pPr>
      <w:r>
        <w:rPr>
          <w:rFonts w:ascii="Times New Roman" w:cs="Times New Roman" w:eastAsia="Times New Roman" w:hAnsi="Times New Roman"/>
          <w:sz w:val="18"/>
          <w:szCs w:val="18"/>
          <w:color w:val="auto"/>
        </w:rPr>
        <w:t>On July 24, 2023, the Company announced that it had completed dosing in Cohort 5 of the Phase 2a portion of the study with no serious adverse events or other adverse events that may preclude continued dosing, with recruitment underway for Cohort 6. The Phase 2a trial, consisting of completed Cohorts 4 and 5 as of the date of the announcement, evaluated two 12mg doses of CYB003. On August 2, 2023, the Company announced that it had initiated dosing in Cohort 6, the final cohort of the CYB003 Phase 2a study.</w:t>
      </w:r>
    </w:p>
    <w:p>
      <w:pPr>
        <w:spacing w:after="0" w:line="183" w:lineRule="exact"/>
        <w:rPr>
          <w:sz w:val="20"/>
          <w:szCs w:val="20"/>
          <w:color w:val="auto"/>
        </w:rPr>
      </w:pPr>
    </w:p>
    <w:p>
      <w:pPr>
        <w:jc w:val="both"/>
        <w:ind w:right="20"/>
        <w:spacing w:after="0" w:line="294" w:lineRule="auto"/>
        <w:rPr>
          <w:sz w:val="20"/>
          <w:szCs w:val="20"/>
          <w:color w:val="auto"/>
        </w:rPr>
      </w:pPr>
      <w:r>
        <w:rPr>
          <w:rFonts w:ascii="Times New Roman" w:cs="Times New Roman" w:eastAsia="Times New Roman" w:hAnsi="Times New Roman"/>
          <w:sz w:val="18"/>
          <w:szCs w:val="18"/>
          <w:color w:val="auto"/>
        </w:rPr>
        <w:t>On September 21, 2023, the Company announced that it had completed enrollment in its Phase 2a study of CYB003, its proprietary deuterated psilocin analog program being developed for the potential treatment of MDD. All participants in the sixth, and final, cohort received at least one dose (placebo or 16mg of CYB003) with several second doses already administered, and no serious adverse events observed in participants. As of that date, CYB003 demonstrated a favorable safety and tolerability profile at all doses evaluated in the five completed cohorts (1mg, 3mg, 8mg, 10mg, and 12mg).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ectPr>
          <w:pgSz w:w="11900" w:h="16838" w:orient="portrait"/>
          <w:cols w:equalWidth="0" w:num="1">
            <w:col w:w="11260"/>
          </w:cols>
          <w:pgMar w:left="320" w:top="1303" w:right="319" w:bottom="1440" w:gutter="0" w:footer="0" w:header="0"/>
        </w:sectPr>
      </w:pPr>
    </w:p>
    <w:bookmarkStart w:id="37" w:name="page38"/>
    <w:bookmarkEnd w:id="37"/>
    <w:p>
      <w:pPr>
        <w:spacing w:after="0" w:line="82" w:lineRule="exact"/>
        <w:rPr>
          <w:sz w:val="20"/>
          <w:szCs w:val="20"/>
          <w:color w:val="auto"/>
        </w:rPr>
      </w:pPr>
    </w:p>
    <w:p>
      <w:pPr>
        <w:jc w:val="both"/>
        <w:ind w:right="20"/>
        <w:spacing w:after="0" w:line="326" w:lineRule="auto"/>
        <w:rPr>
          <w:sz w:val="20"/>
          <w:szCs w:val="20"/>
          <w:color w:val="auto"/>
        </w:rPr>
      </w:pPr>
      <w:r>
        <w:rPr>
          <w:rFonts w:ascii="Times New Roman" w:cs="Times New Roman" w:eastAsia="Times New Roman" w:hAnsi="Times New Roman"/>
          <w:sz w:val="17"/>
          <w:szCs w:val="17"/>
          <w:color w:val="auto"/>
        </w:rPr>
        <w:t>On October 3, 2023, the Company announced that it had completed dosing in Cohort 6 of its Phase 2a study of CYB003. The following doses were evaluated in the six cohorts that comprised the Phase 2a study: 1mg, 3mg, 8mg, 10mg, 12mg, and 16mg. As of that date, CYB003 has been shown to be safe and tolerable at all doses evaluated with no serious adverse events or discontinuations due to adverse events having been observed in the final dose cohort.</w:t>
      </w:r>
    </w:p>
    <w:p>
      <w:pPr>
        <w:spacing w:after="0" w:line="158" w:lineRule="exact"/>
        <w:rPr>
          <w:sz w:val="20"/>
          <w:szCs w:val="20"/>
          <w:color w:val="auto"/>
        </w:rPr>
      </w:pPr>
    </w:p>
    <w:p>
      <w:pPr>
        <w:jc w:val="both"/>
        <w:spacing w:after="0" w:line="294" w:lineRule="auto"/>
        <w:rPr>
          <w:sz w:val="20"/>
          <w:szCs w:val="20"/>
          <w:color w:val="auto"/>
        </w:rPr>
      </w:pPr>
      <w:r>
        <w:rPr>
          <w:rFonts w:ascii="Times New Roman" w:cs="Times New Roman" w:eastAsia="Times New Roman" w:hAnsi="Times New Roman"/>
          <w:sz w:val="18"/>
          <w:szCs w:val="18"/>
          <w:color w:val="auto"/>
        </w:rPr>
        <w:t>On October 31, 2023, the Company announced Phase 2a interim results for CYB003, its proprietary deuterated psilocin analog, demonstrating a rapid, robust and statistically significant reduction in symptoms of depression three weeks following a single 12mg dose compared to placebo, in participants with moderate to severe MDD. At the 3-week primary efficacy endpoint, the reduction in MDD symptoms, defined as change from baseline in the MADRS total score, was superior in participants assigned to CYB003 compared to the participants who received placebo by 14.08 points (p=0.0005, Cohen’s d=2.15).</w:t>
      </w:r>
    </w:p>
    <w:p>
      <w:pPr>
        <w:spacing w:after="0" w:line="195" w:lineRule="exact"/>
        <w:rPr>
          <w:sz w:val="20"/>
          <w:szCs w:val="20"/>
          <w:color w:val="auto"/>
        </w:rPr>
      </w:pPr>
    </w:p>
    <w:p>
      <w:pPr>
        <w:jc w:val="both"/>
        <w:spacing w:after="0" w:line="291" w:lineRule="auto"/>
        <w:rPr>
          <w:sz w:val="20"/>
          <w:szCs w:val="20"/>
          <w:color w:val="auto"/>
        </w:rPr>
      </w:pPr>
      <w:r>
        <w:rPr>
          <w:rFonts w:ascii="Times New Roman" w:cs="Times New Roman" w:eastAsia="Times New Roman" w:hAnsi="Times New Roman"/>
          <w:sz w:val="18"/>
          <w:szCs w:val="18"/>
          <w:color w:val="auto"/>
        </w:rPr>
        <w:t>On November 30, 2023, the Company announced positive Phase 2a topline results for CYB003, showing rapid and robust improvements in symptoms of depression after single doses of CYB003, with an average 13.75 point difference in MADRS score reduction between CYB003 and placebo which was statistically significant at 3 weeks (p&lt;0.0001). The study also demonstrated a clear incremental benefit of a second dose, with a further 5.8 point improvement on the MADRS total score with a second dose of CYB003 (12mg) at 6 weeks, and 79% of patients were in remission from depression at 6 weeks after two doses of CYB003 (12mg). CYB003 exhibited a favorable safety and tolerability profile with no treatment-related serious adverse events at 12mg and 16mg doses.</w:t>
      </w:r>
    </w:p>
    <w:p>
      <w:pPr>
        <w:spacing w:after="0" w:line="187"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8"/>
          <w:szCs w:val="18"/>
          <w:color w:val="auto"/>
        </w:rPr>
        <w:t>On March 13, 2024, the Company announced that the FDA had granted BTD to its CYB003 program for the adjunctive treatment of MDD. The BTD provides an expedited review pathway, as well as increased access to FDA guidance on trial design, with the potential to reduce drug development timelines. On March 13, 2024, the Company also reported positive four-month durability data from the Phase 2a study of CYB003 in MDD. These results showed robust, sustained and statistically significant improvements in depression symptoms at four months with two doses of CYB003 (12mg or 16mg):</w:t>
      </w:r>
    </w:p>
    <w:p>
      <w:pPr>
        <w:spacing w:after="0" w:line="1" w:lineRule="exact"/>
        <w:rPr>
          <w:sz w:val="20"/>
          <w:szCs w:val="20"/>
          <w:color w:val="auto"/>
        </w:rPr>
      </w:pPr>
    </w:p>
    <w:p>
      <w:pPr>
        <w:ind w:left="560" w:hanging="276"/>
        <w:spacing w:after="0"/>
        <w:tabs>
          <w:tab w:leader="none" w:pos="560" w:val="left"/>
        </w:tabs>
        <w:numPr>
          <w:ilvl w:val="0"/>
          <w:numId w:val="17"/>
        </w:numPr>
        <w:rPr>
          <w:rFonts w:ascii="Calibri" w:cs="Calibri" w:eastAsia="Calibri" w:hAnsi="Calibri"/>
          <w:sz w:val="17"/>
          <w:szCs w:val="17"/>
          <w:color w:val="auto"/>
        </w:rPr>
      </w:pPr>
      <w:r>
        <w:rPr>
          <w:rFonts w:ascii="Times New Roman" w:cs="Times New Roman" w:eastAsia="Times New Roman" w:hAnsi="Times New Roman"/>
          <w:sz w:val="17"/>
          <w:szCs w:val="17"/>
          <w:color w:val="auto"/>
        </w:rPr>
        <w:t>Average mean reduction from baseline in the MADRS total score across 2 cohorts was approximately 22 points from baseline in both dosing cohorts.</w:t>
      </w:r>
    </w:p>
    <w:p>
      <w:pPr>
        <w:spacing w:after="0" w:line="58" w:lineRule="exact"/>
        <w:rPr>
          <w:rFonts w:ascii="Calibri" w:cs="Calibri" w:eastAsia="Calibri" w:hAnsi="Calibri"/>
          <w:sz w:val="17"/>
          <w:szCs w:val="17"/>
          <w:color w:val="auto"/>
        </w:rPr>
      </w:pPr>
    </w:p>
    <w:p>
      <w:pPr>
        <w:ind w:left="560" w:hanging="276"/>
        <w:spacing w:after="0"/>
        <w:tabs>
          <w:tab w:leader="none" w:pos="5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60% of patients on 12 mg and 75% on 16 mg were in remission from depression following 2 doses (MADRS score &lt;/= 10).</w:t>
      </w:r>
    </w:p>
    <w:p>
      <w:pPr>
        <w:spacing w:after="0" w:line="252" w:lineRule="exact"/>
        <w:rPr>
          <w:sz w:val="20"/>
          <w:szCs w:val="20"/>
          <w:color w:val="auto"/>
        </w:rPr>
      </w:pPr>
    </w:p>
    <w:p>
      <w:pPr>
        <w:jc w:val="both"/>
        <w:ind w:right="20"/>
        <w:spacing w:after="0" w:line="285" w:lineRule="auto"/>
        <w:rPr>
          <w:sz w:val="20"/>
          <w:szCs w:val="20"/>
          <w:color w:val="auto"/>
        </w:rPr>
      </w:pPr>
      <w:r>
        <w:rPr>
          <w:rFonts w:ascii="Times New Roman" w:cs="Times New Roman" w:eastAsia="Times New Roman" w:hAnsi="Times New Roman"/>
          <w:sz w:val="18"/>
          <w:szCs w:val="18"/>
          <w:color w:val="auto"/>
        </w:rPr>
        <w:t>On August 13, 2024, the Company announced that it held a Type B Initial Comprehensive Breakthrough Therapy Meeting with the FDA. Further to recent industry discussions around the subject of functional unblinding, the Company plans to implement multiple measures to attempt to mitigate the risk of functional unblinding in its pivotal study program, as follows:</w:t>
      </w:r>
    </w:p>
    <w:p>
      <w:pPr>
        <w:ind w:left="580" w:right="20" w:hanging="293"/>
        <w:spacing w:after="0" w:line="356" w:lineRule="auto"/>
        <w:tabs>
          <w:tab w:leader="none" w:pos="569" w:val="left"/>
        </w:tabs>
        <w:numPr>
          <w:ilvl w:val="0"/>
          <w:numId w:val="1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pivotal study program will include one study with a three-arm design with a high dose, mid-dose, and placebo arm. Patients will not know if they received the therapeutic high dose or the sub therapeutic mid-dose, mitigating the unblinding to an extent and addressing potential expectancy bias;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ectPr>
          <w:pgSz w:w="11900" w:h="16838" w:orient="portrait"/>
          <w:cols w:equalWidth="0" w:num="1">
            <w:col w:w="11260"/>
          </w:cols>
          <w:pgMar w:left="320" w:top="1440" w:right="319" w:bottom="1440" w:gutter="0" w:footer="0" w:header="0"/>
        </w:sectPr>
      </w:pPr>
    </w:p>
    <w:bookmarkStart w:id="38" w:name="page39"/>
    <w:bookmarkEnd w:id="38"/>
    <w:p>
      <w:pPr>
        <w:ind w:left="583" w:right="780" w:hanging="293"/>
        <w:spacing w:after="0" w:line="287" w:lineRule="auto"/>
        <w:tabs>
          <w:tab w:leader="none" w:pos="573"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study will utilize remote, independent, blinded raters who will not have any information on the dose received or the participant’s dosing experience;</w:t>
      </w:r>
    </w:p>
    <w:p>
      <w:pPr>
        <w:ind w:left="563" w:hanging="273"/>
        <w:spacing w:after="0"/>
        <w:tabs>
          <w:tab w:leader="none" w:pos="563"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reporting of effects during the dosing session will be fire-walled to ensure that the study team stays blinded;</w:t>
      </w:r>
    </w:p>
    <w:p>
      <w:pPr>
        <w:spacing w:after="0" w:line="34" w:lineRule="exact"/>
        <w:rPr>
          <w:rFonts w:ascii="Times New Roman" w:cs="Times New Roman" w:eastAsia="Times New Roman" w:hAnsi="Times New Roman"/>
          <w:sz w:val="18"/>
          <w:szCs w:val="18"/>
          <w:color w:val="auto"/>
        </w:rPr>
      </w:pPr>
    </w:p>
    <w:p>
      <w:pPr>
        <w:ind w:left="563" w:hanging="273"/>
        <w:spacing w:after="0"/>
        <w:tabs>
          <w:tab w:leader="none" w:pos="563"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studies will recruit participants who are largely psychedelic naïve to reduce the impact of expectancy bias; and</w:t>
      </w:r>
    </w:p>
    <w:p>
      <w:pPr>
        <w:spacing w:after="0" w:line="46" w:lineRule="exact"/>
        <w:rPr>
          <w:rFonts w:ascii="Times New Roman" w:cs="Times New Roman" w:eastAsia="Times New Roman" w:hAnsi="Times New Roman"/>
          <w:sz w:val="18"/>
          <w:szCs w:val="18"/>
          <w:color w:val="auto"/>
        </w:rPr>
      </w:pPr>
    </w:p>
    <w:p>
      <w:pPr>
        <w:ind w:left="563" w:hanging="273"/>
        <w:spacing w:after="0"/>
        <w:tabs>
          <w:tab w:leader="none" w:pos="563"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studies will assess long-term efficacy data points up to one year, to outlast any potential expectancy effects.</w:t>
      </w:r>
    </w:p>
    <w:p>
      <w:pPr>
        <w:spacing w:after="0" w:line="216" w:lineRule="exact"/>
        <w:rPr>
          <w:sz w:val="20"/>
          <w:szCs w:val="20"/>
          <w:color w:val="auto"/>
        </w:rPr>
      </w:pPr>
    </w:p>
    <w:p>
      <w:pPr>
        <w:ind w:left="3"/>
        <w:spacing w:after="0"/>
        <w:rPr>
          <w:sz w:val="20"/>
          <w:szCs w:val="20"/>
          <w:color w:val="auto"/>
        </w:rPr>
      </w:pPr>
      <w:r>
        <w:rPr>
          <w:rFonts w:ascii="Times New Roman" w:cs="Times New Roman" w:eastAsia="Times New Roman" w:hAnsi="Times New Roman"/>
          <w:sz w:val="18"/>
          <w:szCs w:val="18"/>
          <w:color w:val="auto"/>
        </w:rPr>
        <w:t>In addition, the study will include manual and real time artificial intelligence screening of monitoring sessions to ensure monitor fidelity and patient safety.</w:t>
      </w:r>
    </w:p>
    <w:p>
      <w:pPr>
        <w:spacing w:after="0" w:line="228" w:lineRule="exact"/>
        <w:rPr>
          <w:sz w:val="20"/>
          <w:szCs w:val="20"/>
          <w:color w:val="auto"/>
        </w:rPr>
      </w:pPr>
    </w:p>
    <w:p>
      <w:pPr>
        <w:ind w:left="3"/>
        <w:spacing w:after="0" w:line="309" w:lineRule="auto"/>
        <w:rPr>
          <w:sz w:val="20"/>
          <w:szCs w:val="20"/>
          <w:color w:val="auto"/>
        </w:rPr>
      </w:pPr>
      <w:r>
        <w:rPr>
          <w:rFonts w:ascii="Times New Roman" w:cs="Times New Roman" w:eastAsia="Times New Roman" w:hAnsi="Times New Roman"/>
          <w:sz w:val="18"/>
          <w:szCs w:val="18"/>
          <w:color w:val="auto"/>
        </w:rPr>
        <w:t>On September 19, 2024, the Company announced the appointment of Dr. Atul R. Mahableshwarkar, and Dr. Tom Macek to lead the Company’s CYB003 and CYB004 programs, respectively.</w:t>
      </w:r>
    </w:p>
    <w:p>
      <w:pPr>
        <w:spacing w:after="0" w:line="128" w:lineRule="exact"/>
        <w:rPr>
          <w:sz w:val="20"/>
          <w:szCs w:val="20"/>
          <w:color w:val="auto"/>
        </w:rPr>
      </w:pPr>
    </w:p>
    <w:p>
      <w:pPr>
        <w:ind w:left="3"/>
        <w:spacing w:after="0"/>
        <w:rPr>
          <w:sz w:val="20"/>
          <w:szCs w:val="20"/>
          <w:color w:val="auto"/>
        </w:rPr>
      </w:pPr>
      <w:r>
        <w:rPr>
          <w:rFonts w:ascii="Times New Roman" w:cs="Times New Roman" w:eastAsia="Times New Roman" w:hAnsi="Times New Roman"/>
          <w:sz w:val="19"/>
          <w:szCs w:val="19"/>
          <w:color w:val="auto"/>
        </w:rPr>
        <w:t>The C</w:t>
      </w:r>
      <w:r>
        <w:rPr>
          <w:rFonts w:ascii="Times New Roman" w:cs="Times New Roman" w:eastAsia="Times New Roman" w:hAnsi="Times New Roman"/>
          <w:sz w:val="17"/>
          <w:szCs w:val="17"/>
          <w:color w:val="auto"/>
        </w:rPr>
        <w:t>ompany anticipates to initiate a multinational Phase 3 study evaluating CYB003 in participants with MDD in November 2024.</w:t>
      </w:r>
      <w:r>
        <w:rPr>
          <w:rFonts w:ascii="Times New Roman" w:cs="Times New Roman" w:eastAsia="Times New Roman" w:hAnsi="Times New Roman"/>
          <w:sz w:val="23"/>
          <w:szCs w:val="23"/>
          <w:color w:val="auto"/>
          <w:vertAlign w:val="superscript"/>
        </w:rPr>
        <w:t>9</w:t>
      </w:r>
    </w:p>
    <w:p>
      <w:pPr>
        <w:spacing w:after="0" w:line="151" w:lineRule="exact"/>
        <w:rPr>
          <w:sz w:val="20"/>
          <w:szCs w:val="20"/>
          <w:color w:val="auto"/>
        </w:rPr>
      </w:pPr>
    </w:p>
    <w:p>
      <w:pPr>
        <w:ind w:left="3"/>
        <w:spacing w:after="0"/>
        <w:rPr>
          <w:sz w:val="20"/>
          <w:szCs w:val="20"/>
          <w:color w:val="auto"/>
        </w:rPr>
      </w:pPr>
      <w:r>
        <w:rPr>
          <w:rFonts w:ascii="Times New Roman" w:cs="Times New Roman" w:eastAsia="Times New Roman" w:hAnsi="Times New Roman"/>
          <w:sz w:val="18"/>
          <w:szCs w:val="18"/>
          <w:color w:val="auto"/>
        </w:rPr>
        <w:t>The Company spent approximately $11,312 on the Deuterated Psilocin Program during the six months ended September 30, 2024.</w:t>
      </w:r>
    </w:p>
    <w:p>
      <w:pPr>
        <w:spacing w:after="0" w:line="228" w:lineRule="exact"/>
        <w:rPr>
          <w:sz w:val="20"/>
          <w:szCs w:val="20"/>
          <w:color w:val="auto"/>
        </w:rPr>
      </w:pPr>
    </w:p>
    <w:p>
      <w:pPr>
        <w:ind w:left="3"/>
        <w:spacing w:after="0" w:line="309" w:lineRule="auto"/>
        <w:rPr>
          <w:sz w:val="20"/>
          <w:szCs w:val="20"/>
          <w:color w:val="auto"/>
        </w:rPr>
      </w:pPr>
      <w:r>
        <w:rPr>
          <w:rFonts w:ascii="Times New Roman" w:cs="Times New Roman" w:eastAsia="Times New Roman" w:hAnsi="Times New Roman"/>
          <w:sz w:val="18"/>
          <w:szCs w:val="18"/>
          <w:color w:val="auto"/>
        </w:rPr>
        <w:t>As the Company continues to progress through the CYB003 program, additional milestones related its clinical development have been identified. The Company intends to:</w:t>
      </w:r>
    </w:p>
    <w:p>
      <w:pPr>
        <w:spacing w:after="0" w:line="160" w:lineRule="exact"/>
        <w:rPr>
          <w:sz w:val="20"/>
          <w:szCs w:val="20"/>
          <w:color w:val="auto"/>
        </w:rPr>
      </w:pPr>
    </w:p>
    <w:p>
      <w:pPr>
        <w:ind w:left="563" w:hanging="276"/>
        <w:spacing w:after="0"/>
        <w:tabs>
          <w:tab w:leader="none" w:pos="563" w:val="left"/>
        </w:tabs>
        <w:numPr>
          <w:ilvl w:val="0"/>
          <w:numId w:val="20"/>
        </w:numPr>
        <w:rPr>
          <w:rFonts w:ascii="Calibri" w:cs="Calibri" w:eastAsia="Calibri" w:hAnsi="Calibri"/>
          <w:sz w:val="18"/>
          <w:szCs w:val="18"/>
          <w:color w:val="auto"/>
        </w:rPr>
      </w:pPr>
      <w:r>
        <w:rPr>
          <w:rFonts w:ascii="Times New Roman" w:cs="Times New Roman" w:eastAsia="Times New Roman" w:hAnsi="Times New Roman"/>
          <w:sz w:val="18"/>
          <w:szCs w:val="18"/>
          <w:color w:val="auto"/>
        </w:rPr>
        <w:t>Provide 12-month efficacy data from the Phase 2 MDD study in Q4 2024.</w:t>
      </w:r>
      <w:r>
        <w:rPr>
          <w:rFonts w:ascii="Times New Roman" w:cs="Times New Roman" w:eastAsia="Times New Roman" w:hAnsi="Times New Roman"/>
          <w:sz w:val="25"/>
          <w:szCs w:val="25"/>
          <w:color w:val="auto"/>
          <w:vertAlign w:val="superscript"/>
        </w:rPr>
        <w:t>10</w:t>
      </w:r>
    </w:p>
    <w:p>
      <w:pPr>
        <w:spacing w:after="0" w:line="217" w:lineRule="exact"/>
        <w:rPr>
          <w:sz w:val="20"/>
          <w:szCs w:val="20"/>
          <w:color w:val="auto"/>
        </w:rPr>
      </w:pPr>
    </w:p>
    <w:p>
      <w:pPr>
        <w:jc w:val="both"/>
        <w:ind w:left="3"/>
        <w:spacing w:after="0" w:line="272" w:lineRule="auto"/>
        <w:rPr>
          <w:sz w:val="20"/>
          <w:szCs w:val="20"/>
          <w:color w:val="auto"/>
        </w:rPr>
      </w:pPr>
      <w:r>
        <w:rPr>
          <w:rFonts w:ascii="Times New Roman" w:cs="Times New Roman" w:eastAsia="Times New Roman" w:hAnsi="Times New Roman"/>
          <w:sz w:val="18"/>
          <w:szCs w:val="18"/>
          <w:color w:val="auto"/>
        </w:rPr>
        <w:t>The Company has spent approximately $10,669 to initiate a Phase 3 study of CYB003 in MDD to the end of November 2024, of which approximately $6,889 was spent during the six months ended September 30, 2024 and approximately $2,978 was spent during the twelve months ended March 31, 2024, resulting in an approximate remaining spend as of September 30, 2024 of $802</w:t>
      </w:r>
      <w:r>
        <w:rPr>
          <w:rFonts w:ascii="Times New Roman" w:cs="Times New Roman" w:eastAsia="Times New Roman" w:hAnsi="Times New Roman"/>
          <w:sz w:val="23"/>
          <w:szCs w:val="23"/>
          <w:color w:val="auto"/>
          <w:vertAlign w:val="superscript"/>
        </w:rPr>
        <w:t>11</w:t>
      </w:r>
      <w:r>
        <w:rPr>
          <w:rFonts w:ascii="Times New Roman" w:cs="Times New Roman" w:eastAsia="Times New Roman" w:hAnsi="Times New Roman"/>
          <w:sz w:val="18"/>
          <w:szCs w:val="18"/>
          <w:color w:val="auto"/>
        </w:rPr>
        <w:t>. The Company expects to spend approximately $750 to provide 12-month efficacy data from the Phase 2 MDD study in Q4 2024 of which approximately $631 was spent during the six months ended September 30, 2024, resulting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90170</wp:posOffset>
            </wp:positionV>
            <wp:extent cx="1535430" cy="762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1535430" cy="7620"/>
                    </a:xfrm>
                    <a:prstGeom prst="rect">
                      <a:avLst/>
                    </a:prstGeom>
                    <a:noFill/>
                  </pic:spPr>
                </pic:pic>
              </a:graphicData>
            </a:graphic>
          </wp:anchor>
        </w:drawing>
      </w:r>
    </w:p>
    <w:p>
      <w:pPr>
        <w:spacing w:after="0" w:line="230" w:lineRule="exact"/>
        <w:rPr>
          <w:sz w:val="20"/>
          <w:szCs w:val="20"/>
          <w:color w:val="auto"/>
        </w:rPr>
      </w:pPr>
    </w:p>
    <w:p>
      <w:pPr>
        <w:jc w:val="both"/>
        <w:ind w:left="3" w:hanging="3"/>
        <w:spacing w:after="0" w:line="186" w:lineRule="auto"/>
        <w:tabs>
          <w:tab w:leader="none" w:pos="114" w:val="left"/>
        </w:tabs>
        <w:numPr>
          <w:ilvl w:val="0"/>
          <w:numId w:val="21"/>
        </w:numPr>
        <w:rPr>
          <w:rFonts w:ascii="Times New Roman" w:cs="Times New Roman" w:eastAsia="Times New Roman" w:hAnsi="Times New Roman"/>
          <w:sz w:val="25"/>
          <w:szCs w:val="25"/>
          <w:color w:val="auto"/>
          <w:vertAlign w:val="superscript"/>
        </w:rPr>
      </w:pPr>
      <w:r>
        <w:rPr>
          <w:rFonts w:ascii="Times New Roman" w:cs="Times New Roman" w:eastAsia="Times New Roman" w:hAnsi="Times New Roman"/>
          <w:sz w:val="15"/>
          <w:szCs w:val="15"/>
          <w:color w:val="auto"/>
        </w:rPr>
        <w:t>The Company has updated this milestone. The Company had previously expected it would complete this milestone by late summer 2024. The Company completed initiation of a Phase 3 study of CYB003 in MDD in November 2024. Minor change in anticipated timing due to updates to the study. Anticipated spending and timelines regarding drug development are based on reasonable assumptions informed by current knowledge and information available to the Company. Also see footnote 10.</w:t>
      </w:r>
    </w:p>
    <w:p>
      <w:pPr>
        <w:spacing w:after="0" w:line="30" w:lineRule="exact"/>
        <w:rPr>
          <w:sz w:val="20"/>
          <w:szCs w:val="20"/>
          <w:color w:val="auto"/>
        </w:rPr>
      </w:pPr>
    </w:p>
    <w:p>
      <w:pPr>
        <w:jc w:val="both"/>
        <w:ind w:left="3" w:hanging="3"/>
        <w:spacing w:after="0" w:line="266" w:lineRule="auto"/>
        <w:tabs>
          <w:tab w:leader="none" w:pos="146" w:val="left"/>
        </w:tabs>
        <w:numPr>
          <w:ilvl w:val="0"/>
          <w:numId w:val="22"/>
        </w:numPr>
        <w:rPr>
          <w:rFonts w:ascii="Times New Roman" w:cs="Times New Roman" w:eastAsia="Times New Roman" w:hAnsi="Times New Roman"/>
          <w:sz w:val="19"/>
          <w:szCs w:val="19"/>
          <w:color w:val="auto"/>
          <w:vertAlign w:val="superscript"/>
        </w:rPr>
      </w:pPr>
      <w:r>
        <w:rPr>
          <w:rFonts w:ascii="Times New Roman" w:cs="Times New Roman" w:eastAsia="Times New Roman" w:hAnsi="Times New Roman"/>
          <w:sz w:val="15"/>
          <w:szCs w:val="15"/>
          <w:color w:val="auto"/>
        </w:rPr>
        <w:t>There is no assurance that the aforementioned timeline will be met or that the program will advance to clinical trials, at all. Anticipated timelines regarding drug development are based on reasonable assumptions informed by current knowledge and information available to the Company. Such statements are informed by, among other things, regulatory guidelines for developing a drug with safety studies, proof of concept studies, and pivotal studies for new drug application submission and approval, and assumes the success of implementation and results of such studies on timelines indicated as possible by such guidelines, other industry examples, and the Company’s development efforts to date.</w:t>
      </w:r>
    </w:p>
    <w:p>
      <w:pPr>
        <w:spacing w:after="0" w:line="18" w:lineRule="exact"/>
        <w:rPr>
          <w:rFonts w:ascii="Times New Roman" w:cs="Times New Roman" w:eastAsia="Times New Roman" w:hAnsi="Times New Roman"/>
          <w:sz w:val="19"/>
          <w:szCs w:val="19"/>
          <w:color w:val="auto"/>
          <w:vertAlign w:val="superscript"/>
        </w:rPr>
      </w:pPr>
    </w:p>
    <w:p>
      <w:pPr>
        <w:jc w:val="both"/>
        <w:ind w:left="3" w:right="140" w:hanging="3"/>
        <w:spacing w:after="0" w:line="189" w:lineRule="auto"/>
        <w:tabs>
          <w:tab w:leader="none" w:pos="172" w:val="left"/>
        </w:tabs>
        <w:numPr>
          <w:ilvl w:val="0"/>
          <w:numId w:val="22"/>
        </w:numPr>
        <w:rPr>
          <w:rFonts w:ascii="Times New Roman" w:cs="Times New Roman" w:eastAsia="Times New Roman" w:hAnsi="Times New Roman"/>
          <w:sz w:val="25"/>
          <w:szCs w:val="25"/>
          <w:color w:val="auto"/>
          <w:vertAlign w:val="superscript"/>
        </w:rPr>
      </w:pPr>
      <w:r>
        <w:rPr>
          <w:rFonts w:ascii="Times New Roman" w:cs="Times New Roman" w:eastAsia="Times New Roman" w:hAnsi="Times New Roman"/>
          <w:sz w:val="15"/>
          <w:szCs w:val="15"/>
          <w:color w:val="auto"/>
        </w:rPr>
        <w:t>The Company had previously estimated that its spending to complete this milestone would be $13,276. Anticipated timing and spending regarding drug development is based on reasonable assumptions informed by current knowledge and information available to the Company. Such statements are informed by, among other things, regulatory guidelines for developing a drug with safety studies, proof of concept studies, and pivotal studies for new drug application submission and approval, and assumes the success of implementation and results of such studies on timelines indicated as possible by such guidelines, other industry examples, and the Company’s development efforts to date. See footnotes 9 and 10.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jc w:val="center"/>
        <w:ind w:right="-2"/>
        <w:spacing w:after="0"/>
        <w:rPr>
          <w:sz w:val="20"/>
          <w:szCs w:val="20"/>
          <w:color w:val="auto"/>
        </w:rPr>
      </w:pPr>
      <w:r>
        <w:rPr>
          <w:rFonts w:ascii="Times New Roman" w:cs="Times New Roman" w:eastAsia="Times New Roman" w:hAnsi="Times New Roman"/>
          <w:sz w:val="18"/>
          <w:szCs w:val="18"/>
          <w:color w:val="auto"/>
        </w:rPr>
        <w:t>13</w:t>
      </w:r>
    </w:p>
    <w:p>
      <w:pPr>
        <w:sectPr>
          <w:pgSz w:w="11900" w:h="16838" w:orient="portrait"/>
          <w:cols w:equalWidth="0" w:num="1">
            <w:col w:w="11243"/>
          </w:cols>
          <w:pgMar w:left="317" w:top="1303" w:right="339" w:bottom="1440" w:gutter="0" w:footer="0" w:header="0"/>
        </w:sectPr>
      </w:pPr>
    </w:p>
    <w:bookmarkStart w:id="39" w:name="page40"/>
    <w:bookmarkEnd w:id="39"/>
    <w:p>
      <w:pPr>
        <w:jc w:val="both"/>
        <w:ind w:left="3"/>
        <w:spacing w:after="0" w:line="256" w:lineRule="auto"/>
        <w:rPr>
          <w:sz w:val="20"/>
          <w:szCs w:val="20"/>
          <w:color w:val="auto"/>
        </w:rPr>
      </w:pPr>
      <w:r>
        <w:rPr>
          <w:rFonts w:ascii="Times New Roman" w:cs="Times New Roman" w:eastAsia="Times New Roman" w:hAnsi="Times New Roman"/>
          <w:sz w:val="18"/>
          <w:szCs w:val="18"/>
          <w:color w:val="auto"/>
        </w:rPr>
        <w:t>in an approximate remaining spend as of September 30, 2024 of $119.</w:t>
      </w:r>
      <w:r>
        <w:rPr>
          <w:rFonts w:ascii="Times New Roman" w:cs="Times New Roman" w:eastAsia="Times New Roman" w:hAnsi="Times New Roman"/>
          <w:sz w:val="23"/>
          <w:szCs w:val="23"/>
          <w:color w:val="auto"/>
          <w:vertAlign w:val="superscript"/>
        </w:rPr>
        <w:t>12</w:t>
      </w:r>
      <w:r>
        <w:rPr>
          <w:rFonts w:ascii="Times New Roman" w:cs="Times New Roman" w:eastAsia="Times New Roman" w:hAnsi="Times New Roman"/>
          <w:sz w:val="18"/>
          <w:szCs w:val="18"/>
          <w:color w:val="auto"/>
        </w:rPr>
        <w:t xml:space="preserve"> The Company intends to continue funding the Deuterated Psilocin (CYB003) Program.</w:t>
      </w:r>
    </w:p>
    <w:p>
      <w:pPr>
        <w:spacing w:after="0" w:line="210" w:lineRule="exact"/>
        <w:rPr>
          <w:sz w:val="20"/>
          <w:szCs w:val="20"/>
          <w:color w:val="auto"/>
        </w:rPr>
      </w:pPr>
    </w:p>
    <w:p>
      <w:pPr>
        <w:ind w:left="3"/>
        <w:spacing w:after="0"/>
        <w:rPr>
          <w:sz w:val="20"/>
          <w:szCs w:val="20"/>
          <w:color w:val="auto"/>
        </w:rPr>
      </w:pPr>
      <w:r>
        <w:rPr>
          <w:rFonts w:ascii="Times New Roman" w:cs="Times New Roman" w:eastAsia="Times New Roman" w:hAnsi="Times New Roman"/>
          <w:sz w:val="18"/>
          <w:szCs w:val="18"/>
          <w:color w:val="auto"/>
        </w:rPr>
        <w:t>The Company intends to complete future clinical trials for this program in the U.S., Canada, and/or Europe.</w:t>
      </w:r>
    </w:p>
    <w:p>
      <w:pPr>
        <w:spacing w:after="0" w:line="252" w:lineRule="exact"/>
        <w:rPr>
          <w:sz w:val="20"/>
          <w:szCs w:val="20"/>
          <w:color w:val="auto"/>
        </w:rPr>
      </w:pPr>
    </w:p>
    <w:p>
      <w:pPr>
        <w:jc w:val="both"/>
        <w:ind w:left="3"/>
        <w:spacing w:after="0" w:line="319" w:lineRule="auto"/>
        <w:rPr>
          <w:sz w:val="20"/>
          <w:szCs w:val="20"/>
          <w:color w:val="auto"/>
        </w:rPr>
      </w:pPr>
      <w:r>
        <w:rPr>
          <w:rFonts w:ascii="Times New Roman" w:cs="Times New Roman" w:eastAsia="Times New Roman" w:hAnsi="Times New Roman"/>
          <w:sz w:val="18"/>
          <w:szCs w:val="18"/>
          <w:color w:val="auto"/>
        </w:rPr>
        <w:t>The Phase 3 CYB003 study will include thirty sites in the United States and Europe with deep clinical expertise in depression studies. Clinical site selection has been completed for the Phase 3 study, and the Company is on track to commence enrollment in Q4 2024.</w:t>
      </w:r>
      <w:r>
        <w:rPr>
          <w:rFonts w:ascii="Times New Roman" w:cs="Times New Roman" w:eastAsia="Times New Roman" w:hAnsi="Times New Roman"/>
          <w:sz w:val="23"/>
          <w:szCs w:val="23"/>
          <w:color w:val="auto"/>
          <w:vertAlign w:val="superscript"/>
        </w:rPr>
        <w:t>13</w:t>
      </w:r>
    </w:p>
    <w:p>
      <w:pPr>
        <w:spacing w:after="0" w:line="87" w:lineRule="exact"/>
        <w:rPr>
          <w:sz w:val="20"/>
          <w:szCs w:val="20"/>
          <w:color w:val="auto"/>
        </w:rPr>
      </w:pPr>
    </w:p>
    <w:p>
      <w:pPr>
        <w:ind w:left="3"/>
        <w:spacing w:after="0"/>
        <w:rPr>
          <w:sz w:val="20"/>
          <w:szCs w:val="20"/>
          <w:color w:val="auto"/>
        </w:rPr>
      </w:pPr>
      <w:r>
        <w:rPr>
          <w:rFonts w:ascii="Times New Roman" w:cs="Times New Roman" w:eastAsia="Times New Roman" w:hAnsi="Times New Roman"/>
          <w:sz w:val="18"/>
          <w:szCs w:val="18"/>
          <w:u w:val="single" w:color="auto"/>
          <w:color w:val="auto"/>
        </w:rPr>
        <w:t>Deuterated Dimethyltryptamine Program</w:t>
      </w:r>
    </w:p>
    <w:p>
      <w:pPr>
        <w:spacing w:after="0" w:line="250" w:lineRule="exact"/>
        <w:rPr>
          <w:sz w:val="20"/>
          <w:szCs w:val="20"/>
          <w:color w:val="auto"/>
        </w:rPr>
      </w:pPr>
    </w:p>
    <w:p>
      <w:pPr>
        <w:jc w:val="both"/>
        <w:ind w:left="3"/>
        <w:spacing w:after="0" w:line="302" w:lineRule="auto"/>
        <w:rPr>
          <w:sz w:val="20"/>
          <w:szCs w:val="20"/>
          <w:color w:val="auto"/>
        </w:rPr>
      </w:pPr>
      <w:r>
        <w:rPr>
          <w:rFonts w:ascii="Times New Roman" w:cs="Times New Roman" w:eastAsia="Times New Roman" w:hAnsi="Times New Roman"/>
          <w:sz w:val="18"/>
          <w:szCs w:val="18"/>
          <w:color w:val="auto"/>
        </w:rPr>
        <w:t>The Company’s proprietary deuterated dimethyltryptamine (“</w:t>
      </w:r>
      <w:r>
        <w:rPr>
          <w:rFonts w:ascii="Times New Roman" w:cs="Times New Roman" w:eastAsia="Times New Roman" w:hAnsi="Times New Roman"/>
          <w:sz w:val="18"/>
          <w:szCs w:val="18"/>
          <w:b w:val="1"/>
          <w:bCs w:val="1"/>
          <w:color w:val="auto"/>
        </w:rPr>
        <w:t>dDMT</w:t>
      </w:r>
      <w:r>
        <w:rPr>
          <w:rFonts w:ascii="Times New Roman" w:cs="Times New Roman" w:eastAsia="Times New Roman" w:hAnsi="Times New Roman"/>
          <w:sz w:val="18"/>
          <w:szCs w:val="18"/>
          <w:color w:val="auto"/>
        </w:rPr>
        <w:t>”) program CYB004 is being developed as an intermittent treatment with the potential for less invasive, more convenient and patient-friendly dosing methods for the potential treatment of GAD with or without MDD. A single intramuscular (“IM”) dose is expected to result in acute psychedelic effects lasting an average of 90 minutes.</w:t>
      </w:r>
    </w:p>
    <w:p>
      <w:pPr>
        <w:spacing w:after="0" w:line="188" w:lineRule="exact"/>
        <w:rPr>
          <w:sz w:val="20"/>
          <w:szCs w:val="20"/>
          <w:color w:val="auto"/>
        </w:rPr>
      </w:pPr>
    </w:p>
    <w:p>
      <w:pPr>
        <w:jc w:val="both"/>
        <w:ind w:left="3"/>
        <w:spacing w:after="0" w:line="316" w:lineRule="auto"/>
        <w:rPr>
          <w:sz w:val="20"/>
          <w:szCs w:val="20"/>
          <w:color w:val="auto"/>
        </w:rPr>
      </w:pPr>
      <w:r>
        <w:rPr>
          <w:rFonts w:ascii="Times New Roman" w:cs="Times New Roman" w:eastAsia="Times New Roman" w:hAnsi="Times New Roman"/>
          <w:sz w:val="17"/>
          <w:szCs w:val="17"/>
          <w:color w:val="auto"/>
        </w:rPr>
        <w:t>Cybin has leveraged clinical data from its completed DMT and dDMT trials, which collectively form one of the most advanced and extensive DMT/dDMT data portfolio in the psychedelic drug development sector, to inform and optimize the development of the CYB004 program. To date, Cybin has completed five clinical trials across four molecules: CYB004 (IV dDMT), SPL028 (IV/IM dDMT), SPL026 (IV/IM DMT), and DMT, demonstrating proof-of-concept in potentially treating depression, supporting the development of dDMT for the potential treatment of anxiety disorders, and providing important dosing insights.</w:t>
      </w:r>
    </w:p>
    <w:p>
      <w:pPr>
        <w:spacing w:after="0" w:line="167" w:lineRule="exact"/>
        <w:rPr>
          <w:sz w:val="20"/>
          <w:szCs w:val="20"/>
          <w:color w:val="auto"/>
        </w:rPr>
      </w:pPr>
    </w:p>
    <w:p>
      <w:pPr>
        <w:ind w:left="3"/>
        <w:spacing w:after="0"/>
        <w:rPr>
          <w:sz w:val="20"/>
          <w:szCs w:val="20"/>
          <w:color w:val="auto"/>
        </w:rPr>
      </w:pPr>
      <w:r>
        <w:rPr>
          <w:rFonts w:ascii="Times New Roman" w:cs="Times New Roman" w:eastAsia="Times New Roman" w:hAnsi="Times New Roman"/>
          <w:sz w:val="18"/>
          <w:szCs w:val="18"/>
          <w:color w:val="auto"/>
        </w:rPr>
        <w:t>Key findings from these completed studies are as follows:</w:t>
      </w:r>
    </w:p>
    <w:p>
      <w:pPr>
        <w:spacing w:after="0" w:line="252" w:lineRule="exact"/>
        <w:rPr>
          <w:sz w:val="20"/>
          <w:szCs w:val="20"/>
          <w:color w:val="auto"/>
        </w:rPr>
      </w:pPr>
    </w:p>
    <w:p>
      <w:pPr>
        <w:ind w:left="563" w:hanging="276"/>
        <w:spacing w:after="0"/>
        <w:tabs>
          <w:tab w:leader="none" w:pos="563" w:val="left"/>
        </w:tabs>
        <w:numPr>
          <w:ilvl w:val="0"/>
          <w:numId w:val="23"/>
        </w:numPr>
        <w:rPr>
          <w:rFonts w:ascii="Calibri" w:cs="Calibri" w:eastAsia="Calibri" w:hAnsi="Calibri"/>
          <w:sz w:val="17"/>
          <w:szCs w:val="17"/>
          <w:color w:val="auto"/>
        </w:rPr>
      </w:pPr>
      <w:r>
        <w:rPr>
          <w:rFonts w:ascii="Times New Roman" w:cs="Times New Roman" w:eastAsia="Times New Roman" w:hAnsi="Times New Roman"/>
          <w:sz w:val="17"/>
          <w:szCs w:val="17"/>
          <w:color w:val="auto"/>
        </w:rPr>
        <w:t>Phase 2a safety and efficacy data for SPL026 (IV DMT) in 34 participants with MDD, demonstrating a clinically relevant and statistically significant</w:t>
      </w:r>
    </w:p>
    <w:p>
      <w:pPr>
        <w:spacing w:after="0" w:line="70" w:lineRule="exact"/>
        <w:rPr>
          <w:rFonts w:ascii="Calibri" w:cs="Calibri" w:eastAsia="Calibri" w:hAnsi="Calibri"/>
          <w:sz w:val="17"/>
          <w:szCs w:val="17"/>
          <w:color w:val="auto"/>
        </w:rPr>
      </w:pPr>
    </w:p>
    <w:p>
      <w:pPr>
        <w:jc w:val="both"/>
        <w:ind w:left="583"/>
        <w:spacing w:after="0" w:line="285" w:lineRule="auto"/>
        <w:rPr>
          <w:rFonts w:ascii="Calibri" w:cs="Calibri" w:eastAsia="Calibri" w:hAnsi="Calibri"/>
          <w:sz w:val="17"/>
          <w:szCs w:val="17"/>
          <w:color w:val="auto"/>
        </w:rPr>
      </w:pPr>
      <w:r>
        <w:rPr>
          <w:rFonts w:ascii="Times New Roman" w:cs="Times New Roman" w:eastAsia="Times New Roman" w:hAnsi="Times New Roman"/>
          <w:sz w:val="18"/>
          <w:szCs w:val="18"/>
          <w:color w:val="auto"/>
        </w:rPr>
        <w:t>reduction in depression symptoms at two weeks after dosing (-7.4 point difference in MADRS between SPL026 and placebo). Durable antidepressant response and remission rates were observed at six months. Among participants who had achieved remission within three months with SPL026, 64% sustained remission to six months.</w:t>
      </w:r>
    </w:p>
    <w:p>
      <w:pPr>
        <w:ind w:left="583" w:hanging="296"/>
        <w:spacing w:after="0" w:line="292" w:lineRule="auto"/>
        <w:tabs>
          <w:tab w:leader="none" w:pos="579" w:val="left"/>
        </w:tabs>
        <w:numPr>
          <w:ilvl w:val="0"/>
          <w:numId w:val="23"/>
        </w:numPr>
        <w:rPr>
          <w:rFonts w:ascii="Calibri" w:cs="Calibri" w:eastAsia="Calibri" w:hAnsi="Calibri"/>
          <w:sz w:val="18"/>
          <w:szCs w:val="18"/>
          <w:color w:val="auto"/>
        </w:rPr>
      </w:pPr>
      <w:r>
        <w:rPr>
          <w:rFonts w:ascii="Times New Roman" w:cs="Times New Roman" w:eastAsia="Times New Roman" w:hAnsi="Times New Roman"/>
          <w:sz w:val="18"/>
          <w:szCs w:val="18"/>
          <w:color w:val="auto"/>
        </w:rPr>
        <w:t>Phase 1 study evaluating IM SPL026 supporting IM administration for patient-friendly dosing. The study demonstrated that IM DMT is well-tolerated and generates a breakthrough psychedelic experience lasting approximately 45 minutes.</w:t>
      </w:r>
    </w:p>
    <w:p>
      <w:pPr>
        <w:ind w:left="583" w:hanging="296"/>
        <w:spacing w:after="0" w:line="322" w:lineRule="auto"/>
        <w:tabs>
          <w:tab w:leader="none" w:pos="579" w:val="left"/>
        </w:tabs>
        <w:numPr>
          <w:ilvl w:val="0"/>
          <w:numId w:val="23"/>
        </w:numPr>
        <w:rPr>
          <w:rFonts w:ascii="Calibri" w:cs="Calibri" w:eastAsia="Calibri" w:hAnsi="Calibri"/>
          <w:sz w:val="18"/>
          <w:szCs w:val="18"/>
          <w:color w:val="auto"/>
        </w:rPr>
      </w:pPr>
      <w:r>
        <w:rPr>
          <w:rFonts w:ascii="Times New Roman" w:cs="Times New Roman" w:eastAsia="Times New Roman" w:hAnsi="Times New Roman"/>
          <w:sz w:val="18"/>
          <w:szCs w:val="18"/>
          <w:color w:val="auto"/>
        </w:rPr>
        <w:t>Phase 1 study evaluating IM SPL028 supporting IM administration for patient-friendly dosing. The completed Phase 1 study of IV/IM SPL028 in healthy volunteers showed that SPL028 is safe and well-tolerated, and demonstrated that IM dosing of SPL028 produced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64135</wp:posOffset>
            </wp:positionV>
            <wp:extent cx="1535430" cy="762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1535430" cy="7620"/>
                    </a:xfrm>
                    <a:prstGeom prst="rect">
                      <a:avLst/>
                    </a:prstGeom>
                    <a:noFill/>
                  </pic:spPr>
                </pic:pic>
              </a:graphicData>
            </a:graphic>
          </wp:anchor>
        </w:drawing>
      </w:r>
    </w:p>
    <w:p>
      <w:pPr>
        <w:spacing w:after="0" w:line="190" w:lineRule="exact"/>
        <w:rPr>
          <w:sz w:val="20"/>
          <w:szCs w:val="20"/>
          <w:color w:val="auto"/>
        </w:rPr>
      </w:pPr>
    </w:p>
    <w:p>
      <w:pPr>
        <w:ind w:left="3" w:right="140" w:hanging="3"/>
        <w:spacing w:after="0" w:line="189" w:lineRule="auto"/>
        <w:tabs>
          <w:tab w:leader="none" w:pos="177" w:val="left"/>
        </w:tabs>
        <w:numPr>
          <w:ilvl w:val="0"/>
          <w:numId w:val="24"/>
        </w:numPr>
        <w:rPr>
          <w:rFonts w:ascii="Times New Roman" w:cs="Times New Roman" w:eastAsia="Times New Roman" w:hAnsi="Times New Roman"/>
          <w:sz w:val="25"/>
          <w:szCs w:val="25"/>
          <w:color w:val="auto"/>
          <w:vertAlign w:val="superscript"/>
        </w:rPr>
      </w:pPr>
      <w:r>
        <w:rPr>
          <w:rFonts w:ascii="Times New Roman" w:cs="Times New Roman" w:eastAsia="Times New Roman" w:hAnsi="Times New Roman"/>
          <w:sz w:val="15"/>
          <w:szCs w:val="15"/>
          <w:color w:val="auto"/>
        </w:rPr>
        <w:t>The Company had previously estimated that its spending to complete this milestone would be $664. Anticipated timing and spending regarding drug development is based on reasonable assumptions informed by current knowledge and information available to the Company. Such statements are informed by, among other things, regulatory guidelines for developing a drug with safety studies, proof of concept studies, and pivotal studies for new drug application submission and approval, and assumes the success of implementation and results of such studies on timelines indicated as possible by such guidelines, other industry examples, and the Company’s development efforts to date. See footnote 10.</w:t>
      </w:r>
    </w:p>
    <w:p>
      <w:pPr>
        <w:spacing w:after="0" w:line="2" w:lineRule="exact"/>
        <w:rPr>
          <w:rFonts w:ascii="Times New Roman" w:cs="Times New Roman" w:eastAsia="Times New Roman" w:hAnsi="Times New Roman"/>
          <w:sz w:val="25"/>
          <w:szCs w:val="25"/>
          <w:color w:val="auto"/>
          <w:vertAlign w:val="superscript"/>
        </w:rPr>
      </w:pPr>
    </w:p>
    <w:p>
      <w:pPr>
        <w:ind w:left="183" w:hanging="183"/>
        <w:spacing w:after="0" w:line="180" w:lineRule="auto"/>
        <w:tabs>
          <w:tab w:leader="none" w:pos="183" w:val="left"/>
        </w:tabs>
        <w:numPr>
          <w:ilvl w:val="0"/>
          <w:numId w:val="24"/>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3"/>
          <w:szCs w:val="13"/>
          <w:color w:val="auto"/>
        </w:rPr>
        <w:t>See footnote 10.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jc w:val="center"/>
        <w:ind w:right="-2"/>
        <w:spacing w:after="0"/>
        <w:rPr>
          <w:sz w:val="20"/>
          <w:szCs w:val="20"/>
          <w:color w:val="auto"/>
        </w:rPr>
      </w:pPr>
      <w:r>
        <w:rPr>
          <w:rFonts w:ascii="Times New Roman" w:cs="Times New Roman" w:eastAsia="Times New Roman" w:hAnsi="Times New Roman"/>
          <w:sz w:val="18"/>
          <w:szCs w:val="18"/>
          <w:color w:val="auto"/>
        </w:rPr>
        <w:t>14</w:t>
      </w:r>
    </w:p>
    <w:p>
      <w:pPr>
        <w:sectPr>
          <w:pgSz w:w="11900" w:h="16838" w:orient="portrait"/>
          <w:cols w:equalWidth="0" w:num="1">
            <w:col w:w="11243"/>
          </w:cols>
          <w:pgMar w:left="317" w:top="1303" w:right="339" w:bottom="1440" w:gutter="0" w:footer="0" w:header="0"/>
        </w:sectPr>
      </w:pPr>
    </w:p>
    <w:bookmarkStart w:id="40" w:name="page41"/>
    <w:bookmarkEnd w:id="40"/>
    <w:p>
      <w:pPr>
        <w:ind w:left="580"/>
        <w:spacing w:after="0"/>
        <w:rPr>
          <w:sz w:val="20"/>
          <w:szCs w:val="20"/>
          <w:color w:val="auto"/>
        </w:rPr>
      </w:pPr>
      <w:r>
        <w:rPr>
          <w:rFonts w:ascii="Times New Roman" w:cs="Times New Roman" w:eastAsia="Times New Roman" w:hAnsi="Times New Roman"/>
          <w:sz w:val="18"/>
          <w:szCs w:val="18"/>
          <w:color w:val="auto"/>
        </w:rPr>
        <w:t>robust psychedelic effects lasting a short duration (average approximately 90 minutes) in the majority of subjects.</w:t>
      </w:r>
    </w:p>
    <w:p>
      <w:pPr>
        <w:spacing w:after="0" w:line="45" w:lineRule="exact"/>
        <w:rPr>
          <w:sz w:val="20"/>
          <w:szCs w:val="20"/>
          <w:color w:val="auto"/>
        </w:rPr>
      </w:pPr>
    </w:p>
    <w:p>
      <w:pPr>
        <w:ind w:left="560" w:hanging="276"/>
        <w:spacing w:after="0"/>
        <w:tabs>
          <w:tab w:leader="none" w:pos="560" w:val="left"/>
        </w:tabs>
        <w:numPr>
          <w:ilvl w:val="0"/>
          <w:numId w:val="25"/>
        </w:numPr>
        <w:rPr>
          <w:rFonts w:ascii="Calibri" w:cs="Calibri" w:eastAsia="Calibri" w:hAnsi="Calibri"/>
          <w:sz w:val="18"/>
          <w:szCs w:val="18"/>
          <w:color w:val="auto"/>
        </w:rPr>
      </w:pPr>
      <w:r>
        <w:rPr>
          <w:rFonts w:ascii="Times New Roman" w:cs="Times New Roman" w:eastAsia="Times New Roman" w:hAnsi="Times New Roman"/>
          <w:sz w:val="18"/>
          <w:szCs w:val="18"/>
          <w:color w:val="auto"/>
        </w:rPr>
        <w:t>Phase 1b study evaluating the safety and efficacy of SPL026 in conjunction with selective serotonin reuptake inhibitors (“</w:t>
      </w:r>
      <w:r>
        <w:rPr>
          <w:rFonts w:ascii="Times New Roman" w:cs="Times New Roman" w:eastAsia="Times New Roman" w:hAnsi="Times New Roman"/>
          <w:sz w:val="18"/>
          <w:szCs w:val="18"/>
          <w:b w:val="1"/>
          <w:bCs w:val="1"/>
          <w:color w:val="auto"/>
        </w:rPr>
        <w:t>SSRIs</w:t>
      </w:r>
      <w:r>
        <w:rPr>
          <w:rFonts w:ascii="Times New Roman" w:cs="Times New Roman" w:eastAsia="Times New Roman" w:hAnsi="Times New Roman"/>
          <w:sz w:val="18"/>
          <w:szCs w:val="18"/>
          <w:color w:val="auto"/>
        </w:rPr>
        <w:t>”) in 17 participants</w:t>
      </w:r>
    </w:p>
    <w:p>
      <w:pPr>
        <w:spacing w:after="0" w:line="48" w:lineRule="exact"/>
        <w:rPr>
          <w:rFonts w:ascii="Calibri" w:cs="Calibri" w:eastAsia="Calibri" w:hAnsi="Calibri"/>
          <w:sz w:val="18"/>
          <w:szCs w:val="18"/>
          <w:color w:val="auto"/>
        </w:rPr>
      </w:pPr>
    </w:p>
    <w:p>
      <w:pPr>
        <w:ind w:left="580" w:right="20"/>
        <w:spacing w:after="0" w:line="287" w:lineRule="auto"/>
        <w:rPr>
          <w:rFonts w:ascii="Calibri" w:cs="Calibri" w:eastAsia="Calibri" w:hAnsi="Calibri"/>
          <w:sz w:val="18"/>
          <w:szCs w:val="18"/>
          <w:color w:val="auto"/>
        </w:rPr>
      </w:pPr>
      <w:r>
        <w:rPr>
          <w:rFonts w:ascii="Times New Roman" w:cs="Times New Roman" w:eastAsia="Times New Roman" w:hAnsi="Times New Roman"/>
          <w:sz w:val="18"/>
          <w:szCs w:val="18"/>
          <w:color w:val="auto"/>
        </w:rPr>
        <w:t>with MDD, demonstrating no relevant drug-drug interactions, a favorable safety profile and enhanced efficacy when SPL026 was administered with SSRIs, and a 92% remission rate at 4 weeks in the DMT + SSRI combination cohort (n=12).</w:t>
      </w:r>
    </w:p>
    <w:p>
      <w:pPr>
        <w:ind w:left="580" w:right="20" w:hanging="296"/>
        <w:spacing w:after="0" w:line="322" w:lineRule="auto"/>
        <w:tabs>
          <w:tab w:leader="none" w:pos="576" w:val="left"/>
        </w:tabs>
        <w:numPr>
          <w:ilvl w:val="0"/>
          <w:numId w:val="25"/>
        </w:numPr>
        <w:rPr>
          <w:rFonts w:ascii="Calibri" w:cs="Calibri" w:eastAsia="Calibri" w:hAnsi="Calibri"/>
          <w:sz w:val="18"/>
          <w:szCs w:val="18"/>
          <w:color w:val="auto"/>
        </w:rPr>
      </w:pPr>
      <w:r>
        <w:rPr>
          <w:rFonts w:ascii="Times New Roman" w:cs="Times New Roman" w:eastAsia="Times New Roman" w:hAnsi="Times New Roman"/>
          <w:sz w:val="18"/>
          <w:szCs w:val="18"/>
          <w:color w:val="auto"/>
        </w:rPr>
        <w:t>Phase 1 results for IV CYB004 demonstrated robust and rapid-onset psychedelic effects at lower doses compared to native DMT, suggesting potential as a short-acting, scalable treatment.</w:t>
      </w:r>
    </w:p>
    <w:p>
      <w:pPr>
        <w:spacing w:after="0" w:line="153" w:lineRule="exact"/>
        <w:rPr>
          <w:sz w:val="20"/>
          <w:szCs w:val="20"/>
          <w:color w:val="auto"/>
        </w:rPr>
      </w:pPr>
    </w:p>
    <w:p>
      <w:pPr>
        <w:jc w:val="both"/>
        <w:ind w:right="20"/>
        <w:spacing w:after="0" w:line="301" w:lineRule="auto"/>
        <w:rPr>
          <w:sz w:val="20"/>
          <w:szCs w:val="20"/>
          <w:color w:val="auto"/>
        </w:rPr>
      </w:pPr>
      <w:r>
        <w:rPr>
          <w:rFonts w:ascii="Times New Roman" w:cs="Times New Roman" w:eastAsia="Times New Roman" w:hAnsi="Times New Roman"/>
          <w:sz w:val="18"/>
          <w:szCs w:val="18"/>
          <w:color w:val="auto"/>
        </w:rPr>
        <w:t>Exploratory analysis of the Phase 2a and Phase 1b data for SPL026 also shows significant improvements in symptoms of anxiety, as measured using the State Trait Anxiety Inventory – Trait version (STAI-T), with a 23 point improvement from baseline at the two week endpoint, in the DMT+ SSRI combination group.</w:t>
      </w:r>
    </w:p>
    <w:p>
      <w:pPr>
        <w:spacing w:after="0" w:line="122" w:lineRule="exact"/>
        <w:rPr>
          <w:sz w:val="20"/>
          <w:szCs w:val="20"/>
          <w:color w:val="auto"/>
        </w:rPr>
      </w:pPr>
    </w:p>
    <w:p>
      <w:pPr>
        <w:jc w:val="both"/>
        <w:spacing w:after="0" w:line="288" w:lineRule="auto"/>
        <w:rPr>
          <w:sz w:val="20"/>
          <w:szCs w:val="20"/>
          <w:color w:val="auto"/>
        </w:rPr>
      </w:pPr>
      <w:r>
        <w:rPr>
          <w:rFonts w:ascii="Times New Roman" w:cs="Times New Roman" w:eastAsia="Times New Roman" w:hAnsi="Times New Roman"/>
          <w:sz w:val="18"/>
          <w:szCs w:val="18"/>
          <w:color w:val="auto"/>
        </w:rPr>
        <w:t>The Company is currently advancing CYB004, a deuterated version of DMT, for the potential treatment of GAD. DMT activates the serotonin 5-HT</w:t>
      </w:r>
      <w:r>
        <w:rPr>
          <w:rFonts w:ascii="Times New Roman" w:cs="Times New Roman" w:eastAsia="Times New Roman" w:hAnsi="Times New Roman"/>
          <w:sz w:val="23"/>
          <w:szCs w:val="23"/>
          <w:color w:val="auto"/>
          <w:vertAlign w:val="subscript"/>
        </w:rPr>
        <w:t>2A</w:t>
      </w:r>
      <w:r>
        <w:rPr>
          <w:rFonts w:ascii="Times New Roman" w:cs="Times New Roman" w:eastAsia="Times New Roman" w:hAnsi="Times New Roman"/>
          <w:sz w:val="18"/>
          <w:szCs w:val="18"/>
          <w:color w:val="auto"/>
        </w:rPr>
        <w:t xml:space="preserve"> receptor, which is believed to mediate the potential therapeutic effects of DMT. In its regular form, DMT is an unstable molecule rapidly metabolized in the body, which significantly reduces its bioavailability. CYB004, as a deuterated molecule, has the potential to overcome the therapeutic limitations of native DMT. To date, CYB004 has demonstrated robust and rapid-onset psychedelic effects at lower doses compared to native DMT, suggesting potential as a short-acting, scalable treatment. Additionally, learnings from Phase 1 studies of IM SPL028 have supported IM administration as a viable dosing method for deuterated DMT, suggesting the potential for CYB004 to offer more convenient and patient-friendly dosing methods.</w:t>
      </w:r>
    </w:p>
    <w:p>
      <w:pPr>
        <w:spacing w:after="0" w:line="200" w:lineRule="exact"/>
        <w:rPr>
          <w:sz w:val="20"/>
          <w:szCs w:val="20"/>
          <w:color w:val="auto"/>
        </w:rPr>
      </w:pPr>
    </w:p>
    <w:p>
      <w:pPr>
        <w:jc w:val="both"/>
        <w:spacing w:after="0" w:line="309" w:lineRule="auto"/>
        <w:rPr>
          <w:sz w:val="20"/>
          <w:szCs w:val="20"/>
          <w:color w:val="auto"/>
        </w:rPr>
      </w:pPr>
      <w:r>
        <w:rPr>
          <w:rFonts w:ascii="Times New Roman" w:cs="Times New Roman" w:eastAsia="Times New Roman" w:hAnsi="Times New Roman"/>
          <w:sz w:val="18"/>
          <w:szCs w:val="18"/>
          <w:color w:val="auto"/>
        </w:rPr>
        <w:t>CYB004 is secured by a U.S. composition of matter patent with protection through 2041. The patent covers a range of deuteration forms of DMT and protects CYB004 as a putative new chemical entity.</w:t>
      </w:r>
    </w:p>
    <w:p>
      <w:pPr>
        <w:spacing w:after="0" w:line="178" w:lineRule="exact"/>
        <w:rPr>
          <w:sz w:val="20"/>
          <w:szCs w:val="20"/>
          <w:color w:val="auto"/>
        </w:rPr>
      </w:pPr>
    </w:p>
    <w:p>
      <w:pPr>
        <w:jc w:val="both"/>
        <w:ind w:right="20"/>
        <w:spacing w:after="0" w:line="295" w:lineRule="auto"/>
        <w:rPr>
          <w:sz w:val="20"/>
          <w:szCs w:val="20"/>
          <w:color w:val="auto"/>
        </w:rPr>
      </w:pPr>
      <w:r>
        <w:rPr>
          <w:rFonts w:ascii="Times New Roman" w:cs="Times New Roman" w:eastAsia="Times New Roman" w:hAnsi="Times New Roman"/>
          <w:sz w:val="18"/>
          <w:szCs w:val="18"/>
          <w:color w:val="auto"/>
        </w:rPr>
        <w:t>On June 7, 2022, the Company announced it had entered into an agreement to acquire a Phase 1 DMT study (the “</w:t>
      </w:r>
      <w:r>
        <w:rPr>
          <w:rFonts w:ascii="Times New Roman" w:cs="Times New Roman" w:eastAsia="Times New Roman" w:hAnsi="Times New Roman"/>
          <w:sz w:val="18"/>
          <w:szCs w:val="18"/>
          <w:b w:val="1"/>
          <w:bCs w:val="1"/>
          <w:color w:val="auto"/>
        </w:rPr>
        <w:t>Asset Acquisition</w:t>
      </w:r>
      <w:r>
        <w:rPr>
          <w:rFonts w:ascii="Times New Roman" w:cs="Times New Roman" w:eastAsia="Times New Roman" w:hAnsi="Times New Roman"/>
          <w:sz w:val="18"/>
          <w:szCs w:val="18"/>
          <w:color w:val="auto"/>
        </w:rPr>
        <w:t>”) from Entheon Biomedical Corp. (“</w:t>
      </w:r>
      <w:r>
        <w:rPr>
          <w:rFonts w:ascii="Times New Roman" w:cs="Times New Roman" w:eastAsia="Times New Roman" w:hAnsi="Times New Roman"/>
          <w:sz w:val="18"/>
          <w:szCs w:val="18"/>
          <w:b w:val="1"/>
          <w:bCs w:val="1"/>
          <w:color w:val="auto"/>
        </w:rPr>
        <w:t>Entheon</w:t>
      </w:r>
      <w:r>
        <w:rPr>
          <w:rFonts w:ascii="Times New Roman" w:cs="Times New Roman" w:eastAsia="Times New Roman" w:hAnsi="Times New Roman"/>
          <w:sz w:val="18"/>
          <w:szCs w:val="18"/>
          <w:color w:val="auto"/>
        </w:rPr>
        <w:t>”) to accelerate the clinical development path for CYB004. On July 11, 2022, the Company announced that the Asset Acquisition was completed. The Phase 1 study, previously identified as EBRX-101 and now named CYB004-E, was conducted in the Netherlands. Entheon acted as external consultants to the Company for approximately 10 months after the Asset Acquisition.</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On January 12, 2023, the Company announced that it has selected GAD as the target indication for its proprietary deuterated DMT molecule, CYB004.</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About the Phase 1 CYB004-E DMT Study</w:t>
      </w:r>
    </w:p>
    <w:p>
      <w:pPr>
        <w:spacing w:after="0" w:line="264" w:lineRule="exact"/>
        <w:rPr>
          <w:sz w:val="20"/>
          <w:szCs w:val="20"/>
          <w:color w:val="auto"/>
        </w:rPr>
      </w:pPr>
    </w:p>
    <w:p>
      <w:pPr>
        <w:jc w:val="both"/>
        <w:ind w:right="20"/>
        <w:spacing w:after="0" w:line="309" w:lineRule="auto"/>
        <w:rPr>
          <w:sz w:val="20"/>
          <w:szCs w:val="20"/>
          <w:color w:val="auto"/>
        </w:rPr>
      </w:pPr>
      <w:r>
        <w:rPr>
          <w:rFonts w:ascii="Times New Roman" w:cs="Times New Roman" w:eastAsia="Times New Roman" w:hAnsi="Times New Roman"/>
          <w:sz w:val="18"/>
          <w:szCs w:val="18"/>
          <w:color w:val="auto"/>
        </w:rPr>
        <w:t>The Phase 1 trial was a three-part study evaluating the safety, pharmacokinetics, and pharmacodynamics of escalating doses of DMT and CYB004 in healthy volunteers. The three-part study design was established in a protocol amendment to the initial study design, allowing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ectPr>
          <w:pgSz w:w="11900" w:h="16838" w:orient="portrait"/>
          <w:cols w:equalWidth="0" w:num="1">
            <w:col w:w="11260"/>
          </w:cols>
          <w:pgMar w:left="320" w:top="1303" w:right="319" w:bottom="1440" w:gutter="0" w:footer="0" w:header="0"/>
        </w:sectPr>
      </w:pPr>
    </w:p>
    <w:bookmarkStart w:id="41" w:name="page42"/>
    <w:bookmarkEnd w:id="41"/>
    <w:p>
      <w:pPr>
        <w:jc w:val="both"/>
        <w:ind w:right="20"/>
        <w:spacing w:after="0" w:line="301" w:lineRule="auto"/>
        <w:rPr>
          <w:sz w:val="20"/>
          <w:szCs w:val="20"/>
          <w:color w:val="auto"/>
        </w:rPr>
      </w:pPr>
      <w:r>
        <w:rPr>
          <w:rFonts w:ascii="Times New Roman" w:cs="Times New Roman" w:eastAsia="Times New Roman" w:hAnsi="Times New Roman"/>
          <w:sz w:val="18"/>
          <w:szCs w:val="18"/>
          <w:color w:val="auto"/>
        </w:rPr>
        <w:t>Company to commence first-in-human dosing of CYB004 sooner than initially planned. The study provided essential safety and dosing optimization data informing the clinical path forward for CYB004. The CYB004-E study was conducted at the Centre for Human Drug Research in the Netherlands and is one of the largest Phase 1 DMT clinical trials to date.</w:t>
      </w:r>
    </w:p>
    <w:p>
      <w:pPr>
        <w:spacing w:after="0" w:line="176" w:lineRule="exact"/>
        <w:rPr>
          <w:sz w:val="20"/>
          <w:szCs w:val="20"/>
          <w:color w:val="auto"/>
        </w:rPr>
      </w:pPr>
    </w:p>
    <w:p>
      <w:pPr>
        <w:jc w:val="both"/>
        <w:ind w:right="20"/>
        <w:spacing w:after="0" w:line="323" w:lineRule="auto"/>
        <w:rPr>
          <w:sz w:val="20"/>
          <w:szCs w:val="20"/>
          <w:color w:val="auto"/>
        </w:rPr>
      </w:pPr>
      <w:r>
        <w:rPr>
          <w:rFonts w:ascii="Times New Roman" w:cs="Times New Roman" w:eastAsia="Times New Roman" w:hAnsi="Times New Roman"/>
          <w:sz w:val="18"/>
          <w:szCs w:val="18"/>
          <w:color w:val="auto"/>
        </w:rPr>
        <w:t>On November 10, 2022, the Company announced that its CYB004-E Phase 1 trial evaluating IV DMT completed dosing for four out of five cohorts and that the Safety Review Committee had confirmed no safety issues.</w:t>
      </w:r>
    </w:p>
    <w:p>
      <w:pPr>
        <w:spacing w:after="0" w:line="156" w:lineRule="exact"/>
        <w:rPr>
          <w:sz w:val="20"/>
          <w:szCs w:val="20"/>
          <w:color w:val="auto"/>
        </w:rPr>
      </w:pPr>
    </w:p>
    <w:p>
      <w:pPr>
        <w:jc w:val="both"/>
        <w:spacing w:after="0" w:line="309" w:lineRule="auto"/>
        <w:rPr>
          <w:sz w:val="20"/>
          <w:szCs w:val="20"/>
          <w:color w:val="auto"/>
        </w:rPr>
      </w:pPr>
      <w:r>
        <w:rPr>
          <w:rFonts w:ascii="Times New Roman" w:cs="Times New Roman" w:eastAsia="Times New Roman" w:hAnsi="Times New Roman"/>
          <w:sz w:val="18"/>
          <w:szCs w:val="18"/>
          <w:color w:val="auto"/>
        </w:rPr>
        <w:t>On February 1, 2023, the Company announced that it had received approval from an independent ethics committee in the Netherlands to initiate first-in-human dosing of CYB004 through a protocol amendment to its ongoing Phase 1 CYB004-E study.</w:t>
      </w:r>
    </w:p>
    <w:p>
      <w:pPr>
        <w:spacing w:after="0" w:line="180" w:lineRule="exact"/>
        <w:rPr>
          <w:sz w:val="20"/>
          <w:szCs w:val="20"/>
          <w:color w:val="auto"/>
        </w:rPr>
      </w:pPr>
    </w:p>
    <w:p>
      <w:pPr>
        <w:jc w:val="both"/>
        <w:spacing w:after="0" w:line="289" w:lineRule="auto"/>
        <w:rPr>
          <w:sz w:val="20"/>
          <w:szCs w:val="20"/>
          <w:color w:val="auto"/>
        </w:rPr>
      </w:pPr>
      <w:r>
        <w:rPr>
          <w:rFonts w:ascii="Times New Roman" w:cs="Times New Roman" w:eastAsia="Times New Roman" w:hAnsi="Times New Roman"/>
          <w:sz w:val="18"/>
          <w:szCs w:val="18"/>
          <w:color w:val="auto"/>
        </w:rPr>
        <w:t>On February 28, 2023, the Company announced a protocol amendment to the initial Phase 1 study design that would allow the Company to initiate first-in-human dosing of CYB004 sooner than initially planned. Per the protocol amendment, Cybin established a three-part study to include Part A (IV DMT infusion), Part B (IV DMT bolus + infusion) and Part C (IV CYB004 bolus + infusion) in healthy volunteers. The Company was able to rely upon completed preclinical data to gain regulatory authorization to add CYB004 to the CYB004-E DMT Study. The Company also announced confirmatory data from Part A, the single ascending dose portion of the CYB004-E study, which assessed a continuous IV DMT infusion. The Part A data showed a dose-proportional increase in exposure and dose-related increase in behavioral measures of subjective psychedelic experience with IV DMT. IV DMT was also well-tolerated with no safety issues and no serious adverse events within the dose range evaluated.</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On May 9, 2023, the Company announced that it had completed dosing for the last subject in Part B of the Phase 1 CYB004-E trial.</w:t>
      </w:r>
    </w:p>
    <w:p>
      <w:pPr>
        <w:spacing w:after="0" w:line="2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On May 24, 2023, the Company announced that it had initiated first-in-human dosing of CYB004 in Part C of the Phase 1 CYB004-E trial.</w:t>
      </w:r>
    </w:p>
    <w:p>
      <w:pPr>
        <w:spacing w:after="0" w:line="252" w:lineRule="exact"/>
        <w:rPr>
          <w:sz w:val="20"/>
          <w:szCs w:val="20"/>
          <w:color w:val="auto"/>
        </w:rPr>
      </w:pPr>
    </w:p>
    <w:p>
      <w:pPr>
        <w:jc w:val="both"/>
        <w:ind w:right="20"/>
        <w:spacing w:after="0" w:line="323" w:lineRule="auto"/>
        <w:rPr>
          <w:sz w:val="20"/>
          <w:szCs w:val="20"/>
          <w:color w:val="auto"/>
        </w:rPr>
      </w:pPr>
      <w:r>
        <w:rPr>
          <w:rFonts w:ascii="Times New Roman" w:cs="Times New Roman" w:eastAsia="Times New Roman" w:hAnsi="Times New Roman"/>
          <w:sz w:val="18"/>
          <w:szCs w:val="18"/>
          <w:color w:val="auto"/>
        </w:rPr>
        <w:t>On January 8, 2024, the Company announced positive topline results from its Phase 1 studies of its proprietary deuterated DMT molecules, CYB004 and SPL028.</w:t>
      </w:r>
    </w:p>
    <w:p>
      <w:pPr>
        <w:spacing w:after="0" w:line="156" w:lineRule="exact"/>
        <w:rPr>
          <w:sz w:val="20"/>
          <w:szCs w:val="20"/>
          <w:color w:val="auto"/>
        </w:rPr>
      </w:pPr>
    </w:p>
    <w:p>
      <w:pPr>
        <w:ind w:left="560" w:hanging="276"/>
        <w:spacing w:after="0"/>
        <w:tabs>
          <w:tab w:leader="none" w:pos="560" w:val="left"/>
        </w:tabs>
        <w:numPr>
          <w:ilvl w:val="0"/>
          <w:numId w:val="26"/>
        </w:numPr>
        <w:rPr>
          <w:rFonts w:ascii="Calibri" w:cs="Calibri" w:eastAsia="Calibri" w:hAnsi="Calibri"/>
          <w:sz w:val="18"/>
          <w:szCs w:val="18"/>
          <w:color w:val="auto"/>
        </w:rPr>
      </w:pPr>
      <w:r>
        <w:rPr>
          <w:rFonts w:ascii="Times New Roman" w:cs="Times New Roman" w:eastAsia="Times New Roman" w:hAnsi="Times New Roman"/>
          <w:sz w:val="18"/>
          <w:szCs w:val="18"/>
          <w:color w:val="auto"/>
        </w:rPr>
        <w:t>The Phase 1 CYB004 study results showed that IV CYB004 demonstrated robust and rapid-onset psychedelic effects at lower doses compared to</w:t>
      </w:r>
    </w:p>
    <w:p>
      <w:pPr>
        <w:spacing w:after="0" w:line="46" w:lineRule="exact"/>
        <w:rPr>
          <w:rFonts w:ascii="Calibri" w:cs="Calibri" w:eastAsia="Calibri" w:hAnsi="Calibri"/>
          <w:sz w:val="18"/>
          <w:szCs w:val="18"/>
          <w:color w:val="auto"/>
        </w:rPr>
      </w:pPr>
    </w:p>
    <w:p>
      <w:pPr>
        <w:ind w:left="580" w:right="20"/>
        <w:spacing w:after="0" w:line="287" w:lineRule="auto"/>
        <w:rPr>
          <w:rFonts w:ascii="Calibri" w:cs="Calibri" w:eastAsia="Calibri" w:hAnsi="Calibri"/>
          <w:sz w:val="18"/>
          <w:szCs w:val="18"/>
          <w:color w:val="auto"/>
        </w:rPr>
      </w:pPr>
      <w:r>
        <w:rPr>
          <w:rFonts w:ascii="Times New Roman" w:cs="Times New Roman" w:eastAsia="Times New Roman" w:hAnsi="Times New Roman"/>
          <w:sz w:val="18"/>
          <w:szCs w:val="18"/>
          <w:color w:val="auto"/>
        </w:rPr>
        <w:t>native DMT. These psychedelic effects were rapid in onset when administered as an IV bolus over five minutes and persisted for about 40 minutes after the bolus without the need for an extended infusion.</w:t>
      </w:r>
    </w:p>
    <w:p>
      <w:pPr>
        <w:ind w:left="580" w:right="20" w:hanging="296"/>
        <w:spacing w:after="0" w:line="292" w:lineRule="auto"/>
        <w:tabs>
          <w:tab w:leader="none" w:pos="576" w:val="left"/>
        </w:tabs>
        <w:numPr>
          <w:ilvl w:val="0"/>
          <w:numId w:val="26"/>
        </w:numPr>
        <w:rPr>
          <w:rFonts w:ascii="Calibri" w:cs="Calibri" w:eastAsia="Calibri" w:hAnsi="Calibri"/>
          <w:sz w:val="18"/>
          <w:szCs w:val="18"/>
          <w:color w:val="auto"/>
        </w:rPr>
      </w:pPr>
      <w:r>
        <w:rPr>
          <w:rFonts w:ascii="Times New Roman" w:cs="Times New Roman" w:eastAsia="Times New Roman" w:hAnsi="Times New Roman"/>
          <w:sz w:val="18"/>
          <w:szCs w:val="18"/>
          <w:color w:val="auto"/>
        </w:rPr>
        <w:t>The Phase 1 SPL028 study identified an IM dose of SPL028 that resulted in a breakthrough psychedelic experience, with a total duration ranging from 55 to 120 minutes.</w:t>
      </w:r>
    </w:p>
    <w:p>
      <w:pPr>
        <w:ind w:left="580" w:hanging="296"/>
        <w:spacing w:after="0" w:line="322" w:lineRule="auto"/>
        <w:tabs>
          <w:tab w:leader="none" w:pos="576" w:val="left"/>
        </w:tabs>
        <w:numPr>
          <w:ilvl w:val="0"/>
          <w:numId w:val="26"/>
        </w:numPr>
        <w:rPr>
          <w:rFonts w:ascii="Calibri" w:cs="Calibri" w:eastAsia="Calibri" w:hAnsi="Calibri"/>
          <w:sz w:val="18"/>
          <w:szCs w:val="18"/>
          <w:color w:val="auto"/>
        </w:rPr>
      </w:pPr>
      <w:r>
        <w:rPr>
          <w:rFonts w:ascii="Times New Roman" w:cs="Times New Roman" w:eastAsia="Times New Roman" w:hAnsi="Times New Roman"/>
          <w:sz w:val="18"/>
          <w:szCs w:val="18"/>
          <w:color w:val="auto"/>
        </w:rPr>
        <w:t>Both CYB004 (IV) and SPL028 (IM and IV) were well-tolerated with no serious adverse events, and the majority of adverse events were mild to moderate and self-limiting.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ectPr>
          <w:pgSz w:w="11900" w:h="16838" w:orient="portrait"/>
          <w:cols w:equalWidth="0" w:num="1">
            <w:col w:w="11260"/>
          </w:cols>
          <w:pgMar w:left="320" w:top="1303" w:right="319" w:bottom="1440" w:gutter="0" w:footer="0" w:header="0"/>
        </w:sectPr>
      </w:pPr>
    </w:p>
    <w:bookmarkStart w:id="42" w:name="page43"/>
    <w:bookmarkEnd w:id="42"/>
    <w:p>
      <w:pPr>
        <w:spacing w:after="0" w:line="82" w:lineRule="exact"/>
        <w:rPr>
          <w:sz w:val="20"/>
          <w:szCs w:val="20"/>
          <w:color w:val="auto"/>
        </w:rPr>
      </w:pPr>
    </w:p>
    <w:p>
      <w:pPr>
        <w:ind w:left="3"/>
        <w:spacing w:after="0"/>
        <w:rPr>
          <w:sz w:val="20"/>
          <w:szCs w:val="20"/>
          <w:color w:val="auto"/>
        </w:rPr>
      </w:pPr>
      <w:r>
        <w:rPr>
          <w:rFonts w:ascii="Times New Roman" w:cs="Times New Roman" w:eastAsia="Times New Roman" w:hAnsi="Times New Roman"/>
          <w:sz w:val="18"/>
          <w:szCs w:val="18"/>
          <w:color w:val="auto"/>
        </w:rPr>
        <w:t>On January 23, 2024, the Company announced that it had received FDA clearance to initiate a Phase 2 study of CYB004 in GAD.</w:t>
      </w:r>
    </w:p>
    <w:p>
      <w:pPr>
        <w:spacing w:after="0" w:line="264" w:lineRule="exact"/>
        <w:rPr>
          <w:sz w:val="20"/>
          <w:szCs w:val="20"/>
          <w:color w:val="auto"/>
        </w:rPr>
      </w:pPr>
    </w:p>
    <w:p>
      <w:pPr>
        <w:ind w:left="3"/>
        <w:spacing w:after="0"/>
        <w:rPr>
          <w:sz w:val="20"/>
          <w:szCs w:val="20"/>
          <w:color w:val="auto"/>
        </w:rPr>
      </w:pPr>
      <w:r>
        <w:rPr>
          <w:rFonts w:ascii="Times New Roman" w:cs="Times New Roman" w:eastAsia="Times New Roman" w:hAnsi="Times New Roman"/>
          <w:sz w:val="18"/>
          <w:szCs w:val="18"/>
          <w:color w:val="auto"/>
        </w:rPr>
        <w:t>On March 15, 2024, the Company announced that it had initiated a Phase 2 study of IM CYB004 in participants with moderate to severe GAD.</w:t>
      </w:r>
    </w:p>
    <w:p>
      <w:pPr>
        <w:spacing w:after="0" w:line="252" w:lineRule="exact"/>
        <w:rPr>
          <w:sz w:val="20"/>
          <w:szCs w:val="20"/>
          <w:color w:val="auto"/>
        </w:rPr>
      </w:pPr>
    </w:p>
    <w:p>
      <w:pPr>
        <w:ind w:left="3"/>
        <w:spacing w:after="0"/>
        <w:rPr>
          <w:sz w:val="20"/>
          <w:szCs w:val="20"/>
          <w:color w:val="auto"/>
        </w:rPr>
      </w:pPr>
      <w:r>
        <w:rPr>
          <w:rFonts w:ascii="Times New Roman" w:cs="Times New Roman" w:eastAsia="Times New Roman" w:hAnsi="Times New Roman"/>
          <w:sz w:val="18"/>
          <w:szCs w:val="18"/>
          <w:u w:val="single" w:color="auto"/>
          <w:color w:val="auto"/>
        </w:rPr>
        <w:t>About the Phase 2 CYB004 Study in GAD</w:t>
      </w:r>
    </w:p>
    <w:p>
      <w:pPr>
        <w:spacing w:after="0" w:line="252" w:lineRule="exact"/>
        <w:rPr>
          <w:sz w:val="20"/>
          <w:szCs w:val="20"/>
          <w:color w:val="auto"/>
        </w:rPr>
      </w:pPr>
    </w:p>
    <w:p>
      <w:pPr>
        <w:jc w:val="both"/>
        <w:ind w:left="3"/>
        <w:spacing w:after="0" w:line="290" w:lineRule="auto"/>
        <w:rPr>
          <w:sz w:val="20"/>
          <w:szCs w:val="20"/>
          <w:color w:val="auto"/>
        </w:rPr>
      </w:pPr>
      <w:r>
        <w:rPr>
          <w:rFonts w:ascii="Times New Roman" w:cs="Times New Roman" w:eastAsia="Times New Roman" w:hAnsi="Times New Roman"/>
          <w:sz w:val="18"/>
          <w:szCs w:val="18"/>
          <w:color w:val="auto"/>
        </w:rPr>
        <w:t>The CYB004-002 Phase 2 study is a randomized, double-blind study which will evaluate the safety and efficacy of CYB004 in participants with moderate to severe GAD (GAD-7 score ≥10), with concomitant antidepressant/anxiolytic treatment and co-morbid depression allowed. The study will recruit approximately 36 participants, who will be randomized in a double-blind manner, into two groups. The first group will receive two IM doses of CYB004, three weeks apart, while the second group will receive two low-dose control administrations of sub-therapeutic doses of CYB004. The primary endpoint is a change in the Hamilton Anxiety Rating Scale score from baseline at six weeks following the second dose. Other endpoints include the HAM-D (Hamilton Depression Rating Scale), safety assessments, MEQ30 (psychedelic experience assessment) and EQ-5D-5L (quality of life assessment). Participants will be followed for up to a year. Results from this study are expected to provide proof of concept for CYB004’s efficacy in GAD, the time to onset of effects, as well as durability of effects to one year.</w:t>
      </w:r>
    </w:p>
    <w:p>
      <w:pPr>
        <w:spacing w:after="0" w:line="187" w:lineRule="exact"/>
        <w:rPr>
          <w:sz w:val="20"/>
          <w:szCs w:val="20"/>
          <w:color w:val="auto"/>
        </w:rPr>
      </w:pPr>
    </w:p>
    <w:p>
      <w:pPr>
        <w:jc w:val="both"/>
        <w:ind w:left="3" w:right="20"/>
        <w:spacing w:after="0" w:line="323" w:lineRule="auto"/>
        <w:rPr>
          <w:sz w:val="20"/>
          <w:szCs w:val="20"/>
          <w:color w:val="auto"/>
        </w:rPr>
      </w:pPr>
      <w:r>
        <w:rPr>
          <w:rFonts w:ascii="Times New Roman" w:cs="Times New Roman" w:eastAsia="Times New Roman" w:hAnsi="Times New Roman"/>
          <w:sz w:val="18"/>
          <w:szCs w:val="18"/>
          <w:color w:val="auto"/>
        </w:rPr>
        <w:t>The Company spent approximately $4,511 on its Deuterated Dimethyltryptamine Program during the six months ended September 30, 2024 related to the milestones detailed below.</w:t>
      </w:r>
    </w:p>
    <w:p>
      <w:pPr>
        <w:spacing w:after="0" w:line="156" w:lineRule="exact"/>
        <w:rPr>
          <w:sz w:val="20"/>
          <w:szCs w:val="20"/>
          <w:color w:val="auto"/>
        </w:rPr>
      </w:pPr>
    </w:p>
    <w:p>
      <w:pPr>
        <w:jc w:val="both"/>
        <w:ind w:left="3" w:right="20"/>
        <w:spacing w:after="0" w:line="309" w:lineRule="auto"/>
        <w:rPr>
          <w:sz w:val="20"/>
          <w:szCs w:val="20"/>
          <w:color w:val="auto"/>
        </w:rPr>
      </w:pPr>
      <w:r>
        <w:rPr>
          <w:rFonts w:ascii="Times New Roman" w:cs="Times New Roman" w:eastAsia="Times New Roman" w:hAnsi="Times New Roman"/>
          <w:sz w:val="18"/>
          <w:szCs w:val="18"/>
          <w:color w:val="auto"/>
        </w:rPr>
        <w:t>As the Company continues to progress its Deuterated Dimethyltryptamine Program, additional milestones related to its clinical development have been identified. The Company intends to:</w:t>
      </w:r>
    </w:p>
    <w:p>
      <w:pPr>
        <w:spacing w:after="0" w:line="180" w:lineRule="exact"/>
        <w:rPr>
          <w:sz w:val="20"/>
          <w:szCs w:val="20"/>
          <w:color w:val="auto"/>
        </w:rPr>
      </w:pPr>
    </w:p>
    <w:p>
      <w:pPr>
        <w:ind w:left="583" w:right="20" w:hanging="296"/>
        <w:spacing w:after="0" w:line="319" w:lineRule="auto"/>
        <w:tabs>
          <w:tab w:leader="none" w:pos="579" w:val="left"/>
        </w:tabs>
        <w:numPr>
          <w:ilvl w:val="0"/>
          <w:numId w:val="27"/>
        </w:numPr>
        <w:rPr>
          <w:rFonts w:ascii="Calibri" w:cs="Calibri" w:eastAsia="Calibri" w:hAnsi="Calibri"/>
          <w:sz w:val="18"/>
          <w:szCs w:val="18"/>
          <w:color w:val="auto"/>
        </w:rPr>
      </w:pPr>
      <w:r>
        <w:rPr>
          <w:rFonts w:ascii="Times New Roman" w:cs="Times New Roman" w:eastAsia="Times New Roman" w:hAnsi="Times New Roman"/>
          <w:sz w:val="18"/>
          <w:szCs w:val="18"/>
          <w:color w:val="auto"/>
        </w:rPr>
        <w:t>provide topline safety and efficacy data from Phase 2 GAD study around year end 2024 or early Q1 2025. Dosing is underway in the Phase 2 GAD study.</w:t>
      </w:r>
      <w:r>
        <w:rPr>
          <w:rFonts w:ascii="Times New Roman" w:cs="Times New Roman" w:eastAsia="Times New Roman" w:hAnsi="Times New Roman"/>
          <w:sz w:val="23"/>
          <w:szCs w:val="23"/>
          <w:color w:val="auto"/>
          <w:vertAlign w:val="superscript"/>
        </w:rPr>
        <w:t>14</w:t>
      </w:r>
    </w:p>
    <w:p>
      <w:pPr>
        <w:spacing w:after="0" w:line="94" w:lineRule="exact"/>
        <w:rPr>
          <w:sz w:val="20"/>
          <w:szCs w:val="20"/>
          <w:color w:val="auto"/>
        </w:rPr>
      </w:pPr>
    </w:p>
    <w:p>
      <w:pPr>
        <w:jc w:val="both"/>
        <w:ind w:left="3" w:right="20"/>
        <w:spacing w:after="0" w:line="296" w:lineRule="auto"/>
        <w:rPr>
          <w:sz w:val="20"/>
          <w:szCs w:val="20"/>
          <w:color w:val="auto"/>
        </w:rPr>
      </w:pPr>
      <w:r>
        <w:rPr>
          <w:rFonts w:ascii="Times New Roman" w:cs="Times New Roman" w:eastAsia="Times New Roman" w:hAnsi="Times New Roman"/>
          <w:sz w:val="18"/>
          <w:szCs w:val="18"/>
          <w:color w:val="auto"/>
        </w:rPr>
        <w:t>The Company expects to spend approximately $5,720 to provide topline safety and efficacy data from Phase 2 GAD study around year end 2024 or early Q1 2025 of which approximately $2,205 was spent during the six months ended September 30, 2024 and approximately $58 was spent during the financial year ended March 31, 2024, resulting in an approximate remaining spend as of September 30, 2024 of $3,457 by Q4 2024.</w:t>
      </w:r>
      <w:r>
        <w:rPr>
          <w:rFonts w:ascii="Times New Roman" w:cs="Times New Roman" w:eastAsia="Times New Roman" w:hAnsi="Times New Roman"/>
          <w:sz w:val="23"/>
          <w:szCs w:val="23"/>
          <w:color w:val="auto"/>
          <w:vertAlign w:val="superscript"/>
        </w:rPr>
        <w:t>15</w:t>
      </w:r>
    </w:p>
    <w:p>
      <w:pPr>
        <w:spacing w:after="0" w:line="118" w:lineRule="exact"/>
        <w:rPr>
          <w:sz w:val="20"/>
          <w:szCs w:val="20"/>
          <w:color w:val="auto"/>
        </w:rPr>
      </w:pPr>
    </w:p>
    <w:p>
      <w:pPr>
        <w:ind w:left="3"/>
        <w:spacing w:after="0"/>
        <w:rPr>
          <w:sz w:val="20"/>
          <w:szCs w:val="20"/>
          <w:color w:val="auto"/>
        </w:rPr>
      </w:pPr>
      <w:r>
        <w:rPr>
          <w:rFonts w:ascii="Times New Roman" w:cs="Times New Roman" w:eastAsia="Times New Roman" w:hAnsi="Times New Roman"/>
          <w:sz w:val="18"/>
          <w:szCs w:val="18"/>
          <w:color w:val="auto"/>
        </w:rPr>
        <w:t>The Company intends to continue funding the Deuterated Dimethyltryptamine (CYB004) Program.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265430</wp:posOffset>
            </wp:positionV>
            <wp:extent cx="1535430" cy="762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1535430" cy="7620"/>
                    </a:xfrm>
                    <a:prstGeom prst="rect">
                      <a:avLst/>
                    </a:prstGeom>
                    <a:noFill/>
                  </pic:spPr>
                </pic:pic>
              </a:graphicData>
            </a:graphic>
          </wp:anchor>
        </w:drawing>
      </w:r>
    </w:p>
    <w:p>
      <w:pPr>
        <w:spacing w:after="0" w:line="200" w:lineRule="exact"/>
        <w:rPr>
          <w:sz w:val="20"/>
          <w:szCs w:val="20"/>
          <w:color w:val="auto"/>
        </w:rPr>
      </w:pPr>
    </w:p>
    <w:p>
      <w:pPr>
        <w:spacing w:after="0" w:line="265" w:lineRule="exact"/>
        <w:rPr>
          <w:sz w:val="20"/>
          <w:szCs w:val="20"/>
          <w:color w:val="auto"/>
        </w:rPr>
      </w:pPr>
    </w:p>
    <w:p>
      <w:pPr>
        <w:ind w:left="123" w:hanging="123"/>
        <w:spacing w:after="0"/>
        <w:tabs>
          <w:tab w:leader="none" w:pos="123" w:val="left"/>
        </w:tabs>
        <w:numPr>
          <w:ilvl w:val="0"/>
          <w:numId w:val="28"/>
        </w:numPr>
        <w:rPr>
          <w:rFonts w:ascii="Times New Roman" w:cs="Times New Roman" w:eastAsia="Times New Roman" w:hAnsi="Times New Roman"/>
          <w:sz w:val="18"/>
          <w:szCs w:val="18"/>
          <w:color w:val="auto"/>
          <w:vertAlign w:val="superscript"/>
        </w:rPr>
      </w:pPr>
      <w:r>
        <w:rPr>
          <w:rFonts w:ascii="Times New Roman" w:cs="Times New Roman" w:eastAsia="Times New Roman" w:hAnsi="Times New Roman"/>
          <w:sz w:val="14"/>
          <w:szCs w:val="14"/>
          <w:color w:val="auto"/>
        </w:rPr>
        <w:t>See footnote 10.</w:t>
      </w:r>
    </w:p>
    <w:p>
      <w:pPr>
        <w:spacing w:after="0" w:line="32" w:lineRule="exact"/>
        <w:rPr>
          <w:rFonts w:ascii="Times New Roman" w:cs="Times New Roman" w:eastAsia="Times New Roman" w:hAnsi="Times New Roman"/>
          <w:sz w:val="18"/>
          <w:szCs w:val="18"/>
          <w:color w:val="auto"/>
          <w:vertAlign w:val="superscript"/>
        </w:rPr>
      </w:pPr>
    </w:p>
    <w:p>
      <w:pPr>
        <w:jc w:val="both"/>
        <w:ind w:left="3" w:hanging="3"/>
        <w:spacing w:after="0" w:line="257" w:lineRule="auto"/>
        <w:tabs>
          <w:tab w:leader="none" w:pos="144" w:val="left"/>
        </w:tabs>
        <w:numPr>
          <w:ilvl w:val="0"/>
          <w:numId w:val="28"/>
        </w:numPr>
        <w:rPr>
          <w:rFonts w:ascii="Times New Roman" w:cs="Times New Roman" w:eastAsia="Times New Roman" w:hAnsi="Times New Roman"/>
          <w:sz w:val="19"/>
          <w:szCs w:val="19"/>
          <w:color w:val="auto"/>
          <w:vertAlign w:val="superscript"/>
        </w:rPr>
      </w:pPr>
      <w:r>
        <w:rPr>
          <w:rFonts w:ascii="Times New Roman" w:cs="Times New Roman" w:eastAsia="Times New Roman" w:hAnsi="Times New Roman"/>
          <w:sz w:val="15"/>
          <w:szCs w:val="15"/>
          <w:color w:val="auto"/>
        </w:rPr>
        <w:t>The Company had previously estimated that its spending to complete this milestone would be $5,521. Anticipated timing and spending regarding drug development is based on reasonable assumptions informed by current knowledge and information available to the Company. Such statements are informed by, among other things, regulatory guidelines for developing a drug with safety studies, proof of concept studies, and pivotal studies for new drug application submission and approval, and assumes the success of implementation and results of such studies on timelines indicated as possible by such guidelines, other industry examples, and the Company’s development efforts to date. See footnote 10.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jc w:val="center"/>
        <w:ind w:right="-2"/>
        <w:spacing w:after="0"/>
        <w:rPr>
          <w:sz w:val="20"/>
          <w:szCs w:val="20"/>
          <w:color w:val="auto"/>
        </w:rPr>
      </w:pPr>
      <w:r>
        <w:rPr>
          <w:rFonts w:ascii="Times New Roman" w:cs="Times New Roman" w:eastAsia="Times New Roman" w:hAnsi="Times New Roman"/>
          <w:sz w:val="18"/>
          <w:szCs w:val="18"/>
          <w:color w:val="auto"/>
        </w:rPr>
        <w:t>17</w:t>
      </w:r>
    </w:p>
    <w:p>
      <w:pPr>
        <w:sectPr>
          <w:pgSz w:w="11900" w:h="16838" w:orient="portrait"/>
          <w:cols w:equalWidth="0" w:num="1">
            <w:col w:w="11263"/>
          </w:cols>
          <w:pgMar w:left="317" w:top="1440" w:right="319" w:bottom="1440" w:gutter="0" w:footer="0" w:header="0"/>
        </w:sectPr>
      </w:pPr>
    </w:p>
    <w:bookmarkStart w:id="43" w:name="page44"/>
    <w:bookmarkEnd w:id="43"/>
    <w:p>
      <w:pPr>
        <w:jc w:val="both"/>
        <w:ind w:left="3" w:right="20"/>
        <w:spacing w:after="0" w:line="308" w:lineRule="auto"/>
        <w:rPr>
          <w:sz w:val="20"/>
          <w:szCs w:val="20"/>
          <w:color w:val="auto"/>
        </w:rPr>
      </w:pPr>
      <w:r>
        <w:rPr>
          <w:rFonts w:ascii="Times New Roman" w:cs="Times New Roman" w:eastAsia="Times New Roman" w:hAnsi="Times New Roman"/>
          <w:sz w:val="18"/>
          <w:szCs w:val="18"/>
          <w:color w:val="auto"/>
        </w:rPr>
        <w:t>In addition, following the acquisition of Small Pharma, the Company is continuing to assess and will provide further information and updates upon completion of the integration of Small Pharma’s business, including the anticipated spend associated with the SPL028 study.</w:t>
      </w:r>
      <w:r>
        <w:rPr>
          <w:rFonts w:ascii="Times New Roman" w:cs="Times New Roman" w:eastAsia="Times New Roman" w:hAnsi="Times New Roman"/>
          <w:sz w:val="23"/>
          <w:szCs w:val="23"/>
          <w:color w:val="auto"/>
          <w:vertAlign w:val="superscript"/>
        </w:rPr>
        <w:t>16</w:t>
      </w:r>
    </w:p>
    <w:p>
      <w:pPr>
        <w:spacing w:after="0" w:line="108" w:lineRule="exact"/>
        <w:rPr>
          <w:sz w:val="20"/>
          <w:szCs w:val="20"/>
          <w:color w:val="auto"/>
        </w:rPr>
      </w:pPr>
    </w:p>
    <w:p>
      <w:pPr>
        <w:ind w:left="3"/>
        <w:spacing w:after="0"/>
        <w:rPr>
          <w:sz w:val="20"/>
          <w:szCs w:val="20"/>
          <w:color w:val="auto"/>
        </w:rPr>
      </w:pPr>
      <w:r>
        <w:rPr>
          <w:rFonts w:ascii="Times New Roman" w:cs="Times New Roman" w:eastAsia="Times New Roman" w:hAnsi="Times New Roman"/>
          <w:sz w:val="18"/>
          <w:szCs w:val="18"/>
          <w:u w:val="single" w:color="auto"/>
          <w:color w:val="auto"/>
        </w:rPr>
        <w:t>Phenethylamine Derivatives Program (CYB005)</w:t>
      </w:r>
    </w:p>
    <w:p>
      <w:pPr>
        <w:spacing w:after="0" w:line="252" w:lineRule="exact"/>
        <w:rPr>
          <w:sz w:val="20"/>
          <w:szCs w:val="20"/>
          <w:color w:val="auto"/>
        </w:rPr>
      </w:pPr>
    </w:p>
    <w:p>
      <w:pPr>
        <w:jc w:val="both"/>
        <w:ind w:left="3"/>
        <w:spacing w:after="0" w:line="297" w:lineRule="auto"/>
        <w:rPr>
          <w:sz w:val="20"/>
          <w:szCs w:val="20"/>
          <w:color w:val="auto"/>
        </w:rPr>
      </w:pPr>
      <w:r>
        <w:rPr>
          <w:rFonts w:ascii="Times New Roman" w:cs="Times New Roman" w:eastAsia="Times New Roman" w:hAnsi="Times New Roman"/>
          <w:sz w:val="17"/>
          <w:szCs w:val="17"/>
          <w:color w:val="auto"/>
        </w:rPr>
        <w:t>The Company’s Phenethylamine Derivatives Program (CYB005) is focused on the development of therapeutic phenethylamine derivatives. Multiple phenethylamines have been shown to have psychedelic properties and several, such as MDMA, have shown promise as therapeutics. Cybin’s proprietary approach to phenethylamines modification with novel chemistry, proprietary formulations and directed delivery systems has yielded a number of novel, IP-protected leads with significant therapeutic potential. Several compounds are now being further studied both in vitro and in vivo for selection of the best development candidates, including evaluating the benefits of sub-psychedelic, chronic dosing. The Company is investigating the effects of phenethylamine derivatives on neuroplasticity, and for the potential treatment of CNS disorders, neuroinflammation and other neurological conditions.</w:t>
      </w:r>
      <w:r>
        <w:rPr>
          <w:rFonts w:ascii="Times New Roman" w:cs="Times New Roman" w:eastAsia="Times New Roman" w:hAnsi="Times New Roman"/>
          <w:sz w:val="22"/>
          <w:szCs w:val="22"/>
          <w:color w:val="auto"/>
          <w:vertAlign w:val="superscript"/>
        </w:rPr>
        <w:t>17</w:t>
      </w:r>
      <w:r>
        <w:rPr>
          <w:rFonts w:ascii="Times New Roman" w:cs="Times New Roman" w:eastAsia="Times New Roman" w:hAnsi="Times New Roman"/>
          <w:sz w:val="17"/>
          <w:szCs w:val="17"/>
          <w:color w:val="auto"/>
        </w:rPr>
        <w:t xml:space="preserve"> The Company is investigating novel molecules within the CYB005 program at non-hallucinogenic doses for a range of CNS disorders. In addition, the Company is continuing to explore non-hallucinogenic neuroplastogens within its broader discovery pipeline, as well as targeted serotonin 5-HT</w:t>
      </w:r>
      <w:r>
        <w:rPr>
          <w:rFonts w:ascii="Times New Roman" w:cs="Times New Roman" w:eastAsia="Times New Roman" w:hAnsi="Times New Roman"/>
          <w:sz w:val="22"/>
          <w:szCs w:val="22"/>
          <w:color w:val="auto"/>
          <w:vertAlign w:val="subscript"/>
        </w:rPr>
        <w:t>1A</w:t>
      </w:r>
      <w:r>
        <w:rPr>
          <w:rFonts w:ascii="Times New Roman" w:cs="Times New Roman" w:eastAsia="Times New Roman" w:hAnsi="Times New Roman"/>
          <w:sz w:val="17"/>
          <w:szCs w:val="17"/>
          <w:color w:val="auto"/>
        </w:rPr>
        <w:t xml:space="preserve"> and 5-HT</w:t>
      </w:r>
      <w:r>
        <w:rPr>
          <w:rFonts w:ascii="Times New Roman" w:cs="Times New Roman" w:eastAsia="Times New Roman" w:hAnsi="Times New Roman"/>
          <w:sz w:val="22"/>
          <w:szCs w:val="22"/>
          <w:color w:val="auto"/>
          <w:vertAlign w:val="subscript"/>
        </w:rPr>
        <w:t>2C</w:t>
      </w:r>
      <w:r>
        <w:rPr>
          <w:rFonts w:ascii="Times New Roman" w:cs="Times New Roman" w:eastAsia="Times New Roman" w:hAnsi="Times New Roman"/>
          <w:sz w:val="17"/>
          <w:szCs w:val="17"/>
          <w:color w:val="auto"/>
        </w:rPr>
        <w:t xml:space="preserve"> receptor agonists</w:t>
      </w:r>
      <w:r>
        <w:rPr>
          <w:rFonts w:ascii="Times New Roman" w:cs="Times New Roman" w:eastAsia="Times New Roman" w:hAnsi="Times New Roman"/>
          <w:sz w:val="22"/>
          <w:szCs w:val="22"/>
          <w:color w:val="auto"/>
          <w:vertAlign w:val="superscript"/>
        </w:rPr>
        <w:t>18</w:t>
      </w:r>
      <w:r>
        <w:rPr>
          <w:rFonts w:ascii="Times New Roman" w:cs="Times New Roman" w:eastAsia="Times New Roman" w:hAnsi="Times New Roman"/>
          <w:sz w:val="17"/>
          <w:szCs w:val="17"/>
          <w:color w:val="auto"/>
        </w:rPr>
        <w:t>.</w:t>
      </w:r>
    </w:p>
    <w:p>
      <w:pPr>
        <w:spacing w:after="0" w:line="110" w:lineRule="exact"/>
        <w:rPr>
          <w:sz w:val="20"/>
          <w:szCs w:val="20"/>
          <w:color w:val="auto"/>
        </w:rPr>
      </w:pPr>
    </w:p>
    <w:p>
      <w:pPr>
        <w:jc w:val="both"/>
        <w:ind w:left="3"/>
        <w:spacing w:after="0" w:line="291" w:lineRule="auto"/>
        <w:rPr>
          <w:sz w:val="20"/>
          <w:szCs w:val="20"/>
          <w:color w:val="auto"/>
        </w:rPr>
      </w:pPr>
      <w:r>
        <w:rPr>
          <w:rFonts w:ascii="Times New Roman" w:cs="Times New Roman" w:eastAsia="Times New Roman" w:hAnsi="Times New Roman"/>
          <w:sz w:val="18"/>
          <w:szCs w:val="18"/>
          <w:color w:val="auto"/>
        </w:rPr>
        <w:t>In order to assess the feasibility and viability of these phenethylamine derivatives entering clinical studies, the Company has and will continue to contract with reputable and licensed third-party vendors to undertake extensive preclinical characterization of target molecules on the Company’s behalf. These activities include, but are not limited to: the synthesis of such molecules as API at laboratory scale, the development and optimization of production processes for such APIs, the development of stable formulations utilizing these APIs, the development and validation of analytical methods for such formulations, the scale up of API production processes beyond laboratory scale to deliver GLP and GMP material suitable for entry into animal and human studies, studies of the stability of such formulations suitable for human studies, the development of Chemistry, Manufacturing and Controls to meet cGMP.</w:t>
      </w:r>
    </w:p>
    <w:p>
      <w:pPr>
        <w:spacing w:after="0" w:line="199" w:lineRule="exact"/>
        <w:rPr>
          <w:sz w:val="20"/>
          <w:szCs w:val="20"/>
          <w:color w:val="auto"/>
        </w:rPr>
      </w:pPr>
    </w:p>
    <w:p>
      <w:pPr>
        <w:jc w:val="both"/>
        <w:ind w:left="3" w:right="20"/>
        <w:spacing w:after="0" w:line="309" w:lineRule="auto"/>
        <w:rPr>
          <w:sz w:val="20"/>
          <w:szCs w:val="20"/>
          <w:color w:val="auto"/>
        </w:rPr>
      </w:pPr>
      <w:r>
        <w:rPr>
          <w:rFonts w:ascii="Times New Roman" w:cs="Times New Roman" w:eastAsia="Times New Roman" w:hAnsi="Times New Roman"/>
          <w:sz w:val="18"/>
          <w:szCs w:val="18"/>
          <w:color w:val="auto"/>
        </w:rPr>
        <w:t>In addition, utilizing the expertise of selected third parties, the Company intends to oversee the study of the pharmacokinetic profiles of its formulations in a number of animal models and the completion of Absorption, Distribution, Metabolism, and Excretion (“</w:t>
      </w:r>
      <w:r>
        <w:rPr>
          <w:rFonts w:ascii="Times New Roman" w:cs="Times New Roman" w:eastAsia="Times New Roman" w:hAnsi="Times New Roman"/>
          <w:sz w:val="18"/>
          <w:szCs w:val="18"/>
          <w:b w:val="1"/>
          <w:bCs w:val="1"/>
          <w:color w:val="auto"/>
        </w:rPr>
        <w:t>ADME</w:t>
      </w:r>
      <w:r>
        <w:rPr>
          <w:rFonts w:ascii="Times New Roman" w:cs="Times New Roman" w:eastAsia="Times New Roman" w:hAnsi="Times New Roman"/>
          <w:sz w:val="18"/>
          <w:szCs w:val="18"/>
          <w:color w:val="auto"/>
        </w:rPr>
        <w:t>”) profiles. Further, the Company’s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73660</wp:posOffset>
            </wp:positionV>
            <wp:extent cx="1535430" cy="762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1535430" cy="7620"/>
                    </a:xfrm>
                    <a:prstGeom prst="rect">
                      <a:avLst/>
                    </a:prstGeom>
                    <a:noFill/>
                  </pic:spPr>
                </pic:pic>
              </a:graphicData>
            </a:graphic>
          </wp:anchor>
        </w:drawing>
      </w:r>
    </w:p>
    <w:p>
      <w:pPr>
        <w:spacing w:after="0" w:line="163" w:lineRule="exact"/>
        <w:rPr>
          <w:sz w:val="20"/>
          <w:szCs w:val="20"/>
          <w:color w:val="auto"/>
        </w:rPr>
      </w:pPr>
    </w:p>
    <w:p>
      <w:pPr>
        <w:ind w:left="123" w:hanging="123"/>
        <w:spacing w:after="0"/>
        <w:tabs>
          <w:tab w:leader="none" w:pos="123" w:val="left"/>
        </w:tabs>
        <w:numPr>
          <w:ilvl w:val="0"/>
          <w:numId w:val="29"/>
        </w:numPr>
        <w:rPr>
          <w:rFonts w:ascii="Times New Roman" w:cs="Times New Roman" w:eastAsia="Times New Roman" w:hAnsi="Times New Roman"/>
          <w:sz w:val="18"/>
          <w:szCs w:val="18"/>
          <w:color w:val="auto"/>
          <w:vertAlign w:val="superscript"/>
        </w:rPr>
      </w:pPr>
      <w:r>
        <w:rPr>
          <w:rFonts w:ascii="Times New Roman" w:cs="Times New Roman" w:eastAsia="Times New Roman" w:hAnsi="Times New Roman"/>
          <w:sz w:val="14"/>
          <w:szCs w:val="14"/>
          <w:color w:val="auto"/>
        </w:rPr>
        <w:t>See footnote 10.</w:t>
      </w:r>
    </w:p>
    <w:p>
      <w:pPr>
        <w:spacing w:after="0" w:line="8" w:lineRule="exact"/>
        <w:rPr>
          <w:rFonts w:ascii="Times New Roman" w:cs="Times New Roman" w:eastAsia="Times New Roman" w:hAnsi="Times New Roman"/>
          <w:sz w:val="18"/>
          <w:szCs w:val="18"/>
          <w:color w:val="auto"/>
          <w:vertAlign w:val="superscript"/>
        </w:rPr>
      </w:pPr>
    </w:p>
    <w:p>
      <w:pPr>
        <w:jc w:val="both"/>
        <w:ind w:left="3" w:hanging="3"/>
        <w:spacing w:after="0" w:line="250" w:lineRule="auto"/>
        <w:tabs>
          <w:tab w:leader="none" w:pos="146" w:val="left"/>
        </w:tabs>
        <w:numPr>
          <w:ilvl w:val="0"/>
          <w:numId w:val="29"/>
        </w:numPr>
        <w:rPr>
          <w:rFonts w:ascii="Times New Roman" w:cs="Times New Roman" w:eastAsia="Times New Roman" w:hAnsi="Times New Roman"/>
          <w:sz w:val="19"/>
          <w:szCs w:val="19"/>
          <w:color w:val="auto"/>
          <w:vertAlign w:val="superscript"/>
        </w:rPr>
      </w:pPr>
      <w:r>
        <w:rPr>
          <w:rFonts w:ascii="Times New Roman" w:cs="Times New Roman" w:eastAsia="Times New Roman" w:hAnsi="Times New Roman"/>
          <w:sz w:val="15"/>
          <w:szCs w:val="15"/>
          <w:color w:val="auto"/>
        </w:rPr>
        <w:t>This statement is based on the following material factors and assumptions: (a) the Company assumes it will enter into a contract with a licensed third-party vendor to undertake extensive preclinical characterization of target molecules on the Company’s behalf; (b) the Company anticipates to complete a number of animal models and the completion of ADME profiles; (c) the Company assumes to enter into third party agreements in order to complete a range of additional preclinical programs including but not limited to dose-ranging studies in multiple animal species, toxicity studies in multiple animal species, genotoxicity studies, teratogenicity studies, along with neuropharmacological, pulmonary, and cardiovascular profiling before the final selection of drug candidates for entry into human trials; and (d) obtain an IND and/or a CTA to enter into clinical trials. As of the date hereof, it has not yet completed the aforementioned items. Such statements are informed by, among other things, regulatory guidelines for developing a drug with safety studies, proof of concept studies, and pivotal studies for new drug application submission and approval, and assumes the success of implementation and results of such studies on timelines indicated as possible by such guidelines, other industry examples, and the Company’s development efforts to date.</w:t>
      </w:r>
    </w:p>
    <w:p>
      <w:pPr>
        <w:spacing w:after="0" w:line="5" w:lineRule="exact"/>
        <w:rPr>
          <w:rFonts w:ascii="Times New Roman" w:cs="Times New Roman" w:eastAsia="Times New Roman" w:hAnsi="Times New Roman"/>
          <w:sz w:val="19"/>
          <w:szCs w:val="19"/>
          <w:color w:val="auto"/>
          <w:vertAlign w:val="superscript"/>
        </w:rPr>
      </w:pPr>
    </w:p>
    <w:p>
      <w:pPr>
        <w:ind w:left="183" w:hanging="183"/>
        <w:spacing w:after="0" w:line="181" w:lineRule="auto"/>
        <w:tabs>
          <w:tab w:leader="none" w:pos="183" w:val="left"/>
        </w:tabs>
        <w:numPr>
          <w:ilvl w:val="0"/>
          <w:numId w:val="29"/>
        </w:numPr>
        <w:rPr>
          <w:rFonts w:ascii="Times New Roman" w:cs="Times New Roman" w:eastAsia="Times New Roman" w:hAnsi="Times New Roman"/>
          <w:sz w:val="25"/>
          <w:szCs w:val="25"/>
          <w:color w:val="auto"/>
          <w:vertAlign w:val="superscript"/>
        </w:rPr>
      </w:pPr>
      <w:r>
        <w:rPr>
          <w:rFonts w:ascii="Times New Roman" w:cs="Times New Roman" w:eastAsia="Times New Roman" w:hAnsi="Times New Roman"/>
          <w:sz w:val="15"/>
          <w:szCs w:val="15"/>
          <w:color w:val="auto"/>
        </w:rPr>
        <w:t>See footnotes 10 and 17.</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jc w:val="center"/>
        <w:ind w:right="-2"/>
        <w:spacing w:after="0"/>
        <w:rPr>
          <w:sz w:val="20"/>
          <w:szCs w:val="20"/>
          <w:color w:val="auto"/>
        </w:rPr>
      </w:pPr>
      <w:r>
        <w:rPr>
          <w:rFonts w:ascii="Times New Roman" w:cs="Times New Roman" w:eastAsia="Times New Roman" w:hAnsi="Times New Roman"/>
          <w:sz w:val="18"/>
          <w:szCs w:val="18"/>
          <w:color w:val="auto"/>
        </w:rPr>
        <w:t>18</w:t>
      </w:r>
    </w:p>
    <w:p>
      <w:pPr>
        <w:sectPr>
          <w:pgSz w:w="11900" w:h="16838" w:orient="portrait"/>
          <w:cols w:equalWidth="0" w:num="1">
            <w:col w:w="11263"/>
          </w:cols>
          <w:pgMar w:left="317" w:top="1303" w:right="319" w:bottom="1440" w:gutter="0" w:footer="0" w:header="0"/>
        </w:sectPr>
      </w:pPr>
    </w:p>
    <w:bookmarkStart w:id="44" w:name="page45"/>
    <w:bookmarkEnd w:id="44"/>
    <w:p>
      <w:pPr>
        <w:jc w:val="both"/>
        <w:ind w:left="3"/>
        <w:spacing w:after="0" w:line="301" w:lineRule="auto"/>
        <w:rPr>
          <w:sz w:val="20"/>
          <w:szCs w:val="20"/>
          <w:color w:val="auto"/>
        </w:rPr>
      </w:pPr>
      <w:r>
        <w:rPr>
          <w:rFonts w:ascii="Times New Roman" w:cs="Times New Roman" w:eastAsia="Times New Roman" w:hAnsi="Times New Roman"/>
          <w:sz w:val="18"/>
          <w:szCs w:val="18"/>
          <w:color w:val="auto"/>
        </w:rPr>
        <w:t>licensed third party vendors will be responsible for completing a range of additional preclinical programs including, but not limited to, dose-ranging studies in multiple animal species, toxicity studies in multiple animal species, genotoxicity studies, along with neuropharmacological, pulmonary, and cardiovascular profiling, before the final selection of drug candidates for entry into human trials.</w:t>
      </w:r>
    </w:p>
    <w:p>
      <w:pPr>
        <w:spacing w:after="0" w:line="176" w:lineRule="exact"/>
        <w:rPr>
          <w:sz w:val="20"/>
          <w:szCs w:val="20"/>
          <w:color w:val="auto"/>
        </w:rPr>
      </w:pPr>
    </w:p>
    <w:p>
      <w:pPr>
        <w:jc w:val="both"/>
        <w:ind w:left="3" w:right="20"/>
        <w:spacing w:after="0" w:line="323" w:lineRule="auto"/>
        <w:rPr>
          <w:sz w:val="20"/>
          <w:szCs w:val="20"/>
          <w:color w:val="auto"/>
        </w:rPr>
      </w:pPr>
      <w:r>
        <w:rPr>
          <w:rFonts w:ascii="Times New Roman" w:cs="Times New Roman" w:eastAsia="Times New Roman" w:hAnsi="Times New Roman"/>
          <w:sz w:val="18"/>
          <w:szCs w:val="18"/>
          <w:color w:val="auto"/>
        </w:rPr>
        <w:t>The Company intends to complete these studies, and collect further relevant safety and toxicity data, prior to the filing for any IND application with the FDA, a CTA with Health Canada, or other similar application with regulatory bodies in other jurisdictions.</w:t>
      </w:r>
    </w:p>
    <w:p>
      <w:pPr>
        <w:spacing w:after="0" w:line="156" w:lineRule="exact"/>
        <w:rPr>
          <w:sz w:val="20"/>
          <w:szCs w:val="20"/>
          <w:color w:val="auto"/>
        </w:rPr>
      </w:pPr>
    </w:p>
    <w:p>
      <w:pPr>
        <w:jc w:val="both"/>
        <w:ind w:left="3" w:right="20"/>
        <w:spacing w:after="0" w:line="309" w:lineRule="auto"/>
        <w:rPr>
          <w:sz w:val="20"/>
          <w:szCs w:val="20"/>
          <w:color w:val="auto"/>
        </w:rPr>
      </w:pPr>
      <w:r>
        <w:rPr>
          <w:rFonts w:ascii="Times New Roman" w:cs="Times New Roman" w:eastAsia="Times New Roman" w:hAnsi="Times New Roman"/>
          <w:sz w:val="18"/>
          <w:szCs w:val="18"/>
          <w:color w:val="auto"/>
        </w:rPr>
        <w:t>On October 24, 2024, the Company announced that the United States Patent and Trademark Office granted U.S. patent 12,122,741 with claims to the composition of matter of lead preclinical candidates in the Company's CYB005 phenethylamines program.</w:t>
      </w:r>
    </w:p>
    <w:p>
      <w:pPr>
        <w:spacing w:after="0" w:line="180" w:lineRule="exact"/>
        <w:rPr>
          <w:sz w:val="20"/>
          <w:szCs w:val="20"/>
          <w:color w:val="auto"/>
        </w:rPr>
      </w:pPr>
    </w:p>
    <w:p>
      <w:pPr>
        <w:ind w:left="3"/>
        <w:spacing w:after="0"/>
        <w:rPr>
          <w:sz w:val="20"/>
          <w:szCs w:val="20"/>
          <w:color w:val="auto"/>
        </w:rPr>
      </w:pPr>
      <w:r>
        <w:rPr>
          <w:rFonts w:ascii="Times New Roman" w:cs="Times New Roman" w:eastAsia="Times New Roman" w:hAnsi="Times New Roman"/>
          <w:sz w:val="18"/>
          <w:szCs w:val="18"/>
          <w:color w:val="auto"/>
        </w:rPr>
        <w:t>The Company spent approximately $14 on its preclinical Phenethylamine Derivatives Program during the six months ended September 30, 2024.</w:t>
      </w:r>
    </w:p>
    <w:p>
      <w:pPr>
        <w:spacing w:after="0" w:line="252" w:lineRule="exact"/>
        <w:rPr>
          <w:sz w:val="20"/>
          <w:szCs w:val="20"/>
          <w:color w:val="auto"/>
        </w:rPr>
      </w:pPr>
    </w:p>
    <w:p>
      <w:pPr>
        <w:jc w:val="both"/>
        <w:ind w:left="3" w:right="20"/>
        <w:spacing w:after="0" w:line="302" w:lineRule="auto"/>
        <w:rPr>
          <w:sz w:val="20"/>
          <w:szCs w:val="20"/>
          <w:color w:val="auto"/>
        </w:rPr>
      </w:pPr>
      <w:r>
        <w:rPr>
          <w:rFonts w:ascii="Times New Roman" w:cs="Times New Roman" w:eastAsia="Times New Roman" w:hAnsi="Times New Roman"/>
          <w:sz w:val="18"/>
          <w:szCs w:val="18"/>
          <w:color w:val="auto"/>
        </w:rPr>
        <w:t>The Company is currently identifying a viable drug candidate and completing its assessment of the potential path forward for this candidate, including whether it will be developed internally or by way of potential third party partners. The Company anticipates that its phenethylamine program may deliver a drug candidate suitable for entry into clinical studies by the end of calendar 2024.</w:t>
      </w:r>
      <w:r>
        <w:rPr>
          <w:rFonts w:ascii="Times New Roman" w:cs="Times New Roman" w:eastAsia="Times New Roman" w:hAnsi="Times New Roman"/>
          <w:sz w:val="23"/>
          <w:szCs w:val="23"/>
          <w:color w:val="auto"/>
          <w:vertAlign w:val="superscript"/>
        </w:rPr>
        <w:t>19</w:t>
      </w:r>
    </w:p>
    <w:p>
      <w:pPr>
        <w:spacing w:after="0" w:line="101" w:lineRule="exact"/>
        <w:rPr>
          <w:sz w:val="20"/>
          <w:szCs w:val="20"/>
          <w:color w:val="auto"/>
        </w:rPr>
      </w:pPr>
    </w:p>
    <w:p>
      <w:pPr>
        <w:jc w:val="both"/>
        <w:ind w:left="3" w:right="20"/>
        <w:spacing w:after="0" w:line="269" w:lineRule="auto"/>
        <w:rPr>
          <w:sz w:val="20"/>
          <w:szCs w:val="20"/>
          <w:color w:val="auto"/>
        </w:rPr>
      </w:pPr>
      <w:r>
        <w:rPr>
          <w:rFonts w:ascii="Times New Roman" w:cs="Times New Roman" w:eastAsia="Times New Roman" w:hAnsi="Times New Roman"/>
          <w:sz w:val="18"/>
          <w:szCs w:val="18"/>
          <w:color w:val="auto"/>
        </w:rPr>
        <w:t>The Company expects to spend approximately $900</w:t>
      </w:r>
      <w:r>
        <w:rPr>
          <w:rFonts w:ascii="Times New Roman" w:cs="Times New Roman" w:eastAsia="Times New Roman" w:hAnsi="Times New Roman"/>
          <w:sz w:val="23"/>
          <w:szCs w:val="23"/>
          <w:color w:val="auto"/>
          <w:vertAlign w:val="superscript"/>
        </w:rPr>
        <w:t>20</w:t>
      </w:r>
      <w:r>
        <w:rPr>
          <w:rFonts w:ascii="Times New Roman" w:cs="Times New Roman" w:eastAsia="Times New Roman" w:hAnsi="Times New Roman"/>
          <w:sz w:val="18"/>
          <w:szCs w:val="18"/>
          <w:color w:val="auto"/>
        </w:rPr>
        <w:t xml:space="preserve"> to complete preclinical development of a phenethylamine drug candidate by 2024,</w:t>
      </w:r>
      <w:r>
        <w:rPr>
          <w:rFonts w:ascii="Times New Roman" w:cs="Times New Roman" w:eastAsia="Times New Roman" w:hAnsi="Times New Roman"/>
          <w:sz w:val="23"/>
          <w:szCs w:val="23"/>
          <w:color w:val="auto"/>
          <w:vertAlign w:val="superscript"/>
        </w:rPr>
        <w:t>21</w:t>
      </w:r>
      <w:r>
        <w:rPr>
          <w:rFonts w:ascii="Times New Roman" w:cs="Times New Roman" w:eastAsia="Times New Roman" w:hAnsi="Times New Roman"/>
          <w:sz w:val="18"/>
          <w:szCs w:val="18"/>
          <w:color w:val="auto"/>
        </w:rPr>
        <w:t xml:space="preserve"> of which approximately $14 was spent in six months ended September 30, 2024, approximately $83 was spent during the twelve months ended March 31, 2024, and approximately $782 was spent during the financial year ended March 31, 2023 resulting in an approximate remaining spend as of September 30, 2024 of $21. The Company intends to continue funding the Phenethylamine Derivatives Program (CYB005) Program.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234950</wp:posOffset>
            </wp:positionV>
            <wp:extent cx="1535430" cy="762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1535430" cy="7620"/>
                    </a:xfrm>
                    <a:prstGeom prst="rect">
                      <a:avLst/>
                    </a:prstGeom>
                    <a:noFill/>
                  </pic:spPr>
                </pic:pic>
              </a:graphicData>
            </a:graphic>
          </wp:anchor>
        </w:drawing>
      </w:r>
    </w:p>
    <w:p>
      <w:pPr>
        <w:spacing w:after="0" w:line="200" w:lineRule="exact"/>
        <w:rPr>
          <w:sz w:val="20"/>
          <w:szCs w:val="20"/>
          <w:color w:val="auto"/>
        </w:rPr>
      </w:pPr>
    </w:p>
    <w:p>
      <w:pPr>
        <w:spacing w:after="0" w:line="217" w:lineRule="exact"/>
        <w:rPr>
          <w:sz w:val="20"/>
          <w:szCs w:val="20"/>
          <w:color w:val="auto"/>
        </w:rPr>
      </w:pPr>
    </w:p>
    <w:p>
      <w:pPr>
        <w:ind w:left="123" w:hanging="123"/>
        <w:spacing w:after="0"/>
        <w:tabs>
          <w:tab w:leader="none" w:pos="123" w:val="left"/>
        </w:tabs>
        <w:numPr>
          <w:ilvl w:val="0"/>
          <w:numId w:val="30"/>
        </w:numPr>
        <w:rPr>
          <w:rFonts w:ascii="Times New Roman" w:cs="Times New Roman" w:eastAsia="Times New Roman" w:hAnsi="Times New Roman"/>
          <w:sz w:val="18"/>
          <w:szCs w:val="18"/>
          <w:color w:val="auto"/>
          <w:vertAlign w:val="superscript"/>
        </w:rPr>
      </w:pPr>
      <w:r>
        <w:rPr>
          <w:rFonts w:ascii="Times New Roman" w:cs="Times New Roman" w:eastAsia="Times New Roman" w:hAnsi="Times New Roman"/>
          <w:sz w:val="14"/>
          <w:szCs w:val="14"/>
          <w:color w:val="auto"/>
        </w:rPr>
        <w:t>See footnote 10.</w:t>
      </w:r>
    </w:p>
    <w:p>
      <w:pPr>
        <w:spacing w:after="0" w:line="8" w:lineRule="exact"/>
        <w:rPr>
          <w:rFonts w:ascii="Times New Roman" w:cs="Times New Roman" w:eastAsia="Times New Roman" w:hAnsi="Times New Roman"/>
          <w:sz w:val="18"/>
          <w:szCs w:val="18"/>
          <w:color w:val="auto"/>
          <w:vertAlign w:val="superscript"/>
        </w:rPr>
      </w:pPr>
    </w:p>
    <w:p>
      <w:pPr>
        <w:jc w:val="both"/>
        <w:ind w:left="3" w:hanging="3"/>
        <w:spacing w:after="0" w:line="244" w:lineRule="auto"/>
        <w:tabs>
          <w:tab w:leader="none" w:pos="159" w:val="left"/>
        </w:tabs>
        <w:numPr>
          <w:ilvl w:val="0"/>
          <w:numId w:val="30"/>
        </w:numPr>
        <w:rPr>
          <w:rFonts w:ascii="Times New Roman" w:cs="Times New Roman" w:eastAsia="Times New Roman" w:hAnsi="Times New Roman"/>
          <w:sz w:val="19"/>
          <w:szCs w:val="19"/>
          <w:color w:val="auto"/>
          <w:vertAlign w:val="superscript"/>
        </w:rPr>
      </w:pPr>
      <w:r>
        <w:rPr>
          <w:rFonts w:ascii="Times New Roman" w:cs="Times New Roman" w:eastAsia="Times New Roman" w:hAnsi="Times New Roman"/>
          <w:sz w:val="15"/>
          <w:szCs w:val="15"/>
          <w:color w:val="auto"/>
        </w:rPr>
        <w:t>Reflects actual spend during the financial year ended March 31, 2024, the six months ended September 30, 2024, and expected spend during the period from July 1, 2024 until the achievement of preclinical development of a phenethylamine drug candidate by December 31, 2024. Anticipated timing and spending regarding drug development is based on reasonable assumptions informed by current knowledge and information available to the Company. Such statements are informed by, among other things, regulatory guidelines for developing a drug with safety studies, proof of concept studies, and pivotal studies for new drug application submission and approval, and assumes the success of implementation and results of such studies on timelines indicated as possible by such guidelines, other industry examples, and the Company’s development efforts to date.</w:t>
      </w:r>
    </w:p>
    <w:p>
      <w:pPr>
        <w:spacing w:after="0" w:line="15" w:lineRule="exact"/>
        <w:rPr>
          <w:rFonts w:ascii="Times New Roman" w:cs="Times New Roman" w:eastAsia="Times New Roman" w:hAnsi="Times New Roman"/>
          <w:sz w:val="19"/>
          <w:szCs w:val="19"/>
          <w:color w:val="auto"/>
          <w:vertAlign w:val="superscript"/>
        </w:rPr>
      </w:pPr>
    </w:p>
    <w:p>
      <w:pPr>
        <w:jc w:val="both"/>
        <w:ind w:left="3" w:right="20" w:hanging="3"/>
        <w:spacing w:after="0" w:line="255" w:lineRule="auto"/>
        <w:tabs>
          <w:tab w:leader="none" w:pos="161" w:val="left"/>
        </w:tabs>
        <w:numPr>
          <w:ilvl w:val="0"/>
          <w:numId w:val="30"/>
        </w:numPr>
        <w:rPr>
          <w:rFonts w:ascii="Times New Roman" w:cs="Times New Roman" w:eastAsia="Times New Roman" w:hAnsi="Times New Roman"/>
          <w:sz w:val="19"/>
          <w:szCs w:val="19"/>
          <w:color w:val="auto"/>
          <w:vertAlign w:val="superscript"/>
        </w:rPr>
      </w:pPr>
      <w:r>
        <w:rPr>
          <w:rFonts w:ascii="Times New Roman" w:cs="Times New Roman" w:eastAsia="Times New Roman" w:hAnsi="Times New Roman"/>
          <w:sz w:val="15"/>
          <w:szCs w:val="15"/>
          <w:color w:val="auto"/>
        </w:rPr>
        <w:t>The Company has updated this milestone. The Company had previously expected it would complete this milestone by Q3 2023. The Company now expects to complete preclinical development of phenethylamine drug candidate by the end of Q4 2024.Change in anticipated timing due to the prioritization of the CYB003 Program. Anticipated spending and timelines regarding drug development are based on reasonable assumptions informed by current knowledge and information available to the Company. See also footnote 10.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jc w:val="center"/>
        <w:ind w:right="-2"/>
        <w:spacing w:after="0"/>
        <w:rPr>
          <w:sz w:val="20"/>
          <w:szCs w:val="20"/>
          <w:color w:val="auto"/>
        </w:rPr>
      </w:pPr>
      <w:r>
        <w:rPr>
          <w:rFonts w:ascii="Times New Roman" w:cs="Times New Roman" w:eastAsia="Times New Roman" w:hAnsi="Times New Roman"/>
          <w:sz w:val="18"/>
          <w:szCs w:val="18"/>
          <w:color w:val="auto"/>
        </w:rPr>
        <w:t>19</w:t>
      </w:r>
    </w:p>
    <w:p>
      <w:pPr>
        <w:sectPr>
          <w:pgSz w:w="11900" w:h="16838" w:orient="portrait"/>
          <w:cols w:equalWidth="0" w:num="1">
            <w:col w:w="11263"/>
          </w:cols>
          <w:pgMar w:left="317" w:top="1303" w:right="319" w:bottom="1440" w:gutter="0" w:footer="0" w:header="0"/>
        </w:sectPr>
      </w:pPr>
    </w:p>
    <w:bookmarkStart w:id="45" w:name="page46"/>
    <w:bookmarkEnd w:id="45"/>
    <w:p>
      <w:pPr>
        <w:ind w:left="3"/>
        <w:spacing w:after="0"/>
        <w:rPr>
          <w:sz w:val="20"/>
          <w:szCs w:val="20"/>
          <w:color w:val="auto"/>
        </w:rPr>
      </w:pPr>
      <w:r>
        <w:rPr>
          <w:rFonts w:ascii="Times New Roman" w:cs="Times New Roman" w:eastAsia="Times New Roman" w:hAnsi="Times New Roman"/>
          <w:sz w:val="18"/>
          <w:szCs w:val="18"/>
          <w:b w:val="1"/>
          <w:bCs w:val="1"/>
          <w:u w:val="single" w:color="auto"/>
          <w:color w:val="auto"/>
        </w:rPr>
        <w:t>Technology Programs</w:t>
      </w:r>
    </w:p>
    <w:p>
      <w:pPr>
        <w:spacing w:after="0" w:line="262" w:lineRule="exact"/>
        <w:rPr>
          <w:sz w:val="20"/>
          <w:szCs w:val="20"/>
          <w:color w:val="auto"/>
        </w:rPr>
      </w:pPr>
    </w:p>
    <w:p>
      <w:pPr>
        <w:ind w:left="3"/>
        <w:spacing w:after="0"/>
        <w:rPr>
          <w:sz w:val="20"/>
          <w:szCs w:val="20"/>
          <w:color w:val="auto"/>
        </w:rPr>
      </w:pPr>
      <w:r>
        <w:rPr>
          <w:rFonts w:ascii="Times New Roman" w:cs="Times New Roman" w:eastAsia="Times New Roman" w:hAnsi="Times New Roman"/>
          <w:sz w:val="18"/>
          <w:szCs w:val="18"/>
          <w:b w:val="1"/>
          <w:bCs w:val="1"/>
          <w:i w:val="1"/>
          <w:iCs w:val="1"/>
          <w:color w:val="auto"/>
        </w:rPr>
        <w:t>Digital Therapy Platform</w:t>
      </w:r>
    </w:p>
    <w:p>
      <w:pPr>
        <w:spacing w:after="0" w:line="254" w:lineRule="exact"/>
        <w:rPr>
          <w:sz w:val="20"/>
          <w:szCs w:val="20"/>
          <w:color w:val="auto"/>
        </w:rPr>
      </w:pPr>
    </w:p>
    <w:p>
      <w:pPr>
        <w:jc w:val="both"/>
        <w:ind w:left="3" w:right="20"/>
        <w:spacing w:after="0" w:line="302" w:lineRule="auto"/>
        <w:rPr>
          <w:sz w:val="20"/>
          <w:szCs w:val="20"/>
          <w:color w:val="auto"/>
        </w:rPr>
      </w:pPr>
      <w:r>
        <w:rPr>
          <w:rFonts w:ascii="Times New Roman" w:cs="Times New Roman" w:eastAsia="Times New Roman" w:hAnsi="Times New Roman"/>
          <w:sz w:val="18"/>
          <w:szCs w:val="18"/>
          <w:color w:val="auto"/>
        </w:rPr>
        <w:t>The Company has been working on the creation of a patient digital therapy platform (the “</w:t>
      </w:r>
      <w:r>
        <w:rPr>
          <w:rFonts w:ascii="Times New Roman" w:cs="Times New Roman" w:eastAsia="Times New Roman" w:hAnsi="Times New Roman"/>
          <w:sz w:val="18"/>
          <w:szCs w:val="18"/>
          <w:b w:val="1"/>
          <w:bCs w:val="1"/>
          <w:color w:val="auto"/>
        </w:rPr>
        <w:t>Digital Platform</w:t>
      </w:r>
      <w:r>
        <w:rPr>
          <w:rFonts w:ascii="Times New Roman" w:cs="Times New Roman" w:eastAsia="Times New Roman" w:hAnsi="Times New Roman"/>
          <w:sz w:val="18"/>
          <w:szCs w:val="18"/>
          <w:color w:val="auto"/>
        </w:rPr>
        <w:t>”). The Digital Platform is envisioned to help patients undergoing psychedelic therapies to memorialize the learning from their treatment sessions and to assist with the integration of such learnings into the patient’s psychotherapy program.</w:t>
      </w:r>
    </w:p>
    <w:p>
      <w:pPr>
        <w:spacing w:after="0" w:line="164" w:lineRule="exact"/>
        <w:rPr>
          <w:sz w:val="20"/>
          <w:szCs w:val="20"/>
          <w:color w:val="auto"/>
        </w:rPr>
      </w:pPr>
    </w:p>
    <w:p>
      <w:pPr>
        <w:jc w:val="both"/>
        <w:ind w:left="3"/>
        <w:spacing w:after="0" w:line="294" w:lineRule="auto"/>
        <w:rPr>
          <w:sz w:val="20"/>
          <w:szCs w:val="20"/>
          <w:color w:val="auto"/>
        </w:rPr>
      </w:pPr>
      <w:r>
        <w:rPr>
          <w:rFonts w:ascii="Times New Roman" w:cs="Times New Roman" w:eastAsia="Times New Roman" w:hAnsi="Times New Roman"/>
          <w:sz w:val="18"/>
          <w:szCs w:val="18"/>
          <w:color w:val="auto"/>
        </w:rPr>
        <w:t>The Company’s digital therapy platform technology is designed to better enable the evaluation of patient outcomes through a highly secure, patient-centered data analytics platform for better pre- and post-psychedelic treatments. The digital therapy platform is proprietary to Cybin and the subject of one of the Company’s patent applications.</w:t>
      </w:r>
    </w:p>
    <w:p>
      <w:pPr>
        <w:spacing w:after="0" w:line="194" w:lineRule="exact"/>
        <w:rPr>
          <w:sz w:val="20"/>
          <w:szCs w:val="20"/>
          <w:color w:val="auto"/>
        </w:rPr>
      </w:pPr>
    </w:p>
    <w:p>
      <w:pPr>
        <w:jc w:val="both"/>
        <w:ind w:left="3" w:right="20"/>
        <w:spacing w:after="0" w:line="309" w:lineRule="auto"/>
        <w:rPr>
          <w:sz w:val="20"/>
          <w:szCs w:val="20"/>
          <w:color w:val="auto"/>
        </w:rPr>
      </w:pPr>
      <w:r>
        <w:rPr>
          <w:rFonts w:ascii="Times New Roman" w:cs="Times New Roman" w:eastAsia="Times New Roman" w:hAnsi="Times New Roman"/>
          <w:sz w:val="18"/>
          <w:szCs w:val="18"/>
          <w:color w:val="auto"/>
        </w:rPr>
        <w:t>Proof-of-concept testing for the Company’s Digital Platform was completed in Q2 2022. The Company is currently evaluating paths forward for its Digital Platform program.</w:t>
      </w:r>
    </w:p>
    <w:p>
      <w:pPr>
        <w:spacing w:after="0" w:line="176" w:lineRule="exact"/>
        <w:rPr>
          <w:sz w:val="20"/>
          <w:szCs w:val="20"/>
          <w:color w:val="auto"/>
        </w:rPr>
      </w:pPr>
    </w:p>
    <w:p>
      <w:pPr>
        <w:ind w:left="3"/>
        <w:spacing w:after="0"/>
        <w:rPr>
          <w:sz w:val="20"/>
          <w:szCs w:val="20"/>
          <w:color w:val="auto"/>
        </w:rPr>
      </w:pPr>
      <w:r>
        <w:rPr>
          <w:rFonts w:ascii="Times New Roman" w:cs="Times New Roman" w:eastAsia="Times New Roman" w:hAnsi="Times New Roman"/>
          <w:sz w:val="18"/>
          <w:szCs w:val="18"/>
          <w:b w:val="1"/>
          <w:bCs w:val="1"/>
          <w:i w:val="1"/>
          <w:iCs w:val="1"/>
          <w:color w:val="auto"/>
        </w:rPr>
        <w:t>Kernel Collaboration</w:t>
      </w:r>
    </w:p>
    <w:p>
      <w:pPr>
        <w:spacing w:after="0" w:line="266" w:lineRule="exact"/>
        <w:rPr>
          <w:sz w:val="20"/>
          <w:szCs w:val="20"/>
          <w:color w:val="auto"/>
        </w:rPr>
      </w:pPr>
    </w:p>
    <w:p>
      <w:pPr>
        <w:jc w:val="both"/>
        <w:ind w:left="3" w:right="20"/>
        <w:spacing w:after="0" w:line="311" w:lineRule="auto"/>
        <w:rPr>
          <w:sz w:val="20"/>
          <w:szCs w:val="20"/>
          <w:color w:val="auto"/>
        </w:rPr>
      </w:pPr>
      <w:r>
        <w:rPr>
          <w:rFonts w:ascii="Times New Roman" w:cs="Times New Roman" w:eastAsia="Times New Roman" w:hAnsi="Times New Roman"/>
          <w:sz w:val="18"/>
          <w:szCs w:val="18"/>
          <w:color w:val="auto"/>
        </w:rPr>
        <w:t>On January 11, 2021, the Company announced that it entered into an agreement with HI, LLC dba Kernel (“</w:t>
      </w:r>
      <w:r>
        <w:rPr>
          <w:rFonts w:ascii="Times New Roman" w:cs="Times New Roman" w:eastAsia="Times New Roman" w:hAnsi="Times New Roman"/>
          <w:sz w:val="18"/>
          <w:szCs w:val="18"/>
          <w:b w:val="1"/>
          <w:bCs w:val="1"/>
          <w:color w:val="auto"/>
        </w:rPr>
        <w:t>Kernel</w:t>
      </w:r>
      <w:r>
        <w:rPr>
          <w:rFonts w:ascii="Times New Roman" w:cs="Times New Roman" w:eastAsia="Times New Roman" w:hAnsi="Times New Roman"/>
          <w:sz w:val="18"/>
          <w:szCs w:val="18"/>
          <w:color w:val="auto"/>
        </w:rPr>
        <w:t>”) that will enable the Company to use the Kernel Flow technology (“</w:t>
      </w:r>
      <w:r>
        <w:rPr>
          <w:rFonts w:ascii="Times New Roman" w:cs="Times New Roman" w:eastAsia="Times New Roman" w:hAnsi="Times New Roman"/>
          <w:sz w:val="18"/>
          <w:szCs w:val="18"/>
          <w:b w:val="1"/>
          <w:bCs w:val="1"/>
          <w:color w:val="auto"/>
        </w:rPr>
        <w:t>Flow</w:t>
      </w:r>
      <w:r>
        <w:rPr>
          <w:rFonts w:ascii="Times New Roman" w:cs="Times New Roman" w:eastAsia="Times New Roman" w:hAnsi="Times New Roman"/>
          <w:sz w:val="18"/>
          <w:szCs w:val="18"/>
          <w:color w:val="auto"/>
        </w:rPr>
        <w:t>”) to potentially measure neural activity during psychedelic therapy.</w:t>
      </w:r>
    </w:p>
    <w:p>
      <w:pPr>
        <w:spacing w:after="0" w:line="143" w:lineRule="exact"/>
        <w:rPr>
          <w:sz w:val="20"/>
          <w:szCs w:val="20"/>
          <w:color w:val="auto"/>
        </w:rPr>
      </w:pPr>
    </w:p>
    <w:p>
      <w:pPr>
        <w:jc w:val="both"/>
        <w:ind w:left="3" w:right="20"/>
        <w:spacing w:after="0" w:line="277" w:lineRule="auto"/>
        <w:rPr>
          <w:sz w:val="20"/>
          <w:szCs w:val="20"/>
          <w:color w:val="auto"/>
        </w:rPr>
      </w:pPr>
      <w:r>
        <w:rPr>
          <w:rFonts w:ascii="Times New Roman" w:cs="Times New Roman" w:eastAsia="Times New Roman" w:hAnsi="Times New Roman"/>
          <w:sz w:val="18"/>
          <w:szCs w:val="18"/>
          <w:color w:val="auto"/>
        </w:rPr>
        <w:t>On October 26, 2021, the Company announced that the FDA had authorized an IND application to proceed with a Cybin-sponsored feasibility study using Flow to measure ketamine’s psychedelic effect on cerebral cortex hemodynamics. On January 11, 2022, the Company announced that the IRB had approved the feasibility study. On May 9, 2022, the Company and Kernel announced results from the piloting of the feasibility study. The preliminary data confirmed Flow’s ability to successfully measure neuro-effect of ketamine over 10 days.</w:t>
      </w:r>
      <w:r>
        <w:rPr>
          <w:rFonts w:ascii="Times New Roman" w:cs="Times New Roman" w:eastAsia="Times New Roman" w:hAnsi="Times New Roman"/>
          <w:sz w:val="23"/>
          <w:szCs w:val="23"/>
          <w:color w:val="auto"/>
          <w:vertAlign w:val="superscript"/>
        </w:rPr>
        <w:t>22</w:t>
      </w:r>
      <w:r>
        <w:rPr>
          <w:rFonts w:ascii="Times New Roman" w:cs="Times New Roman" w:eastAsia="Times New Roman" w:hAnsi="Times New Roman"/>
          <w:sz w:val="18"/>
          <w:szCs w:val="18"/>
          <w:color w:val="auto"/>
        </w:rPr>
        <w:t xml:space="preserve"> The Company completed its feasibility study sponsorship utilizing Flow in Q3 2022.</w:t>
      </w:r>
    </w:p>
    <w:p>
      <w:pPr>
        <w:spacing w:after="0" w:line="166" w:lineRule="exact"/>
        <w:rPr>
          <w:sz w:val="20"/>
          <w:szCs w:val="20"/>
          <w:color w:val="auto"/>
        </w:rPr>
      </w:pPr>
    </w:p>
    <w:p>
      <w:pPr>
        <w:jc w:val="both"/>
        <w:ind w:left="3"/>
        <w:spacing w:after="0" w:line="291" w:lineRule="auto"/>
        <w:rPr>
          <w:sz w:val="20"/>
          <w:szCs w:val="20"/>
          <w:color w:val="auto"/>
        </w:rPr>
      </w:pPr>
      <w:r>
        <w:rPr>
          <w:rFonts w:ascii="Times New Roman" w:cs="Times New Roman" w:eastAsia="Times New Roman" w:hAnsi="Times New Roman"/>
          <w:sz w:val="18"/>
          <w:szCs w:val="18"/>
          <w:color w:val="auto"/>
        </w:rPr>
        <w:t>On January 18, 2023, the Company announced promising results from the completed feasibility study, evaluating Flow’s wearable technology to measure ketamine’s psychedelic effect on cerebral cortex hemodynamics. Key findings from the study provided proof-of-principle for Flow as a portable functional system that provides real-time measurements of changes in blood oxygenation in the brain associated with neural activity. The study demonstrated ketamine-induced changes to functional brain biomarkers associated with potential therapeutic effects, including changes in cortical function associated with psychedelic experiences. Additionally, Flow demonstrated reliable measurements of pulse rate (“</w:t>
      </w:r>
      <w:r>
        <w:rPr>
          <w:rFonts w:ascii="Times New Roman" w:cs="Times New Roman" w:eastAsia="Times New Roman" w:hAnsi="Times New Roman"/>
          <w:sz w:val="18"/>
          <w:szCs w:val="18"/>
          <w:b w:val="1"/>
          <w:bCs w:val="1"/>
          <w:color w:val="auto"/>
        </w:rPr>
        <w:t>PR</w:t>
      </w:r>
      <w:r>
        <w:rPr>
          <w:rFonts w:ascii="Times New Roman" w:cs="Times New Roman" w:eastAsia="Times New Roman" w:hAnsi="Times New Roman"/>
          <w:sz w:val="18"/>
          <w:szCs w:val="18"/>
          <w:color w:val="auto"/>
        </w:rPr>
        <w:t>”) and pulse rate variability (“</w:t>
      </w:r>
      <w:r>
        <w:rPr>
          <w:rFonts w:ascii="Times New Roman" w:cs="Times New Roman" w:eastAsia="Times New Roman" w:hAnsi="Times New Roman"/>
          <w:sz w:val="18"/>
          <w:szCs w:val="18"/>
          <w:b w:val="1"/>
          <w:bCs w:val="1"/>
          <w:color w:val="auto"/>
        </w:rPr>
        <w:t>PRV</w:t>
      </w:r>
      <w:r>
        <w:rPr>
          <w:rFonts w:ascii="Times New Roman" w:cs="Times New Roman" w:eastAsia="Times New Roman" w:hAnsi="Times New Roman"/>
          <w:sz w:val="18"/>
          <w:szCs w:val="18"/>
          <w:color w:val="auto"/>
        </w:rPr>
        <w:t>”), therefore eliminating the need for external cardiac activity sensors in future studies. The study also observed physiological measures of 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85725</wp:posOffset>
            </wp:positionV>
            <wp:extent cx="1535430" cy="762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1535430" cy="7620"/>
                    </a:xfrm>
                    <a:prstGeom prst="rect">
                      <a:avLst/>
                    </a:prstGeom>
                    <a:noFill/>
                  </pic:spPr>
                </pic:pic>
              </a:graphicData>
            </a:graphic>
          </wp:anchor>
        </w:drawing>
      </w:r>
    </w:p>
    <w:p>
      <w:pPr>
        <w:spacing w:after="0" w:line="199" w:lineRule="exact"/>
        <w:rPr>
          <w:sz w:val="20"/>
          <w:szCs w:val="20"/>
          <w:color w:val="auto"/>
        </w:rPr>
      </w:pPr>
    </w:p>
    <w:p>
      <w:pPr>
        <w:jc w:val="both"/>
        <w:ind w:left="3" w:hanging="3"/>
        <w:spacing w:after="0" w:line="235" w:lineRule="auto"/>
        <w:tabs>
          <w:tab w:leader="none" w:pos="140" w:val="left"/>
        </w:tabs>
        <w:numPr>
          <w:ilvl w:val="0"/>
          <w:numId w:val="31"/>
        </w:numPr>
        <w:rPr>
          <w:rFonts w:ascii="Times New Roman" w:cs="Times New Roman" w:eastAsia="Times New Roman" w:hAnsi="Times New Roman"/>
          <w:sz w:val="19"/>
          <w:szCs w:val="19"/>
          <w:color w:val="auto"/>
          <w:vertAlign w:val="superscript"/>
        </w:rPr>
      </w:pPr>
      <w:r>
        <w:rPr>
          <w:rFonts w:ascii="Times New Roman" w:cs="Times New Roman" w:eastAsia="Times New Roman" w:hAnsi="Times New Roman"/>
          <w:sz w:val="15"/>
          <w:szCs w:val="15"/>
          <w:color w:val="auto"/>
        </w:rPr>
        <w:t>Preliminary data from the piloting suggested that ketamine-induced changes in functional connectivity persisted for several days after administration. Flow successfully measured the neuro-effect of ketamine over 11 days (baseline at Days 1-5, dosing at Day 6, follow-up at Days 7-11), and confirmed changes in functional connectivity that are consistent with current scientific research (</w:t>
      </w:r>
      <w:r>
        <w:rPr>
          <w:rFonts w:ascii="Times New Roman" w:cs="Times New Roman" w:eastAsia="Times New Roman" w:hAnsi="Times New Roman"/>
          <w:sz w:val="15"/>
          <w:szCs w:val="15"/>
          <w:i w:val="1"/>
          <w:iCs w:val="1"/>
          <w:color w:val="auto"/>
        </w:rPr>
        <w:t>Scheidegger et al 2012; Zacharias et al 2019; Li et al 2022</w:t>
      </w:r>
      <w:r>
        <w:rPr>
          <w:rFonts w:ascii="Times New Roman" w:cs="Times New Roman" w:eastAsia="Times New Roman" w:hAnsi="Times New Roman"/>
          <w:sz w:val="15"/>
          <w:szCs w:val="15"/>
          <w:color w:val="auto"/>
        </w:rPr>
        <w:t>). The piloting was conducted to ensure the efficiency of the feasibility study design. Participants in the pilot received either a low dose of ketamine and/or a placebo while wearing the Flow headset.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jc w:val="center"/>
        <w:ind w:right="-2"/>
        <w:spacing w:after="0"/>
        <w:rPr>
          <w:sz w:val="20"/>
          <w:szCs w:val="20"/>
          <w:color w:val="auto"/>
        </w:rPr>
      </w:pPr>
      <w:r>
        <w:rPr>
          <w:rFonts w:ascii="Times New Roman" w:cs="Times New Roman" w:eastAsia="Times New Roman" w:hAnsi="Times New Roman"/>
          <w:sz w:val="18"/>
          <w:szCs w:val="18"/>
          <w:color w:val="auto"/>
        </w:rPr>
        <w:t>20</w:t>
      </w:r>
    </w:p>
    <w:p>
      <w:pPr>
        <w:sectPr>
          <w:pgSz w:w="11900" w:h="16838" w:orient="portrait"/>
          <w:cols w:equalWidth="0" w:num="1">
            <w:col w:w="11263"/>
          </w:cols>
          <w:pgMar w:left="317" w:top="1301" w:right="319" w:bottom="1440" w:gutter="0" w:footer="0" w:header="0"/>
        </w:sectPr>
      </w:pPr>
    </w:p>
    <w:bookmarkStart w:id="46" w:name="page47"/>
    <w:bookmarkEnd w:id="46"/>
    <w:p>
      <w:pPr>
        <w:jc w:val="both"/>
        <w:ind w:right="20"/>
        <w:spacing w:after="0" w:line="323" w:lineRule="auto"/>
        <w:rPr>
          <w:sz w:val="20"/>
          <w:szCs w:val="20"/>
          <w:color w:val="auto"/>
        </w:rPr>
      </w:pPr>
      <w:r>
        <w:rPr>
          <w:rFonts w:ascii="Times New Roman" w:cs="Times New Roman" w:eastAsia="Times New Roman" w:hAnsi="Times New Roman"/>
          <w:sz w:val="18"/>
          <w:szCs w:val="18"/>
          <w:color w:val="auto"/>
        </w:rPr>
        <w:t>effects of ketamine, including increased PR, decreased PRV, increased absolute concentrations of oxy-hemoglobin and decreased deoxyhemoglobin, and elevated electrodermal activity.</w:t>
      </w:r>
    </w:p>
    <w:p>
      <w:pPr>
        <w:spacing w:after="0" w:line="156" w:lineRule="exact"/>
        <w:rPr>
          <w:sz w:val="20"/>
          <w:szCs w:val="20"/>
          <w:color w:val="auto"/>
        </w:rPr>
      </w:pPr>
    </w:p>
    <w:p>
      <w:pPr>
        <w:jc w:val="both"/>
        <w:spacing w:after="0" w:line="290" w:lineRule="auto"/>
        <w:rPr>
          <w:sz w:val="20"/>
          <w:szCs w:val="20"/>
          <w:color w:val="auto"/>
        </w:rPr>
      </w:pPr>
      <w:r>
        <w:rPr>
          <w:rFonts w:ascii="Times New Roman" w:cs="Times New Roman" w:eastAsia="Times New Roman" w:hAnsi="Times New Roman"/>
          <w:sz w:val="18"/>
          <w:szCs w:val="18"/>
          <w:color w:val="auto"/>
        </w:rPr>
        <w:t xml:space="preserve">On July 20, 2023, the Company commended Kernel on their publication titled “Measuring acute effects of subanesthetic ketamine on cerebrovascular hemodynamics in humans using TD-fNIRS” in the journal </w:t>
      </w:r>
      <w:r>
        <w:rPr>
          <w:rFonts w:ascii="Times New Roman" w:cs="Times New Roman" w:eastAsia="Times New Roman" w:hAnsi="Times New Roman"/>
          <w:sz w:val="18"/>
          <w:szCs w:val="18"/>
          <w:i w:val="1"/>
          <w:iCs w:val="1"/>
          <w:color w:val="auto"/>
        </w:rPr>
        <w:t>Scientific Reports</w:t>
      </w:r>
      <w:r>
        <w:rPr>
          <w:rFonts w:ascii="Times New Roman" w:cs="Times New Roman" w:eastAsia="Times New Roman" w:hAnsi="Times New Roman"/>
          <w:sz w:val="18"/>
          <w:szCs w:val="18"/>
          <w:color w:val="auto"/>
        </w:rPr>
        <w:t xml:space="preserve"> from the Nature Portfolio of Journals. The publication highlights the results of the Cybin-sponsored Kernel Flow1 feasibility study demonstrating the capabilities of the Flow1 system to capture and analyze brain changes resulting from the administration of a psychoactive substance. The feasibility study is the largest functional near-infrared spectroscopy (“</w:t>
      </w:r>
      <w:r>
        <w:rPr>
          <w:rFonts w:ascii="Times New Roman" w:cs="Times New Roman" w:eastAsia="Times New Roman" w:hAnsi="Times New Roman"/>
          <w:sz w:val="18"/>
          <w:szCs w:val="18"/>
          <w:b w:val="1"/>
          <w:bCs w:val="1"/>
          <w:color w:val="auto"/>
        </w:rPr>
        <w:t>fNIRS</w:t>
      </w:r>
      <w:r>
        <w:rPr>
          <w:rFonts w:ascii="Times New Roman" w:cs="Times New Roman" w:eastAsia="Times New Roman" w:hAnsi="Times New Roman"/>
          <w:sz w:val="18"/>
          <w:szCs w:val="18"/>
          <w:color w:val="auto"/>
        </w:rPr>
        <w:t>”) study to measure the acute effect of a psychedelic and is the first ever fNIRS neuroimaging study evaluating ketamine in humans. In this single-blind, placebo-controlled study, employing a non-randomized design, the Flow1 system, built with time-domain functional near-infrared spectroscopy (TD-fNIRS) was utilized to measure acute brain dynamics following intramuscular subanesthetic ketamine (0.75 mg/kg) and placebo (saline) administration in a clinical setting. Results from the study are intended to inform the next steps forward for this program.</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Results from the study are intended to inform the next steps forward for this program.</w:t>
      </w:r>
    </w:p>
    <w:p>
      <w:pPr>
        <w:spacing w:after="0" w:line="2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About the Phase 1 Kernel Flow Feasibility Study</w:t>
      </w:r>
    </w:p>
    <w:p>
      <w:pPr>
        <w:spacing w:after="0" w:line="264" w:lineRule="exact"/>
        <w:rPr>
          <w:sz w:val="20"/>
          <w:szCs w:val="20"/>
          <w:color w:val="auto"/>
        </w:rPr>
      </w:pPr>
    </w:p>
    <w:p>
      <w:pPr>
        <w:jc w:val="both"/>
        <w:ind w:right="20"/>
        <w:spacing w:after="0" w:line="288" w:lineRule="auto"/>
        <w:rPr>
          <w:sz w:val="20"/>
          <w:szCs w:val="20"/>
          <w:color w:val="auto"/>
        </w:rPr>
      </w:pPr>
      <w:r>
        <w:rPr>
          <w:rFonts w:ascii="Times New Roman" w:cs="Times New Roman" w:eastAsia="Times New Roman" w:hAnsi="Times New Roman"/>
          <w:sz w:val="18"/>
          <w:szCs w:val="18"/>
          <w:color w:val="auto"/>
        </w:rPr>
        <w:t>The feasibility study was a single-blind, placebo-controlled, non-randomized design with participants completing study visits roughly once a week for four weeks. The four study visits were always conducted in the same order: a screening visit, two dosing visits, and a follow-up phone call. Dosing visits were always placebo (saline, 0.9% NaCl) first and ketamine second, with the ketamine visit occurring one week (7.1±0.5 days, mean ±standard deviation) after the saline visit. Ketamine and saline were administered via bolus intramuscular injection (deltoid muscle). Ketamine dosing was based on participant weight with a target of 0.75 mg/kg, up to the maximum dose of 60 mg. Two participants were administered the maximum dose. Participants included 15 healthy individuals who met eligibility criteria and consented to participation in the study. There were eight females and seven males, all 24-48 years old.</w:t>
      </w:r>
    </w:p>
    <w:p>
      <w:pPr>
        <w:spacing w:after="0" w:line="202" w:lineRule="exact"/>
        <w:rPr>
          <w:sz w:val="20"/>
          <w:szCs w:val="20"/>
          <w:color w:val="auto"/>
        </w:rPr>
      </w:pPr>
    </w:p>
    <w:p>
      <w:pPr>
        <w:jc w:val="both"/>
        <w:spacing w:after="0" w:line="309" w:lineRule="auto"/>
        <w:rPr>
          <w:sz w:val="20"/>
          <w:szCs w:val="20"/>
          <w:color w:val="auto"/>
        </w:rPr>
      </w:pPr>
      <w:r>
        <w:rPr>
          <w:rFonts w:ascii="Times New Roman" w:cs="Times New Roman" w:eastAsia="Times New Roman" w:hAnsi="Times New Roman"/>
          <w:sz w:val="18"/>
          <w:szCs w:val="18"/>
          <w:color w:val="auto"/>
        </w:rPr>
        <w:t>The main objective of the feasibility study was to evaluate a participant’s experience wearing Flow while in an altered state of consciousness following the administration of ketamine.</w:t>
      </w:r>
    </w:p>
    <w:p>
      <w:pPr>
        <w:spacing w:after="0" w:line="180" w:lineRule="exact"/>
        <w:rPr>
          <w:sz w:val="20"/>
          <w:szCs w:val="20"/>
          <w:color w:val="auto"/>
        </w:rPr>
      </w:pPr>
    </w:p>
    <w:p>
      <w:pPr>
        <w:jc w:val="both"/>
        <w:ind w:right="20"/>
        <w:spacing w:after="0" w:line="309" w:lineRule="auto"/>
        <w:rPr>
          <w:sz w:val="20"/>
          <w:szCs w:val="20"/>
          <w:color w:val="auto"/>
        </w:rPr>
      </w:pPr>
      <w:r>
        <w:rPr>
          <w:rFonts w:ascii="Times New Roman" w:cs="Times New Roman" w:eastAsia="Times New Roman" w:hAnsi="Times New Roman"/>
          <w:sz w:val="18"/>
          <w:szCs w:val="18"/>
          <w:color w:val="auto"/>
        </w:rPr>
        <w:t>As part of the Company’s sponsorship of the feasibility study, the Company will retain an exclusive interest in any innovations that are discovered or developed through its independent analysis of the study findings.</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Update on Use of Proceeds</w:t>
      </w:r>
    </w:p>
    <w:p>
      <w:pPr>
        <w:spacing w:after="0" w:line="23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August Prospectus Supplement</w:t>
      </w:r>
    </w:p>
    <w:p>
      <w:pPr>
        <w:spacing w:after="0" w:line="244" w:lineRule="exact"/>
        <w:rPr>
          <w:sz w:val="20"/>
          <w:szCs w:val="20"/>
          <w:color w:val="auto"/>
        </w:rPr>
      </w:pPr>
    </w:p>
    <w:p>
      <w:pPr>
        <w:jc w:val="both"/>
        <w:ind w:right="20"/>
        <w:spacing w:after="0" w:line="309" w:lineRule="auto"/>
        <w:rPr>
          <w:sz w:val="20"/>
          <w:szCs w:val="20"/>
          <w:color w:val="auto"/>
        </w:rPr>
      </w:pPr>
      <w:r>
        <w:rPr>
          <w:rFonts w:ascii="Times New Roman" w:cs="Times New Roman" w:eastAsia="Times New Roman" w:hAnsi="Times New Roman"/>
          <w:sz w:val="18"/>
          <w:szCs w:val="18"/>
          <w:color w:val="auto"/>
        </w:rPr>
        <w:t>The table below covers the period beginning July 1, 2023 until September 30, 2024. There were no differences between the Company’s anticipated use of proceeds of $10,018 as previously disclosed in the Company’s prospectus supplement dated August 1, 2023 (the “</w:t>
      </w:r>
      <w:r>
        <w:rPr>
          <w:rFonts w:ascii="Times New Roman" w:cs="Times New Roman" w:eastAsia="Times New Roman" w:hAnsi="Times New Roman"/>
          <w:sz w:val="18"/>
          <w:szCs w:val="18"/>
          <w:b w:val="1"/>
          <w:bCs w:val="1"/>
          <w:color w:val="auto"/>
        </w:rPr>
        <w:t>August Prospectus Supplement</w:t>
      </w:r>
      <w:r>
        <w:rPr>
          <w:rFonts w:ascii="Times New Roman" w:cs="Times New Roman" w:eastAsia="Times New Roman" w:hAnsi="Times New Roman"/>
          <w:sz w:val="18"/>
          <w:szCs w:val="18"/>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w:t>
      </w:r>
    </w:p>
    <w:p>
      <w:pPr>
        <w:sectPr>
          <w:pgSz w:w="11900" w:h="16838" w:orient="portrait"/>
          <w:cols w:equalWidth="0" w:num="1">
            <w:col w:w="11260"/>
          </w:cols>
          <w:pgMar w:left="320" w:top="1303" w:right="319" w:bottom="1440" w:gutter="0" w:footer="0" w:header="0"/>
        </w:sectPr>
      </w:pPr>
    </w:p>
    <w:bookmarkStart w:id="47" w:name="page48"/>
    <w:bookmarkEnd w:id="47"/>
    <w:p>
      <w:pPr>
        <w:ind w:left="3"/>
        <w:spacing w:after="0"/>
        <w:rPr>
          <w:sz w:val="20"/>
          <w:szCs w:val="20"/>
          <w:color w:val="auto"/>
        </w:rPr>
      </w:pPr>
      <w:r>
        <w:rPr>
          <w:rFonts w:ascii="Times New Roman" w:cs="Times New Roman" w:eastAsia="Times New Roman" w:hAnsi="Times New Roman"/>
          <w:sz w:val="18"/>
          <w:szCs w:val="18"/>
          <w:color w:val="auto"/>
        </w:rPr>
        <w:t>to the Company’s short form base shelf prospectus dated July 5, 2021 (the “</w:t>
      </w:r>
      <w:r>
        <w:rPr>
          <w:rFonts w:ascii="Times New Roman" w:cs="Times New Roman" w:eastAsia="Times New Roman" w:hAnsi="Times New Roman"/>
          <w:sz w:val="18"/>
          <w:szCs w:val="18"/>
          <w:b w:val="1"/>
          <w:bCs w:val="1"/>
          <w:color w:val="auto"/>
        </w:rPr>
        <w:t>2021 Base Shelf Prospectus</w:t>
      </w:r>
      <w:r>
        <w:rPr>
          <w:rFonts w:ascii="Times New Roman" w:cs="Times New Roman" w:eastAsia="Times New Roman" w:hAnsi="Times New Roman"/>
          <w:sz w:val="18"/>
          <w:szCs w:val="18"/>
          <w:color w:val="auto"/>
        </w:rPr>
        <w:t>”) and the actual use of proceeds.</w:t>
      </w:r>
    </w:p>
    <w:p>
      <w:pPr>
        <w:spacing w:after="0" w:line="255" w:lineRule="exact"/>
        <w:rPr>
          <w:sz w:val="20"/>
          <w:szCs w:val="20"/>
          <w:color w:val="auto"/>
        </w:rPr>
      </w:pPr>
    </w:p>
    <w:tbl>
      <w:tblPr>
        <w:tblLayout w:type="fixed"/>
        <w:tblInd w:w="13" w:type="dxa"/>
        <w:tblCellMar>
          <w:top w:w="0" w:type="dxa"/>
          <w:left w:w="0" w:type="dxa"/>
          <w:bottom w:w="0" w:type="dxa"/>
          <w:right w:w="0" w:type="dxa"/>
        </w:tblCellMar>
      </w:tblPr>
      <w:tr>
        <w:trPr>
          <w:trHeight w:val="225"/>
        </w:trPr>
        <w:tc>
          <w:tcPr>
            <w:tcW w:w="5460" w:type="dxa"/>
            <w:vAlign w:val="bottom"/>
            <w:tcBorders>
              <w:top w:val="single" w:sz="8" w:color="auto"/>
              <w:left w:val="single" w:sz="8" w:color="auto"/>
              <w:right w:val="single" w:sz="8" w:color="auto"/>
            </w:tcBorders>
          </w:tcPr>
          <w:p>
            <w:pPr>
              <w:spacing w:after="0"/>
              <w:rPr>
                <w:sz w:val="19"/>
                <w:szCs w:val="19"/>
                <w:color w:val="auto"/>
              </w:rPr>
            </w:pPr>
          </w:p>
        </w:tc>
        <w:tc>
          <w:tcPr>
            <w:tcW w:w="192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b w:val="1"/>
                <w:bCs w:val="1"/>
                <w:color w:val="auto"/>
                <w:w w:val="96"/>
              </w:rPr>
              <w:t>Previous Disclosure</w:t>
            </w:r>
          </w:p>
        </w:tc>
        <w:tc>
          <w:tcPr>
            <w:tcW w:w="1840" w:type="dxa"/>
            <w:vAlign w:val="bottom"/>
            <w:tcBorders>
              <w:top w:val="single" w:sz="8" w:color="auto"/>
              <w:right w:val="single" w:sz="8" w:color="auto"/>
            </w:tcBorders>
          </w:tcPr>
          <w:p>
            <w:pPr>
              <w:spacing w:after="0"/>
              <w:rPr>
                <w:sz w:val="19"/>
                <w:szCs w:val="19"/>
                <w:color w:val="auto"/>
              </w:rPr>
            </w:pPr>
          </w:p>
        </w:tc>
        <w:tc>
          <w:tcPr>
            <w:tcW w:w="2060" w:type="dxa"/>
            <w:vAlign w:val="bottom"/>
            <w:tcBorders>
              <w:top w:val="single" w:sz="8" w:color="auto"/>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5460" w:type="dxa"/>
            <w:vAlign w:val="bottom"/>
            <w:tcBorders>
              <w:left w:val="single" w:sz="8" w:color="auto"/>
              <w:right w:val="single" w:sz="8" w:color="auto"/>
            </w:tcBorders>
          </w:tcPr>
          <w:p>
            <w:pPr>
              <w:spacing w:after="0"/>
              <w:rPr>
                <w:sz w:val="20"/>
                <w:szCs w:val="20"/>
                <w:color w:val="auto"/>
              </w:rPr>
            </w:pPr>
          </w:p>
        </w:tc>
        <w:tc>
          <w:tcPr>
            <w:tcW w:w="19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5"/>
                <w:szCs w:val="15"/>
                <w:b w:val="1"/>
                <w:bCs w:val="1"/>
                <w:color w:val="auto"/>
                <w:w w:val="95"/>
              </w:rPr>
              <w:t>Regarding Use</w:t>
            </w:r>
          </w:p>
        </w:tc>
        <w:tc>
          <w:tcPr>
            <w:tcW w:w="18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5"/>
                <w:szCs w:val="15"/>
                <w:b w:val="1"/>
                <w:bCs w:val="1"/>
                <w:color w:val="auto"/>
                <w:w w:val="96"/>
              </w:rPr>
              <w:t>Actual Use of Proceeds as at</w:t>
            </w:r>
          </w:p>
        </w:tc>
        <w:tc>
          <w:tcPr>
            <w:tcW w:w="206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5"/>
                <w:szCs w:val="15"/>
                <w:b w:val="1"/>
                <w:bCs w:val="1"/>
                <w:color w:val="auto"/>
                <w:w w:val="97"/>
              </w:rPr>
              <w:t>Revised Estimated Use of</w:t>
            </w:r>
          </w:p>
        </w:tc>
        <w:tc>
          <w:tcPr>
            <w:tcW w:w="0" w:type="dxa"/>
            <w:vAlign w:val="bottom"/>
          </w:tcPr>
          <w:p>
            <w:pPr>
              <w:spacing w:after="0"/>
              <w:rPr>
                <w:sz w:val="1"/>
                <w:szCs w:val="1"/>
                <w:color w:val="auto"/>
              </w:rPr>
            </w:pPr>
          </w:p>
        </w:tc>
      </w:tr>
      <w:tr>
        <w:trPr>
          <w:trHeight w:val="73"/>
        </w:trPr>
        <w:tc>
          <w:tcPr>
            <w:tcW w:w="5460" w:type="dxa"/>
            <w:vAlign w:val="bottom"/>
            <w:tcBorders>
              <w:left w:val="single" w:sz="8" w:color="auto"/>
              <w:right w:val="single" w:sz="8" w:color="auto"/>
            </w:tcBorders>
          </w:tcPr>
          <w:p>
            <w:pPr>
              <w:spacing w:after="0"/>
              <w:rPr>
                <w:sz w:val="6"/>
                <w:szCs w:val="6"/>
                <w:color w:val="auto"/>
              </w:rPr>
            </w:pPr>
          </w:p>
        </w:tc>
        <w:tc>
          <w:tcPr>
            <w:tcW w:w="192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5"/>
                <w:szCs w:val="15"/>
                <w:b w:val="1"/>
                <w:bCs w:val="1"/>
                <w:color w:val="auto"/>
                <w:w w:val="96"/>
              </w:rPr>
              <w:t>of Proceeds in the August</w:t>
            </w:r>
          </w:p>
        </w:tc>
        <w:tc>
          <w:tcPr>
            <w:tcW w:w="184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5"/>
                <w:szCs w:val="15"/>
                <w:b w:val="1"/>
                <w:bCs w:val="1"/>
                <w:color w:val="auto"/>
                <w:w w:val="97"/>
              </w:rPr>
              <w:t>September 30, 2024</w:t>
            </w:r>
          </w:p>
        </w:tc>
        <w:tc>
          <w:tcPr>
            <w:tcW w:w="2060" w:type="dxa"/>
            <w:vAlign w:val="bottom"/>
            <w:tcBorders>
              <w:right w:val="single" w:sz="8" w:color="auto"/>
            </w:tcBorders>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19"/>
        </w:trPr>
        <w:tc>
          <w:tcPr>
            <w:tcW w:w="5460" w:type="dxa"/>
            <w:vAlign w:val="bottom"/>
            <w:tcBorders>
              <w:left w:val="single" w:sz="8" w:color="auto"/>
              <w:right w:val="single" w:sz="8" w:color="auto"/>
            </w:tcBorders>
          </w:tcPr>
          <w:p>
            <w:pPr>
              <w:spacing w:after="0"/>
              <w:rPr>
                <w:sz w:val="10"/>
                <w:szCs w:val="10"/>
                <w:color w:val="auto"/>
              </w:rPr>
            </w:pPr>
          </w:p>
        </w:tc>
        <w:tc>
          <w:tcPr>
            <w:tcW w:w="1920" w:type="dxa"/>
            <w:vAlign w:val="bottom"/>
            <w:tcBorders>
              <w:right w:val="single" w:sz="8" w:color="auto"/>
            </w:tcBorders>
            <w:vMerge w:val="continue"/>
          </w:tcPr>
          <w:p>
            <w:pPr>
              <w:spacing w:after="0"/>
              <w:rPr>
                <w:sz w:val="10"/>
                <w:szCs w:val="10"/>
                <w:color w:val="auto"/>
              </w:rPr>
            </w:pPr>
          </w:p>
        </w:tc>
        <w:tc>
          <w:tcPr>
            <w:tcW w:w="1840" w:type="dxa"/>
            <w:vAlign w:val="bottom"/>
            <w:tcBorders>
              <w:right w:val="single" w:sz="8" w:color="auto"/>
            </w:tcBorders>
            <w:vMerge w:val="continue"/>
          </w:tcPr>
          <w:p>
            <w:pPr>
              <w:spacing w:after="0"/>
              <w:rPr>
                <w:sz w:val="10"/>
                <w:szCs w:val="10"/>
                <w:color w:val="auto"/>
              </w:rPr>
            </w:pPr>
          </w:p>
        </w:tc>
        <w:tc>
          <w:tcPr>
            <w:tcW w:w="206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5"/>
                <w:szCs w:val="15"/>
                <w:b w:val="1"/>
                <w:bCs w:val="1"/>
                <w:color w:val="auto"/>
                <w:w w:val="93"/>
              </w:rPr>
              <w:t>Proceeds</w:t>
            </w:r>
          </w:p>
        </w:tc>
        <w:tc>
          <w:tcPr>
            <w:tcW w:w="0" w:type="dxa"/>
            <w:vAlign w:val="bottom"/>
          </w:tcPr>
          <w:p>
            <w:pPr>
              <w:spacing w:after="0"/>
              <w:rPr>
                <w:sz w:val="1"/>
                <w:szCs w:val="1"/>
                <w:color w:val="auto"/>
              </w:rPr>
            </w:pPr>
          </w:p>
        </w:tc>
      </w:tr>
      <w:tr>
        <w:trPr>
          <w:trHeight w:val="73"/>
        </w:trPr>
        <w:tc>
          <w:tcPr>
            <w:tcW w:w="5460" w:type="dxa"/>
            <w:vAlign w:val="bottom"/>
            <w:tcBorders>
              <w:left w:val="single" w:sz="8" w:color="auto"/>
              <w:right w:val="single" w:sz="8" w:color="auto"/>
            </w:tcBorders>
          </w:tcPr>
          <w:p>
            <w:pPr>
              <w:spacing w:after="0"/>
              <w:rPr>
                <w:sz w:val="6"/>
                <w:szCs w:val="6"/>
                <w:color w:val="auto"/>
              </w:rPr>
            </w:pPr>
          </w:p>
        </w:tc>
        <w:tc>
          <w:tcPr>
            <w:tcW w:w="192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5"/>
                <w:szCs w:val="15"/>
                <w:b w:val="1"/>
                <w:bCs w:val="1"/>
                <w:color w:val="auto"/>
                <w:w w:val="97"/>
              </w:rPr>
              <w:t>Prospectus Supplement</w:t>
            </w:r>
          </w:p>
        </w:tc>
        <w:tc>
          <w:tcPr>
            <w:tcW w:w="1840" w:type="dxa"/>
            <w:vAlign w:val="bottom"/>
            <w:tcBorders>
              <w:right w:val="single" w:sz="8" w:color="auto"/>
            </w:tcBorders>
          </w:tcPr>
          <w:p>
            <w:pPr>
              <w:spacing w:after="0"/>
              <w:rPr>
                <w:sz w:val="6"/>
                <w:szCs w:val="6"/>
                <w:color w:val="auto"/>
              </w:rPr>
            </w:pPr>
          </w:p>
        </w:tc>
        <w:tc>
          <w:tcPr>
            <w:tcW w:w="2060" w:type="dxa"/>
            <w:vAlign w:val="bottom"/>
            <w:tcBorders>
              <w:right w:val="single" w:sz="8" w:color="auto"/>
            </w:tcBorders>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31"/>
        </w:trPr>
        <w:tc>
          <w:tcPr>
            <w:tcW w:w="5460" w:type="dxa"/>
            <w:vAlign w:val="bottom"/>
            <w:tcBorders>
              <w:left w:val="single" w:sz="8" w:color="auto"/>
              <w:right w:val="single" w:sz="8" w:color="auto"/>
            </w:tcBorders>
          </w:tcPr>
          <w:p>
            <w:pPr>
              <w:spacing w:after="0"/>
              <w:rPr>
                <w:sz w:val="11"/>
                <w:szCs w:val="11"/>
                <w:color w:val="auto"/>
              </w:rPr>
            </w:pPr>
          </w:p>
        </w:tc>
        <w:tc>
          <w:tcPr>
            <w:tcW w:w="1920" w:type="dxa"/>
            <w:vAlign w:val="bottom"/>
            <w:tcBorders>
              <w:right w:val="single" w:sz="8" w:color="auto"/>
            </w:tcBorders>
            <w:vMerge w:val="continue"/>
          </w:tcPr>
          <w:p>
            <w:pPr>
              <w:spacing w:after="0"/>
              <w:rPr>
                <w:sz w:val="11"/>
                <w:szCs w:val="11"/>
                <w:color w:val="auto"/>
              </w:rPr>
            </w:pPr>
          </w:p>
        </w:tc>
        <w:tc>
          <w:tcPr>
            <w:tcW w:w="1840" w:type="dxa"/>
            <w:vAlign w:val="bottom"/>
            <w:tcBorders>
              <w:right w:val="single" w:sz="8" w:color="auto"/>
            </w:tcBorders>
          </w:tcPr>
          <w:p>
            <w:pPr>
              <w:spacing w:after="0"/>
              <w:rPr>
                <w:sz w:val="11"/>
                <w:szCs w:val="11"/>
                <w:color w:val="auto"/>
              </w:rPr>
            </w:pPr>
          </w:p>
        </w:tc>
        <w:tc>
          <w:tcPr>
            <w:tcW w:w="2060" w:type="dxa"/>
            <w:vAlign w:val="bottom"/>
            <w:tcBorders>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258"/>
        </w:trPr>
        <w:tc>
          <w:tcPr>
            <w:tcW w:w="5460" w:type="dxa"/>
            <w:vAlign w:val="bottom"/>
            <w:tcBorders>
              <w:left w:val="single" w:sz="8" w:color="auto"/>
              <w:bottom w:val="single" w:sz="8" w:color="auto"/>
              <w:right w:val="single" w:sz="8" w:color="auto"/>
            </w:tcBorders>
          </w:tcPr>
          <w:p>
            <w:pPr>
              <w:ind w:left="1640"/>
              <w:spacing w:after="0"/>
              <w:rPr>
                <w:sz w:val="20"/>
                <w:szCs w:val="20"/>
                <w:color w:val="auto"/>
              </w:rPr>
            </w:pPr>
            <w:r>
              <w:rPr>
                <w:rFonts w:ascii="Times New Roman" w:cs="Times New Roman" w:eastAsia="Times New Roman" w:hAnsi="Times New Roman"/>
                <w:sz w:val="15"/>
                <w:szCs w:val="15"/>
                <w:b w:val="1"/>
                <w:bCs w:val="1"/>
                <w:color w:val="auto"/>
              </w:rPr>
              <w:t>Use of Available Funds ($000’s)</w:t>
            </w:r>
            <w:r>
              <w:rPr>
                <w:rFonts w:ascii="Times New Roman" w:cs="Times New Roman" w:eastAsia="Times New Roman" w:hAnsi="Times New Roman"/>
                <w:sz w:val="18"/>
                <w:szCs w:val="18"/>
                <w:b w:val="1"/>
                <w:bCs w:val="1"/>
                <w:color w:val="auto"/>
                <w:vertAlign w:val="superscript"/>
              </w:rPr>
              <w:t>(1)(2)</w:t>
            </w:r>
          </w:p>
        </w:tc>
        <w:tc>
          <w:tcPr>
            <w:tcW w:w="19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b w:val="1"/>
                <w:bCs w:val="1"/>
                <w:color w:val="auto"/>
                <w:w w:val="95"/>
              </w:rPr>
              <w:t>(July 1, 2023 to June 30 2024)</w:t>
            </w:r>
          </w:p>
        </w:tc>
        <w:tc>
          <w:tcPr>
            <w:tcW w:w="1840" w:type="dxa"/>
            <w:vAlign w:val="bottom"/>
            <w:tcBorders>
              <w:bottom w:val="single" w:sz="8" w:color="auto"/>
              <w:right w:val="single" w:sz="8" w:color="auto"/>
            </w:tcBorders>
          </w:tcPr>
          <w:p>
            <w:pPr>
              <w:spacing w:after="0"/>
              <w:rPr>
                <w:sz w:val="22"/>
                <w:szCs w:val="22"/>
                <w:color w:val="auto"/>
              </w:rPr>
            </w:pPr>
          </w:p>
        </w:tc>
        <w:tc>
          <w:tcPr>
            <w:tcW w:w="2060" w:type="dxa"/>
            <w:vAlign w:val="bottom"/>
            <w:tcBorders>
              <w:bottom w:val="single" w:sz="8" w:color="auto"/>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184"/>
        </w:trPr>
        <w:tc>
          <w:tcPr>
            <w:tcW w:w="5460" w:type="dxa"/>
            <w:vAlign w:val="bottom"/>
            <w:tcBorders>
              <w:left w:val="single" w:sz="8" w:color="auto"/>
              <w:bottom w:val="single" w:sz="8" w:color="auto"/>
            </w:tcBorders>
          </w:tcPr>
          <w:p>
            <w:pPr>
              <w:ind w:left="140"/>
              <w:spacing w:after="0"/>
              <w:rPr>
                <w:sz w:val="20"/>
                <w:szCs w:val="20"/>
                <w:color w:val="auto"/>
              </w:rPr>
            </w:pPr>
            <w:r>
              <w:rPr>
                <w:rFonts w:ascii="Times New Roman" w:cs="Times New Roman" w:eastAsia="Times New Roman" w:hAnsi="Times New Roman"/>
                <w:sz w:val="15"/>
                <w:szCs w:val="15"/>
                <w:b w:val="1"/>
                <w:bCs w:val="1"/>
                <w:color w:val="auto"/>
              </w:rPr>
              <w:t>Deuterated Psilocin Program</w:t>
            </w:r>
          </w:p>
        </w:tc>
        <w:tc>
          <w:tcPr>
            <w:tcW w:w="1920" w:type="dxa"/>
            <w:vAlign w:val="bottom"/>
            <w:tcBorders>
              <w:bottom w:val="single" w:sz="8" w:color="auto"/>
            </w:tcBorders>
          </w:tcPr>
          <w:p>
            <w:pPr>
              <w:spacing w:after="0"/>
              <w:rPr>
                <w:sz w:val="16"/>
                <w:szCs w:val="16"/>
                <w:color w:val="auto"/>
              </w:rPr>
            </w:pPr>
          </w:p>
        </w:tc>
        <w:tc>
          <w:tcPr>
            <w:tcW w:w="1840" w:type="dxa"/>
            <w:vAlign w:val="bottom"/>
            <w:tcBorders>
              <w:bottom w:val="single" w:sz="8" w:color="auto"/>
            </w:tcBorders>
          </w:tcPr>
          <w:p>
            <w:pPr>
              <w:spacing w:after="0"/>
              <w:rPr>
                <w:sz w:val="16"/>
                <w:szCs w:val="16"/>
                <w:color w:val="auto"/>
              </w:rPr>
            </w:pPr>
          </w:p>
        </w:tc>
        <w:tc>
          <w:tcPr>
            <w:tcW w:w="2060" w:type="dxa"/>
            <w:vAlign w:val="bottom"/>
            <w:tcBorders>
              <w:bottom w:val="single" w:sz="8" w:color="auto"/>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06"/>
        </w:trPr>
        <w:tc>
          <w:tcPr>
            <w:tcW w:w="5460" w:type="dxa"/>
            <w:vAlign w:val="bottom"/>
            <w:tcBorders>
              <w:left w:val="single" w:sz="8" w:color="auto"/>
              <w:right w:val="single" w:sz="8" w:color="auto"/>
            </w:tcBorders>
          </w:tcPr>
          <w:p>
            <w:pPr>
              <w:ind w:left="140"/>
              <w:spacing w:after="0"/>
              <w:rPr>
                <w:sz w:val="20"/>
                <w:szCs w:val="20"/>
                <w:color w:val="auto"/>
              </w:rPr>
            </w:pPr>
            <w:r>
              <w:rPr>
                <w:rFonts w:ascii="Times New Roman" w:cs="Times New Roman" w:eastAsia="Times New Roman" w:hAnsi="Times New Roman"/>
                <w:sz w:val="15"/>
                <w:szCs w:val="15"/>
                <w:color w:val="auto"/>
              </w:rPr>
              <w:t>Complete FDA submission of Phase 1/2a data</w:t>
            </w:r>
          </w:p>
        </w:tc>
        <w:tc>
          <w:tcPr>
            <w:tcW w:w="19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w w:val="92"/>
              </w:rPr>
              <w:t>$2,500</w:t>
            </w:r>
          </w:p>
        </w:tc>
        <w:tc>
          <w:tcPr>
            <w:tcW w:w="18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w w:val="96"/>
              </w:rPr>
              <w:t>$2,500</w:t>
            </w:r>
          </w:p>
        </w:tc>
        <w:tc>
          <w:tcPr>
            <w:tcW w:w="20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rPr>
              <w:t>N/A</w:t>
            </w:r>
          </w:p>
        </w:tc>
        <w:tc>
          <w:tcPr>
            <w:tcW w:w="0" w:type="dxa"/>
            <w:vAlign w:val="bottom"/>
          </w:tcPr>
          <w:p>
            <w:pPr>
              <w:spacing w:after="0"/>
              <w:rPr>
                <w:sz w:val="1"/>
                <w:szCs w:val="1"/>
                <w:color w:val="auto"/>
              </w:rPr>
            </w:pPr>
          </w:p>
        </w:tc>
      </w:tr>
      <w:tr>
        <w:trPr>
          <w:trHeight w:val="41"/>
        </w:trPr>
        <w:tc>
          <w:tcPr>
            <w:tcW w:w="5460" w:type="dxa"/>
            <w:vAlign w:val="bottom"/>
            <w:tcBorders>
              <w:left w:val="single" w:sz="8" w:color="auto"/>
              <w:bottom w:val="single" w:sz="8" w:color="auto"/>
              <w:right w:val="single" w:sz="8" w:color="auto"/>
            </w:tcBorders>
          </w:tcPr>
          <w:p>
            <w:pPr>
              <w:spacing w:after="0"/>
              <w:rPr>
                <w:sz w:val="3"/>
                <w:szCs w:val="3"/>
                <w:color w:val="auto"/>
              </w:rPr>
            </w:pPr>
          </w:p>
        </w:tc>
        <w:tc>
          <w:tcPr>
            <w:tcW w:w="1920" w:type="dxa"/>
            <w:vAlign w:val="bottom"/>
            <w:tcBorders>
              <w:bottom w:val="single" w:sz="8" w:color="auto"/>
              <w:right w:val="single" w:sz="8" w:color="auto"/>
            </w:tcBorders>
          </w:tcPr>
          <w:p>
            <w:pPr>
              <w:spacing w:after="0"/>
              <w:rPr>
                <w:sz w:val="3"/>
                <w:szCs w:val="3"/>
                <w:color w:val="auto"/>
              </w:rPr>
            </w:pPr>
          </w:p>
        </w:tc>
        <w:tc>
          <w:tcPr>
            <w:tcW w:w="1840" w:type="dxa"/>
            <w:vAlign w:val="bottom"/>
            <w:tcBorders>
              <w:bottom w:val="single" w:sz="8" w:color="auto"/>
              <w:right w:val="single" w:sz="8" w:color="auto"/>
            </w:tcBorders>
          </w:tcPr>
          <w:p>
            <w:pPr>
              <w:spacing w:after="0"/>
              <w:rPr>
                <w:sz w:val="3"/>
                <w:szCs w:val="3"/>
                <w:color w:val="auto"/>
              </w:rPr>
            </w:pPr>
          </w:p>
        </w:tc>
        <w:tc>
          <w:tcPr>
            <w:tcW w:w="2060" w:type="dxa"/>
            <w:vAlign w:val="bottom"/>
            <w:tcBorders>
              <w:bottom w:val="single" w:sz="8" w:color="auto"/>
              <w:right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84"/>
        </w:trPr>
        <w:tc>
          <w:tcPr>
            <w:tcW w:w="5460" w:type="dxa"/>
            <w:vAlign w:val="bottom"/>
            <w:tcBorders>
              <w:left w:val="single" w:sz="8" w:color="auto"/>
              <w:bottom w:val="single" w:sz="8" w:color="auto"/>
            </w:tcBorders>
          </w:tcPr>
          <w:p>
            <w:pPr>
              <w:ind w:left="140"/>
              <w:spacing w:after="0"/>
              <w:rPr>
                <w:sz w:val="20"/>
                <w:szCs w:val="20"/>
                <w:color w:val="auto"/>
              </w:rPr>
            </w:pPr>
            <w:r>
              <w:rPr>
                <w:rFonts w:ascii="Times New Roman" w:cs="Times New Roman" w:eastAsia="Times New Roman" w:hAnsi="Times New Roman"/>
                <w:sz w:val="15"/>
                <w:szCs w:val="15"/>
                <w:b w:val="1"/>
                <w:bCs w:val="1"/>
                <w:color w:val="auto"/>
              </w:rPr>
              <w:t>Deuterated Dimethyltryptamine Program</w:t>
            </w:r>
          </w:p>
        </w:tc>
        <w:tc>
          <w:tcPr>
            <w:tcW w:w="1920" w:type="dxa"/>
            <w:vAlign w:val="bottom"/>
            <w:tcBorders>
              <w:bottom w:val="single" w:sz="8" w:color="auto"/>
            </w:tcBorders>
          </w:tcPr>
          <w:p>
            <w:pPr>
              <w:spacing w:after="0"/>
              <w:rPr>
                <w:sz w:val="16"/>
                <w:szCs w:val="16"/>
                <w:color w:val="auto"/>
              </w:rPr>
            </w:pPr>
          </w:p>
        </w:tc>
        <w:tc>
          <w:tcPr>
            <w:tcW w:w="1840" w:type="dxa"/>
            <w:vAlign w:val="bottom"/>
            <w:tcBorders>
              <w:bottom w:val="single" w:sz="8" w:color="auto"/>
            </w:tcBorders>
          </w:tcPr>
          <w:p>
            <w:pPr>
              <w:spacing w:after="0"/>
              <w:rPr>
                <w:sz w:val="16"/>
                <w:szCs w:val="16"/>
                <w:color w:val="auto"/>
              </w:rPr>
            </w:pPr>
          </w:p>
        </w:tc>
        <w:tc>
          <w:tcPr>
            <w:tcW w:w="2060" w:type="dxa"/>
            <w:vAlign w:val="bottom"/>
            <w:tcBorders>
              <w:bottom w:val="single" w:sz="8" w:color="auto"/>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45"/>
        </w:trPr>
        <w:tc>
          <w:tcPr>
            <w:tcW w:w="5460" w:type="dxa"/>
            <w:vAlign w:val="bottom"/>
            <w:tcBorders>
              <w:left w:val="single" w:sz="8" w:color="auto"/>
              <w:bottom w:val="single" w:sz="8" w:color="auto"/>
              <w:right w:val="single" w:sz="8" w:color="auto"/>
            </w:tcBorders>
          </w:tcPr>
          <w:p>
            <w:pPr>
              <w:ind w:left="140"/>
              <w:spacing w:after="0"/>
              <w:rPr>
                <w:sz w:val="20"/>
                <w:szCs w:val="20"/>
                <w:color w:val="auto"/>
              </w:rPr>
            </w:pPr>
            <w:r>
              <w:rPr>
                <w:rFonts w:ascii="Times New Roman" w:cs="Times New Roman" w:eastAsia="Times New Roman" w:hAnsi="Times New Roman"/>
                <w:sz w:val="15"/>
                <w:szCs w:val="15"/>
                <w:color w:val="auto"/>
              </w:rPr>
              <w:t>Provide topline data from Phase 1 CYB004-E trial</w:t>
            </w:r>
          </w:p>
        </w:tc>
        <w:tc>
          <w:tcPr>
            <w:tcW w:w="19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w w:val="92"/>
              </w:rPr>
              <w:t>$1,269</w:t>
            </w:r>
          </w:p>
        </w:tc>
        <w:tc>
          <w:tcPr>
            <w:tcW w:w="18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w w:val="96"/>
              </w:rPr>
              <w:t>$1,269</w:t>
            </w:r>
          </w:p>
        </w:tc>
        <w:tc>
          <w:tcPr>
            <w:tcW w:w="20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rPr>
              <w:t>N/A</w:t>
            </w:r>
          </w:p>
        </w:tc>
        <w:tc>
          <w:tcPr>
            <w:tcW w:w="0" w:type="dxa"/>
            <w:vAlign w:val="bottom"/>
          </w:tcPr>
          <w:p>
            <w:pPr>
              <w:spacing w:after="0"/>
              <w:rPr>
                <w:sz w:val="1"/>
                <w:szCs w:val="1"/>
                <w:color w:val="auto"/>
              </w:rPr>
            </w:pPr>
          </w:p>
        </w:tc>
      </w:tr>
      <w:tr>
        <w:trPr>
          <w:trHeight w:val="246"/>
        </w:trPr>
        <w:tc>
          <w:tcPr>
            <w:tcW w:w="5460" w:type="dxa"/>
            <w:vAlign w:val="bottom"/>
            <w:tcBorders>
              <w:left w:val="single" w:sz="8" w:color="auto"/>
              <w:bottom w:val="single" w:sz="8" w:color="auto"/>
              <w:right w:val="single" w:sz="8" w:color="auto"/>
            </w:tcBorders>
          </w:tcPr>
          <w:p>
            <w:pPr>
              <w:ind w:left="140"/>
              <w:spacing w:after="0"/>
              <w:rPr>
                <w:sz w:val="20"/>
                <w:szCs w:val="20"/>
                <w:color w:val="auto"/>
              </w:rPr>
            </w:pPr>
            <w:r>
              <w:rPr>
                <w:rFonts w:ascii="Times New Roman" w:cs="Times New Roman" w:eastAsia="Times New Roman" w:hAnsi="Times New Roman"/>
                <w:sz w:val="15"/>
                <w:szCs w:val="15"/>
                <w:color w:val="auto"/>
              </w:rPr>
              <w:t>Complete FDA IND submission</w:t>
            </w:r>
          </w:p>
        </w:tc>
        <w:tc>
          <w:tcPr>
            <w:tcW w:w="19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w w:val="92"/>
              </w:rPr>
              <w:t>$1,373</w:t>
            </w:r>
          </w:p>
        </w:tc>
        <w:tc>
          <w:tcPr>
            <w:tcW w:w="18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w w:val="96"/>
              </w:rPr>
              <w:t>$1,373</w:t>
            </w:r>
          </w:p>
        </w:tc>
        <w:tc>
          <w:tcPr>
            <w:tcW w:w="20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rPr>
              <w:t>N/A</w:t>
            </w:r>
          </w:p>
        </w:tc>
        <w:tc>
          <w:tcPr>
            <w:tcW w:w="0" w:type="dxa"/>
            <w:vAlign w:val="bottom"/>
          </w:tcPr>
          <w:p>
            <w:pPr>
              <w:spacing w:after="0"/>
              <w:rPr>
                <w:sz w:val="1"/>
                <w:szCs w:val="1"/>
                <w:color w:val="auto"/>
              </w:rPr>
            </w:pPr>
          </w:p>
        </w:tc>
      </w:tr>
      <w:tr>
        <w:trPr>
          <w:trHeight w:val="187"/>
        </w:trPr>
        <w:tc>
          <w:tcPr>
            <w:tcW w:w="5460" w:type="dxa"/>
            <w:vAlign w:val="bottom"/>
            <w:tcBorders>
              <w:left w:val="single" w:sz="8" w:color="auto"/>
              <w:bottom w:val="single" w:sz="8" w:color="auto"/>
            </w:tcBorders>
          </w:tcPr>
          <w:p>
            <w:pPr>
              <w:ind w:left="140"/>
              <w:spacing w:after="0"/>
              <w:rPr>
                <w:sz w:val="20"/>
                <w:szCs w:val="20"/>
                <w:color w:val="auto"/>
              </w:rPr>
            </w:pPr>
            <w:r>
              <w:rPr>
                <w:rFonts w:ascii="Times New Roman" w:cs="Times New Roman" w:eastAsia="Times New Roman" w:hAnsi="Times New Roman"/>
                <w:sz w:val="15"/>
                <w:szCs w:val="15"/>
                <w:b w:val="1"/>
                <w:bCs w:val="1"/>
                <w:color w:val="auto"/>
              </w:rPr>
              <w:t>Phenethylamine Development Program</w:t>
            </w:r>
          </w:p>
        </w:tc>
        <w:tc>
          <w:tcPr>
            <w:tcW w:w="1920" w:type="dxa"/>
            <w:vAlign w:val="bottom"/>
            <w:tcBorders>
              <w:bottom w:val="single" w:sz="8" w:color="auto"/>
            </w:tcBorders>
          </w:tcPr>
          <w:p>
            <w:pPr>
              <w:spacing w:after="0"/>
              <w:rPr>
                <w:sz w:val="16"/>
                <w:szCs w:val="16"/>
                <w:color w:val="auto"/>
              </w:rPr>
            </w:pPr>
          </w:p>
        </w:tc>
        <w:tc>
          <w:tcPr>
            <w:tcW w:w="1840" w:type="dxa"/>
            <w:vAlign w:val="bottom"/>
            <w:tcBorders>
              <w:bottom w:val="single" w:sz="8" w:color="auto"/>
            </w:tcBorders>
          </w:tcPr>
          <w:p>
            <w:pPr>
              <w:spacing w:after="0"/>
              <w:rPr>
                <w:sz w:val="16"/>
                <w:szCs w:val="16"/>
                <w:color w:val="auto"/>
              </w:rPr>
            </w:pPr>
          </w:p>
        </w:tc>
        <w:tc>
          <w:tcPr>
            <w:tcW w:w="2060" w:type="dxa"/>
            <w:vAlign w:val="bottom"/>
            <w:tcBorders>
              <w:bottom w:val="single" w:sz="8" w:color="auto"/>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39"/>
        </w:trPr>
        <w:tc>
          <w:tcPr>
            <w:tcW w:w="5460" w:type="dxa"/>
            <w:vAlign w:val="bottom"/>
            <w:tcBorders>
              <w:left w:val="single" w:sz="8" w:color="auto"/>
              <w:bottom w:val="single" w:sz="8" w:color="auto"/>
              <w:right w:val="single" w:sz="8" w:color="auto"/>
            </w:tcBorders>
          </w:tcPr>
          <w:p>
            <w:pPr>
              <w:ind w:left="140"/>
              <w:spacing w:after="0"/>
              <w:rPr>
                <w:sz w:val="20"/>
                <w:szCs w:val="20"/>
                <w:color w:val="auto"/>
              </w:rPr>
            </w:pPr>
            <w:r>
              <w:rPr>
                <w:rFonts w:ascii="Times New Roman" w:cs="Times New Roman" w:eastAsia="Times New Roman" w:hAnsi="Times New Roman"/>
                <w:sz w:val="15"/>
                <w:szCs w:val="15"/>
                <w:color w:val="auto"/>
              </w:rPr>
              <w:t>Progression of phenethylamine candidate to clinical studies</w:t>
            </w:r>
          </w:p>
        </w:tc>
        <w:tc>
          <w:tcPr>
            <w:tcW w:w="19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w w:val="93"/>
              </w:rPr>
              <w:t>Nil</w:t>
            </w:r>
          </w:p>
        </w:tc>
        <w:tc>
          <w:tcPr>
            <w:tcW w:w="18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w w:val="93"/>
              </w:rPr>
              <w:t>Nil</w:t>
            </w:r>
          </w:p>
        </w:tc>
        <w:tc>
          <w:tcPr>
            <w:tcW w:w="20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rPr>
              <w:t>N/A</w:t>
            </w:r>
          </w:p>
        </w:tc>
        <w:tc>
          <w:tcPr>
            <w:tcW w:w="0" w:type="dxa"/>
            <w:vAlign w:val="bottom"/>
          </w:tcPr>
          <w:p>
            <w:pPr>
              <w:spacing w:after="0"/>
              <w:rPr>
                <w:sz w:val="1"/>
                <w:szCs w:val="1"/>
                <w:color w:val="auto"/>
              </w:rPr>
            </w:pPr>
          </w:p>
        </w:tc>
      </w:tr>
      <w:tr>
        <w:trPr>
          <w:trHeight w:val="192"/>
        </w:trPr>
        <w:tc>
          <w:tcPr>
            <w:tcW w:w="5460" w:type="dxa"/>
            <w:vAlign w:val="bottom"/>
            <w:tcBorders>
              <w:left w:val="single" w:sz="8" w:color="auto"/>
              <w:bottom w:val="single" w:sz="8" w:color="auto"/>
            </w:tcBorders>
          </w:tcPr>
          <w:p>
            <w:pPr>
              <w:ind w:left="140"/>
              <w:spacing w:after="0"/>
              <w:rPr>
                <w:sz w:val="20"/>
                <w:szCs w:val="20"/>
                <w:color w:val="auto"/>
              </w:rPr>
            </w:pPr>
            <w:r>
              <w:rPr>
                <w:rFonts w:ascii="Times New Roman" w:cs="Times New Roman" w:eastAsia="Times New Roman" w:hAnsi="Times New Roman"/>
                <w:sz w:val="15"/>
                <w:szCs w:val="15"/>
                <w:b w:val="1"/>
                <w:bCs w:val="1"/>
                <w:color w:val="auto"/>
              </w:rPr>
              <w:t>Other</w:t>
            </w:r>
          </w:p>
        </w:tc>
        <w:tc>
          <w:tcPr>
            <w:tcW w:w="1920" w:type="dxa"/>
            <w:vAlign w:val="bottom"/>
            <w:tcBorders>
              <w:bottom w:val="single" w:sz="8" w:color="auto"/>
            </w:tcBorders>
          </w:tcPr>
          <w:p>
            <w:pPr>
              <w:spacing w:after="0"/>
              <w:rPr>
                <w:sz w:val="16"/>
                <w:szCs w:val="16"/>
                <w:color w:val="auto"/>
              </w:rPr>
            </w:pPr>
          </w:p>
        </w:tc>
        <w:tc>
          <w:tcPr>
            <w:tcW w:w="1840" w:type="dxa"/>
            <w:vAlign w:val="bottom"/>
            <w:tcBorders>
              <w:bottom w:val="single" w:sz="8" w:color="auto"/>
            </w:tcBorders>
          </w:tcPr>
          <w:p>
            <w:pPr>
              <w:spacing w:after="0"/>
              <w:rPr>
                <w:sz w:val="16"/>
                <w:szCs w:val="16"/>
                <w:color w:val="auto"/>
              </w:rPr>
            </w:pPr>
          </w:p>
        </w:tc>
        <w:tc>
          <w:tcPr>
            <w:tcW w:w="2060" w:type="dxa"/>
            <w:vAlign w:val="bottom"/>
            <w:tcBorders>
              <w:bottom w:val="single" w:sz="8" w:color="auto"/>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47"/>
        </w:trPr>
        <w:tc>
          <w:tcPr>
            <w:tcW w:w="5460" w:type="dxa"/>
            <w:vAlign w:val="bottom"/>
            <w:tcBorders>
              <w:left w:val="single" w:sz="8" w:color="auto"/>
              <w:bottom w:val="single" w:sz="8" w:color="auto"/>
              <w:right w:val="single" w:sz="8" w:color="auto"/>
            </w:tcBorders>
          </w:tcPr>
          <w:p>
            <w:pPr>
              <w:ind w:left="140"/>
              <w:spacing w:after="0"/>
              <w:rPr>
                <w:sz w:val="20"/>
                <w:szCs w:val="20"/>
                <w:color w:val="auto"/>
              </w:rPr>
            </w:pPr>
            <w:r>
              <w:rPr>
                <w:rFonts w:ascii="Times New Roman" w:cs="Times New Roman" w:eastAsia="Times New Roman" w:hAnsi="Times New Roman"/>
                <w:sz w:val="15"/>
                <w:szCs w:val="15"/>
                <w:color w:val="auto"/>
              </w:rPr>
              <w:t>Working Capital, and General Corporate Purposes</w:t>
            </w:r>
            <w:r>
              <w:rPr>
                <w:rFonts w:ascii="Times New Roman" w:cs="Times New Roman" w:eastAsia="Times New Roman" w:hAnsi="Times New Roman"/>
                <w:sz w:val="18"/>
                <w:szCs w:val="18"/>
                <w:color w:val="auto"/>
                <w:vertAlign w:val="superscript"/>
              </w:rPr>
              <w:t>(3)</w:t>
            </w:r>
          </w:p>
        </w:tc>
        <w:tc>
          <w:tcPr>
            <w:tcW w:w="19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w w:val="92"/>
              </w:rPr>
              <w:t>$4,876</w:t>
            </w:r>
          </w:p>
        </w:tc>
        <w:tc>
          <w:tcPr>
            <w:tcW w:w="18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w w:val="96"/>
              </w:rPr>
              <w:t>$4,876</w:t>
            </w:r>
          </w:p>
        </w:tc>
        <w:tc>
          <w:tcPr>
            <w:tcW w:w="20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rPr>
              <w:t>N/A</w:t>
            </w:r>
          </w:p>
        </w:tc>
        <w:tc>
          <w:tcPr>
            <w:tcW w:w="0" w:type="dxa"/>
            <w:vAlign w:val="bottom"/>
          </w:tcPr>
          <w:p>
            <w:pPr>
              <w:spacing w:after="0"/>
              <w:rPr>
                <w:sz w:val="1"/>
                <w:szCs w:val="1"/>
                <w:color w:val="auto"/>
              </w:rPr>
            </w:pPr>
          </w:p>
        </w:tc>
      </w:tr>
      <w:tr>
        <w:trPr>
          <w:trHeight w:val="205"/>
        </w:trPr>
        <w:tc>
          <w:tcPr>
            <w:tcW w:w="5460" w:type="dxa"/>
            <w:vAlign w:val="bottom"/>
            <w:tcBorders>
              <w:left w:val="single" w:sz="8" w:color="auto"/>
              <w:right w:val="single" w:sz="8" w:color="auto"/>
            </w:tcBorders>
          </w:tcPr>
          <w:p>
            <w:pPr>
              <w:ind w:left="140"/>
              <w:spacing w:after="0"/>
              <w:rPr>
                <w:sz w:val="20"/>
                <w:szCs w:val="20"/>
                <w:color w:val="auto"/>
              </w:rPr>
            </w:pPr>
            <w:r>
              <w:rPr>
                <w:rFonts w:ascii="Times New Roman" w:cs="Times New Roman" w:eastAsia="Times New Roman" w:hAnsi="Times New Roman"/>
                <w:sz w:val="15"/>
                <w:szCs w:val="15"/>
                <w:b w:val="1"/>
                <w:bCs w:val="1"/>
                <w:color w:val="auto"/>
              </w:rPr>
              <w:t>TOTAL:</w:t>
            </w:r>
          </w:p>
        </w:tc>
        <w:tc>
          <w:tcPr>
            <w:tcW w:w="19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5"/>
                <w:szCs w:val="15"/>
                <w:b w:val="1"/>
                <w:bCs w:val="1"/>
                <w:color w:val="auto"/>
                <w:w w:val="94"/>
              </w:rPr>
              <w:t>$10,018</w:t>
            </w:r>
          </w:p>
        </w:tc>
        <w:tc>
          <w:tcPr>
            <w:tcW w:w="18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5"/>
                <w:szCs w:val="15"/>
                <w:b w:val="1"/>
                <w:bCs w:val="1"/>
                <w:color w:val="auto"/>
                <w:w w:val="98"/>
              </w:rPr>
              <w:t>$10,018</w:t>
            </w:r>
          </w:p>
        </w:tc>
        <w:tc>
          <w:tcPr>
            <w:tcW w:w="20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5"/>
                <w:szCs w:val="15"/>
                <w:b w:val="1"/>
                <w:bCs w:val="1"/>
                <w:color w:val="auto"/>
              </w:rPr>
              <w:t>N/A</w:t>
            </w:r>
          </w:p>
        </w:tc>
        <w:tc>
          <w:tcPr>
            <w:tcW w:w="0" w:type="dxa"/>
            <w:vAlign w:val="bottom"/>
          </w:tcPr>
          <w:p>
            <w:pPr>
              <w:spacing w:after="0"/>
              <w:rPr>
                <w:sz w:val="1"/>
                <w:szCs w:val="1"/>
                <w:color w:val="auto"/>
              </w:rPr>
            </w:pPr>
          </w:p>
        </w:tc>
      </w:tr>
      <w:tr>
        <w:trPr>
          <w:trHeight w:val="41"/>
        </w:trPr>
        <w:tc>
          <w:tcPr>
            <w:tcW w:w="5460" w:type="dxa"/>
            <w:vAlign w:val="bottom"/>
            <w:tcBorders>
              <w:left w:val="single" w:sz="8" w:color="auto"/>
              <w:bottom w:val="single" w:sz="8" w:color="auto"/>
              <w:right w:val="single" w:sz="8" w:color="auto"/>
            </w:tcBorders>
          </w:tcPr>
          <w:p>
            <w:pPr>
              <w:spacing w:after="0"/>
              <w:rPr>
                <w:sz w:val="3"/>
                <w:szCs w:val="3"/>
                <w:color w:val="auto"/>
              </w:rPr>
            </w:pPr>
          </w:p>
        </w:tc>
        <w:tc>
          <w:tcPr>
            <w:tcW w:w="1920" w:type="dxa"/>
            <w:vAlign w:val="bottom"/>
            <w:tcBorders>
              <w:bottom w:val="single" w:sz="8" w:color="auto"/>
              <w:right w:val="single" w:sz="8" w:color="auto"/>
            </w:tcBorders>
          </w:tcPr>
          <w:p>
            <w:pPr>
              <w:spacing w:after="0"/>
              <w:rPr>
                <w:sz w:val="3"/>
                <w:szCs w:val="3"/>
                <w:color w:val="auto"/>
              </w:rPr>
            </w:pPr>
          </w:p>
        </w:tc>
        <w:tc>
          <w:tcPr>
            <w:tcW w:w="1840" w:type="dxa"/>
            <w:vAlign w:val="bottom"/>
            <w:tcBorders>
              <w:bottom w:val="single" w:sz="8" w:color="auto"/>
              <w:right w:val="single" w:sz="8" w:color="auto"/>
            </w:tcBorders>
          </w:tcPr>
          <w:p>
            <w:pPr>
              <w:spacing w:after="0"/>
              <w:rPr>
                <w:sz w:val="3"/>
                <w:szCs w:val="3"/>
                <w:color w:val="auto"/>
              </w:rPr>
            </w:pPr>
          </w:p>
        </w:tc>
        <w:tc>
          <w:tcPr>
            <w:tcW w:w="2060" w:type="dxa"/>
            <w:vAlign w:val="bottom"/>
            <w:tcBorders>
              <w:bottom w:val="single" w:sz="8" w:color="auto"/>
              <w:right w:val="single" w:sz="8" w:color="auto"/>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76" w:lineRule="exact"/>
        <w:rPr>
          <w:sz w:val="20"/>
          <w:szCs w:val="20"/>
          <w:color w:val="auto"/>
        </w:rPr>
      </w:pPr>
    </w:p>
    <w:p>
      <w:pPr>
        <w:ind w:left="3"/>
        <w:spacing w:after="0"/>
        <w:rPr>
          <w:sz w:val="20"/>
          <w:szCs w:val="20"/>
          <w:color w:val="auto"/>
        </w:rPr>
      </w:pPr>
      <w:r>
        <w:rPr>
          <w:rFonts w:ascii="Times New Roman" w:cs="Times New Roman" w:eastAsia="Times New Roman" w:hAnsi="Times New Roman"/>
          <w:sz w:val="15"/>
          <w:szCs w:val="15"/>
          <w:b w:val="1"/>
          <w:bCs w:val="1"/>
          <w:u w:val="single" w:color="auto"/>
          <w:color w:val="auto"/>
        </w:rPr>
        <w:t>Notes:</w:t>
      </w:r>
    </w:p>
    <w:p>
      <w:pPr>
        <w:spacing w:after="0" w:line="83" w:lineRule="exact"/>
        <w:rPr>
          <w:sz w:val="20"/>
          <w:szCs w:val="20"/>
          <w:color w:val="auto"/>
        </w:rPr>
      </w:pPr>
    </w:p>
    <w:p>
      <w:pPr>
        <w:ind w:left="403" w:hanging="403"/>
        <w:spacing w:after="0"/>
        <w:tabs>
          <w:tab w:leader="none" w:pos="403" w:val="left"/>
        </w:tabs>
        <w:numPr>
          <w:ilvl w:val="0"/>
          <w:numId w:val="32"/>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Certain amounts have been converted from USD to CAD at an exchange rate of 1.35:1.</w:t>
      </w:r>
    </w:p>
    <w:p>
      <w:pPr>
        <w:spacing w:after="0" w:line="16" w:lineRule="exact"/>
        <w:rPr>
          <w:rFonts w:ascii="Times New Roman" w:cs="Times New Roman" w:eastAsia="Times New Roman" w:hAnsi="Times New Roman"/>
          <w:sz w:val="15"/>
          <w:szCs w:val="15"/>
          <w:color w:val="auto"/>
        </w:rPr>
      </w:pPr>
    </w:p>
    <w:p>
      <w:pPr>
        <w:ind w:left="403" w:hanging="403"/>
        <w:spacing w:after="0"/>
        <w:tabs>
          <w:tab w:leader="none" w:pos="403" w:val="left"/>
        </w:tabs>
        <w:numPr>
          <w:ilvl w:val="0"/>
          <w:numId w:val="32"/>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Such amounts do not reflect the entire anticipated expenditures or budget related to the listed programs. For further information see “</w:t>
      </w:r>
      <w:r>
        <w:rPr>
          <w:rFonts w:ascii="Times New Roman" w:cs="Times New Roman" w:eastAsia="Times New Roman" w:hAnsi="Times New Roman"/>
          <w:sz w:val="15"/>
          <w:szCs w:val="15"/>
          <w:i w:val="1"/>
          <w:iCs w:val="1"/>
          <w:color w:val="auto"/>
        </w:rPr>
        <w:t>Non-Revenue Generating Projects</w:t>
      </w:r>
      <w:r>
        <w:rPr>
          <w:rFonts w:ascii="Times New Roman" w:cs="Times New Roman" w:eastAsia="Times New Roman" w:hAnsi="Times New Roman"/>
          <w:sz w:val="15"/>
          <w:szCs w:val="15"/>
          <w:color w:val="auto"/>
        </w:rPr>
        <w:t>”.</w:t>
      </w:r>
    </w:p>
    <w:p>
      <w:pPr>
        <w:spacing w:after="0" w:line="25" w:lineRule="exact"/>
        <w:rPr>
          <w:rFonts w:ascii="Times New Roman" w:cs="Times New Roman" w:eastAsia="Times New Roman" w:hAnsi="Times New Roman"/>
          <w:sz w:val="15"/>
          <w:szCs w:val="15"/>
          <w:color w:val="auto"/>
        </w:rPr>
      </w:pPr>
    </w:p>
    <w:p>
      <w:pPr>
        <w:jc w:val="both"/>
        <w:ind w:left="403" w:right="20" w:hanging="403"/>
        <w:spacing w:after="0" w:line="297" w:lineRule="auto"/>
        <w:tabs>
          <w:tab w:leader="none" w:pos="396" w:val="left"/>
        </w:tabs>
        <w:numPr>
          <w:ilvl w:val="0"/>
          <w:numId w:val="32"/>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Includes personnel costs, professional services, overhead expenses and general expenses to be incurred by the Company in the normal course of business. In addition, the Company intends to use a portion of these proceeds to continue funding both its Deuterated Psilocin and Deuterated Dimethyltryptamine programs. The allocation between these programs and specific milestones within the programs have not yet been determined.</w:t>
      </w:r>
    </w:p>
    <w:p>
      <w:pPr>
        <w:spacing w:after="0" w:line="169" w:lineRule="exact"/>
        <w:rPr>
          <w:sz w:val="20"/>
          <w:szCs w:val="20"/>
          <w:color w:val="auto"/>
        </w:rPr>
      </w:pPr>
    </w:p>
    <w:p>
      <w:pPr>
        <w:ind w:left="3"/>
        <w:spacing w:after="0"/>
        <w:rPr>
          <w:sz w:val="20"/>
          <w:szCs w:val="20"/>
          <w:color w:val="auto"/>
        </w:rPr>
      </w:pPr>
      <w:r>
        <w:rPr>
          <w:rFonts w:ascii="Times New Roman" w:cs="Times New Roman" w:eastAsia="Times New Roman" w:hAnsi="Times New Roman"/>
          <w:sz w:val="18"/>
          <w:szCs w:val="18"/>
          <w:b w:val="1"/>
          <w:bCs w:val="1"/>
          <w:i w:val="1"/>
          <w:iCs w:val="1"/>
          <w:color w:val="auto"/>
        </w:rPr>
        <w:t>November Prospectus Supplement</w:t>
      </w:r>
    </w:p>
    <w:p>
      <w:pPr>
        <w:spacing w:after="0" w:line="244" w:lineRule="exact"/>
        <w:rPr>
          <w:sz w:val="20"/>
          <w:szCs w:val="20"/>
          <w:color w:val="auto"/>
        </w:rPr>
      </w:pPr>
    </w:p>
    <w:p>
      <w:pPr>
        <w:jc w:val="both"/>
        <w:ind w:left="3" w:right="20"/>
        <w:spacing w:after="0" w:line="280" w:lineRule="auto"/>
        <w:rPr>
          <w:sz w:val="20"/>
          <w:szCs w:val="20"/>
          <w:color w:val="auto"/>
        </w:rPr>
      </w:pPr>
      <w:r>
        <w:rPr>
          <w:rFonts w:ascii="Times New Roman" w:cs="Times New Roman" w:eastAsia="Times New Roman" w:hAnsi="Times New Roman"/>
          <w:sz w:val="18"/>
          <w:szCs w:val="18"/>
          <w:color w:val="auto"/>
        </w:rPr>
        <w:t>The table below covers the period beginning November 1, 2023 until October 31, 2024, and describes the differences between the Company’s anticipated use of proceeds of $28,070 as previously disclosed in the Company’s prospectus supplement dated November 10, 2023 (the “</w:t>
      </w:r>
      <w:r>
        <w:rPr>
          <w:rFonts w:ascii="Times New Roman" w:cs="Times New Roman" w:eastAsia="Times New Roman" w:hAnsi="Times New Roman"/>
          <w:sz w:val="18"/>
          <w:szCs w:val="18"/>
          <w:b w:val="1"/>
          <w:bCs w:val="1"/>
          <w:color w:val="auto"/>
        </w:rPr>
        <w:t>November Prospectus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Supplement</w:t>
      </w:r>
      <w:r>
        <w:rPr>
          <w:rFonts w:ascii="Times New Roman" w:cs="Times New Roman" w:eastAsia="Times New Roman" w:hAnsi="Times New Roman"/>
          <w:sz w:val="18"/>
          <w:szCs w:val="18"/>
          <w:color w:val="auto"/>
        </w:rPr>
        <w:t>”) to the Company’s base shelf prospectus dated August 17, 2023 (the “</w:t>
      </w:r>
      <w:r>
        <w:rPr>
          <w:rFonts w:ascii="Times New Roman" w:cs="Times New Roman" w:eastAsia="Times New Roman" w:hAnsi="Times New Roman"/>
          <w:sz w:val="18"/>
          <w:szCs w:val="18"/>
          <w:b w:val="1"/>
          <w:bCs w:val="1"/>
          <w:color w:val="auto"/>
        </w:rPr>
        <w:t>2023 Base Shelf Prospectus</w:t>
      </w:r>
      <w:r>
        <w:rPr>
          <w:rFonts w:ascii="Times New Roman" w:cs="Times New Roman" w:eastAsia="Times New Roman" w:hAnsi="Times New Roman"/>
          <w:sz w:val="18"/>
          <w:szCs w:val="18"/>
          <w:color w:val="auto"/>
        </w:rPr>
        <w:t>”), the revised estimated costs as at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September 30, 2024, for the same period, and the actual use of proceeds as at December 31, 2023.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jc w:val="center"/>
        <w:ind w:right="-2"/>
        <w:spacing w:after="0"/>
        <w:rPr>
          <w:sz w:val="20"/>
          <w:szCs w:val="20"/>
          <w:color w:val="auto"/>
        </w:rPr>
      </w:pPr>
      <w:r>
        <w:rPr>
          <w:rFonts w:ascii="Times New Roman" w:cs="Times New Roman" w:eastAsia="Times New Roman" w:hAnsi="Times New Roman"/>
          <w:sz w:val="18"/>
          <w:szCs w:val="18"/>
          <w:color w:val="auto"/>
        </w:rPr>
        <w:t>22</w:t>
      </w:r>
    </w:p>
    <w:p>
      <w:pPr>
        <w:sectPr>
          <w:pgSz w:w="11900" w:h="16838" w:orient="portrait"/>
          <w:cols w:equalWidth="0" w:num="1">
            <w:col w:w="11263"/>
          </w:cols>
          <w:pgMar w:left="317" w:top="1289" w:right="319" w:bottom="1440" w:gutter="0" w:footer="0" w:header="0"/>
        </w:sectPr>
      </w:pPr>
    </w:p>
    <w:bookmarkStart w:id="48" w:name="page49"/>
    <w:bookmarkEnd w:id="48"/>
    <w:tbl>
      <w:tblPr>
        <w:tblLayout w:type="fixed"/>
        <w:tblInd w:w="13" w:type="dxa"/>
        <w:tblCellMar>
          <w:top w:w="0" w:type="dxa"/>
          <w:left w:w="0" w:type="dxa"/>
          <w:bottom w:w="0" w:type="dxa"/>
          <w:right w:w="0" w:type="dxa"/>
        </w:tblCellMar>
      </w:tblPr>
      <w:tr>
        <w:trPr>
          <w:trHeight w:val="225"/>
        </w:trPr>
        <w:tc>
          <w:tcPr>
            <w:tcW w:w="5460" w:type="dxa"/>
            <w:vAlign w:val="bottom"/>
            <w:tcBorders>
              <w:top w:val="single" w:sz="8" w:color="auto"/>
              <w:left w:val="single" w:sz="8" w:color="auto"/>
              <w:right w:val="single" w:sz="8" w:color="auto"/>
            </w:tcBorders>
          </w:tcPr>
          <w:p>
            <w:pPr>
              <w:spacing w:after="0"/>
              <w:rPr>
                <w:sz w:val="19"/>
                <w:szCs w:val="19"/>
                <w:color w:val="auto"/>
              </w:rPr>
            </w:pPr>
          </w:p>
        </w:tc>
        <w:tc>
          <w:tcPr>
            <w:tcW w:w="192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b w:val="1"/>
                <w:bCs w:val="1"/>
                <w:color w:val="auto"/>
                <w:w w:val="96"/>
              </w:rPr>
              <w:t>Previous Disclosure</w:t>
            </w:r>
          </w:p>
        </w:tc>
        <w:tc>
          <w:tcPr>
            <w:tcW w:w="1840" w:type="dxa"/>
            <w:vAlign w:val="bottom"/>
            <w:tcBorders>
              <w:top w:val="single" w:sz="8" w:color="auto"/>
              <w:right w:val="single" w:sz="8" w:color="auto"/>
            </w:tcBorders>
          </w:tcPr>
          <w:p>
            <w:pPr>
              <w:spacing w:after="0"/>
              <w:rPr>
                <w:sz w:val="19"/>
                <w:szCs w:val="19"/>
                <w:color w:val="auto"/>
              </w:rPr>
            </w:pPr>
          </w:p>
        </w:tc>
        <w:tc>
          <w:tcPr>
            <w:tcW w:w="2060" w:type="dxa"/>
            <w:vAlign w:val="bottom"/>
            <w:tcBorders>
              <w:top w:val="single" w:sz="8" w:color="auto"/>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5460" w:type="dxa"/>
            <w:vAlign w:val="bottom"/>
            <w:tcBorders>
              <w:left w:val="single" w:sz="8" w:color="auto"/>
              <w:right w:val="single" w:sz="8" w:color="auto"/>
            </w:tcBorders>
          </w:tcPr>
          <w:p>
            <w:pPr>
              <w:spacing w:after="0"/>
              <w:rPr>
                <w:sz w:val="18"/>
                <w:szCs w:val="18"/>
                <w:color w:val="auto"/>
              </w:rPr>
            </w:pPr>
          </w:p>
        </w:tc>
        <w:tc>
          <w:tcPr>
            <w:tcW w:w="19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5"/>
                <w:szCs w:val="15"/>
                <w:b w:val="1"/>
                <w:bCs w:val="1"/>
                <w:color w:val="auto"/>
                <w:w w:val="95"/>
              </w:rPr>
              <w:t>Regarding Use</w:t>
            </w:r>
          </w:p>
        </w:tc>
        <w:tc>
          <w:tcPr>
            <w:tcW w:w="184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5"/>
                <w:szCs w:val="15"/>
                <w:b w:val="1"/>
                <w:bCs w:val="1"/>
                <w:color w:val="auto"/>
                <w:w w:val="96"/>
              </w:rPr>
              <w:t>Actual Use of Proceeds as at</w:t>
            </w:r>
          </w:p>
        </w:tc>
        <w:tc>
          <w:tcPr>
            <w:tcW w:w="206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5460" w:type="dxa"/>
            <w:vAlign w:val="bottom"/>
            <w:tcBorders>
              <w:left w:val="single" w:sz="8" w:color="auto"/>
              <w:right w:val="single" w:sz="8" w:color="auto"/>
            </w:tcBorders>
          </w:tcPr>
          <w:p>
            <w:pPr>
              <w:spacing w:after="0"/>
              <w:rPr>
                <w:sz w:val="17"/>
                <w:szCs w:val="17"/>
                <w:color w:val="auto"/>
              </w:rPr>
            </w:pPr>
          </w:p>
        </w:tc>
        <w:tc>
          <w:tcPr>
            <w:tcW w:w="19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5"/>
                <w:szCs w:val="15"/>
                <w:b w:val="1"/>
                <w:bCs w:val="1"/>
                <w:color w:val="auto"/>
                <w:w w:val="96"/>
              </w:rPr>
              <w:t>of Proceeds in the November</w:t>
            </w:r>
          </w:p>
        </w:tc>
        <w:tc>
          <w:tcPr>
            <w:tcW w:w="1840" w:type="dxa"/>
            <w:vAlign w:val="bottom"/>
            <w:tcBorders>
              <w:right w:val="single" w:sz="8" w:color="auto"/>
            </w:tcBorders>
            <w:vMerge w:val="continue"/>
          </w:tcPr>
          <w:p>
            <w:pPr>
              <w:spacing w:after="0"/>
              <w:rPr>
                <w:sz w:val="17"/>
                <w:szCs w:val="17"/>
                <w:color w:val="auto"/>
              </w:rPr>
            </w:pPr>
          </w:p>
        </w:tc>
        <w:tc>
          <w:tcPr>
            <w:tcW w:w="20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5"/>
                <w:szCs w:val="15"/>
                <w:b w:val="1"/>
                <w:bCs w:val="1"/>
                <w:color w:val="auto"/>
                <w:w w:val="97"/>
              </w:rPr>
              <w:t>Revised Estimated Use of</w:t>
            </w:r>
          </w:p>
        </w:tc>
        <w:tc>
          <w:tcPr>
            <w:tcW w:w="0" w:type="dxa"/>
            <w:vAlign w:val="bottom"/>
          </w:tcPr>
          <w:p>
            <w:pPr>
              <w:spacing w:after="0"/>
              <w:rPr>
                <w:sz w:val="1"/>
                <w:szCs w:val="1"/>
                <w:color w:val="auto"/>
              </w:rPr>
            </w:pPr>
          </w:p>
        </w:tc>
      </w:tr>
      <w:tr>
        <w:trPr>
          <w:trHeight w:val="169"/>
        </w:trPr>
        <w:tc>
          <w:tcPr>
            <w:tcW w:w="5460" w:type="dxa"/>
            <w:vAlign w:val="bottom"/>
            <w:tcBorders>
              <w:left w:val="single" w:sz="8" w:color="auto"/>
              <w:right w:val="single" w:sz="8" w:color="auto"/>
            </w:tcBorders>
          </w:tcPr>
          <w:p>
            <w:pPr>
              <w:spacing w:after="0"/>
              <w:rPr>
                <w:sz w:val="14"/>
                <w:szCs w:val="14"/>
                <w:color w:val="auto"/>
              </w:rPr>
            </w:pPr>
          </w:p>
        </w:tc>
        <w:tc>
          <w:tcPr>
            <w:tcW w:w="192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5"/>
                <w:szCs w:val="15"/>
                <w:b w:val="1"/>
                <w:bCs w:val="1"/>
                <w:color w:val="auto"/>
                <w:w w:val="97"/>
              </w:rPr>
              <w:t>Prospectus Supplement</w:t>
            </w:r>
          </w:p>
        </w:tc>
        <w:tc>
          <w:tcPr>
            <w:tcW w:w="1840" w:type="dxa"/>
            <w:vAlign w:val="bottom"/>
            <w:tcBorders>
              <w:right w:val="single" w:sz="8" w:color="auto"/>
            </w:tcBorders>
          </w:tcPr>
          <w:p>
            <w:pPr>
              <w:jc w:val="center"/>
              <w:spacing w:after="0" w:line="169" w:lineRule="exact"/>
              <w:rPr>
                <w:sz w:val="20"/>
                <w:szCs w:val="20"/>
                <w:color w:val="auto"/>
              </w:rPr>
            </w:pPr>
            <w:r>
              <w:rPr>
                <w:rFonts w:ascii="Times New Roman" w:cs="Times New Roman" w:eastAsia="Times New Roman" w:hAnsi="Times New Roman"/>
                <w:sz w:val="15"/>
                <w:szCs w:val="15"/>
                <w:b w:val="1"/>
                <w:bCs w:val="1"/>
                <w:color w:val="auto"/>
                <w:w w:val="97"/>
              </w:rPr>
              <w:t>September 30, 2024</w:t>
            </w:r>
          </w:p>
        </w:tc>
        <w:tc>
          <w:tcPr>
            <w:tcW w:w="206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5"/>
                <w:szCs w:val="15"/>
                <w:b w:val="1"/>
                <w:bCs w:val="1"/>
                <w:color w:val="auto"/>
                <w:w w:val="93"/>
              </w:rPr>
              <w:t>Proceeds</w:t>
            </w:r>
          </w:p>
        </w:tc>
        <w:tc>
          <w:tcPr>
            <w:tcW w:w="0" w:type="dxa"/>
            <w:vAlign w:val="bottom"/>
          </w:tcPr>
          <w:p>
            <w:pPr>
              <w:spacing w:after="0"/>
              <w:rPr>
                <w:sz w:val="1"/>
                <w:szCs w:val="1"/>
                <w:color w:val="auto"/>
              </w:rPr>
            </w:pPr>
          </w:p>
        </w:tc>
      </w:tr>
      <w:tr>
        <w:trPr>
          <w:trHeight w:val="44"/>
        </w:trPr>
        <w:tc>
          <w:tcPr>
            <w:tcW w:w="5460" w:type="dxa"/>
            <w:vAlign w:val="bottom"/>
            <w:tcBorders>
              <w:left w:val="single" w:sz="8" w:color="auto"/>
              <w:right w:val="single" w:sz="8" w:color="auto"/>
            </w:tcBorders>
          </w:tcPr>
          <w:p>
            <w:pPr>
              <w:spacing w:after="0"/>
              <w:rPr>
                <w:sz w:val="3"/>
                <w:szCs w:val="3"/>
                <w:color w:val="auto"/>
              </w:rPr>
            </w:pPr>
          </w:p>
        </w:tc>
        <w:tc>
          <w:tcPr>
            <w:tcW w:w="1920" w:type="dxa"/>
            <w:vAlign w:val="bottom"/>
            <w:tcBorders>
              <w:right w:val="single" w:sz="8" w:color="auto"/>
            </w:tcBorders>
            <w:vMerge w:val="continue"/>
          </w:tcPr>
          <w:p>
            <w:pPr>
              <w:spacing w:after="0"/>
              <w:rPr>
                <w:sz w:val="3"/>
                <w:szCs w:val="3"/>
                <w:color w:val="auto"/>
              </w:rPr>
            </w:pPr>
          </w:p>
        </w:tc>
        <w:tc>
          <w:tcPr>
            <w:tcW w:w="1840" w:type="dxa"/>
            <w:vAlign w:val="bottom"/>
            <w:tcBorders>
              <w:right w:val="single" w:sz="8" w:color="auto"/>
            </w:tcBorders>
          </w:tcPr>
          <w:p>
            <w:pPr>
              <w:spacing w:after="0"/>
              <w:rPr>
                <w:sz w:val="3"/>
                <w:szCs w:val="3"/>
                <w:color w:val="auto"/>
              </w:rPr>
            </w:pPr>
          </w:p>
        </w:tc>
        <w:tc>
          <w:tcPr>
            <w:tcW w:w="2060" w:type="dxa"/>
            <w:vAlign w:val="bottom"/>
            <w:tcBorders>
              <w:right w:val="single" w:sz="8" w:color="auto"/>
            </w:tcBorders>
            <w:vMerge w:val="continue"/>
          </w:tcPr>
          <w:p>
            <w:pPr>
              <w:spacing w:after="0"/>
              <w:rPr>
                <w:sz w:val="3"/>
                <w:szCs w:val="3"/>
                <w:color w:val="auto"/>
              </w:rPr>
            </w:pPr>
          </w:p>
        </w:tc>
        <w:tc>
          <w:tcPr>
            <w:tcW w:w="0" w:type="dxa"/>
            <w:vAlign w:val="bottom"/>
          </w:tcPr>
          <w:p>
            <w:pPr>
              <w:spacing w:after="0"/>
              <w:rPr>
                <w:sz w:val="1"/>
                <w:szCs w:val="1"/>
                <w:color w:val="auto"/>
              </w:rPr>
            </w:pPr>
          </w:p>
        </w:tc>
      </w:tr>
      <w:tr>
        <w:trPr>
          <w:trHeight w:val="218"/>
        </w:trPr>
        <w:tc>
          <w:tcPr>
            <w:tcW w:w="5460" w:type="dxa"/>
            <w:vAlign w:val="bottom"/>
            <w:tcBorders>
              <w:left w:val="single" w:sz="8" w:color="auto"/>
              <w:right w:val="single" w:sz="8" w:color="auto"/>
            </w:tcBorders>
          </w:tcPr>
          <w:p>
            <w:pPr>
              <w:spacing w:after="0"/>
              <w:rPr>
                <w:sz w:val="18"/>
                <w:szCs w:val="18"/>
                <w:color w:val="auto"/>
              </w:rPr>
            </w:pPr>
          </w:p>
        </w:tc>
        <w:tc>
          <w:tcPr>
            <w:tcW w:w="19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5"/>
                <w:szCs w:val="15"/>
                <w:b w:val="1"/>
                <w:bCs w:val="1"/>
                <w:color w:val="auto"/>
                <w:w w:val="95"/>
              </w:rPr>
              <w:t>(November 1, 2023, to</w:t>
            </w:r>
          </w:p>
        </w:tc>
        <w:tc>
          <w:tcPr>
            <w:tcW w:w="1840" w:type="dxa"/>
            <w:vAlign w:val="bottom"/>
            <w:tcBorders>
              <w:right w:val="single" w:sz="8" w:color="auto"/>
            </w:tcBorders>
          </w:tcPr>
          <w:p>
            <w:pPr>
              <w:spacing w:after="0"/>
              <w:rPr>
                <w:sz w:val="18"/>
                <w:szCs w:val="18"/>
                <w:color w:val="auto"/>
              </w:rPr>
            </w:pPr>
          </w:p>
        </w:tc>
        <w:tc>
          <w:tcPr>
            <w:tcW w:w="206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46"/>
        </w:trPr>
        <w:tc>
          <w:tcPr>
            <w:tcW w:w="5460" w:type="dxa"/>
            <w:vAlign w:val="bottom"/>
            <w:tcBorders>
              <w:left w:val="single" w:sz="8" w:color="auto"/>
              <w:bottom w:val="single" w:sz="8" w:color="auto"/>
              <w:right w:val="single" w:sz="8" w:color="auto"/>
            </w:tcBorders>
          </w:tcPr>
          <w:p>
            <w:pPr>
              <w:ind w:left="1480"/>
              <w:spacing w:after="0"/>
              <w:rPr>
                <w:sz w:val="20"/>
                <w:szCs w:val="20"/>
                <w:color w:val="auto"/>
              </w:rPr>
            </w:pPr>
            <w:r>
              <w:rPr>
                <w:rFonts w:ascii="Times New Roman" w:cs="Times New Roman" w:eastAsia="Times New Roman" w:hAnsi="Times New Roman"/>
                <w:sz w:val="15"/>
                <w:szCs w:val="15"/>
                <w:b w:val="1"/>
                <w:bCs w:val="1"/>
                <w:color w:val="auto"/>
              </w:rPr>
              <w:t>Use of Available Funds (USD $000’s)</w:t>
            </w:r>
            <w:r>
              <w:rPr>
                <w:rFonts w:ascii="Times New Roman" w:cs="Times New Roman" w:eastAsia="Times New Roman" w:hAnsi="Times New Roman"/>
                <w:sz w:val="18"/>
                <w:szCs w:val="18"/>
                <w:b w:val="1"/>
                <w:bCs w:val="1"/>
                <w:color w:val="auto"/>
                <w:vertAlign w:val="superscript"/>
              </w:rPr>
              <w:t>(1)(2)</w:t>
            </w:r>
          </w:p>
        </w:tc>
        <w:tc>
          <w:tcPr>
            <w:tcW w:w="19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b w:val="1"/>
                <w:bCs w:val="1"/>
                <w:color w:val="auto"/>
                <w:w w:val="96"/>
              </w:rPr>
              <w:t>October 31, 2024)</w:t>
            </w:r>
          </w:p>
        </w:tc>
        <w:tc>
          <w:tcPr>
            <w:tcW w:w="1840" w:type="dxa"/>
            <w:vAlign w:val="bottom"/>
            <w:tcBorders>
              <w:bottom w:val="single" w:sz="8" w:color="auto"/>
              <w:right w:val="single" w:sz="8" w:color="auto"/>
            </w:tcBorders>
          </w:tcPr>
          <w:p>
            <w:pPr>
              <w:spacing w:after="0"/>
              <w:rPr>
                <w:sz w:val="21"/>
                <w:szCs w:val="21"/>
                <w:color w:val="auto"/>
              </w:rPr>
            </w:pPr>
          </w:p>
        </w:tc>
        <w:tc>
          <w:tcPr>
            <w:tcW w:w="2060" w:type="dxa"/>
            <w:vAlign w:val="bottom"/>
            <w:tcBorders>
              <w:bottom w:val="single" w:sz="8" w:color="auto"/>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184"/>
        </w:trPr>
        <w:tc>
          <w:tcPr>
            <w:tcW w:w="5460" w:type="dxa"/>
            <w:vAlign w:val="bottom"/>
            <w:tcBorders>
              <w:left w:val="single" w:sz="8" w:color="auto"/>
              <w:bottom w:val="single" w:sz="8" w:color="auto"/>
            </w:tcBorders>
          </w:tcPr>
          <w:p>
            <w:pPr>
              <w:ind w:left="140"/>
              <w:spacing w:after="0"/>
              <w:rPr>
                <w:sz w:val="20"/>
                <w:szCs w:val="20"/>
                <w:color w:val="auto"/>
              </w:rPr>
            </w:pPr>
            <w:r>
              <w:rPr>
                <w:rFonts w:ascii="Times New Roman" w:cs="Times New Roman" w:eastAsia="Times New Roman" w:hAnsi="Times New Roman"/>
                <w:sz w:val="15"/>
                <w:szCs w:val="15"/>
                <w:b w:val="1"/>
                <w:bCs w:val="1"/>
                <w:color w:val="auto"/>
              </w:rPr>
              <w:t>Deuterated Psilocin Program</w:t>
            </w:r>
          </w:p>
        </w:tc>
        <w:tc>
          <w:tcPr>
            <w:tcW w:w="1920" w:type="dxa"/>
            <w:vAlign w:val="bottom"/>
            <w:tcBorders>
              <w:bottom w:val="single" w:sz="8" w:color="auto"/>
            </w:tcBorders>
          </w:tcPr>
          <w:p>
            <w:pPr>
              <w:spacing w:after="0"/>
              <w:rPr>
                <w:sz w:val="16"/>
                <w:szCs w:val="16"/>
                <w:color w:val="auto"/>
              </w:rPr>
            </w:pPr>
          </w:p>
        </w:tc>
        <w:tc>
          <w:tcPr>
            <w:tcW w:w="1840" w:type="dxa"/>
            <w:vAlign w:val="bottom"/>
            <w:tcBorders>
              <w:bottom w:val="single" w:sz="8" w:color="auto"/>
            </w:tcBorders>
          </w:tcPr>
          <w:p>
            <w:pPr>
              <w:spacing w:after="0"/>
              <w:rPr>
                <w:sz w:val="16"/>
                <w:szCs w:val="16"/>
                <w:color w:val="auto"/>
              </w:rPr>
            </w:pPr>
          </w:p>
        </w:tc>
        <w:tc>
          <w:tcPr>
            <w:tcW w:w="2060" w:type="dxa"/>
            <w:vAlign w:val="bottom"/>
            <w:tcBorders>
              <w:bottom w:val="single" w:sz="8" w:color="auto"/>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45"/>
        </w:trPr>
        <w:tc>
          <w:tcPr>
            <w:tcW w:w="5460" w:type="dxa"/>
            <w:vAlign w:val="bottom"/>
            <w:tcBorders>
              <w:left w:val="single" w:sz="8" w:color="auto"/>
              <w:bottom w:val="single" w:sz="8" w:color="auto"/>
              <w:right w:val="single" w:sz="8" w:color="auto"/>
            </w:tcBorders>
          </w:tcPr>
          <w:p>
            <w:pPr>
              <w:ind w:left="140"/>
              <w:spacing w:after="0"/>
              <w:rPr>
                <w:sz w:val="20"/>
                <w:szCs w:val="20"/>
                <w:color w:val="auto"/>
              </w:rPr>
            </w:pPr>
            <w:r>
              <w:rPr>
                <w:rFonts w:ascii="Times New Roman" w:cs="Times New Roman" w:eastAsia="Times New Roman" w:hAnsi="Times New Roman"/>
                <w:sz w:val="15"/>
                <w:szCs w:val="15"/>
                <w:color w:val="auto"/>
              </w:rPr>
              <w:t>Initiate a Phase 3 Study of CYB003 in MDD</w:t>
            </w:r>
          </w:p>
        </w:tc>
        <w:tc>
          <w:tcPr>
            <w:tcW w:w="19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w w:val="92"/>
              </w:rPr>
              <w:t>$6,393</w:t>
            </w:r>
          </w:p>
        </w:tc>
        <w:tc>
          <w:tcPr>
            <w:tcW w:w="18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w w:val="96"/>
              </w:rPr>
              <w:t>$6,216</w:t>
            </w:r>
          </w:p>
        </w:tc>
        <w:tc>
          <w:tcPr>
            <w:tcW w:w="20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w w:val="92"/>
              </w:rPr>
              <w:t>$6,393</w:t>
            </w:r>
          </w:p>
        </w:tc>
        <w:tc>
          <w:tcPr>
            <w:tcW w:w="0" w:type="dxa"/>
            <w:vAlign w:val="bottom"/>
          </w:tcPr>
          <w:p>
            <w:pPr>
              <w:spacing w:after="0"/>
              <w:rPr>
                <w:sz w:val="1"/>
                <w:szCs w:val="1"/>
                <w:color w:val="auto"/>
              </w:rPr>
            </w:pPr>
          </w:p>
        </w:tc>
      </w:tr>
      <w:tr>
        <w:trPr>
          <w:trHeight w:val="200"/>
        </w:trPr>
        <w:tc>
          <w:tcPr>
            <w:tcW w:w="5460" w:type="dxa"/>
            <w:vAlign w:val="bottom"/>
            <w:tcBorders>
              <w:left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6"/>
                <w:szCs w:val="16"/>
                <w:b w:val="1"/>
                <w:bCs w:val="1"/>
                <w:color w:val="auto"/>
              </w:rPr>
              <w:t>Deuterated Dimethyltryptamine Program</w:t>
            </w:r>
          </w:p>
        </w:tc>
        <w:tc>
          <w:tcPr>
            <w:tcW w:w="1920" w:type="dxa"/>
            <w:vAlign w:val="bottom"/>
            <w:tcBorders>
              <w:bottom w:val="single" w:sz="8" w:color="auto"/>
            </w:tcBorders>
          </w:tcPr>
          <w:p>
            <w:pPr>
              <w:spacing w:after="0"/>
              <w:rPr>
                <w:sz w:val="17"/>
                <w:szCs w:val="17"/>
                <w:color w:val="auto"/>
              </w:rPr>
            </w:pPr>
          </w:p>
        </w:tc>
        <w:tc>
          <w:tcPr>
            <w:tcW w:w="1840" w:type="dxa"/>
            <w:vAlign w:val="bottom"/>
            <w:tcBorders>
              <w:bottom w:val="single" w:sz="8" w:color="auto"/>
            </w:tcBorders>
          </w:tcPr>
          <w:p>
            <w:pPr>
              <w:spacing w:after="0"/>
              <w:rPr>
                <w:sz w:val="17"/>
                <w:szCs w:val="17"/>
                <w:color w:val="auto"/>
              </w:rPr>
            </w:pPr>
          </w:p>
        </w:tc>
        <w:tc>
          <w:tcPr>
            <w:tcW w:w="2060" w:type="dxa"/>
            <w:vAlign w:val="bottom"/>
            <w:tcBorders>
              <w:bottom w:val="single" w:sz="8" w:color="auto"/>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81"/>
        </w:trPr>
        <w:tc>
          <w:tcPr>
            <w:tcW w:w="5460" w:type="dxa"/>
            <w:vAlign w:val="bottom"/>
            <w:tcBorders>
              <w:left w:val="single" w:sz="8" w:color="auto"/>
              <w:bottom w:val="single" w:sz="8" w:color="auto"/>
              <w:right w:val="single" w:sz="8" w:color="auto"/>
            </w:tcBorders>
          </w:tcPr>
          <w:p>
            <w:pPr>
              <w:ind w:left="140"/>
              <w:spacing w:after="0"/>
              <w:rPr>
                <w:sz w:val="20"/>
                <w:szCs w:val="20"/>
                <w:color w:val="auto"/>
              </w:rPr>
            </w:pPr>
            <w:r>
              <w:rPr>
                <w:rFonts w:ascii="Times New Roman" w:cs="Times New Roman" w:eastAsia="Times New Roman" w:hAnsi="Times New Roman"/>
                <w:sz w:val="15"/>
                <w:szCs w:val="15"/>
                <w:color w:val="auto"/>
              </w:rPr>
              <w:t>Initiate a Phase 2 Proof-Of-Concept Study</w:t>
            </w:r>
            <w:r>
              <w:rPr>
                <w:rFonts w:ascii="Times New Roman" w:cs="Times New Roman" w:eastAsia="Times New Roman" w:hAnsi="Times New Roman"/>
                <w:sz w:val="18"/>
                <w:szCs w:val="18"/>
                <w:color w:val="auto"/>
                <w:vertAlign w:val="superscript"/>
              </w:rPr>
              <w:t>(3)</w:t>
            </w:r>
          </w:p>
        </w:tc>
        <w:tc>
          <w:tcPr>
            <w:tcW w:w="19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w w:val="99"/>
              </w:rPr>
              <w:t>$597</w:t>
            </w:r>
          </w:p>
        </w:tc>
        <w:tc>
          <w:tcPr>
            <w:tcW w:w="18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w w:val="93"/>
              </w:rPr>
              <w:t>$597</w:t>
            </w:r>
          </w:p>
        </w:tc>
        <w:tc>
          <w:tcPr>
            <w:tcW w:w="20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w w:val="99"/>
              </w:rPr>
              <w:t>$597</w:t>
            </w:r>
          </w:p>
        </w:tc>
        <w:tc>
          <w:tcPr>
            <w:tcW w:w="0" w:type="dxa"/>
            <w:vAlign w:val="bottom"/>
          </w:tcPr>
          <w:p>
            <w:pPr>
              <w:spacing w:after="0"/>
              <w:rPr>
                <w:sz w:val="1"/>
                <w:szCs w:val="1"/>
                <w:color w:val="auto"/>
              </w:rPr>
            </w:pPr>
          </w:p>
        </w:tc>
      </w:tr>
      <w:tr>
        <w:trPr>
          <w:trHeight w:val="245"/>
        </w:trPr>
        <w:tc>
          <w:tcPr>
            <w:tcW w:w="5460" w:type="dxa"/>
            <w:vAlign w:val="bottom"/>
            <w:tcBorders>
              <w:left w:val="single" w:sz="8" w:color="auto"/>
              <w:bottom w:val="single" w:sz="8" w:color="auto"/>
              <w:right w:val="single" w:sz="8" w:color="auto"/>
            </w:tcBorders>
          </w:tcPr>
          <w:p>
            <w:pPr>
              <w:ind w:left="140"/>
              <w:spacing w:after="0"/>
              <w:rPr>
                <w:sz w:val="20"/>
                <w:szCs w:val="20"/>
                <w:color w:val="auto"/>
              </w:rPr>
            </w:pPr>
            <w:r>
              <w:rPr>
                <w:rFonts w:ascii="Times New Roman" w:cs="Times New Roman" w:eastAsia="Times New Roman" w:hAnsi="Times New Roman"/>
                <w:sz w:val="15"/>
                <w:szCs w:val="15"/>
                <w:color w:val="auto"/>
              </w:rPr>
              <w:t>Initiate a Subcutaneous Formulation Study</w:t>
            </w:r>
          </w:p>
        </w:tc>
        <w:tc>
          <w:tcPr>
            <w:tcW w:w="19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w w:val="99"/>
              </w:rPr>
              <w:t>$780</w:t>
            </w:r>
          </w:p>
        </w:tc>
        <w:tc>
          <w:tcPr>
            <w:tcW w:w="18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w w:val="93"/>
              </w:rPr>
              <w:t>Nil</w:t>
            </w:r>
          </w:p>
        </w:tc>
        <w:tc>
          <w:tcPr>
            <w:tcW w:w="20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w w:val="93"/>
              </w:rPr>
              <w:t>Nil</w:t>
            </w:r>
          </w:p>
        </w:tc>
        <w:tc>
          <w:tcPr>
            <w:tcW w:w="0" w:type="dxa"/>
            <w:vAlign w:val="bottom"/>
          </w:tcPr>
          <w:p>
            <w:pPr>
              <w:spacing w:after="0"/>
              <w:rPr>
                <w:sz w:val="1"/>
                <w:szCs w:val="1"/>
                <w:color w:val="auto"/>
              </w:rPr>
            </w:pPr>
          </w:p>
        </w:tc>
      </w:tr>
      <w:tr>
        <w:trPr>
          <w:trHeight w:val="200"/>
        </w:trPr>
        <w:tc>
          <w:tcPr>
            <w:tcW w:w="5460" w:type="dxa"/>
            <w:vAlign w:val="bottom"/>
            <w:tcBorders>
              <w:left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6"/>
                <w:szCs w:val="16"/>
                <w:b w:val="1"/>
                <w:bCs w:val="1"/>
                <w:color w:val="auto"/>
              </w:rPr>
              <w:t>Phenethylamine Development Program</w:t>
            </w:r>
          </w:p>
        </w:tc>
        <w:tc>
          <w:tcPr>
            <w:tcW w:w="1920" w:type="dxa"/>
            <w:vAlign w:val="bottom"/>
            <w:tcBorders>
              <w:bottom w:val="single" w:sz="8" w:color="auto"/>
            </w:tcBorders>
          </w:tcPr>
          <w:p>
            <w:pPr>
              <w:spacing w:after="0"/>
              <w:rPr>
                <w:sz w:val="17"/>
                <w:szCs w:val="17"/>
                <w:color w:val="auto"/>
              </w:rPr>
            </w:pPr>
          </w:p>
        </w:tc>
        <w:tc>
          <w:tcPr>
            <w:tcW w:w="1840" w:type="dxa"/>
            <w:vAlign w:val="bottom"/>
            <w:tcBorders>
              <w:bottom w:val="single" w:sz="8" w:color="auto"/>
            </w:tcBorders>
          </w:tcPr>
          <w:p>
            <w:pPr>
              <w:spacing w:after="0"/>
              <w:rPr>
                <w:sz w:val="17"/>
                <w:szCs w:val="17"/>
                <w:color w:val="auto"/>
              </w:rPr>
            </w:pPr>
          </w:p>
        </w:tc>
        <w:tc>
          <w:tcPr>
            <w:tcW w:w="2060" w:type="dxa"/>
            <w:vAlign w:val="bottom"/>
            <w:tcBorders>
              <w:bottom w:val="single" w:sz="8" w:color="auto"/>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38"/>
        </w:trPr>
        <w:tc>
          <w:tcPr>
            <w:tcW w:w="5460" w:type="dxa"/>
            <w:vAlign w:val="bottom"/>
            <w:tcBorders>
              <w:left w:val="single" w:sz="8" w:color="auto"/>
              <w:bottom w:val="single" w:sz="8" w:color="auto"/>
              <w:right w:val="single" w:sz="8" w:color="auto"/>
            </w:tcBorders>
          </w:tcPr>
          <w:p>
            <w:pPr>
              <w:ind w:left="140"/>
              <w:spacing w:after="0"/>
              <w:rPr>
                <w:sz w:val="20"/>
                <w:szCs w:val="20"/>
                <w:color w:val="auto"/>
              </w:rPr>
            </w:pPr>
            <w:r>
              <w:rPr>
                <w:rFonts w:ascii="Times New Roman" w:cs="Times New Roman" w:eastAsia="Times New Roman" w:hAnsi="Times New Roman"/>
                <w:sz w:val="15"/>
                <w:szCs w:val="15"/>
                <w:color w:val="auto"/>
              </w:rPr>
              <w:t>Progression of phenethylamine candidate to clinical studies</w:t>
            </w:r>
          </w:p>
        </w:tc>
        <w:tc>
          <w:tcPr>
            <w:tcW w:w="19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w w:val="93"/>
              </w:rPr>
              <w:t>Nil</w:t>
            </w:r>
          </w:p>
        </w:tc>
        <w:tc>
          <w:tcPr>
            <w:tcW w:w="18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w w:val="93"/>
              </w:rPr>
              <w:t>Nil</w:t>
            </w:r>
          </w:p>
        </w:tc>
        <w:tc>
          <w:tcPr>
            <w:tcW w:w="20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w w:val="93"/>
              </w:rPr>
              <w:t>Nil</w:t>
            </w:r>
          </w:p>
        </w:tc>
        <w:tc>
          <w:tcPr>
            <w:tcW w:w="0" w:type="dxa"/>
            <w:vAlign w:val="bottom"/>
          </w:tcPr>
          <w:p>
            <w:pPr>
              <w:spacing w:after="0"/>
              <w:rPr>
                <w:sz w:val="1"/>
                <w:szCs w:val="1"/>
                <w:color w:val="auto"/>
              </w:rPr>
            </w:pPr>
          </w:p>
        </w:tc>
      </w:tr>
      <w:tr>
        <w:trPr>
          <w:trHeight w:val="192"/>
        </w:trPr>
        <w:tc>
          <w:tcPr>
            <w:tcW w:w="5460" w:type="dxa"/>
            <w:vAlign w:val="bottom"/>
            <w:tcBorders>
              <w:left w:val="single" w:sz="8" w:color="auto"/>
              <w:bottom w:val="single" w:sz="8" w:color="auto"/>
            </w:tcBorders>
          </w:tcPr>
          <w:p>
            <w:pPr>
              <w:ind w:left="140"/>
              <w:spacing w:after="0"/>
              <w:rPr>
                <w:sz w:val="20"/>
                <w:szCs w:val="20"/>
                <w:color w:val="auto"/>
              </w:rPr>
            </w:pPr>
            <w:r>
              <w:rPr>
                <w:rFonts w:ascii="Times New Roman" w:cs="Times New Roman" w:eastAsia="Times New Roman" w:hAnsi="Times New Roman"/>
                <w:sz w:val="15"/>
                <w:szCs w:val="15"/>
                <w:b w:val="1"/>
                <w:bCs w:val="1"/>
                <w:color w:val="auto"/>
              </w:rPr>
              <w:t>Other</w:t>
            </w:r>
          </w:p>
        </w:tc>
        <w:tc>
          <w:tcPr>
            <w:tcW w:w="1920" w:type="dxa"/>
            <w:vAlign w:val="bottom"/>
            <w:tcBorders>
              <w:bottom w:val="single" w:sz="8" w:color="auto"/>
            </w:tcBorders>
          </w:tcPr>
          <w:p>
            <w:pPr>
              <w:spacing w:after="0"/>
              <w:rPr>
                <w:sz w:val="16"/>
                <w:szCs w:val="16"/>
                <w:color w:val="auto"/>
              </w:rPr>
            </w:pPr>
          </w:p>
        </w:tc>
        <w:tc>
          <w:tcPr>
            <w:tcW w:w="1840" w:type="dxa"/>
            <w:vAlign w:val="bottom"/>
            <w:tcBorders>
              <w:bottom w:val="single" w:sz="8" w:color="auto"/>
            </w:tcBorders>
          </w:tcPr>
          <w:p>
            <w:pPr>
              <w:spacing w:after="0"/>
              <w:rPr>
                <w:sz w:val="16"/>
                <w:szCs w:val="16"/>
                <w:color w:val="auto"/>
              </w:rPr>
            </w:pPr>
          </w:p>
        </w:tc>
        <w:tc>
          <w:tcPr>
            <w:tcW w:w="2060" w:type="dxa"/>
            <w:vAlign w:val="bottom"/>
            <w:tcBorders>
              <w:bottom w:val="single" w:sz="8" w:color="auto"/>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47"/>
        </w:trPr>
        <w:tc>
          <w:tcPr>
            <w:tcW w:w="5460" w:type="dxa"/>
            <w:vAlign w:val="bottom"/>
            <w:tcBorders>
              <w:left w:val="single" w:sz="8" w:color="auto"/>
              <w:bottom w:val="single" w:sz="8" w:color="auto"/>
              <w:right w:val="single" w:sz="8" w:color="auto"/>
            </w:tcBorders>
          </w:tcPr>
          <w:p>
            <w:pPr>
              <w:ind w:left="140"/>
              <w:spacing w:after="0"/>
              <w:rPr>
                <w:sz w:val="20"/>
                <w:szCs w:val="20"/>
                <w:color w:val="auto"/>
              </w:rPr>
            </w:pPr>
            <w:r>
              <w:rPr>
                <w:rFonts w:ascii="Times New Roman" w:cs="Times New Roman" w:eastAsia="Times New Roman" w:hAnsi="Times New Roman"/>
                <w:sz w:val="15"/>
                <w:szCs w:val="15"/>
                <w:color w:val="auto"/>
              </w:rPr>
              <w:t>Working Capital, and General Corporate Purposes</w:t>
            </w:r>
            <w:r>
              <w:rPr>
                <w:rFonts w:ascii="Times New Roman" w:cs="Times New Roman" w:eastAsia="Times New Roman" w:hAnsi="Times New Roman"/>
                <w:sz w:val="18"/>
                <w:szCs w:val="18"/>
                <w:color w:val="auto"/>
                <w:vertAlign w:val="superscript"/>
              </w:rPr>
              <w:t>(4)</w:t>
            </w:r>
          </w:p>
        </w:tc>
        <w:tc>
          <w:tcPr>
            <w:tcW w:w="19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w w:val="94"/>
              </w:rPr>
              <w:t>$20,300</w:t>
            </w:r>
          </w:p>
        </w:tc>
        <w:tc>
          <w:tcPr>
            <w:tcW w:w="18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w w:val="98"/>
              </w:rPr>
              <w:t>$20,300</w:t>
            </w:r>
          </w:p>
        </w:tc>
        <w:tc>
          <w:tcPr>
            <w:tcW w:w="20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w w:val="94"/>
              </w:rPr>
              <w:t>$21,080</w:t>
            </w:r>
          </w:p>
        </w:tc>
        <w:tc>
          <w:tcPr>
            <w:tcW w:w="0" w:type="dxa"/>
            <w:vAlign w:val="bottom"/>
          </w:tcPr>
          <w:p>
            <w:pPr>
              <w:spacing w:after="0"/>
              <w:rPr>
                <w:sz w:val="1"/>
                <w:szCs w:val="1"/>
                <w:color w:val="auto"/>
              </w:rPr>
            </w:pPr>
          </w:p>
        </w:tc>
      </w:tr>
      <w:tr>
        <w:trPr>
          <w:trHeight w:val="244"/>
        </w:trPr>
        <w:tc>
          <w:tcPr>
            <w:tcW w:w="5460" w:type="dxa"/>
            <w:vAlign w:val="bottom"/>
            <w:tcBorders>
              <w:left w:val="single" w:sz="8" w:color="auto"/>
              <w:bottom w:val="single" w:sz="8" w:color="auto"/>
              <w:right w:val="single" w:sz="8" w:color="auto"/>
            </w:tcBorders>
          </w:tcPr>
          <w:p>
            <w:pPr>
              <w:ind w:left="140"/>
              <w:spacing w:after="0"/>
              <w:rPr>
                <w:sz w:val="20"/>
                <w:szCs w:val="20"/>
                <w:color w:val="auto"/>
              </w:rPr>
            </w:pPr>
            <w:r>
              <w:rPr>
                <w:rFonts w:ascii="Times New Roman" w:cs="Times New Roman" w:eastAsia="Times New Roman" w:hAnsi="Times New Roman"/>
                <w:sz w:val="15"/>
                <w:szCs w:val="15"/>
                <w:b w:val="1"/>
                <w:bCs w:val="1"/>
                <w:color w:val="auto"/>
              </w:rPr>
              <w:t>TOTAL:</w:t>
            </w:r>
          </w:p>
        </w:tc>
        <w:tc>
          <w:tcPr>
            <w:tcW w:w="19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b w:val="1"/>
                <w:bCs w:val="1"/>
                <w:color w:val="auto"/>
                <w:w w:val="94"/>
              </w:rPr>
              <w:t>$28,070</w:t>
            </w:r>
          </w:p>
        </w:tc>
        <w:tc>
          <w:tcPr>
            <w:tcW w:w="18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b w:val="1"/>
                <w:bCs w:val="1"/>
                <w:color w:val="auto"/>
                <w:w w:val="94"/>
              </w:rPr>
              <w:t>$27,113</w:t>
            </w:r>
          </w:p>
        </w:tc>
        <w:tc>
          <w:tcPr>
            <w:tcW w:w="20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b w:val="1"/>
                <w:bCs w:val="1"/>
                <w:color w:val="auto"/>
                <w:w w:val="94"/>
              </w:rPr>
              <w:t>$28,070</w:t>
            </w:r>
          </w:p>
        </w:tc>
        <w:tc>
          <w:tcPr>
            <w:tcW w:w="0" w:type="dxa"/>
            <w:vAlign w:val="bottom"/>
          </w:tcPr>
          <w:p>
            <w:pPr>
              <w:spacing w:after="0"/>
              <w:rPr>
                <w:sz w:val="1"/>
                <w:szCs w:val="1"/>
                <w:color w:val="auto"/>
              </w:rPr>
            </w:pPr>
          </w:p>
        </w:tc>
      </w:tr>
    </w:tbl>
    <w:p>
      <w:pPr>
        <w:spacing w:after="0" w:line="397" w:lineRule="exact"/>
        <w:rPr>
          <w:sz w:val="20"/>
          <w:szCs w:val="20"/>
          <w:color w:val="auto"/>
        </w:rPr>
      </w:pPr>
    </w:p>
    <w:p>
      <w:pPr>
        <w:ind w:left="3"/>
        <w:spacing w:after="0"/>
        <w:rPr>
          <w:sz w:val="20"/>
          <w:szCs w:val="20"/>
          <w:color w:val="auto"/>
        </w:rPr>
      </w:pPr>
      <w:r>
        <w:rPr>
          <w:rFonts w:ascii="Times New Roman" w:cs="Times New Roman" w:eastAsia="Times New Roman" w:hAnsi="Times New Roman"/>
          <w:sz w:val="15"/>
          <w:szCs w:val="15"/>
          <w:b w:val="1"/>
          <w:bCs w:val="1"/>
          <w:u w:val="single" w:color="auto"/>
          <w:color w:val="auto"/>
        </w:rPr>
        <w:t>Notes:</w:t>
      </w:r>
    </w:p>
    <w:p>
      <w:pPr>
        <w:spacing w:after="0" w:line="23" w:lineRule="exact"/>
        <w:rPr>
          <w:sz w:val="20"/>
          <w:szCs w:val="20"/>
          <w:color w:val="auto"/>
        </w:rPr>
      </w:pPr>
    </w:p>
    <w:p>
      <w:pPr>
        <w:ind w:left="403" w:hanging="403"/>
        <w:spacing w:after="0"/>
        <w:tabs>
          <w:tab w:leader="none" w:pos="403" w:val="left"/>
        </w:tabs>
        <w:numPr>
          <w:ilvl w:val="0"/>
          <w:numId w:val="33"/>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Amounts in the chart are in USD. Certain amounts have been converted from USD to CAD at an exchange rate of 1:0.74.</w:t>
      </w:r>
    </w:p>
    <w:p>
      <w:pPr>
        <w:spacing w:after="0" w:line="16" w:lineRule="exact"/>
        <w:rPr>
          <w:rFonts w:ascii="Times New Roman" w:cs="Times New Roman" w:eastAsia="Times New Roman" w:hAnsi="Times New Roman"/>
          <w:sz w:val="15"/>
          <w:szCs w:val="15"/>
          <w:color w:val="auto"/>
        </w:rPr>
      </w:pPr>
    </w:p>
    <w:p>
      <w:pPr>
        <w:ind w:left="403" w:hanging="403"/>
        <w:spacing w:after="0"/>
        <w:tabs>
          <w:tab w:leader="none" w:pos="403" w:val="left"/>
        </w:tabs>
        <w:numPr>
          <w:ilvl w:val="0"/>
          <w:numId w:val="33"/>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Such amounts do not reflect the entire anticipated expenditures or budget related to the listed programs. For further information see “</w:t>
      </w:r>
      <w:r>
        <w:rPr>
          <w:rFonts w:ascii="Times New Roman" w:cs="Times New Roman" w:eastAsia="Times New Roman" w:hAnsi="Times New Roman"/>
          <w:sz w:val="15"/>
          <w:szCs w:val="15"/>
          <w:i w:val="1"/>
          <w:iCs w:val="1"/>
          <w:color w:val="auto"/>
        </w:rPr>
        <w:t>Non-Revenue Generating Projects</w:t>
      </w:r>
      <w:r>
        <w:rPr>
          <w:rFonts w:ascii="Times New Roman" w:cs="Times New Roman" w:eastAsia="Times New Roman" w:hAnsi="Times New Roman"/>
          <w:sz w:val="15"/>
          <w:szCs w:val="15"/>
          <w:color w:val="auto"/>
        </w:rPr>
        <w:t>”.</w:t>
      </w:r>
    </w:p>
    <w:p>
      <w:pPr>
        <w:spacing w:after="0" w:line="25" w:lineRule="exact"/>
        <w:rPr>
          <w:rFonts w:ascii="Times New Roman" w:cs="Times New Roman" w:eastAsia="Times New Roman" w:hAnsi="Times New Roman"/>
          <w:sz w:val="15"/>
          <w:szCs w:val="15"/>
          <w:color w:val="auto"/>
        </w:rPr>
      </w:pPr>
    </w:p>
    <w:p>
      <w:pPr>
        <w:ind w:left="403" w:hanging="403"/>
        <w:spacing w:after="0"/>
        <w:tabs>
          <w:tab w:leader="none" w:pos="403" w:val="left"/>
        </w:tabs>
        <w:numPr>
          <w:ilvl w:val="0"/>
          <w:numId w:val="33"/>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This milestone is now denoted as ‘initiate a Phase 2a GAD study’. For further information see “Deuterated Dimethyltryptamine Program”.</w:t>
      </w:r>
    </w:p>
    <w:p>
      <w:pPr>
        <w:spacing w:after="0" w:line="33" w:lineRule="exact"/>
        <w:rPr>
          <w:rFonts w:ascii="Times New Roman" w:cs="Times New Roman" w:eastAsia="Times New Roman" w:hAnsi="Times New Roman"/>
          <w:sz w:val="15"/>
          <w:szCs w:val="15"/>
          <w:color w:val="auto"/>
        </w:rPr>
      </w:pPr>
    </w:p>
    <w:p>
      <w:pPr>
        <w:ind w:left="403" w:hanging="403"/>
        <w:spacing w:after="0"/>
        <w:tabs>
          <w:tab w:leader="none" w:pos="403" w:val="left"/>
        </w:tabs>
        <w:numPr>
          <w:ilvl w:val="0"/>
          <w:numId w:val="33"/>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Includes personnel costs, professional services, overhead expenses and general expenses to be incurred by the Company in the normal course of business. In addition, the Company</w:t>
      </w:r>
    </w:p>
    <w:p>
      <w:pPr>
        <w:spacing w:after="0" w:line="33" w:lineRule="exact"/>
        <w:rPr>
          <w:rFonts w:ascii="Times New Roman" w:cs="Times New Roman" w:eastAsia="Times New Roman" w:hAnsi="Times New Roman"/>
          <w:sz w:val="15"/>
          <w:szCs w:val="15"/>
          <w:color w:val="auto"/>
        </w:rPr>
      </w:pPr>
    </w:p>
    <w:p>
      <w:pPr>
        <w:ind w:left="403" w:right="20"/>
        <w:spacing w:after="0" w:line="292" w:lineRule="auto"/>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intends to use a portion of these proceeds to continue funding both its Deuterated Psilocin and Deuterated Dimethyltryptamine programs. The allocation between these programs and specific milestones within the programs have not yet been determined.</w:t>
      </w:r>
    </w:p>
    <w:p>
      <w:pPr>
        <w:spacing w:after="0" w:line="200" w:lineRule="exact"/>
        <w:rPr>
          <w:sz w:val="20"/>
          <w:szCs w:val="20"/>
          <w:color w:val="auto"/>
        </w:rPr>
      </w:pPr>
    </w:p>
    <w:p>
      <w:pPr>
        <w:jc w:val="both"/>
        <w:ind w:left="3" w:right="20"/>
        <w:spacing w:after="0" w:line="294" w:lineRule="auto"/>
        <w:rPr>
          <w:sz w:val="20"/>
          <w:szCs w:val="20"/>
          <w:color w:val="auto"/>
        </w:rPr>
      </w:pPr>
      <w:r>
        <w:rPr>
          <w:rFonts w:ascii="Times New Roman" w:cs="Times New Roman" w:eastAsia="Times New Roman" w:hAnsi="Times New Roman"/>
          <w:sz w:val="18"/>
          <w:szCs w:val="18"/>
          <w:color w:val="auto"/>
        </w:rPr>
        <w:t>The Company has negative cash flow from operating activities and has historically incurred net losses. To the extent that the Company has negative operating cash flows in future periods, it may need to deploy a portion of its existing working capital to fund such negative cash flows. The Company will be required to raise additional funds through the issuance of additional equity securities, through loan financing, or other means, such as through partnerships with other companies and research and development reimbursements. There is no assurance that additional capital or other types of financing will be available if needed or that these financings will be on terms at least as favourable to the Company as those previously obtained.</w:t>
      </w:r>
    </w:p>
    <w:p>
      <w:pPr>
        <w:spacing w:after="0" w:line="183" w:lineRule="exact"/>
        <w:rPr>
          <w:sz w:val="20"/>
          <w:szCs w:val="20"/>
          <w:color w:val="auto"/>
        </w:rPr>
      </w:pPr>
    </w:p>
    <w:p>
      <w:pPr>
        <w:jc w:val="both"/>
        <w:ind w:left="3" w:right="20"/>
        <w:spacing w:after="0" w:line="315" w:lineRule="auto"/>
        <w:rPr>
          <w:sz w:val="20"/>
          <w:szCs w:val="20"/>
          <w:color w:val="auto"/>
        </w:rPr>
      </w:pPr>
      <w:r>
        <w:rPr>
          <w:rFonts w:ascii="Times New Roman" w:cs="Times New Roman" w:eastAsia="Times New Roman" w:hAnsi="Times New Roman"/>
          <w:sz w:val="17"/>
          <w:szCs w:val="17"/>
          <w:color w:val="auto"/>
        </w:rPr>
        <w:t>The expected use of net proceeds from the Company’s financing activities, as presented above, represents the Company’s current intentions based upon its present plans and business condition, which could change in the future as its plans and business conditions evolve. The amounts and timing of the actual use of the net proceeds will depend on multiple factors and there may be circumstances where, for sound business reasons, a reallocation of funds may be necessary in order for the Company to achieve its stated business objectives. The Company may also require additional funds in order to fulfill its expenditure requirements to meet existing and any new business objectives, and the Company expects to either issue additional securities or incur debt to do so.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jc w:val="center"/>
        <w:ind w:right="-2"/>
        <w:spacing w:after="0"/>
        <w:rPr>
          <w:sz w:val="20"/>
          <w:szCs w:val="20"/>
          <w:color w:val="auto"/>
        </w:rPr>
      </w:pPr>
      <w:r>
        <w:rPr>
          <w:rFonts w:ascii="Times New Roman" w:cs="Times New Roman" w:eastAsia="Times New Roman" w:hAnsi="Times New Roman"/>
          <w:sz w:val="18"/>
          <w:szCs w:val="18"/>
          <w:color w:val="auto"/>
        </w:rPr>
        <w:t>23</w:t>
      </w:r>
    </w:p>
    <w:p>
      <w:pPr>
        <w:sectPr>
          <w:pgSz w:w="11900" w:h="16838" w:orient="portrait"/>
          <w:cols w:equalWidth="0" w:num="1">
            <w:col w:w="11263"/>
          </w:cols>
          <w:pgMar w:left="317" w:top="1304" w:right="319" w:bottom="1440" w:gutter="0" w:footer="0" w:header="0"/>
        </w:sectPr>
      </w:pPr>
    </w:p>
    <w:bookmarkStart w:id="49" w:name="page50"/>
    <w:bookmarkEnd w:id="49"/>
    <w:p>
      <w:pPr>
        <w:spacing w:after="0" w:line="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Relationships with Third Parties</w:t>
      </w:r>
    </w:p>
    <w:p>
      <w:pPr>
        <w:spacing w:after="0" w:line="242" w:lineRule="exact"/>
        <w:rPr>
          <w:sz w:val="20"/>
          <w:szCs w:val="20"/>
          <w:color w:val="auto"/>
        </w:rPr>
      </w:pPr>
    </w:p>
    <w:p>
      <w:pPr>
        <w:jc w:val="both"/>
        <w:ind w:right="20"/>
        <w:spacing w:after="0" w:line="295" w:lineRule="auto"/>
        <w:rPr>
          <w:sz w:val="20"/>
          <w:szCs w:val="20"/>
          <w:color w:val="auto"/>
        </w:rPr>
      </w:pPr>
      <w:r>
        <w:rPr>
          <w:rFonts w:ascii="Times New Roman" w:cs="Times New Roman" w:eastAsia="Times New Roman" w:hAnsi="Times New Roman"/>
          <w:sz w:val="18"/>
          <w:szCs w:val="18"/>
          <w:color w:val="auto"/>
        </w:rPr>
        <w:t>The Company’s research and development of its psychedelic pharmaceutical products is conducted by way of licensed partners. The Company also intends to sponsor clinical and other studies at various clinical trial sites.</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Clinilabs Drug Development Corporation</w:t>
      </w:r>
    </w:p>
    <w:p>
      <w:pPr>
        <w:spacing w:after="0" w:line="256" w:lineRule="exact"/>
        <w:rPr>
          <w:sz w:val="20"/>
          <w:szCs w:val="20"/>
          <w:color w:val="auto"/>
        </w:rPr>
      </w:pPr>
    </w:p>
    <w:p>
      <w:pPr>
        <w:jc w:val="both"/>
        <w:spacing w:after="0" w:line="323" w:lineRule="auto"/>
        <w:rPr>
          <w:sz w:val="20"/>
          <w:szCs w:val="20"/>
          <w:color w:val="auto"/>
        </w:rPr>
      </w:pPr>
      <w:r>
        <w:rPr>
          <w:rFonts w:ascii="Times New Roman" w:cs="Times New Roman" w:eastAsia="Times New Roman" w:hAnsi="Times New Roman"/>
          <w:sz w:val="18"/>
          <w:szCs w:val="18"/>
          <w:color w:val="auto"/>
        </w:rPr>
        <w:t>On April 21, 2022, the Company announced that it had partnered with Clinilabs, a global, full-service contract research organization with deep expertise in central nervous system drug development, to carry out the Company’s Phase 1/2a clinical trial of CYB003, its proprietary deuterated psilocin program.</w:t>
      </w:r>
    </w:p>
    <w:p>
      <w:pPr>
        <w:spacing w:after="0" w:line="1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Entheon Biomedical Corp.</w:t>
      </w:r>
    </w:p>
    <w:p>
      <w:pPr>
        <w:spacing w:after="0" w:line="268" w:lineRule="exact"/>
        <w:rPr>
          <w:sz w:val="20"/>
          <w:szCs w:val="20"/>
          <w:color w:val="auto"/>
        </w:rPr>
      </w:pPr>
    </w:p>
    <w:p>
      <w:pPr>
        <w:jc w:val="both"/>
        <w:ind w:right="20"/>
        <w:spacing w:after="0" w:line="294" w:lineRule="auto"/>
        <w:rPr>
          <w:sz w:val="20"/>
          <w:szCs w:val="20"/>
          <w:color w:val="auto"/>
        </w:rPr>
      </w:pPr>
      <w:r>
        <w:rPr>
          <w:rFonts w:ascii="Times New Roman" w:cs="Times New Roman" w:eastAsia="Times New Roman" w:hAnsi="Times New Roman"/>
          <w:sz w:val="18"/>
          <w:szCs w:val="18"/>
          <w:color w:val="auto"/>
        </w:rPr>
        <w:t>On July 11, 2022, the Company completed the acquisition of a Phase 1 DMT study from Entheon. As part of the Asset Acquisition, Entheon assigned its rights under the Master Services Agreement between Entheon and Centre For Human Drug Research (“</w:t>
      </w:r>
      <w:r>
        <w:rPr>
          <w:rFonts w:ascii="Times New Roman" w:cs="Times New Roman" w:eastAsia="Times New Roman" w:hAnsi="Times New Roman"/>
          <w:sz w:val="18"/>
          <w:szCs w:val="18"/>
          <w:b w:val="1"/>
          <w:bCs w:val="1"/>
          <w:color w:val="auto"/>
        </w:rPr>
        <w:t>CHDR</w:t>
      </w:r>
      <w:r>
        <w:rPr>
          <w:rFonts w:ascii="Times New Roman" w:cs="Times New Roman" w:eastAsia="Times New Roman" w:hAnsi="Times New Roman"/>
          <w:sz w:val="18"/>
          <w:szCs w:val="18"/>
          <w:color w:val="auto"/>
        </w:rPr>
        <w:t>”) to the Company. The Company now maintains a direct contractual relationship with CHDR to conduct the CYB004-E trial. CHDR is an independent institute in the Netherlands specializing in innovative early-stage clinical drug research.</w:t>
      </w:r>
    </w:p>
    <w:p>
      <w:pPr>
        <w:spacing w:after="0" w:line="1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Mindset Pharma Inc.</w:t>
      </w:r>
    </w:p>
    <w:p>
      <w:pPr>
        <w:spacing w:after="0" w:line="254" w:lineRule="exact"/>
        <w:rPr>
          <w:sz w:val="20"/>
          <w:szCs w:val="20"/>
          <w:color w:val="auto"/>
        </w:rPr>
      </w:pPr>
    </w:p>
    <w:p>
      <w:pPr>
        <w:jc w:val="both"/>
        <w:spacing w:after="0" w:line="290" w:lineRule="auto"/>
        <w:rPr>
          <w:sz w:val="20"/>
          <w:szCs w:val="20"/>
          <w:color w:val="auto"/>
        </w:rPr>
      </w:pPr>
      <w:r>
        <w:rPr>
          <w:rFonts w:ascii="Times New Roman" w:cs="Times New Roman" w:eastAsia="Times New Roman" w:hAnsi="Times New Roman"/>
          <w:sz w:val="18"/>
          <w:szCs w:val="18"/>
          <w:color w:val="auto"/>
        </w:rPr>
        <w:t>On September 27, 2022, the Company entered into an agreement, as amended, with Mindset Pharma Inc. (“</w:t>
      </w:r>
      <w:r>
        <w:rPr>
          <w:rFonts w:ascii="Times New Roman" w:cs="Times New Roman" w:eastAsia="Times New Roman" w:hAnsi="Times New Roman"/>
          <w:sz w:val="18"/>
          <w:szCs w:val="18"/>
          <w:b w:val="1"/>
          <w:bCs w:val="1"/>
          <w:color w:val="auto"/>
        </w:rPr>
        <w:t>Mindset</w:t>
      </w:r>
      <w:r>
        <w:rPr>
          <w:rFonts w:ascii="Times New Roman" w:cs="Times New Roman" w:eastAsia="Times New Roman" w:hAnsi="Times New Roman"/>
          <w:sz w:val="18"/>
          <w:szCs w:val="18"/>
          <w:color w:val="auto"/>
        </w:rPr>
        <w:t>”) to acquire an exclusive license to an extensive targeted class of tryptamine-based molecules. The agreement includes an initial license fee payment by Cybin to Mindset of US$500 as well as additional clinical development milestone payments of up to US$9,500, with the first milestone payment, in the amount of US$500, payable upon completion of a Phase 1 clinical trial. At the sole discretion of Cybin, the milestones may be paid in cash or in Common Shares, or a combination thereof, subject to the approval of the Exchange. There is no assurance that the aforementioned milestones will be met. The agreement also contemplates a sales royalty of approximately 2% for all commercialized licensed products within the scope of the agreement, which is customary for drug licensing agreements of this nature.</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Worldwide Clinical Trials</w:t>
      </w:r>
    </w:p>
    <w:p>
      <w:pPr>
        <w:spacing w:after="0" w:line="268" w:lineRule="exact"/>
        <w:rPr>
          <w:sz w:val="20"/>
          <w:szCs w:val="20"/>
          <w:color w:val="auto"/>
        </w:rPr>
      </w:pPr>
    </w:p>
    <w:p>
      <w:pPr>
        <w:jc w:val="both"/>
        <w:ind w:right="20"/>
        <w:spacing w:after="0" w:line="309" w:lineRule="auto"/>
        <w:rPr>
          <w:sz w:val="20"/>
          <w:szCs w:val="20"/>
          <w:color w:val="auto"/>
        </w:rPr>
      </w:pPr>
      <w:r>
        <w:rPr>
          <w:rFonts w:ascii="Times New Roman" w:cs="Times New Roman" w:eastAsia="Times New Roman" w:hAnsi="Times New Roman"/>
          <w:sz w:val="18"/>
          <w:szCs w:val="18"/>
          <w:color w:val="auto"/>
        </w:rPr>
        <w:t>On July 26, 2023, the Company announced that it has partnered with Worldwide Clinical Trials, a global, full-service contract research organization with deep expertise managing clinical trials for mental health conditions, including MDD.</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Other Third-Party Partners</w:t>
      </w:r>
    </w:p>
    <w:p>
      <w:pPr>
        <w:spacing w:after="0" w:line="256" w:lineRule="exact"/>
        <w:rPr>
          <w:sz w:val="20"/>
          <w:szCs w:val="20"/>
          <w:color w:val="auto"/>
        </w:rPr>
      </w:pPr>
    </w:p>
    <w:p>
      <w:pPr>
        <w:jc w:val="both"/>
        <w:ind w:right="20"/>
        <w:spacing w:after="0" w:line="309" w:lineRule="auto"/>
        <w:rPr>
          <w:sz w:val="20"/>
          <w:szCs w:val="20"/>
          <w:color w:val="auto"/>
        </w:rPr>
      </w:pPr>
      <w:r>
        <w:rPr>
          <w:rFonts w:ascii="Times New Roman" w:cs="Times New Roman" w:eastAsia="Times New Roman" w:hAnsi="Times New Roman"/>
          <w:sz w:val="18"/>
          <w:szCs w:val="18"/>
          <w:color w:val="auto"/>
        </w:rPr>
        <w:t>The Company has established contractual sources of synthetic GMP (as defined below) and non-GMP raw materials to support its development operations through licensed third-party suppliers located in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24</w:t>
      </w:r>
    </w:p>
    <w:p>
      <w:pPr>
        <w:sectPr>
          <w:pgSz w:w="11900" w:h="16838" w:orient="portrait"/>
          <w:cols w:equalWidth="0" w:num="1">
            <w:col w:w="11260"/>
          </w:cols>
          <w:pgMar w:left="320" w:top="1440" w:right="319" w:bottom="1440" w:gutter="0" w:footer="0" w:header="0"/>
        </w:sectPr>
      </w:pPr>
    </w:p>
    <w:bookmarkStart w:id="50" w:name="page51"/>
    <w:bookmarkEnd w:id="50"/>
    <w:p>
      <w:pPr>
        <w:jc w:val="both"/>
        <w:ind w:left="3" w:right="20"/>
        <w:spacing w:after="0" w:line="269" w:lineRule="auto"/>
        <w:rPr>
          <w:sz w:val="20"/>
          <w:szCs w:val="20"/>
          <w:color w:val="auto"/>
        </w:rPr>
      </w:pPr>
      <w:r>
        <w:rPr>
          <w:rFonts w:ascii="Times New Roman" w:cs="Times New Roman" w:eastAsia="Times New Roman" w:hAnsi="Times New Roman"/>
          <w:sz w:val="18"/>
          <w:szCs w:val="18"/>
          <w:color w:val="auto"/>
        </w:rPr>
        <w:t>Canada, the United States, the UK and Europe. Such raw materials are expected to be, in general, readily available and in adequate supply to meet the Company’s need for development quantities, or custom manufactured on the Company’s behalf.</w:t>
      </w:r>
      <w:r>
        <w:rPr>
          <w:rFonts w:ascii="Times New Roman" w:cs="Times New Roman" w:eastAsia="Times New Roman" w:hAnsi="Times New Roman"/>
          <w:sz w:val="23"/>
          <w:szCs w:val="23"/>
          <w:color w:val="auto"/>
          <w:vertAlign w:val="superscript"/>
        </w:rPr>
        <w:t>23</w:t>
      </w:r>
      <w:r>
        <w:rPr>
          <w:rFonts w:ascii="Times New Roman" w:cs="Times New Roman" w:eastAsia="Times New Roman" w:hAnsi="Times New Roman"/>
          <w:sz w:val="18"/>
          <w:szCs w:val="18"/>
          <w:color w:val="auto"/>
        </w:rPr>
        <w:t xml:space="preserve"> The prices of research quantities of novel tryptamine compounds are generally higher than commercial supply prices at significantly larger scale and the Company, therefore, expects its supply prices to reduce over time. Development and production of the Company’s proprietary novel compounds is performed under confidential contractual agreements.</w:t>
      </w:r>
    </w:p>
    <w:p>
      <w:pPr>
        <w:spacing w:after="0" w:line="216" w:lineRule="exact"/>
        <w:rPr>
          <w:sz w:val="20"/>
          <w:szCs w:val="20"/>
          <w:color w:val="auto"/>
        </w:rPr>
      </w:pPr>
    </w:p>
    <w:p>
      <w:pPr>
        <w:jc w:val="both"/>
        <w:ind w:left="3" w:right="20"/>
        <w:spacing w:after="0" w:line="309" w:lineRule="auto"/>
        <w:rPr>
          <w:sz w:val="20"/>
          <w:szCs w:val="20"/>
          <w:color w:val="auto"/>
        </w:rPr>
      </w:pPr>
      <w:r>
        <w:rPr>
          <w:rFonts w:ascii="Times New Roman" w:cs="Times New Roman" w:eastAsia="Times New Roman" w:hAnsi="Times New Roman"/>
          <w:sz w:val="18"/>
          <w:szCs w:val="18"/>
          <w:color w:val="auto"/>
        </w:rPr>
        <w:t>The Company has conducted due diligence on each such third party, including but not limited to the review of necessary licences and the regulatory framework enacted in the jurisdiction of operation.</w:t>
      </w:r>
    </w:p>
    <w:p>
      <w:pPr>
        <w:spacing w:after="0" w:line="156" w:lineRule="exact"/>
        <w:rPr>
          <w:sz w:val="20"/>
          <w:szCs w:val="20"/>
          <w:color w:val="auto"/>
        </w:rPr>
      </w:pPr>
    </w:p>
    <w:p>
      <w:pPr>
        <w:jc w:val="both"/>
        <w:ind w:left="3"/>
        <w:spacing w:after="0" w:line="291" w:lineRule="auto"/>
        <w:rPr>
          <w:sz w:val="20"/>
          <w:szCs w:val="20"/>
          <w:color w:val="auto"/>
        </w:rPr>
      </w:pPr>
      <w:r>
        <w:rPr>
          <w:rFonts w:ascii="Times New Roman" w:cs="Times New Roman" w:eastAsia="Times New Roman" w:hAnsi="Times New Roman"/>
          <w:sz w:val="18"/>
          <w:szCs w:val="18"/>
          <w:color w:val="auto"/>
        </w:rPr>
        <w:t>The allocation of capital towards the Company’s ongoing projects and programs is largely dependent on the success, or difficulties encountered, in any particular portion of the process and therefore the time involved in completing it; in turn the time and costs associated with completing each step are highly dependent on the incremental results of each step and the results of other programs, and the Company’s need to be flexible to rapidly reallocate capital to projects whose results show the greatest potential. As such, it is difficult for the Company to anticipate the timing and costs associated with taking the projects to their next planned stage, and the Company cannot make assurances that the foregoing estimates will prove to be accurate, as actual results and future events could differ materially from those anticipated. Accordingly, investors are cautioned not to put undue reliance on the foregoing estimates.</w:t>
      </w:r>
    </w:p>
    <w:p>
      <w:pPr>
        <w:spacing w:after="0" w:line="187" w:lineRule="exact"/>
        <w:rPr>
          <w:sz w:val="20"/>
          <w:szCs w:val="20"/>
          <w:color w:val="auto"/>
        </w:rPr>
      </w:pPr>
    </w:p>
    <w:p>
      <w:pPr>
        <w:jc w:val="both"/>
        <w:ind w:left="3"/>
        <w:spacing w:after="0" w:line="291" w:lineRule="auto"/>
        <w:rPr>
          <w:sz w:val="20"/>
          <w:szCs w:val="20"/>
          <w:color w:val="auto"/>
        </w:rPr>
      </w:pPr>
      <w:r>
        <w:rPr>
          <w:rFonts w:ascii="Times New Roman" w:cs="Times New Roman" w:eastAsia="Times New Roman" w:hAnsi="Times New Roman"/>
          <w:sz w:val="18"/>
          <w:szCs w:val="18"/>
          <w:color w:val="auto"/>
        </w:rPr>
        <w:t>Moreover, identifying the timing and costs of such projects beyond their immediate next steps go to the core differentiating factors with respect to the Company and its competitors. The disclosure of prospective costs and timing other than as already disclosed by the Company would negatively impact shareholder value and undermine the Company’s proprietary technology. In keeping with pharmaceutical industry practice, it is the Company’s policy to disclose these details in conjunction with its financial statements, and to publicly disclose published patent applications, published scientific papers, scientific symposia and the attainment of key milestones only. In addition, the premature disclosure of proprietary data would have a material and adverse effect on the Company’s patent and other intellectual property rights and could result in the breach of confidentiality obligations.</w:t>
      </w:r>
    </w:p>
    <w:p>
      <w:pPr>
        <w:spacing w:after="0" w:line="175" w:lineRule="exact"/>
        <w:rPr>
          <w:sz w:val="20"/>
          <w:szCs w:val="20"/>
          <w:color w:val="auto"/>
        </w:rPr>
      </w:pPr>
    </w:p>
    <w:p>
      <w:pPr>
        <w:jc w:val="both"/>
        <w:ind w:left="3" w:right="20"/>
        <w:spacing w:after="0" w:line="280" w:lineRule="auto"/>
        <w:rPr>
          <w:sz w:val="20"/>
          <w:szCs w:val="20"/>
          <w:color w:val="auto"/>
        </w:rPr>
      </w:pPr>
      <w:r>
        <w:rPr>
          <w:rFonts w:ascii="Times New Roman" w:cs="Times New Roman" w:eastAsia="Times New Roman" w:hAnsi="Times New Roman"/>
          <w:sz w:val="18"/>
          <w:szCs w:val="18"/>
          <w:color w:val="auto"/>
        </w:rPr>
        <w:t>The material factors or assumptions used to develop the estimated costs disclosed above are included in the “Cautionary Note Regarding Forward-Looking Information” section above. The actual amount that the Company spends in connection with each of the intended uses of proceeds will depend on a number of factors, including those listed under “</w:t>
      </w:r>
      <w:r>
        <w:rPr>
          <w:rFonts w:ascii="Times New Roman" w:cs="Times New Roman" w:eastAsia="Times New Roman" w:hAnsi="Times New Roman"/>
          <w:sz w:val="18"/>
          <w:szCs w:val="18"/>
          <w:i w:val="1"/>
          <w:iCs w:val="1"/>
          <w:color w:val="auto"/>
        </w:rPr>
        <w:t>Risk Factors</w:t>
      </w:r>
      <w:r>
        <w:rPr>
          <w:rFonts w:ascii="Times New Roman" w:cs="Times New Roman" w:eastAsia="Times New Roman" w:hAnsi="Times New Roman"/>
          <w:sz w:val="18"/>
          <w:szCs w:val="18"/>
          <w:color w:val="auto"/>
        </w:rPr>
        <w:t>” in this MD&amp;A or unforeseen events.</w:t>
      </w:r>
    </w:p>
    <w:p>
      <w:pPr>
        <w:spacing w:after="0" w:line="194" w:lineRule="exact"/>
        <w:rPr>
          <w:sz w:val="20"/>
          <w:szCs w:val="20"/>
          <w:color w:val="auto"/>
        </w:rPr>
      </w:pPr>
    </w:p>
    <w:p>
      <w:pPr>
        <w:jc w:val="both"/>
        <w:ind w:left="3" w:right="20"/>
        <w:spacing w:after="0" w:line="301" w:lineRule="auto"/>
        <w:rPr>
          <w:sz w:val="20"/>
          <w:szCs w:val="20"/>
          <w:color w:val="auto"/>
        </w:rPr>
      </w:pPr>
      <w:r>
        <w:rPr>
          <w:rFonts w:ascii="Times New Roman" w:cs="Times New Roman" w:eastAsia="Times New Roman" w:hAnsi="Times New Roman"/>
          <w:sz w:val="18"/>
          <w:szCs w:val="18"/>
          <w:color w:val="auto"/>
        </w:rPr>
        <w:t>Other than as described in the AIF and herein, to the knowledge of management, there are no other particular significant events or milestones that must occur for the Company’s business objectives in the next 12 months to be accomplished. However, there is no guarantee that the Company will meet its business objectives or milestones described above within the specific time periods, within 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102235</wp:posOffset>
            </wp:positionV>
            <wp:extent cx="1535430" cy="762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1535430" cy="7620"/>
                    </a:xfrm>
                    <a:prstGeom prst="rect">
                      <a:avLst/>
                    </a:prstGeom>
                    <a:noFill/>
                  </pic:spPr>
                </pic:pic>
              </a:graphicData>
            </a:graphic>
          </wp:anchor>
        </w:drawing>
      </w:r>
    </w:p>
    <w:p>
      <w:pPr>
        <w:spacing w:after="0" w:line="225" w:lineRule="exact"/>
        <w:rPr>
          <w:sz w:val="20"/>
          <w:szCs w:val="20"/>
          <w:color w:val="auto"/>
        </w:rPr>
      </w:pPr>
    </w:p>
    <w:p>
      <w:pPr>
        <w:ind w:left="3" w:right="20" w:hanging="3"/>
        <w:spacing w:after="0" w:line="220" w:lineRule="auto"/>
        <w:tabs>
          <w:tab w:leader="none" w:pos="152" w:val="left"/>
        </w:tabs>
        <w:numPr>
          <w:ilvl w:val="0"/>
          <w:numId w:val="34"/>
        </w:numPr>
        <w:rPr>
          <w:rFonts w:ascii="Times New Roman" w:cs="Times New Roman" w:eastAsia="Times New Roman" w:hAnsi="Times New Roman"/>
          <w:sz w:val="19"/>
          <w:szCs w:val="19"/>
          <w:color w:val="auto"/>
          <w:vertAlign w:val="superscript"/>
        </w:rPr>
      </w:pPr>
      <w:r>
        <w:rPr>
          <w:rFonts w:ascii="Times New Roman" w:cs="Times New Roman" w:eastAsia="Times New Roman" w:hAnsi="Times New Roman"/>
          <w:sz w:val="15"/>
          <w:szCs w:val="15"/>
          <w:color w:val="auto"/>
        </w:rPr>
        <w:t>At this time the Company has not entered into commercial supply agreements and has no control over price or conditions. The Company has assumed that it will be able to enter into commercial supply agreements at such a time when there will be sufficient competition in the market which will render prices reasonable.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jc w:val="center"/>
        <w:ind w:right="-2"/>
        <w:spacing w:after="0"/>
        <w:rPr>
          <w:sz w:val="20"/>
          <w:szCs w:val="20"/>
          <w:color w:val="auto"/>
        </w:rPr>
      </w:pPr>
      <w:r>
        <w:rPr>
          <w:rFonts w:ascii="Times New Roman" w:cs="Times New Roman" w:eastAsia="Times New Roman" w:hAnsi="Times New Roman"/>
          <w:sz w:val="18"/>
          <w:szCs w:val="18"/>
          <w:color w:val="auto"/>
        </w:rPr>
        <w:t>25</w:t>
      </w:r>
    </w:p>
    <w:p>
      <w:pPr>
        <w:sectPr>
          <w:pgSz w:w="11900" w:h="16838" w:orient="portrait"/>
          <w:cols w:equalWidth="0" w:num="1">
            <w:col w:w="11263"/>
          </w:cols>
          <w:pgMar w:left="317" w:top="1303" w:right="319" w:bottom="1440" w:gutter="0" w:footer="0" w:header="0"/>
        </w:sectPr>
      </w:pPr>
    </w:p>
    <w:bookmarkStart w:id="51" w:name="page52"/>
    <w:bookmarkEnd w:id="51"/>
    <w:p>
      <w:pPr>
        <w:spacing w:after="0"/>
        <w:rPr>
          <w:sz w:val="20"/>
          <w:szCs w:val="20"/>
          <w:color w:val="auto"/>
        </w:rPr>
      </w:pPr>
      <w:r>
        <w:rPr>
          <w:rFonts w:ascii="Times New Roman" w:cs="Times New Roman" w:eastAsia="Times New Roman" w:hAnsi="Times New Roman"/>
          <w:sz w:val="18"/>
          <w:szCs w:val="18"/>
          <w:color w:val="auto"/>
        </w:rPr>
        <w:t>estimated costs or at all. The Company may, for sound business reasons, reallocate its time or capital resources, or both, differently than as described above.</w:t>
      </w:r>
    </w:p>
    <w:p>
      <w:pPr>
        <w:spacing w:after="0" w:line="240" w:lineRule="exact"/>
        <w:rPr>
          <w:sz w:val="20"/>
          <w:szCs w:val="20"/>
          <w:color w:val="auto"/>
        </w:rPr>
      </w:pPr>
    </w:p>
    <w:p>
      <w:pPr>
        <w:jc w:val="both"/>
        <w:ind w:right="20"/>
        <w:spacing w:after="0" w:line="291" w:lineRule="auto"/>
        <w:rPr>
          <w:sz w:val="20"/>
          <w:szCs w:val="20"/>
          <w:color w:val="auto"/>
        </w:rPr>
      </w:pPr>
      <w:r>
        <w:rPr>
          <w:rFonts w:ascii="Times New Roman" w:cs="Times New Roman" w:eastAsia="Times New Roman" w:hAnsi="Times New Roman"/>
          <w:sz w:val="18"/>
          <w:szCs w:val="18"/>
          <w:color w:val="auto"/>
        </w:rPr>
        <w:t>The Company has negative cash flow from operating activities and has historically incurred net losses. To the extent that the Company has negative operating cash flows in future periods, it may need to deploy a portion of its existing working capital to fund such negative cash flows. The Company will be required to raise additional funds through the issuance of additional equity securities, through loan financing, or other means, such as through partnerships with other companies and research and development reimbursements. There is no assurance that additional capital or other types of financing will be available if needed or that these financings will be on terms at least as favourable to the Company as those previously obtained.</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Intellectual Property</w:t>
      </w:r>
    </w:p>
    <w:p>
      <w:pPr>
        <w:spacing w:after="0" w:line="254" w:lineRule="exact"/>
        <w:rPr>
          <w:sz w:val="20"/>
          <w:szCs w:val="20"/>
          <w:color w:val="auto"/>
        </w:rPr>
      </w:pPr>
    </w:p>
    <w:p>
      <w:pPr>
        <w:jc w:val="both"/>
        <w:ind w:right="20"/>
        <w:spacing w:after="0" w:line="301" w:lineRule="auto"/>
        <w:rPr>
          <w:sz w:val="20"/>
          <w:szCs w:val="20"/>
          <w:color w:val="auto"/>
        </w:rPr>
      </w:pPr>
      <w:r>
        <w:rPr>
          <w:rFonts w:ascii="Times New Roman" w:cs="Times New Roman" w:eastAsia="Times New Roman" w:hAnsi="Times New Roman"/>
          <w:sz w:val="18"/>
          <w:szCs w:val="18"/>
          <w:color w:val="auto"/>
        </w:rPr>
        <w:t>Cybin has title to nineteen granted US patents and fifty eight granted national (non-US) patents, including claims directed to compositions of matter and methods of use in support of its research and development and preclinical and clinical trial programs. Granted European patents are counted as a single granted patent (as opposed to multiple patents in each European territory in which the patent is in force).</w:t>
      </w:r>
    </w:p>
    <w:p>
      <w:pPr>
        <w:spacing w:after="0" w:line="177" w:lineRule="exact"/>
        <w:rPr>
          <w:sz w:val="20"/>
          <w:szCs w:val="20"/>
          <w:color w:val="auto"/>
        </w:rPr>
      </w:pPr>
    </w:p>
    <w:tbl>
      <w:tblPr>
        <w:tblLayout w:type="fixed"/>
        <w:tblInd w:w="10" w:type="dxa"/>
        <w:tblCellMar>
          <w:top w:w="0" w:type="dxa"/>
          <w:left w:w="0" w:type="dxa"/>
          <w:bottom w:w="0" w:type="dxa"/>
          <w:right w:w="0" w:type="dxa"/>
        </w:tblCellMar>
      </w:tblPr>
      <w:tr>
        <w:trPr>
          <w:trHeight w:val="206"/>
        </w:trPr>
        <w:tc>
          <w:tcPr>
            <w:tcW w:w="2660" w:type="dxa"/>
            <w:vAlign w:val="bottom"/>
            <w:tcBorders>
              <w:top w:val="single" w:sz="8" w:color="auto"/>
              <w:left w:val="single" w:sz="8" w:color="auto"/>
              <w:bottom w:val="single" w:sz="8" w:color="auto"/>
              <w:right w:val="single" w:sz="8" w:color="auto"/>
            </w:tcBorders>
            <w:shd w:val="clear" w:color="auto" w:fill="BFBFBF"/>
          </w:tcPr>
          <w:p>
            <w:pPr>
              <w:ind w:left="840"/>
              <w:spacing w:after="0"/>
              <w:rPr>
                <w:sz w:val="20"/>
                <w:szCs w:val="20"/>
                <w:color w:val="auto"/>
              </w:rPr>
            </w:pPr>
            <w:r>
              <w:rPr>
                <w:rFonts w:ascii="Times New Roman" w:cs="Times New Roman" w:eastAsia="Times New Roman" w:hAnsi="Times New Roman"/>
                <w:sz w:val="15"/>
                <w:szCs w:val="15"/>
                <w:b w:val="1"/>
                <w:bCs w:val="1"/>
                <w:color w:val="auto"/>
              </w:rPr>
              <w:t>Patent Number</w:t>
            </w:r>
          </w:p>
        </w:tc>
        <w:tc>
          <w:tcPr>
            <w:tcW w:w="1680" w:type="dxa"/>
            <w:vAlign w:val="bottom"/>
            <w:tcBorders>
              <w:top w:val="single" w:sz="8" w:color="auto"/>
              <w:bottom w:val="single" w:sz="8" w:color="auto"/>
              <w:right w:val="single" w:sz="8" w:color="auto"/>
            </w:tcBorders>
            <w:shd w:val="clear" w:color="auto" w:fill="BFBFBF"/>
          </w:tcPr>
          <w:p>
            <w:pPr>
              <w:jc w:val="center"/>
              <w:spacing w:after="0"/>
              <w:rPr>
                <w:sz w:val="20"/>
                <w:szCs w:val="20"/>
                <w:color w:val="auto"/>
              </w:rPr>
            </w:pPr>
            <w:r>
              <w:rPr>
                <w:rFonts w:ascii="Times New Roman" w:cs="Times New Roman" w:eastAsia="Times New Roman" w:hAnsi="Times New Roman"/>
                <w:sz w:val="15"/>
                <w:szCs w:val="15"/>
                <w:b w:val="1"/>
                <w:bCs w:val="1"/>
                <w:color w:val="auto"/>
                <w:w w:val="96"/>
              </w:rPr>
              <w:t>Jurisdiction of Filing</w:t>
            </w:r>
          </w:p>
        </w:tc>
        <w:tc>
          <w:tcPr>
            <w:tcW w:w="6940" w:type="dxa"/>
            <w:vAlign w:val="bottom"/>
            <w:tcBorders>
              <w:top w:val="single" w:sz="8" w:color="auto"/>
              <w:bottom w:val="single" w:sz="8" w:color="auto"/>
              <w:right w:val="single" w:sz="8" w:color="auto"/>
            </w:tcBorders>
            <w:shd w:val="clear" w:color="auto" w:fill="BFBFBF"/>
          </w:tcPr>
          <w:p>
            <w:pPr>
              <w:jc w:val="center"/>
              <w:spacing w:after="0"/>
              <w:rPr>
                <w:sz w:val="20"/>
                <w:szCs w:val="20"/>
                <w:color w:val="auto"/>
              </w:rPr>
            </w:pPr>
            <w:r>
              <w:rPr>
                <w:rFonts w:ascii="Times New Roman" w:cs="Times New Roman" w:eastAsia="Times New Roman" w:hAnsi="Times New Roman"/>
                <w:sz w:val="15"/>
                <w:szCs w:val="15"/>
                <w:b w:val="1"/>
                <w:bCs w:val="1"/>
                <w:color w:val="auto"/>
                <w:w w:val="97"/>
              </w:rPr>
              <w:t>Description</w:t>
            </w:r>
          </w:p>
        </w:tc>
      </w:tr>
      <w:tr>
        <w:trPr>
          <w:trHeight w:val="183"/>
        </w:trPr>
        <w:tc>
          <w:tcPr>
            <w:tcW w:w="266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w w:val="94"/>
              </w:rPr>
              <w:t>11,242,318</w:t>
            </w:r>
          </w:p>
        </w:tc>
        <w:tc>
          <w:tcPr>
            <w:tcW w:w="16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w w:val="96"/>
              </w:rPr>
              <w:t>United States</w:t>
            </w:r>
          </w:p>
        </w:tc>
        <w:tc>
          <w:tcPr>
            <w:tcW w:w="69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w w:val="96"/>
              </w:rPr>
              <w:t>Deuterated Tryptamine Derivatives And Methods Of Use</w:t>
            </w:r>
          </w:p>
        </w:tc>
      </w:tr>
      <w:tr>
        <w:trPr>
          <w:trHeight w:val="186"/>
        </w:trPr>
        <w:tc>
          <w:tcPr>
            <w:tcW w:w="266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w w:val="94"/>
              </w:rPr>
              <w:t>11,724,985</w:t>
            </w:r>
          </w:p>
        </w:tc>
        <w:tc>
          <w:tcPr>
            <w:tcW w:w="16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w w:val="96"/>
              </w:rPr>
              <w:t>United States</w:t>
            </w:r>
          </w:p>
        </w:tc>
        <w:tc>
          <w:tcPr>
            <w:tcW w:w="69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w w:val="96"/>
              </w:rPr>
              <w:t>Deuterated Tryptamine Derivatives And Methods Of Use</w:t>
            </w:r>
          </w:p>
        </w:tc>
      </w:tr>
      <w:tr>
        <w:trPr>
          <w:trHeight w:val="186"/>
        </w:trPr>
        <w:tc>
          <w:tcPr>
            <w:tcW w:w="266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w w:val="94"/>
              </w:rPr>
              <w:t>11,746,088</w:t>
            </w:r>
          </w:p>
        </w:tc>
        <w:tc>
          <w:tcPr>
            <w:tcW w:w="16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w w:val="96"/>
              </w:rPr>
              <w:t>United States</w:t>
            </w:r>
          </w:p>
        </w:tc>
        <w:tc>
          <w:tcPr>
            <w:tcW w:w="69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w w:val="96"/>
              </w:rPr>
              <w:t>Deuterated Tryptamine Derivatives And Methods Of Use</w:t>
            </w:r>
          </w:p>
        </w:tc>
      </w:tr>
      <w:tr>
        <w:trPr>
          <w:trHeight w:val="186"/>
        </w:trPr>
        <w:tc>
          <w:tcPr>
            <w:tcW w:w="266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w w:val="94"/>
              </w:rPr>
              <w:t>11,834,410</w:t>
            </w:r>
          </w:p>
        </w:tc>
        <w:tc>
          <w:tcPr>
            <w:tcW w:w="16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w w:val="96"/>
              </w:rPr>
              <w:t>United States</w:t>
            </w:r>
          </w:p>
        </w:tc>
        <w:tc>
          <w:tcPr>
            <w:tcW w:w="69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w w:val="96"/>
              </w:rPr>
              <w:t>Deuterated Tryptamine Derivatives And Methods Of Use</w:t>
            </w:r>
          </w:p>
        </w:tc>
      </w:tr>
      <w:tr>
        <w:trPr>
          <w:trHeight w:val="186"/>
        </w:trPr>
        <w:tc>
          <w:tcPr>
            <w:tcW w:w="266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w w:val="94"/>
              </w:rPr>
              <w:t>11,958,807</w:t>
            </w:r>
          </w:p>
        </w:tc>
        <w:tc>
          <w:tcPr>
            <w:tcW w:w="16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w w:val="96"/>
              </w:rPr>
              <w:t>United States</w:t>
            </w:r>
          </w:p>
        </w:tc>
        <w:tc>
          <w:tcPr>
            <w:tcW w:w="69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w w:val="96"/>
              </w:rPr>
              <w:t>Deuterated Tryptamine Derivatives And Methods of Use</w:t>
            </w:r>
          </w:p>
        </w:tc>
      </w:tr>
      <w:tr>
        <w:trPr>
          <w:trHeight w:val="186"/>
        </w:trPr>
        <w:tc>
          <w:tcPr>
            <w:tcW w:w="266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w w:val="94"/>
              </w:rPr>
              <w:t>12,110,272</w:t>
            </w:r>
          </w:p>
        </w:tc>
        <w:tc>
          <w:tcPr>
            <w:tcW w:w="16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w w:val="96"/>
              </w:rPr>
              <w:t>United States</w:t>
            </w:r>
          </w:p>
        </w:tc>
        <w:tc>
          <w:tcPr>
            <w:tcW w:w="69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w w:val="96"/>
              </w:rPr>
              <w:t>Deuterated Tryptamine Derivatives And Methods of Use</w:t>
            </w:r>
          </w:p>
        </w:tc>
      </w:tr>
      <w:tr>
        <w:trPr>
          <w:trHeight w:val="186"/>
        </w:trPr>
        <w:tc>
          <w:tcPr>
            <w:tcW w:w="266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w w:val="94"/>
              </w:rPr>
              <w:t>12,122,741</w:t>
            </w:r>
          </w:p>
        </w:tc>
        <w:tc>
          <w:tcPr>
            <w:tcW w:w="16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w w:val="96"/>
              </w:rPr>
              <w:t>United States</w:t>
            </w:r>
          </w:p>
        </w:tc>
        <w:tc>
          <w:tcPr>
            <w:tcW w:w="69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w w:val="96"/>
              </w:rPr>
              <w:t>Therapeutic Phenethylamine Compositions and Methods of Use</w:t>
            </w:r>
          </w:p>
        </w:tc>
      </w:tr>
      <w:tr>
        <w:trPr>
          <w:trHeight w:val="186"/>
        </w:trPr>
        <w:tc>
          <w:tcPr>
            <w:tcW w:w="266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w w:val="95"/>
              </w:rPr>
              <w:t>2018311307</w:t>
            </w:r>
          </w:p>
        </w:tc>
        <w:tc>
          <w:tcPr>
            <w:tcW w:w="16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w w:val="94"/>
              </w:rPr>
              <w:t>Australia</w:t>
            </w:r>
          </w:p>
        </w:tc>
        <w:tc>
          <w:tcPr>
            <w:tcW w:w="69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w w:val="96"/>
              </w:rPr>
              <w:t>Crystalline Forms of Hydroxynorketamine</w:t>
            </w:r>
          </w:p>
        </w:tc>
      </w:tr>
      <w:tr>
        <w:trPr>
          <w:trHeight w:val="186"/>
        </w:trPr>
        <w:tc>
          <w:tcPr>
            <w:tcW w:w="266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w w:val="95"/>
              </w:rPr>
              <w:t>2020378647</w:t>
            </w:r>
          </w:p>
        </w:tc>
        <w:tc>
          <w:tcPr>
            <w:tcW w:w="16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w w:val="94"/>
              </w:rPr>
              <w:t>Australia</w:t>
            </w:r>
          </w:p>
        </w:tc>
        <w:tc>
          <w:tcPr>
            <w:tcW w:w="69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w w:val="96"/>
              </w:rPr>
              <w:t>Method of Synthesis</w:t>
            </w:r>
          </w:p>
        </w:tc>
      </w:tr>
      <w:tr>
        <w:trPr>
          <w:trHeight w:val="186"/>
        </w:trPr>
        <w:tc>
          <w:tcPr>
            <w:tcW w:w="266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w w:val="95"/>
              </w:rPr>
              <w:t>2020381103</w:t>
            </w:r>
          </w:p>
        </w:tc>
        <w:tc>
          <w:tcPr>
            <w:tcW w:w="16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w w:val="94"/>
              </w:rPr>
              <w:t>Australia</w:t>
            </w:r>
          </w:p>
        </w:tc>
        <w:tc>
          <w:tcPr>
            <w:tcW w:w="69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w w:val="96"/>
              </w:rPr>
              <w:t>Compounds</w:t>
            </w:r>
          </w:p>
        </w:tc>
      </w:tr>
      <w:tr>
        <w:trPr>
          <w:trHeight w:val="186"/>
        </w:trPr>
        <w:tc>
          <w:tcPr>
            <w:tcW w:w="266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w w:val="95"/>
              </w:rPr>
              <w:t>2021334933</w:t>
            </w:r>
          </w:p>
        </w:tc>
        <w:tc>
          <w:tcPr>
            <w:tcW w:w="16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w w:val="94"/>
              </w:rPr>
              <w:t>Australia</w:t>
            </w:r>
          </w:p>
        </w:tc>
        <w:tc>
          <w:tcPr>
            <w:tcW w:w="69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w w:val="97"/>
              </w:rPr>
              <w:t>Injectable Formulation</w:t>
            </w:r>
          </w:p>
        </w:tc>
      </w:tr>
      <w:tr>
        <w:trPr>
          <w:trHeight w:val="186"/>
        </w:trPr>
        <w:tc>
          <w:tcPr>
            <w:tcW w:w="266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w w:val="95"/>
              </w:rPr>
              <w:t>2021204158</w:t>
            </w:r>
          </w:p>
        </w:tc>
        <w:tc>
          <w:tcPr>
            <w:tcW w:w="16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w w:val="94"/>
              </w:rPr>
              <w:t>Australia</w:t>
            </w:r>
          </w:p>
        </w:tc>
        <w:tc>
          <w:tcPr>
            <w:tcW w:w="69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w w:val="96"/>
              </w:rPr>
              <w:t>Therapeutic Compositions Comprising Deuterated or Partially Deuterated N,N-Dimethyltryptamine Compounds</w:t>
            </w:r>
          </w:p>
        </w:tc>
      </w:tr>
      <w:tr>
        <w:trPr>
          <w:trHeight w:val="186"/>
        </w:trPr>
        <w:tc>
          <w:tcPr>
            <w:tcW w:w="266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w w:val="95"/>
              </w:rPr>
              <w:t>2020286709</w:t>
            </w:r>
          </w:p>
        </w:tc>
        <w:tc>
          <w:tcPr>
            <w:tcW w:w="16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w w:val="94"/>
              </w:rPr>
              <w:t>Australia</w:t>
            </w:r>
          </w:p>
        </w:tc>
        <w:tc>
          <w:tcPr>
            <w:tcW w:w="69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w w:val="96"/>
              </w:rPr>
              <w:t>Therapeutic Compositions Comprising Deuterated or Partially Deuterated N,N-Dimethyltryptamine Compounds</w:t>
            </w:r>
          </w:p>
        </w:tc>
      </w:tr>
      <w:tr>
        <w:trPr>
          <w:trHeight w:val="186"/>
        </w:trPr>
        <w:tc>
          <w:tcPr>
            <w:tcW w:w="266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w w:val="94"/>
              </w:rPr>
              <w:t>1120220221983</w:t>
            </w:r>
          </w:p>
        </w:tc>
        <w:tc>
          <w:tcPr>
            <w:tcW w:w="16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w w:val="98"/>
              </w:rPr>
              <w:t>Brazil</w:t>
            </w:r>
          </w:p>
        </w:tc>
        <w:tc>
          <w:tcPr>
            <w:tcW w:w="69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w w:val="97"/>
              </w:rPr>
              <w:t>Injectable Formulation</w:t>
            </w:r>
          </w:p>
        </w:tc>
      </w:tr>
      <w:tr>
        <w:trPr>
          <w:trHeight w:val="186"/>
        </w:trPr>
        <w:tc>
          <w:tcPr>
            <w:tcW w:w="266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w w:val="98"/>
              </w:rPr>
              <w:t>3104072</w:t>
            </w:r>
          </w:p>
        </w:tc>
        <w:tc>
          <w:tcPr>
            <w:tcW w:w="16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w w:val="97"/>
              </w:rPr>
              <w:t>Canada</w:t>
            </w:r>
          </w:p>
        </w:tc>
        <w:tc>
          <w:tcPr>
            <w:tcW w:w="69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w w:val="96"/>
              </w:rPr>
              <w:t>Drug Substance Compositions Comprising N,N-Dimethyltryptamine</w:t>
            </w:r>
          </w:p>
        </w:tc>
      </w:tr>
      <w:tr>
        <w:trPr>
          <w:trHeight w:val="186"/>
        </w:trPr>
        <w:tc>
          <w:tcPr>
            <w:tcW w:w="266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w w:val="98"/>
              </w:rPr>
              <w:t>3160337</w:t>
            </w:r>
          </w:p>
        </w:tc>
        <w:tc>
          <w:tcPr>
            <w:tcW w:w="16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w w:val="97"/>
              </w:rPr>
              <w:t>Canada</w:t>
            </w:r>
          </w:p>
        </w:tc>
        <w:tc>
          <w:tcPr>
            <w:tcW w:w="69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w w:val="96"/>
              </w:rPr>
              <w:t>Method of Synthesis</w:t>
            </w:r>
          </w:p>
        </w:tc>
      </w:tr>
      <w:tr>
        <w:trPr>
          <w:trHeight w:val="186"/>
        </w:trPr>
        <w:tc>
          <w:tcPr>
            <w:tcW w:w="266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w w:val="98"/>
              </w:rPr>
              <w:t>3179161</w:t>
            </w:r>
          </w:p>
        </w:tc>
        <w:tc>
          <w:tcPr>
            <w:tcW w:w="16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w w:val="97"/>
              </w:rPr>
              <w:t>Canada</w:t>
            </w:r>
          </w:p>
        </w:tc>
        <w:tc>
          <w:tcPr>
            <w:tcW w:w="69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w w:val="96"/>
              </w:rPr>
              <w:t>Therapeutic Compositions Comprising Deuterated or Partially Deuterated N,N-Dimethyltryptamine Compounds</w:t>
            </w:r>
          </w:p>
        </w:tc>
      </w:tr>
      <w:tr>
        <w:trPr>
          <w:trHeight w:val="186"/>
        </w:trPr>
        <w:tc>
          <w:tcPr>
            <w:tcW w:w="266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w w:val="98"/>
              </w:rPr>
              <w:t>3160334</w:t>
            </w:r>
          </w:p>
        </w:tc>
        <w:tc>
          <w:tcPr>
            <w:tcW w:w="16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w w:val="97"/>
              </w:rPr>
              <w:t>Canada</w:t>
            </w:r>
          </w:p>
        </w:tc>
        <w:tc>
          <w:tcPr>
            <w:tcW w:w="69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w w:val="96"/>
              </w:rPr>
              <w:t>Compounds</w:t>
            </w:r>
          </w:p>
        </w:tc>
      </w:tr>
      <w:tr>
        <w:trPr>
          <w:trHeight w:val="186"/>
        </w:trPr>
        <w:tc>
          <w:tcPr>
            <w:tcW w:w="266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w w:val="98"/>
              </w:rPr>
              <w:t>3179335</w:t>
            </w:r>
          </w:p>
        </w:tc>
        <w:tc>
          <w:tcPr>
            <w:tcW w:w="16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w w:val="97"/>
              </w:rPr>
              <w:t>Canada</w:t>
            </w:r>
          </w:p>
        </w:tc>
        <w:tc>
          <w:tcPr>
            <w:tcW w:w="69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w w:val="97"/>
              </w:rPr>
              <w:t>Injectable Formulation</w:t>
            </w:r>
          </w:p>
        </w:tc>
      </w:tr>
      <w:tr>
        <w:trPr>
          <w:trHeight w:val="186"/>
        </w:trPr>
        <w:tc>
          <w:tcPr>
            <w:tcW w:w="266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w w:val="96"/>
              </w:rPr>
              <w:t>ZL202080087091.0</w:t>
            </w:r>
          </w:p>
        </w:tc>
        <w:tc>
          <w:tcPr>
            <w:tcW w:w="16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rPr>
              <w:t>China</w:t>
            </w:r>
          </w:p>
        </w:tc>
        <w:tc>
          <w:tcPr>
            <w:tcW w:w="69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w w:val="96"/>
              </w:rPr>
              <w:t>Compounds</w:t>
            </w:r>
          </w:p>
        </w:tc>
      </w:tr>
      <w:tr>
        <w:trPr>
          <w:trHeight w:val="186"/>
        </w:trPr>
        <w:tc>
          <w:tcPr>
            <w:tcW w:w="266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w w:val="96"/>
              </w:rPr>
              <w:t>ZL202080087092.5</w:t>
            </w:r>
          </w:p>
        </w:tc>
        <w:tc>
          <w:tcPr>
            <w:tcW w:w="16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rPr>
              <w:t>China</w:t>
            </w:r>
          </w:p>
        </w:tc>
        <w:tc>
          <w:tcPr>
            <w:tcW w:w="69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w w:val="96"/>
              </w:rPr>
              <w:t>Method of Synthesis</w:t>
            </w:r>
          </w:p>
        </w:tc>
      </w:tr>
      <w:tr>
        <w:trPr>
          <w:trHeight w:val="186"/>
        </w:trPr>
        <w:tc>
          <w:tcPr>
            <w:tcW w:w="266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w w:val="96"/>
              </w:rPr>
              <w:t>ZL202180044031.5</w:t>
            </w:r>
          </w:p>
        </w:tc>
        <w:tc>
          <w:tcPr>
            <w:tcW w:w="16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rPr>
              <w:t>China</w:t>
            </w:r>
          </w:p>
        </w:tc>
        <w:tc>
          <w:tcPr>
            <w:tcW w:w="69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w w:val="97"/>
              </w:rPr>
              <w:t>Injectable Formulation</w:t>
            </w:r>
          </w:p>
        </w:tc>
      </w:tr>
      <w:tr>
        <w:trPr>
          <w:trHeight w:val="186"/>
        </w:trPr>
        <w:tc>
          <w:tcPr>
            <w:tcW w:w="266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w w:val="97"/>
              </w:rPr>
              <w:t>ZL202180046463.X</w:t>
            </w:r>
          </w:p>
        </w:tc>
        <w:tc>
          <w:tcPr>
            <w:tcW w:w="16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rPr>
              <w:t>China</w:t>
            </w:r>
          </w:p>
        </w:tc>
        <w:tc>
          <w:tcPr>
            <w:tcW w:w="69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w w:val="96"/>
              </w:rPr>
              <w:t>Therapeutic Compositions Comprising Deuterated or Partially Deuterated N,N-Dimethyltryptamine Compounds</w:t>
            </w:r>
          </w:p>
        </w:tc>
      </w:tr>
      <w:tr>
        <w:trPr>
          <w:trHeight w:val="186"/>
        </w:trPr>
        <w:tc>
          <w:tcPr>
            <w:tcW w:w="266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w w:val="97"/>
              </w:rPr>
              <w:t>046951</w:t>
            </w:r>
          </w:p>
        </w:tc>
        <w:tc>
          <w:tcPr>
            <w:tcW w:w="16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w w:val="97"/>
              </w:rPr>
              <w:t>Eurasian Patent Office</w:t>
            </w:r>
          </w:p>
        </w:tc>
        <w:tc>
          <w:tcPr>
            <w:tcW w:w="69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w w:val="96"/>
              </w:rPr>
              <w:t>Therapeutic Compositions Comprising Deuterated or Partially Deuterated N,N-Dimethyltryptamine Compounds</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26</w:t>
      </w:r>
    </w:p>
    <w:p>
      <w:pPr>
        <w:sectPr>
          <w:pgSz w:w="11900" w:h="16838" w:orient="portrait"/>
          <w:cols w:equalWidth="0" w:num="1">
            <w:col w:w="11260"/>
          </w:cols>
          <w:pgMar w:left="320" w:top="1303" w:right="319" w:bottom="1440" w:gutter="0" w:footer="0" w:header="0"/>
        </w:sectPr>
      </w:pPr>
    </w:p>
    <w:bookmarkStart w:id="52" w:name="page53"/>
    <w:bookmarkEnd w:id="52"/>
    <w:tbl>
      <w:tblPr>
        <w:tblLayout w:type="fixed"/>
        <w:tblInd w:w="10" w:type="dxa"/>
        <w:tblCellMar>
          <w:top w:w="0" w:type="dxa"/>
          <w:left w:w="0" w:type="dxa"/>
          <w:bottom w:w="0" w:type="dxa"/>
          <w:right w:w="0" w:type="dxa"/>
        </w:tblCellMar>
      </w:tblPr>
      <w:tr>
        <w:trPr>
          <w:trHeight w:val="206"/>
        </w:trPr>
        <w:tc>
          <w:tcPr>
            <w:tcW w:w="2660" w:type="dxa"/>
            <w:vAlign w:val="bottom"/>
            <w:tcBorders>
              <w:top w:val="single" w:sz="8" w:color="auto"/>
              <w:left w:val="single" w:sz="8" w:color="auto"/>
              <w:bottom w:val="single" w:sz="8" w:color="auto"/>
              <w:right w:val="single" w:sz="8" w:color="auto"/>
            </w:tcBorders>
            <w:shd w:val="clear" w:color="auto" w:fill="BFBFBF"/>
          </w:tcPr>
          <w:p>
            <w:pPr>
              <w:ind w:left="840"/>
              <w:spacing w:after="0"/>
              <w:rPr>
                <w:sz w:val="20"/>
                <w:szCs w:val="20"/>
                <w:color w:val="auto"/>
              </w:rPr>
            </w:pPr>
            <w:r>
              <w:rPr>
                <w:rFonts w:ascii="Times New Roman" w:cs="Times New Roman" w:eastAsia="Times New Roman" w:hAnsi="Times New Roman"/>
                <w:sz w:val="15"/>
                <w:szCs w:val="15"/>
                <w:b w:val="1"/>
                <w:bCs w:val="1"/>
                <w:color w:val="auto"/>
              </w:rPr>
              <w:t>Patent Number</w:t>
            </w:r>
          </w:p>
        </w:tc>
        <w:tc>
          <w:tcPr>
            <w:tcW w:w="1680" w:type="dxa"/>
            <w:vAlign w:val="bottom"/>
            <w:tcBorders>
              <w:top w:val="single" w:sz="8" w:color="auto"/>
              <w:bottom w:val="single" w:sz="8" w:color="auto"/>
              <w:right w:val="single" w:sz="8" w:color="auto"/>
            </w:tcBorders>
            <w:shd w:val="clear" w:color="auto" w:fill="BFBFBF"/>
          </w:tcPr>
          <w:p>
            <w:pPr>
              <w:jc w:val="center"/>
              <w:spacing w:after="0"/>
              <w:rPr>
                <w:sz w:val="20"/>
                <w:szCs w:val="20"/>
                <w:color w:val="auto"/>
              </w:rPr>
            </w:pPr>
            <w:r>
              <w:rPr>
                <w:rFonts w:ascii="Times New Roman" w:cs="Times New Roman" w:eastAsia="Times New Roman" w:hAnsi="Times New Roman"/>
                <w:sz w:val="15"/>
                <w:szCs w:val="15"/>
                <w:b w:val="1"/>
                <w:bCs w:val="1"/>
                <w:color w:val="auto"/>
                <w:w w:val="96"/>
              </w:rPr>
              <w:t>Jurisdiction of Filing</w:t>
            </w:r>
          </w:p>
        </w:tc>
        <w:tc>
          <w:tcPr>
            <w:tcW w:w="6940" w:type="dxa"/>
            <w:vAlign w:val="bottom"/>
            <w:tcBorders>
              <w:top w:val="single" w:sz="8" w:color="auto"/>
              <w:bottom w:val="single" w:sz="8" w:color="auto"/>
              <w:right w:val="single" w:sz="8" w:color="auto"/>
            </w:tcBorders>
            <w:shd w:val="clear" w:color="auto" w:fill="BFBFBF"/>
          </w:tcPr>
          <w:p>
            <w:pPr>
              <w:jc w:val="center"/>
              <w:spacing w:after="0"/>
              <w:rPr>
                <w:sz w:val="20"/>
                <w:szCs w:val="20"/>
                <w:color w:val="auto"/>
              </w:rPr>
            </w:pPr>
            <w:r>
              <w:rPr>
                <w:rFonts w:ascii="Times New Roman" w:cs="Times New Roman" w:eastAsia="Times New Roman" w:hAnsi="Times New Roman"/>
                <w:sz w:val="15"/>
                <w:szCs w:val="15"/>
                <w:b w:val="1"/>
                <w:bCs w:val="1"/>
                <w:color w:val="auto"/>
                <w:w w:val="97"/>
              </w:rPr>
              <w:t>Description</w:t>
            </w:r>
          </w:p>
        </w:tc>
      </w:tr>
      <w:tr>
        <w:trPr>
          <w:trHeight w:val="183"/>
        </w:trPr>
        <w:tc>
          <w:tcPr>
            <w:tcW w:w="266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w w:val="98"/>
              </w:rPr>
              <w:t>3463323</w:t>
            </w:r>
          </w:p>
        </w:tc>
        <w:tc>
          <w:tcPr>
            <w:tcW w:w="16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w w:val="96"/>
              </w:rPr>
              <w:t>European Patent Office</w:t>
            </w:r>
          </w:p>
        </w:tc>
        <w:tc>
          <w:tcPr>
            <w:tcW w:w="69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w w:val="96"/>
              </w:rPr>
              <w:t>Solid Oral Dosage Forms of 2R,6R-Hydroxynorketamine or Derivatives Thereof</w:t>
            </w:r>
          </w:p>
        </w:tc>
      </w:tr>
      <w:tr>
        <w:trPr>
          <w:trHeight w:val="186"/>
        </w:trPr>
        <w:tc>
          <w:tcPr>
            <w:tcW w:w="266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w w:val="98"/>
              </w:rPr>
              <w:t>3687515</w:t>
            </w:r>
          </w:p>
        </w:tc>
        <w:tc>
          <w:tcPr>
            <w:tcW w:w="16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w w:val="96"/>
              </w:rPr>
              <w:t>European Patent Office</w:t>
            </w:r>
          </w:p>
        </w:tc>
        <w:tc>
          <w:tcPr>
            <w:tcW w:w="69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w w:val="96"/>
              </w:rPr>
              <w:t>Solid Oral Dosage Forms of Ketamine Derivatives</w:t>
            </w:r>
          </w:p>
        </w:tc>
      </w:tr>
      <w:tr>
        <w:trPr>
          <w:trHeight w:val="186"/>
        </w:trPr>
        <w:tc>
          <w:tcPr>
            <w:tcW w:w="266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w w:val="98"/>
              </w:rPr>
              <w:t>3532457</w:t>
            </w:r>
          </w:p>
        </w:tc>
        <w:tc>
          <w:tcPr>
            <w:tcW w:w="16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w w:val="96"/>
              </w:rPr>
              <w:t>European Patent Office</w:t>
            </w:r>
          </w:p>
        </w:tc>
        <w:tc>
          <w:tcPr>
            <w:tcW w:w="69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w w:val="96"/>
              </w:rPr>
              <w:t>Crystalline Forms of Hydroxynorketamine</w:t>
            </w:r>
          </w:p>
        </w:tc>
      </w:tr>
      <w:tr>
        <w:trPr>
          <w:trHeight w:val="186"/>
        </w:trPr>
        <w:tc>
          <w:tcPr>
            <w:tcW w:w="266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w w:val="98"/>
              </w:rPr>
              <w:t>3826632</w:t>
            </w:r>
          </w:p>
        </w:tc>
        <w:tc>
          <w:tcPr>
            <w:tcW w:w="16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w w:val="96"/>
              </w:rPr>
              <w:t>European Patent Office</w:t>
            </w:r>
          </w:p>
        </w:tc>
        <w:tc>
          <w:tcPr>
            <w:tcW w:w="69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w w:val="96"/>
              </w:rPr>
              <w:t>Therapeutic Compositions Comprising Deuterated or Partially Deuterated N,N-Dimethyltryptamine Compounds</w:t>
            </w:r>
          </w:p>
        </w:tc>
      </w:tr>
      <w:tr>
        <w:trPr>
          <w:trHeight w:val="186"/>
        </w:trPr>
        <w:tc>
          <w:tcPr>
            <w:tcW w:w="266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w w:val="98"/>
              </w:rPr>
              <w:t>3844147</w:t>
            </w:r>
          </w:p>
        </w:tc>
        <w:tc>
          <w:tcPr>
            <w:tcW w:w="16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w w:val="96"/>
              </w:rPr>
              <w:t>European Patent Office</w:t>
            </w:r>
          </w:p>
        </w:tc>
        <w:tc>
          <w:tcPr>
            <w:tcW w:w="69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w w:val="96"/>
              </w:rPr>
              <w:t>Compounds</w:t>
            </w:r>
          </w:p>
        </w:tc>
      </w:tr>
      <w:tr>
        <w:trPr>
          <w:trHeight w:val="186"/>
        </w:trPr>
        <w:tc>
          <w:tcPr>
            <w:tcW w:w="266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w w:val="98"/>
              </w:rPr>
              <w:t>3873883</w:t>
            </w:r>
          </w:p>
        </w:tc>
        <w:tc>
          <w:tcPr>
            <w:tcW w:w="16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w w:val="96"/>
              </w:rPr>
              <w:t>European Patent Office</w:t>
            </w:r>
          </w:p>
        </w:tc>
        <w:tc>
          <w:tcPr>
            <w:tcW w:w="69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w w:val="96"/>
              </w:rPr>
              <w:t>Method of Synthesis</w:t>
            </w:r>
          </w:p>
        </w:tc>
      </w:tr>
      <w:tr>
        <w:trPr>
          <w:trHeight w:val="186"/>
        </w:trPr>
        <w:tc>
          <w:tcPr>
            <w:tcW w:w="266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w w:val="98"/>
              </w:rPr>
              <w:t>3902541</w:t>
            </w:r>
          </w:p>
        </w:tc>
        <w:tc>
          <w:tcPr>
            <w:tcW w:w="16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w w:val="96"/>
              </w:rPr>
              <w:t>European Patent Office</w:t>
            </w:r>
          </w:p>
        </w:tc>
        <w:tc>
          <w:tcPr>
            <w:tcW w:w="69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w w:val="96"/>
              </w:rPr>
              <w:t>Therapeutic Compositions Comprising Deuterated or Partially Deuterated N,N-Dimethyltryptamine Compounds</w:t>
            </w:r>
          </w:p>
        </w:tc>
      </w:tr>
      <w:tr>
        <w:trPr>
          <w:trHeight w:val="186"/>
        </w:trPr>
        <w:tc>
          <w:tcPr>
            <w:tcW w:w="266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w w:val="98"/>
              </w:rPr>
              <w:t>4031529</w:t>
            </w:r>
          </w:p>
        </w:tc>
        <w:tc>
          <w:tcPr>
            <w:tcW w:w="16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w w:val="96"/>
              </w:rPr>
              <w:t>European Patent Office</w:t>
            </w:r>
          </w:p>
        </w:tc>
        <w:tc>
          <w:tcPr>
            <w:tcW w:w="69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w w:val="96"/>
              </w:rPr>
              <w:t>Deuterated or Partially Deuterated N,N-Dimethyltryptamine Compounds</w:t>
            </w:r>
          </w:p>
        </w:tc>
      </w:tr>
      <w:tr>
        <w:trPr>
          <w:trHeight w:val="186"/>
        </w:trPr>
        <w:tc>
          <w:tcPr>
            <w:tcW w:w="266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w w:val="98"/>
              </w:rPr>
              <w:t>4138818</w:t>
            </w:r>
          </w:p>
        </w:tc>
        <w:tc>
          <w:tcPr>
            <w:tcW w:w="16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w w:val="96"/>
              </w:rPr>
              <w:t>European Patent Office</w:t>
            </w:r>
          </w:p>
        </w:tc>
        <w:tc>
          <w:tcPr>
            <w:tcW w:w="69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w w:val="96"/>
              </w:rPr>
              <w:t>Injectable Formulations</w:t>
            </w:r>
          </w:p>
        </w:tc>
      </w:tr>
      <w:tr>
        <w:trPr>
          <w:trHeight w:val="186"/>
        </w:trPr>
        <w:tc>
          <w:tcPr>
            <w:tcW w:w="266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w w:val="96"/>
              </w:rPr>
              <w:t>40042383</w:t>
            </w:r>
          </w:p>
        </w:tc>
        <w:tc>
          <w:tcPr>
            <w:tcW w:w="16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w w:val="96"/>
              </w:rPr>
              <w:t>Hong Kong</w:t>
            </w:r>
          </w:p>
        </w:tc>
        <w:tc>
          <w:tcPr>
            <w:tcW w:w="69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w w:val="96"/>
              </w:rPr>
              <w:t>Therapeutic Compositions</w:t>
            </w:r>
          </w:p>
        </w:tc>
      </w:tr>
      <w:tr>
        <w:trPr>
          <w:trHeight w:val="186"/>
        </w:trPr>
        <w:tc>
          <w:tcPr>
            <w:tcW w:w="266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w w:val="96"/>
              </w:rPr>
              <w:t>40035970</w:t>
            </w:r>
          </w:p>
        </w:tc>
        <w:tc>
          <w:tcPr>
            <w:tcW w:w="16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w w:val="96"/>
              </w:rPr>
              <w:t>Hong Kong</w:t>
            </w:r>
          </w:p>
        </w:tc>
        <w:tc>
          <w:tcPr>
            <w:tcW w:w="69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w w:val="96"/>
              </w:rPr>
              <w:t>Solid Oral Dosage Forms of Ketamine Derivatives</w:t>
            </w:r>
          </w:p>
        </w:tc>
      </w:tr>
      <w:tr>
        <w:trPr>
          <w:trHeight w:val="186"/>
        </w:trPr>
        <w:tc>
          <w:tcPr>
            <w:tcW w:w="266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w w:val="96"/>
              </w:rPr>
              <w:t>40056359</w:t>
            </w:r>
          </w:p>
        </w:tc>
        <w:tc>
          <w:tcPr>
            <w:tcW w:w="16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w w:val="96"/>
              </w:rPr>
              <w:t>Hong Kong</w:t>
            </w:r>
          </w:p>
        </w:tc>
        <w:tc>
          <w:tcPr>
            <w:tcW w:w="69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w w:val="96"/>
              </w:rPr>
              <w:t>Compounds</w:t>
            </w:r>
          </w:p>
        </w:tc>
      </w:tr>
      <w:tr>
        <w:trPr>
          <w:trHeight w:val="186"/>
        </w:trPr>
        <w:tc>
          <w:tcPr>
            <w:tcW w:w="266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w w:val="96"/>
              </w:rPr>
              <w:t>40060666</w:t>
            </w:r>
          </w:p>
        </w:tc>
        <w:tc>
          <w:tcPr>
            <w:tcW w:w="16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w w:val="96"/>
              </w:rPr>
              <w:t>Hong Kong</w:t>
            </w:r>
          </w:p>
        </w:tc>
        <w:tc>
          <w:tcPr>
            <w:tcW w:w="69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w w:val="96"/>
              </w:rPr>
              <w:t>Method of Synthesis</w:t>
            </w:r>
          </w:p>
        </w:tc>
      </w:tr>
      <w:tr>
        <w:trPr>
          <w:trHeight w:val="186"/>
        </w:trPr>
        <w:tc>
          <w:tcPr>
            <w:tcW w:w="266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w w:val="96"/>
              </w:rPr>
              <w:t>40065709</w:t>
            </w:r>
          </w:p>
        </w:tc>
        <w:tc>
          <w:tcPr>
            <w:tcW w:w="16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w w:val="96"/>
              </w:rPr>
              <w:t>Hong Kong</w:t>
            </w:r>
          </w:p>
        </w:tc>
        <w:tc>
          <w:tcPr>
            <w:tcW w:w="69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w w:val="96"/>
              </w:rPr>
              <w:t>Therapeutic Compositions Comprising Deuterated or Partially Deuterated N,N-Dimethyltryptamine Compounds</w:t>
            </w:r>
          </w:p>
        </w:tc>
      </w:tr>
      <w:tr>
        <w:trPr>
          <w:trHeight w:val="186"/>
        </w:trPr>
        <w:tc>
          <w:tcPr>
            <w:tcW w:w="266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w w:val="96"/>
              </w:rPr>
              <w:t>40064531</w:t>
            </w:r>
          </w:p>
        </w:tc>
        <w:tc>
          <w:tcPr>
            <w:tcW w:w="16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w w:val="96"/>
              </w:rPr>
              <w:t>Hong Kong</w:t>
            </w:r>
          </w:p>
        </w:tc>
        <w:tc>
          <w:tcPr>
            <w:tcW w:w="69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w w:val="95"/>
              </w:rPr>
              <w:t>Therapeutic Solid Dosage Forms</w:t>
            </w:r>
          </w:p>
        </w:tc>
      </w:tr>
      <w:tr>
        <w:trPr>
          <w:trHeight w:val="186"/>
        </w:trPr>
        <w:tc>
          <w:tcPr>
            <w:tcW w:w="266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w w:val="96"/>
              </w:rPr>
              <w:t>40045846</w:t>
            </w:r>
          </w:p>
        </w:tc>
        <w:tc>
          <w:tcPr>
            <w:tcW w:w="16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w w:val="96"/>
              </w:rPr>
              <w:t>Hong Kong</w:t>
            </w:r>
          </w:p>
        </w:tc>
        <w:tc>
          <w:tcPr>
            <w:tcW w:w="69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w w:val="96"/>
              </w:rPr>
              <w:t>Therapeutic Compositions</w:t>
            </w:r>
          </w:p>
        </w:tc>
      </w:tr>
      <w:tr>
        <w:trPr>
          <w:trHeight w:val="186"/>
        </w:trPr>
        <w:tc>
          <w:tcPr>
            <w:tcW w:w="266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w w:val="96"/>
              </w:rPr>
              <w:t>40060891</w:t>
            </w:r>
          </w:p>
        </w:tc>
        <w:tc>
          <w:tcPr>
            <w:tcW w:w="16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w w:val="96"/>
              </w:rPr>
              <w:t>Hong Kong</w:t>
            </w:r>
          </w:p>
        </w:tc>
        <w:tc>
          <w:tcPr>
            <w:tcW w:w="69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w w:val="96"/>
              </w:rPr>
              <w:t>Therapeutic Compositions</w:t>
            </w:r>
          </w:p>
        </w:tc>
      </w:tr>
      <w:tr>
        <w:trPr>
          <w:trHeight w:val="186"/>
        </w:trPr>
        <w:tc>
          <w:tcPr>
            <w:tcW w:w="266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w w:val="96"/>
              </w:rPr>
              <w:t>40078818</w:t>
            </w:r>
          </w:p>
        </w:tc>
        <w:tc>
          <w:tcPr>
            <w:tcW w:w="16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w w:val="96"/>
              </w:rPr>
              <w:t>Hong Kong</w:t>
            </w:r>
          </w:p>
        </w:tc>
        <w:tc>
          <w:tcPr>
            <w:tcW w:w="69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w w:val="96"/>
              </w:rPr>
              <w:t>Deuterated or Partially Deuterated N,N-Dimethyltryptamine Compounds</w:t>
            </w:r>
          </w:p>
        </w:tc>
      </w:tr>
      <w:tr>
        <w:trPr>
          <w:trHeight w:val="186"/>
        </w:trPr>
        <w:tc>
          <w:tcPr>
            <w:tcW w:w="266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w w:val="97"/>
              </w:rPr>
              <w:t>507114</w:t>
            </w:r>
          </w:p>
        </w:tc>
        <w:tc>
          <w:tcPr>
            <w:tcW w:w="16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w w:val="97"/>
              </w:rPr>
              <w:t>India</w:t>
            </w:r>
          </w:p>
        </w:tc>
        <w:tc>
          <w:tcPr>
            <w:tcW w:w="69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w w:val="96"/>
              </w:rPr>
              <w:t>Therapeutic Compositions Comprising Deuterated or Partially Deuterated N,N-Dimethyltryptamine Compounds</w:t>
            </w:r>
          </w:p>
        </w:tc>
      </w:tr>
      <w:tr>
        <w:trPr>
          <w:trHeight w:val="186"/>
        </w:trPr>
        <w:tc>
          <w:tcPr>
            <w:tcW w:w="266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w w:val="97"/>
              </w:rPr>
              <w:t>528813</w:t>
            </w:r>
          </w:p>
        </w:tc>
        <w:tc>
          <w:tcPr>
            <w:tcW w:w="16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w w:val="97"/>
              </w:rPr>
              <w:t>India</w:t>
            </w:r>
          </w:p>
        </w:tc>
        <w:tc>
          <w:tcPr>
            <w:tcW w:w="69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w w:val="97"/>
              </w:rPr>
              <w:t>Injectable Formulation</w:t>
            </w:r>
          </w:p>
        </w:tc>
      </w:tr>
      <w:tr>
        <w:trPr>
          <w:trHeight w:val="186"/>
        </w:trPr>
        <w:tc>
          <w:tcPr>
            <w:tcW w:w="266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w w:val="97"/>
              </w:rPr>
              <w:t>292753</w:t>
            </w:r>
          </w:p>
        </w:tc>
        <w:tc>
          <w:tcPr>
            <w:tcW w:w="16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w w:val="95"/>
              </w:rPr>
              <w:t>Israel</w:t>
            </w:r>
          </w:p>
        </w:tc>
        <w:tc>
          <w:tcPr>
            <w:tcW w:w="69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w w:val="96"/>
              </w:rPr>
              <w:t>Compounds</w:t>
            </w:r>
          </w:p>
        </w:tc>
      </w:tr>
      <w:tr>
        <w:trPr>
          <w:trHeight w:val="186"/>
        </w:trPr>
        <w:tc>
          <w:tcPr>
            <w:tcW w:w="266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w w:val="98"/>
              </w:rPr>
              <w:t>7288154</w:t>
            </w:r>
          </w:p>
        </w:tc>
        <w:tc>
          <w:tcPr>
            <w:tcW w:w="16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w w:val="93"/>
              </w:rPr>
              <w:t>Japan</w:t>
            </w:r>
          </w:p>
        </w:tc>
        <w:tc>
          <w:tcPr>
            <w:tcW w:w="69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w w:val="96"/>
              </w:rPr>
              <w:t>Therapeutic Compositions Comprising Deuterated or Partially Deuterated N,N-Dimethyltryptamine Compounds</w:t>
            </w:r>
          </w:p>
        </w:tc>
      </w:tr>
      <w:tr>
        <w:trPr>
          <w:trHeight w:val="186"/>
        </w:trPr>
        <w:tc>
          <w:tcPr>
            <w:tcW w:w="266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w w:val="98"/>
              </w:rPr>
              <w:t>7422474</w:t>
            </w:r>
          </w:p>
        </w:tc>
        <w:tc>
          <w:tcPr>
            <w:tcW w:w="16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w w:val="93"/>
              </w:rPr>
              <w:t>Japan</w:t>
            </w:r>
          </w:p>
        </w:tc>
        <w:tc>
          <w:tcPr>
            <w:tcW w:w="69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w w:val="96"/>
              </w:rPr>
              <w:t>Method of Synthesis</w:t>
            </w:r>
          </w:p>
        </w:tc>
      </w:tr>
      <w:tr>
        <w:trPr>
          <w:trHeight w:val="186"/>
        </w:trPr>
        <w:tc>
          <w:tcPr>
            <w:tcW w:w="266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w w:val="98"/>
              </w:rPr>
              <w:t>7423131</w:t>
            </w:r>
          </w:p>
        </w:tc>
        <w:tc>
          <w:tcPr>
            <w:tcW w:w="16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w w:val="93"/>
              </w:rPr>
              <w:t>Japan</w:t>
            </w:r>
          </w:p>
        </w:tc>
        <w:tc>
          <w:tcPr>
            <w:tcW w:w="69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w w:val="96"/>
              </w:rPr>
              <w:t>Compounds</w:t>
            </w:r>
          </w:p>
        </w:tc>
      </w:tr>
      <w:tr>
        <w:trPr>
          <w:trHeight w:val="186"/>
        </w:trPr>
        <w:tc>
          <w:tcPr>
            <w:tcW w:w="266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w w:val="98"/>
              </w:rPr>
              <w:t>7422474</w:t>
            </w:r>
          </w:p>
        </w:tc>
        <w:tc>
          <w:tcPr>
            <w:tcW w:w="16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w w:val="93"/>
              </w:rPr>
              <w:t>Japan</w:t>
            </w:r>
          </w:p>
        </w:tc>
        <w:tc>
          <w:tcPr>
            <w:tcW w:w="69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w w:val="96"/>
              </w:rPr>
              <w:t>Injectable Formulations</w:t>
            </w:r>
          </w:p>
        </w:tc>
      </w:tr>
      <w:tr>
        <w:trPr>
          <w:trHeight w:val="186"/>
        </w:trPr>
        <w:tc>
          <w:tcPr>
            <w:tcW w:w="266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w w:val="98"/>
              </w:rPr>
              <w:t>7523474</w:t>
            </w:r>
          </w:p>
        </w:tc>
        <w:tc>
          <w:tcPr>
            <w:tcW w:w="16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w w:val="93"/>
              </w:rPr>
              <w:t>Japan</w:t>
            </w:r>
          </w:p>
        </w:tc>
        <w:tc>
          <w:tcPr>
            <w:tcW w:w="69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w w:val="96"/>
              </w:rPr>
              <w:t>A therapeutic composition comprising a deuterated or partially deuterated N,N-dimethyltryptamine compounds</w:t>
            </w:r>
          </w:p>
        </w:tc>
      </w:tr>
      <w:tr>
        <w:trPr>
          <w:trHeight w:val="186"/>
        </w:trPr>
        <w:tc>
          <w:tcPr>
            <w:tcW w:w="266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w w:val="96"/>
              </w:rPr>
              <w:t>ZL202180044031.5</w:t>
            </w:r>
          </w:p>
        </w:tc>
        <w:tc>
          <w:tcPr>
            <w:tcW w:w="16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w w:val="97"/>
              </w:rPr>
              <w:t>Macao</w:t>
            </w:r>
          </w:p>
        </w:tc>
        <w:tc>
          <w:tcPr>
            <w:tcW w:w="69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w w:val="96"/>
              </w:rPr>
              <w:t>Injectable Formulations</w:t>
            </w:r>
          </w:p>
        </w:tc>
      </w:tr>
      <w:tr>
        <w:trPr>
          <w:trHeight w:val="186"/>
        </w:trPr>
        <w:tc>
          <w:tcPr>
            <w:tcW w:w="266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w w:val="96"/>
              </w:rPr>
              <w:t>ZL202080087092.5</w:t>
            </w:r>
          </w:p>
        </w:tc>
        <w:tc>
          <w:tcPr>
            <w:tcW w:w="16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w w:val="97"/>
              </w:rPr>
              <w:t>Macao</w:t>
            </w:r>
          </w:p>
        </w:tc>
        <w:tc>
          <w:tcPr>
            <w:tcW w:w="69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w w:val="96"/>
              </w:rPr>
              <w:t>Method of Synthesis</w:t>
            </w:r>
          </w:p>
        </w:tc>
      </w:tr>
      <w:tr>
        <w:trPr>
          <w:trHeight w:val="186"/>
        </w:trPr>
        <w:tc>
          <w:tcPr>
            <w:tcW w:w="266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w w:val="97"/>
              </w:rPr>
              <w:t>ZL202180046463.X</w:t>
            </w:r>
          </w:p>
        </w:tc>
        <w:tc>
          <w:tcPr>
            <w:tcW w:w="16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w w:val="97"/>
              </w:rPr>
              <w:t>Macao</w:t>
            </w:r>
          </w:p>
        </w:tc>
        <w:tc>
          <w:tcPr>
            <w:tcW w:w="69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w w:val="96"/>
              </w:rPr>
              <w:t>Therapeutic Compositions Comprising Deuterated or Partially Deuterated N,N-Dimethyltryptamine Compounds</w:t>
            </w:r>
          </w:p>
        </w:tc>
      </w:tr>
      <w:tr>
        <w:trPr>
          <w:trHeight w:val="186"/>
        </w:trPr>
        <w:tc>
          <w:tcPr>
            <w:tcW w:w="266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w w:val="97"/>
              </w:rPr>
              <w:t>404310</w:t>
            </w:r>
          </w:p>
        </w:tc>
        <w:tc>
          <w:tcPr>
            <w:tcW w:w="16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w w:val="95"/>
              </w:rPr>
              <w:t>Mexico</w:t>
            </w:r>
          </w:p>
        </w:tc>
        <w:tc>
          <w:tcPr>
            <w:tcW w:w="69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w w:val="96"/>
              </w:rPr>
              <w:t>Compounds</w:t>
            </w:r>
          </w:p>
        </w:tc>
      </w:tr>
      <w:tr>
        <w:trPr>
          <w:trHeight w:val="186"/>
        </w:trPr>
        <w:tc>
          <w:tcPr>
            <w:tcW w:w="266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w w:val="97"/>
              </w:rPr>
              <w:t>411316</w:t>
            </w:r>
          </w:p>
        </w:tc>
        <w:tc>
          <w:tcPr>
            <w:tcW w:w="16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w w:val="95"/>
              </w:rPr>
              <w:t>Mexico</w:t>
            </w:r>
          </w:p>
        </w:tc>
        <w:tc>
          <w:tcPr>
            <w:tcW w:w="69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w w:val="96"/>
              </w:rPr>
              <w:t>Therapeutic Compositions Comprising Deuterated or Partially Deuterated N,N-Dimethyltryptamine Compounds</w:t>
            </w:r>
          </w:p>
        </w:tc>
      </w:tr>
      <w:tr>
        <w:trPr>
          <w:trHeight w:val="186"/>
        </w:trPr>
        <w:tc>
          <w:tcPr>
            <w:tcW w:w="266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w w:val="97"/>
              </w:rPr>
              <w:t>412331</w:t>
            </w:r>
          </w:p>
        </w:tc>
        <w:tc>
          <w:tcPr>
            <w:tcW w:w="16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w w:val="95"/>
              </w:rPr>
              <w:t>Mexico</w:t>
            </w:r>
          </w:p>
        </w:tc>
        <w:tc>
          <w:tcPr>
            <w:tcW w:w="69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w w:val="96"/>
              </w:rPr>
              <w:t>Therapeutic Compositions Comprising Deuterated or Partially Deuterated N,N-Dimethyltryptamine Compounds</w:t>
            </w:r>
          </w:p>
        </w:tc>
      </w:tr>
      <w:tr>
        <w:trPr>
          <w:trHeight w:val="186"/>
        </w:trPr>
        <w:tc>
          <w:tcPr>
            <w:tcW w:w="266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w w:val="97"/>
              </w:rPr>
              <w:t>788543</w:t>
            </w:r>
          </w:p>
        </w:tc>
        <w:tc>
          <w:tcPr>
            <w:tcW w:w="16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w w:val="96"/>
              </w:rPr>
              <w:t>New Zealand</w:t>
            </w:r>
          </w:p>
        </w:tc>
        <w:tc>
          <w:tcPr>
            <w:tcW w:w="69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w w:val="96"/>
              </w:rPr>
              <w:t>Dimethyltryptamine derivatives and their use in psychedelic-assisted psychotherapy</w:t>
            </w:r>
          </w:p>
        </w:tc>
      </w:tr>
      <w:tr>
        <w:trPr>
          <w:trHeight w:val="186"/>
        </w:trPr>
        <w:tc>
          <w:tcPr>
            <w:tcW w:w="266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w w:val="97"/>
              </w:rPr>
              <w:t>794833</w:t>
            </w:r>
          </w:p>
        </w:tc>
        <w:tc>
          <w:tcPr>
            <w:tcW w:w="16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w w:val="96"/>
              </w:rPr>
              <w:t>New Zealand</w:t>
            </w:r>
          </w:p>
        </w:tc>
        <w:tc>
          <w:tcPr>
            <w:tcW w:w="69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w w:val="96"/>
              </w:rPr>
              <w:t>Therapeutic Compositions Comprising Deuterated or Partially Deuterated N,N-Dimethyltryptamine Compounds</w:t>
            </w:r>
          </w:p>
        </w:tc>
      </w:tr>
      <w:tr>
        <w:trPr>
          <w:trHeight w:val="186"/>
        </w:trPr>
        <w:tc>
          <w:tcPr>
            <w:tcW w:w="266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w w:val="98"/>
              </w:rPr>
              <w:t>2589605</w:t>
            </w:r>
          </w:p>
        </w:tc>
        <w:tc>
          <w:tcPr>
            <w:tcW w:w="16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w w:val="97"/>
              </w:rPr>
              <w:t>Republic of Korea</w:t>
            </w:r>
          </w:p>
        </w:tc>
        <w:tc>
          <w:tcPr>
            <w:tcW w:w="69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w w:val="96"/>
              </w:rPr>
              <w:t>Therapeutic Compositions Comprising Deuterated or Partially Deuterated N,N-Dimethyltryptamine Compounds</w:t>
            </w:r>
          </w:p>
        </w:tc>
      </w:tr>
      <w:tr>
        <w:trPr>
          <w:trHeight w:val="186"/>
        </w:trPr>
        <w:tc>
          <w:tcPr>
            <w:tcW w:w="266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w w:val="98"/>
              </w:rPr>
              <w:t>2636385</w:t>
            </w:r>
          </w:p>
        </w:tc>
        <w:tc>
          <w:tcPr>
            <w:tcW w:w="16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w w:val="97"/>
              </w:rPr>
              <w:t>Republic of Korea</w:t>
            </w:r>
          </w:p>
        </w:tc>
        <w:tc>
          <w:tcPr>
            <w:tcW w:w="69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w w:val="97"/>
              </w:rPr>
              <w:t>Injectable Formulation</w:t>
            </w:r>
          </w:p>
        </w:tc>
      </w:tr>
      <w:tr>
        <w:trPr>
          <w:trHeight w:val="186"/>
        </w:trPr>
        <w:tc>
          <w:tcPr>
            <w:tcW w:w="266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w w:val="94"/>
              </w:rPr>
              <w:t>2023/01086</w:t>
            </w:r>
          </w:p>
        </w:tc>
        <w:tc>
          <w:tcPr>
            <w:tcW w:w="16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w w:val="98"/>
              </w:rPr>
              <w:t>South Africa</w:t>
            </w:r>
          </w:p>
        </w:tc>
        <w:tc>
          <w:tcPr>
            <w:tcW w:w="69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w w:val="97"/>
              </w:rPr>
              <w:t>Injectable Formulation</w:t>
            </w:r>
          </w:p>
        </w:tc>
      </w:tr>
      <w:tr>
        <w:trPr>
          <w:trHeight w:val="186"/>
        </w:trPr>
        <w:tc>
          <w:tcPr>
            <w:tcW w:w="266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w w:val="98"/>
              </w:rPr>
              <w:t>2585978</w:t>
            </w:r>
          </w:p>
        </w:tc>
        <w:tc>
          <w:tcPr>
            <w:tcW w:w="16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w w:val="96"/>
              </w:rPr>
              <w:t>United Kingdom</w:t>
            </w:r>
          </w:p>
        </w:tc>
        <w:tc>
          <w:tcPr>
            <w:tcW w:w="69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w w:val="96"/>
              </w:rPr>
              <w:t>Therapeutic Compositions</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27</w:t>
      </w:r>
    </w:p>
    <w:p>
      <w:pPr>
        <w:sectPr>
          <w:pgSz w:w="11900" w:h="16838" w:orient="portrait"/>
          <w:cols w:equalWidth="0" w:num="1">
            <w:col w:w="11260"/>
          </w:cols>
          <w:pgMar w:left="320" w:top="1304" w:right="319" w:bottom="1440" w:gutter="0" w:footer="0" w:header="0"/>
        </w:sectPr>
      </w:pPr>
    </w:p>
    <w:bookmarkStart w:id="53" w:name="page54"/>
    <w:bookmarkEnd w:id="53"/>
    <w:tbl>
      <w:tblPr>
        <w:tblLayout w:type="fixed"/>
        <w:tblInd w:w="10" w:type="dxa"/>
        <w:tblCellMar>
          <w:top w:w="0" w:type="dxa"/>
          <w:left w:w="0" w:type="dxa"/>
          <w:bottom w:w="0" w:type="dxa"/>
          <w:right w:w="0" w:type="dxa"/>
        </w:tblCellMar>
      </w:tblPr>
      <w:tr>
        <w:trPr>
          <w:trHeight w:val="206"/>
        </w:trPr>
        <w:tc>
          <w:tcPr>
            <w:tcW w:w="2660" w:type="dxa"/>
            <w:vAlign w:val="bottom"/>
            <w:tcBorders>
              <w:top w:val="single" w:sz="8" w:color="auto"/>
              <w:left w:val="single" w:sz="8" w:color="auto"/>
              <w:bottom w:val="single" w:sz="8" w:color="auto"/>
              <w:right w:val="single" w:sz="8" w:color="auto"/>
            </w:tcBorders>
            <w:shd w:val="clear" w:color="auto" w:fill="BFBFBF"/>
          </w:tcPr>
          <w:p>
            <w:pPr>
              <w:ind w:left="840"/>
              <w:spacing w:after="0"/>
              <w:rPr>
                <w:sz w:val="20"/>
                <w:szCs w:val="20"/>
                <w:color w:val="auto"/>
              </w:rPr>
            </w:pPr>
            <w:r>
              <w:rPr>
                <w:rFonts w:ascii="Times New Roman" w:cs="Times New Roman" w:eastAsia="Times New Roman" w:hAnsi="Times New Roman"/>
                <w:sz w:val="15"/>
                <w:szCs w:val="15"/>
                <w:b w:val="1"/>
                <w:bCs w:val="1"/>
                <w:color w:val="auto"/>
              </w:rPr>
              <w:t>Patent Number</w:t>
            </w:r>
          </w:p>
        </w:tc>
        <w:tc>
          <w:tcPr>
            <w:tcW w:w="1680" w:type="dxa"/>
            <w:vAlign w:val="bottom"/>
            <w:tcBorders>
              <w:top w:val="single" w:sz="8" w:color="auto"/>
              <w:bottom w:val="single" w:sz="8" w:color="auto"/>
              <w:right w:val="single" w:sz="8" w:color="auto"/>
            </w:tcBorders>
            <w:shd w:val="clear" w:color="auto" w:fill="BFBFBF"/>
          </w:tcPr>
          <w:p>
            <w:pPr>
              <w:jc w:val="center"/>
              <w:spacing w:after="0"/>
              <w:rPr>
                <w:sz w:val="20"/>
                <w:szCs w:val="20"/>
                <w:color w:val="auto"/>
              </w:rPr>
            </w:pPr>
            <w:r>
              <w:rPr>
                <w:rFonts w:ascii="Times New Roman" w:cs="Times New Roman" w:eastAsia="Times New Roman" w:hAnsi="Times New Roman"/>
                <w:sz w:val="15"/>
                <w:szCs w:val="15"/>
                <w:b w:val="1"/>
                <w:bCs w:val="1"/>
                <w:color w:val="auto"/>
                <w:w w:val="96"/>
              </w:rPr>
              <w:t>Jurisdiction of Filing</w:t>
            </w:r>
          </w:p>
        </w:tc>
        <w:tc>
          <w:tcPr>
            <w:tcW w:w="6940" w:type="dxa"/>
            <w:vAlign w:val="bottom"/>
            <w:tcBorders>
              <w:top w:val="single" w:sz="8" w:color="auto"/>
              <w:bottom w:val="single" w:sz="8" w:color="auto"/>
              <w:right w:val="single" w:sz="8" w:color="auto"/>
            </w:tcBorders>
            <w:shd w:val="clear" w:color="auto" w:fill="BFBFBF"/>
          </w:tcPr>
          <w:p>
            <w:pPr>
              <w:jc w:val="center"/>
              <w:spacing w:after="0"/>
              <w:rPr>
                <w:sz w:val="20"/>
                <w:szCs w:val="20"/>
                <w:color w:val="auto"/>
              </w:rPr>
            </w:pPr>
            <w:r>
              <w:rPr>
                <w:rFonts w:ascii="Times New Roman" w:cs="Times New Roman" w:eastAsia="Times New Roman" w:hAnsi="Times New Roman"/>
                <w:sz w:val="15"/>
                <w:szCs w:val="15"/>
                <w:b w:val="1"/>
                <w:bCs w:val="1"/>
                <w:color w:val="auto"/>
                <w:w w:val="97"/>
              </w:rPr>
              <w:t>Description</w:t>
            </w:r>
          </w:p>
        </w:tc>
      </w:tr>
      <w:tr>
        <w:trPr>
          <w:trHeight w:val="183"/>
        </w:trPr>
        <w:tc>
          <w:tcPr>
            <w:tcW w:w="266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w w:val="98"/>
              </w:rPr>
              <w:t>2586940</w:t>
            </w:r>
          </w:p>
        </w:tc>
        <w:tc>
          <w:tcPr>
            <w:tcW w:w="16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w w:val="96"/>
              </w:rPr>
              <w:t>United Kingdom</w:t>
            </w:r>
          </w:p>
        </w:tc>
        <w:tc>
          <w:tcPr>
            <w:tcW w:w="69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w w:val="96"/>
              </w:rPr>
              <w:t>Therapeutic Compositions</w:t>
            </w:r>
          </w:p>
        </w:tc>
      </w:tr>
      <w:tr>
        <w:trPr>
          <w:trHeight w:val="186"/>
        </w:trPr>
        <w:tc>
          <w:tcPr>
            <w:tcW w:w="266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w w:val="98"/>
              </w:rPr>
              <w:t>2592822</w:t>
            </w:r>
          </w:p>
        </w:tc>
        <w:tc>
          <w:tcPr>
            <w:tcW w:w="16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w w:val="96"/>
              </w:rPr>
              <w:t>United Kingdom</w:t>
            </w:r>
          </w:p>
        </w:tc>
        <w:tc>
          <w:tcPr>
            <w:tcW w:w="69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w w:val="96"/>
              </w:rPr>
              <w:t>Therapeutic Compositions</w:t>
            </w:r>
          </w:p>
        </w:tc>
      </w:tr>
      <w:tr>
        <w:trPr>
          <w:trHeight w:val="186"/>
        </w:trPr>
        <w:tc>
          <w:tcPr>
            <w:tcW w:w="266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w w:val="98"/>
              </w:rPr>
              <w:t>2595776</w:t>
            </w:r>
          </w:p>
        </w:tc>
        <w:tc>
          <w:tcPr>
            <w:tcW w:w="16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w w:val="96"/>
              </w:rPr>
              <w:t>United Kingdom</w:t>
            </w:r>
          </w:p>
        </w:tc>
        <w:tc>
          <w:tcPr>
            <w:tcW w:w="69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w w:val="95"/>
              </w:rPr>
              <w:t>Therapeutic Solid Dosage Forms</w:t>
            </w:r>
          </w:p>
        </w:tc>
      </w:tr>
      <w:tr>
        <w:trPr>
          <w:trHeight w:val="186"/>
        </w:trPr>
        <w:tc>
          <w:tcPr>
            <w:tcW w:w="266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w w:val="94"/>
              </w:rPr>
              <w:t>11,377,416</w:t>
            </w:r>
          </w:p>
        </w:tc>
        <w:tc>
          <w:tcPr>
            <w:tcW w:w="16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w w:val="96"/>
              </w:rPr>
              <w:t>United States</w:t>
            </w:r>
          </w:p>
        </w:tc>
        <w:tc>
          <w:tcPr>
            <w:tcW w:w="69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w w:val="96"/>
              </w:rPr>
              <w:t>Crystalline Forms of Hydroxynorketamine</w:t>
            </w:r>
          </w:p>
        </w:tc>
      </w:tr>
      <w:tr>
        <w:trPr>
          <w:trHeight w:val="186"/>
        </w:trPr>
        <w:tc>
          <w:tcPr>
            <w:tcW w:w="266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w w:val="94"/>
              </w:rPr>
              <w:t>11,771,681</w:t>
            </w:r>
          </w:p>
        </w:tc>
        <w:tc>
          <w:tcPr>
            <w:tcW w:w="16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w w:val="96"/>
              </w:rPr>
              <w:t>United States</w:t>
            </w:r>
          </w:p>
        </w:tc>
        <w:tc>
          <w:tcPr>
            <w:tcW w:w="69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w w:val="96"/>
              </w:rPr>
              <w:t>Therapeutic Compositions</w:t>
            </w:r>
          </w:p>
        </w:tc>
      </w:tr>
      <w:tr>
        <w:trPr>
          <w:trHeight w:val="186"/>
        </w:trPr>
        <w:tc>
          <w:tcPr>
            <w:tcW w:w="266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w w:val="94"/>
              </w:rPr>
              <w:t>11,773,062</w:t>
            </w:r>
          </w:p>
        </w:tc>
        <w:tc>
          <w:tcPr>
            <w:tcW w:w="16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w w:val="96"/>
              </w:rPr>
              <w:t>United States</w:t>
            </w:r>
          </w:p>
        </w:tc>
        <w:tc>
          <w:tcPr>
            <w:tcW w:w="69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w w:val="97"/>
              </w:rPr>
              <w:t>Deuterated Compounds</w:t>
            </w:r>
          </w:p>
        </w:tc>
      </w:tr>
      <w:tr>
        <w:trPr>
          <w:trHeight w:val="186"/>
        </w:trPr>
        <w:tc>
          <w:tcPr>
            <w:tcW w:w="266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w w:val="94"/>
              </w:rPr>
              <w:t>11,643,390</w:t>
            </w:r>
          </w:p>
        </w:tc>
        <w:tc>
          <w:tcPr>
            <w:tcW w:w="16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w w:val="96"/>
              </w:rPr>
              <w:t>United States</w:t>
            </w:r>
          </w:p>
        </w:tc>
        <w:tc>
          <w:tcPr>
            <w:tcW w:w="69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w w:val="96"/>
              </w:rPr>
              <w:t>Synthesis of N,N-Dimethyltryptamine-Type Compounds, Methods, and Uses</w:t>
            </w:r>
          </w:p>
        </w:tc>
      </w:tr>
      <w:tr>
        <w:trPr>
          <w:trHeight w:val="186"/>
        </w:trPr>
        <w:tc>
          <w:tcPr>
            <w:tcW w:w="266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w w:val="94"/>
              </w:rPr>
              <w:t>11,471,417</w:t>
            </w:r>
          </w:p>
        </w:tc>
        <w:tc>
          <w:tcPr>
            <w:tcW w:w="16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w w:val="96"/>
              </w:rPr>
              <w:t>United States</w:t>
            </w:r>
          </w:p>
        </w:tc>
        <w:tc>
          <w:tcPr>
            <w:tcW w:w="69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w w:val="96"/>
              </w:rPr>
              <w:t>Deuterated N,N-Dimethyltryptamine Compounds</w:t>
            </w:r>
          </w:p>
        </w:tc>
      </w:tr>
      <w:tr>
        <w:trPr>
          <w:trHeight w:val="186"/>
        </w:trPr>
        <w:tc>
          <w:tcPr>
            <w:tcW w:w="266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w w:val="94"/>
              </w:rPr>
              <w:t>11,406,619</w:t>
            </w:r>
          </w:p>
        </w:tc>
        <w:tc>
          <w:tcPr>
            <w:tcW w:w="16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w w:val="96"/>
              </w:rPr>
              <w:t>United States</w:t>
            </w:r>
          </w:p>
        </w:tc>
        <w:tc>
          <w:tcPr>
            <w:tcW w:w="69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w w:val="96"/>
              </w:rPr>
              <w:t>Injectable Formulations</w:t>
            </w:r>
          </w:p>
        </w:tc>
      </w:tr>
      <w:tr>
        <w:trPr>
          <w:trHeight w:val="186"/>
        </w:trPr>
        <w:tc>
          <w:tcPr>
            <w:tcW w:w="266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w w:val="94"/>
              </w:rPr>
              <w:t>11,697,638</w:t>
            </w:r>
          </w:p>
        </w:tc>
        <w:tc>
          <w:tcPr>
            <w:tcW w:w="16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w w:val="96"/>
              </w:rPr>
              <w:t>United States</w:t>
            </w:r>
          </w:p>
        </w:tc>
        <w:tc>
          <w:tcPr>
            <w:tcW w:w="69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w w:val="97"/>
              </w:rPr>
              <w:t>5-Methoxy-N,N-Dimethyltryptamine Crystalline Forms</w:t>
            </w:r>
          </w:p>
        </w:tc>
      </w:tr>
      <w:tr>
        <w:trPr>
          <w:trHeight w:val="186"/>
        </w:trPr>
        <w:tc>
          <w:tcPr>
            <w:tcW w:w="266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w w:val="94"/>
              </w:rPr>
              <w:t>11,660,289</w:t>
            </w:r>
          </w:p>
        </w:tc>
        <w:tc>
          <w:tcPr>
            <w:tcW w:w="16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w w:val="96"/>
              </w:rPr>
              <w:t>United States</w:t>
            </w:r>
          </w:p>
        </w:tc>
        <w:tc>
          <w:tcPr>
            <w:tcW w:w="69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w w:val="96"/>
              </w:rPr>
              <w:t>Deuterated or Partially Deuterated N,N-Dimethyltryptamine Compounds</w:t>
            </w:r>
          </w:p>
        </w:tc>
      </w:tr>
      <w:tr>
        <w:trPr>
          <w:trHeight w:val="186"/>
        </w:trPr>
        <w:tc>
          <w:tcPr>
            <w:tcW w:w="266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w w:val="94"/>
              </w:rPr>
              <w:t>11,578,039</w:t>
            </w:r>
          </w:p>
        </w:tc>
        <w:tc>
          <w:tcPr>
            <w:tcW w:w="16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w w:val="96"/>
              </w:rPr>
              <w:t>United States</w:t>
            </w:r>
          </w:p>
        </w:tc>
        <w:tc>
          <w:tcPr>
            <w:tcW w:w="69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w w:val="96"/>
              </w:rPr>
              <w:t>Compounds</w:t>
            </w:r>
          </w:p>
        </w:tc>
      </w:tr>
      <w:tr>
        <w:trPr>
          <w:trHeight w:val="186"/>
        </w:trPr>
        <w:tc>
          <w:tcPr>
            <w:tcW w:w="266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w w:val="94"/>
              </w:rPr>
              <w:t>12,042,564</w:t>
            </w:r>
          </w:p>
        </w:tc>
        <w:tc>
          <w:tcPr>
            <w:tcW w:w="16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w w:val="96"/>
              </w:rPr>
              <w:t>United States</w:t>
            </w:r>
          </w:p>
        </w:tc>
        <w:tc>
          <w:tcPr>
            <w:tcW w:w="69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w w:val="95"/>
              </w:rPr>
              <w:t>Therapeutic Solid Dosage Forms</w:t>
            </w:r>
          </w:p>
        </w:tc>
      </w:tr>
      <w:tr>
        <w:trPr>
          <w:trHeight w:val="186"/>
        </w:trPr>
        <w:tc>
          <w:tcPr>
            <w:tcW w:w="266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w w:val="94"/>
              </w:rPr>
              <w:t>12,076,311</w:t>
            </w:r>
          </w:p>
        </w:tc>
        <w:tc>
          <w:tcPr>
            <w:tcW w:w="16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w w:val="96"/>
              </w:rPr>
              <w:t>United States</w:t>
            </w:r>
          </w:p>
        </w:tc>
        <w:tc>
          <w:tcPr>
            <w:tcW w:w="69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w w:val="96"/>
              </w:rPr>
              <w:t>Therapeutic Compositions Comprising Deuterated or Partially Deuterated N,N-Dimethyltryptamine Compounds</w:t>
            </w:r>
          </w:p>
        </w:tc>
      </w:tr>
      <w:tr>
        <w:trPr>
          <w:trHeight w:val="186"/>
        </w:trPr>
        <w:tc>
          <w:tcPr>
            <w:tcW w:w="266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w w:val="94"/>
              </w:rPr>
              <w:t>12,084,417</w:t>
            </w:r>
          </w:p>
        </w:tc>
        <w:tc>
          <w:tcPr>
            <w:tcW w:w="16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w w:val="96"/>
              </w:rPr>
              <w:t>United States</w:t>
            </w:r>
          </w:p>
        </w:tc>
        <w:tc>
          <w:tcPr>
            <w:tcW w:w="69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w w:val="96"/>
              </w:rPr>
              <w:t>Synthesis of N,N-Dimethyltryptamine-Type Compounds, Methods, and Uses</w:t>
            </w:r>
          </w:p>
        </w:tc>
      </w:tr>
    </w:tbl>
    <w:p>
      <w:pPr>
        <w:spacing w:after="0" w:line="306" w:lineRule="exact"/>
        <w:rPr>
          <w:sz w:val="20"/>
          <w:szCs w:val="20"/>
          <w:color w:val="auto"/>
        </w:rPr>
      </w:pPr>
    </w:p>
    <w:p>
      <w:pPr>
        <w:jc w:val="both"/>
        <w:ind w:right="20"/>
        <w:spacing w:after="0" w:line="301" w:lineRule="auto"/>
        <w:rPr>
          <w:sz w:val="20"/>
          <w:szCs w:val="20"/>
          <w:color w:val="auto"/>
        </w:rPr>
      </w:pPr>
      <w:r>
        <w:rPr>
          <w:rFonts w:ascii="Times New Roman" w:cs="Times New Roman" w:eastAsia="Times New Roman" w:hAnsi="Times New Roman"/>
          <w:sz w:val="18"/>
          <w:szCs w:val="18"/>
          <w:color w:val="auto"/>
        </w:rPr>
        <w:t>In addition, Cybin has title to seven provisional patent applications, thirty US non-provisional patent applications, one hundred and ninety two national (non-US) patent applications, and thirteen Patent Cooperation Treaty (“</w:t>
      </w:r>
      <w:r>
        <w:rPr>
          <w:rFonts w:ascii="Times New Roman" w:cs="Times New Roman" w:eastAsia="Times New Roman" w:hAnsi="Times New Roman"/>
          <w:sz w:val="18"/>
          <w:szCs w:val="18"/>
          <w:b w:val="1"/>
          <w:bCs w:val="1"/>
          <w:color w:val="auto"/>
        </w:rPr>
        <w:t>PCT</w:t>
      </w:r>
      <w:r>
        <w:rPr>
          <w:rFonts w:ascii="Times New Roman" w:cs="Times New Roman" w:eastAsia="Times New Roman" w:hAnsi="Times New Roman"/>
          <w:sz w:val="18"/>
          <w:szCs w:val="18"/>
          <w:color w:val="auto"/>
        </w:rPr>
        <w:t>”) applications, including claims directed to compositions of matter and methods of use in support of its research and development and preclinical and clinical trial programs.</w:t>
      </w:r>
    </w:p>
    <w:p>
      <w:pPr>
        <w:spacing w:after="0" w:line="177" w:lineRule="exact"/>
        <w:rPr>
          <w:sz w:val="20"/>
          <w:szCs w:val="20"/>
          <w:color w:val="auto"/>
        </w:rPr>
      </w:pPr>
    </w:p>
    <w:tbl>
      <w:tblPr>
        <w:tblLayout w:type="fixed"/>
        <w:tblInd w:w="10" w:type="dxa"/>
        <w:tblCellMar>
          <w:top w:w="0" w:type="dxa"/>
          <w:left w:w="0" w:type="dxa"/>
          <w:bottom w:w="0" w:type="dxa"/>
          <w:right w:w="0" w:type="dxa"/>
        </w:tblCellMar>
      </w:tblPr>
      <w:tr>
        <w:trPr>
          <w:trHeight w:val="206"/>
        </w:trPr>
        <w:tc>
          <w:tcPr>
            <w:tcW w:w="2980" w:type="dxa"/>
            <w:vAlign w:val="bottom"/>
            <w:tcBorders>
              <w:top w:val="single" w:sz="8" w:color="auto"/>
              <w:left w:val="single" w:sz="8" w:color="auto"/>
              <w:bottom w:val="single" w:sz="8" w:color="auto"/>
              <w:right w:val="single" w:sz="8" w:color="auto"/>
            </w:tcBorders>
            <w:shd w:val="clear" w:color="auto" w:fill="BFBFBF"/>
          </w:tcPr>
          <w:p>
            <w:pPr>
              <w:ind w:left="620"/>
              <w:spacing w:after="0"/>
              <w:rPr>
                <w:sz w:val="20"/>
                <w:szCs w:val="20"/>
                <w:color w:val="auto"/>
              </w:rPr>
            </w:pPr>
            <w:r>
              <w:rPr>
                <w:rFonts w:ascii="Times New Roman" w:cs="Times New Roman" w:eastAsia="Times New Roman" w:hAnsi="Times New Roman"/>
                <w:sz w:val="15"/>
                <w:szCs w:val="15"/>
                <w:b w:val="1"/>
                <w:bCs w:val="1"/>
                <w:color w:val="auto"/>
              </w:rPr>
              <w:t>Patent Application Number</w:t>
            </w:r>
          </w:p>
        </w:tc>
        <w:tc>
          <w:tcPr>
            <w:tcW w:w="1840" w:type="dxa"/>
            <w:vAlign w:val="bottom"/>
            <w:tcBorders>
              <w:top w:val="single" w:sz="8" w:color="auto"/>
              <w:bottom w:val="single" w:sz="8" w:color="auto"/>
              <w:right w:val="single" w:sz="8" w:color="auto"/>
            </w:tcBorders>
            <w:shd w:val="clear" w:color="auto" w:fill="BFBFBF"/>
          </w:tcPr>
          <w:p>
            <w:pPr>
              <w:jc w:val="center"/>
              <w:spacing w:after="0"/>
              <w:rPr>
                <w:sz w:val="20"/>
                <w:szCs w:val="20"/>
                <w:color w:val="auto"/>
              </w:rPr>
            </w:pPr>
            <w:r>
              <w:rPr>
                <w:rFonts w:ascii="Times New Roman" w:cs="Times New Roman" w:eastAsia="Times New Roman" w:hAnsi="Times New Roman"/>
                <w:sz w:val="15"/>
                <w:szCs w:val="15"/>
                <w:b w:val="1"/>
                <w:bCs w:val="1"/>
                <w:color w:val="auto"/>
                <w:w w:val="96"/>
              </w:rPr>
              <w:t>Jurisdiction of Filing</w:t>
            </w:r>
          </w:p>
        </w:tc>
        <w:tc>
          <w:tcPr>
            <w:tcW w:w="1740" w:type="dxa"/>
            <w:vAlign w:val="bottom"/>
            <w:tcBorders>
              <w:top w:val="single" w:sz="8" w:color="auto"/>
              <w:bottom w:val="single" w:sz="8" w:color="auto"/>
              <w:right w:val="single" w:sz="8" w:color="auto"/>
            </w:tcBorders>
            <w:shd w:val="clear" w:color="auto" w:fill="BFBFBF"/>
          </w:tcPr>
          <w:p>
            <w:pPr>
              <w:jc w:val="center"/>
              <w:spacing w:after="0"/>
              <w:rPr>
                <w:sz w:val="20"/>
                <w:szCs w:val="20"/>
                <w:color w:val="auto"/>
              </w:rPr>
            </w:pPr>
            <w:r>
              <w:rPr>
                <w:rFonts w:ascii="Times New Roman" w:cs="Times New Roman" w:eastAsia="Times New Roman" w:hAnsi="Times New Roman"/>
                <w:sz w:val="15"/>
                <w:szCs w:val="15"/>
                <w:b w:val="1"/>
                <w:bCs w:val="1"/>
                <w:color w:val="auto"/>
                <w:w w:val="99"/>
              </w:rPr>
              <w:t>Status</w:t>
            </w:r>
          </w:p>
        </w:tc>
        <w:tc>
          <w:tcPr>
            <w:tcW w:w="4720" w:type="dxa"/>
            <w:vAlign w:val="bottom"/>
            <w:tcBorders>
              <w:top w:val="single" w:sz="8" w:color="auto"/>
              <w:bottom w:val="single" w:sz="8" w:color="auto"/>
              <w:right w:val="single" w:sz="8" w:color="auto"/>
            </w:tcBorders>
            <w:shd w:val="clear" w:color="auto" w:fill="BFBFBF"/>
          </w:tcPr>
          <w:p>
            <w:pPr>
              <w:jc w:val="center"/>
              <w:spacing w:after="0"/>
              <w:rPr>
                <w:sz w:val="20"/>
                <w:szCs w:val="20"/>
                <w:color w:val="auto"/>
              </w:rPr>
            </w:pPr>
            <w:r>
              <w:rPr>
                <w:rFonts w:ascii="Times New Roman" w:cs="Times New Roman" w:eastAsia="Times New Roman" w:hAnsi="Times New Roman"/>
                <w:sz w:val="15"/>
                <w:szCs w:val="15"/>
                <w:b w:val="1"/>
                <w:bCs w:val="1"/>
                <w:color w:val="auto"/>
                <w:w w:val="97"/>
              </w:rPr>
              <w:t>Description</w:t>
            </w:r>
          </w:p>
        </w:tc>
        <w:tc>
          <w:tcPr>
            <w:tcW w:w="0" w:type="dxa"/>
            <w:vAlign w:val="bottom"/>
          </w:tcPr>
          <w:p>
            <w:pPr>
              <w:spacing w:after="0"/>
              <w:rPr>
                <w:sz w:val="1"/>
                <w:szCs w:val="1"/>
                <w:color w:val="auto"/>
              </w:rPr>
            </w:pPr>
          </w:p>
        </w:tc>
      </w:tr>
      <w:tr>
        <w:trPr>
          <w:trHeight w:val="183"/>
        </w:trPr>
        <w:tc>
          <w:tcPr>
            <w:tcW w:w="298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w w:val="97"/>
              </w:rPr>
              <w:t>18/056,958</w:t>
            </w:r>
          </w:p>
        </w:tc>
        <w:tc>
          <w:tcPr>
            <w:tcW w:w="18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w w:val="96"/>
              </w:rPr>
              <w:t>United States</w:t>
            </w:r>
          </w:p>
        </w:tc>
        <w:tc>
          <w:tcPr>
            <w:tcW w:w="17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w w:val="97"/>
              </w:rPr>
              <w:t>Pending</w:t>
            </w:r>
          </w:p>
        </w:tc>
        <w:tc>
          <w:tcPr>
            <w:tcW w:w="47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w w:val="96"/>
              </w:rPr>
              <w:t>Deuterated Tryptamine Derivatives and Methods of Use</w:t>
            </w:r>
          </w:p>
        </w:tc>
        <w:tc>
          <w:tcPr>
            <w:tcW w:w="0" w:type="dxa"/>
            <w:vAlign w:val="bottom"/>
          </w:tcPr>
          <w:p>
            <w:pPr>
              <w:spacing w:after="0"/>
              <w:rPr>
                <w:sz w:val="1"/>
                <w:szCs w:val="1"/>
                <w:color w:val="auto"/>
              </w:rPr>
            </w:pPr>
          </w:p>
        </w:tc>
      </w:tr>
      <w:tr>
        <w:trPr>
          <w:trHeight w:val="186"/>
        </w:trPr>
        <w:tc>
          <w:tcPr>
            <w:tcW w:w="298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w w:val="97"/>
              </w:rPr>
              <w:t>17/999,310</w:t>
            </w:r>
          </w:p>
        </w:tc>
        <w:tc>
          <w:tcPr>
            <w:tcW w:w="18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w w:val="96"/>
              </w:rPr>
              <w:t>United States</w:t>
            </w:r>
          </w:p>
        </w:tc>
        <w:tc>
          <w:tcPr>
            <w:tcW w:w="17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w w:val="97"/>
              </w:rPr>
              <w:t>Pending</w:t>
            </w:r>
          </w:p>
        </w:tc>
        <w:tc>
          <w:tcPr>
            <w:tcW w:w="47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w w:val="96"/>
              </w:rPr>
              <w:t>Deuterated Tryptamine Derivatives and Methods of Use</w:t>
            </w:r>
          </w:p>
        </w:tc>
        <w:tc>
          <w:tcPr>
            <w:tcW w:w="0" w:type="dxa"/>
            <w:vAlign w:val="bottom"/>
          </w:tcPr>
          <w:p>
            <w:pPr>
              <w:spacing w:after="0"/>
              <w:rPr>
                <w:sz w:val="1"/>
                <w:szCs w:val="1"/>
                <w:color w:val="auto"/>
              </w:rPr>
            </w:pPr>
          </w:p>
        </w:tc>
      </w:tr>
      <w:tr>
        <w:trPr>
          <w:trHeight w:val="186"/>
        </w:trPr>
        <w:tc>
          <w:tcPr>
            <w:tcW w:w="298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w w:val="97"/>
              </w:rPr>
              <w:t>18/041,728</w:t>
            </w:r>
          </w:p>
        </w:tc>
        <w:tc>
          <w:tcPr>
            <w:tcW w:w="18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w w:val="96"/>
              </w:rPr>
              <w:t>United States</w:t>
            </w:r>
          </w:p>
        </w:tc>
        <w:tc>
          <w:tcPr>
            <w:tcW w:w="17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w w:val="97"/>
              </w:rPr>
              <w:t>Pending</w:t>
            </w:r>
          </w:p>
        </w:tc>
        <w:tc>
          <w:tcPr>
            <w:tcW w:w="47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w w:val="96"/>
              </w:rPr>
              <w:t>Phenethylamine Derivatives, Compositions, and Methods of Use</w:t>
            </w:r>
          </w:p>
        </w:tc>
        <w:tc>
          <w:tcPr>
            <w:tcW w:w="0" w:type="dxa"/>
            <w:vAlign w:val="bottom"/>
          </w:tcPr>
          <w:p>
            <w:pPr>
              <w:spacing w:after="0"/>
              <w:rPr>
                <w:sz w:val="1"/>
                <w:szCs w:val="1"/>
                <w:color w:val="auto"/>
              </w:rPr>
            </w:pPr>
          </w:p>
        </w:tc>
      </w:tr>
      <w:tr>
        <w:trPr>
          <w:trHeight w:val="139"/>
        </w:trPr>
        <w:tc>
          <w:tcPr>
            <w:tcW w:w="2980" w:type="dxa"/>
            <w:vAlign w:val="bottom"/>
            <w:tcBorders>
              <w:left w:val="single" w:sz="8" w:color="auto"/>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5"/>
                <w:szCs w:val="15"/>
                <w:color w:val="auto"/>
                <w:w w:val="97"/>
              </w:rPr>
              <w:t>18/027,810</w:t>
            </w:r>
          </w:p>
        </w:tc>
        <w:tc>
          <w:tcPr>
            <w:tcW w:w="184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5"/>
                <w:szCs w:val="15"/>
                <w:color w:val="auto"/>
                <w:w w:val="96"/>
              </w:rPr>
              <w:t>United States</w:t>
            </w:r>
          </w:p>
        </w:tc>
        <w:tc>
          <w:tcPr>
            <w:tcW w:w="174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5"/>
                <w:szCs w:val="15"/>
                <w:color w:val="auto"/>
                <w:w w:val="97"/>
              </w:rPr>
              <w:t>Pending</w:t>
            </w:r>
          </w:p>
        </w:tc>
        <w:tc>
          <w:tcPr>
            <w:tcW w:w="4720" w:type="dxa"/>
            <w:vAlign w:val="bottom"/>
            <w:tcBorders>
              <w:right w:val="single" w:sz="8" w:color="auto"/>
            </w:tcBorders>
          </w:tcPr>
          <w:p>
            <w:pPr>
              <w:jc w:val="center"/>
              <w:spacing w:after="0" w:line="139" w:lineRule="exact"/>
              <w:rPr>
                <w:sz w:val="20"/>
                <w:szCs w:val="20"/>
                <w:color w:val="auto"/>
              </w:rPr>
            </w:pPr>
            <w:r>
              <w:rPr>
                <w:rFonts w:ascii="Times New Roman" w:cs="Times New Roman" w:eastAsia="Times New Roman" w:hAnsi="Times New Roman"/>
                <w:sz w:val="15"/>
                <w:szCs w:val="15"/>
                <w:color w:val="auto"/>
                <w:w w:val="96"/>
              </w:rPr>
              <w:t>Methods For Delivery of Psychedelic Medications By Inhalation and Systems</w:t>
            </w:r>
          </w:p>
        </w:tc>
        <w:tc>
          <w:tcPr>
            <w:tcW w:w="0" w:type="dxa"/>
            <w:vAlign w:val="bottom"/>
          </w:tcPr>
          <w:p>
            <w:pPr>
              <w:spacing w:after="0"/>
              <w:rPr>
                <w:sz w:val="1"/>
                <w:szCs w:val="1"/>
                <w:color w:val="auto"/>
              </w:rPr>
            </w:pPr>
          </w:p>
        </w:tc>
      </w:tr>
      <w:tr>
        <w:trPr>
          <w:trHeight w:val="117"/>
        </w:trPr>
        <w:tc>
          <w:tcPr>
            <w:tcW w:w="2980" w:type="dxa"/>
            <w:vAlign w:val="bottom"/>
            <w:tcBorders>
              <w:left w:val="single" w:sz="8" w:color="auto"/>
              <w:right w:val="single" w:sz="8" w:color="auto"/>
            </w:tcBorders>
            <w:vMerge w:val="continue"/>
          </w:tcPr>
          <w:p>
            <w:pPr>
              <w:spacing w:after="0"/>
              <w:rPr>
                <w:sz w:val="10"/>
                <w:szCs w:val="10"/>
                <w:color w:val="auto"/>
              </w:rPr>
            </w:pPr>
          </w:p>
        </w:tc>
        <w:tc>
          <w:tcPr>
            <w:tcW w:w="1840" w:type="dxa"/>
            <w:vAlign w:val="bottom"/>
            <w:tcBorders>
              <w:right w:val="single" w:sz="8" w:color="auto"/>
            </w:tcBorders>
            <w:vMerge w:val="continue"/>
          </w:tcPr>
          <w:p>
            <w:pPr>
              <w:spacing w:after="0"/>
              <w:rPr>
                <w:sz w:val="10"/>
                <w:szCs w:val="10"/>
                <w:color w:val="auto"/>
              </w:rPr>
            </w:pPr>
          </w:p>
        </w:tc>
        <w:tc>
          <w:tcPr>
            <w:tcW w:w="1740" w:type="dxa"/>
            <w:vAlign w:val="bottom"/>
            <w:tcBorders>
              <w:right w:val="single" w:sz="8" w:color="auto"/>
            </w:tcBorders>
            <w:vMerge w:val="continue"/>
          </w:tcPr>
          <w:p>
            <w:pPr>
              <w:spacing w:after="0"/>
              <w:rPr>
                <w:sz w:val="10"/>
                <w:szCs w:val="10"/>
                <w:color w:val="auto"/>
              </w:rPr>
            </w:pPr>
          </w:p>
        </w:tc>
        <w:tc>
          <w:tcPr>
            <w:tcW w:w="472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5"/>
                <w:szCs w:val="15"/>
                <w:color w:val="auto"/>
                <w:w w:val="95"/>
              </w:rPr>
              <w:t>For Performing the Methods</w:t>
            </w:r>
          </w:p>
        </w:tc>
        <w:tc>
          <w:tcPr>
            <w:tcW w:w="0" w:type="dxa"/>
            <w:vAlign w:val="bottom"/>
          </w:tcPr>
          <w:p>
            <w:pPr>
              <w:spacing w:after="0"/>
              <w:rPr>
                <w:sz w:val="1"/>
                <w:szCs w:val="1"/>
                <w:color w:val="auto"/>
              </w:rPr>
            </w:pPr>
          </w:p>
        </w:tc>
      </w:tr>
      <w:tr>
        <w:trPr>
          <w:trHeight w:val="75"/>
        </w:trPr>
        <w:tc>
          <w:tcPr>
            <w:tcW w:w="2980" w:type="dxa"/>
            <w:vAlign w:val="bottom"/>
            <w:tcBorders>
              <w:left w:val="single" w:sz="8" w:color="auto"/>
              <w:bottom w:val="single" w:sz="8" w:color="auto"/>
              <w:right w:val="single" w:sz="8" w:color="auto"/>
            </w:tcBorders>
          </w:tcPr>
          <w:p>
            <w:pPr>
              <w:spacing w:after="0"/>
              <w:rPr>
                <w:sz w:val="6"/>
                <w:szCs w:val="6"/>
                <w:color w:val="auto"/>
              </w:rPr>
            </w:pPr>
          </w:p>
        </w:tc>
        <w:tc>
          <w:tcPr>
            <w:tcW w:w="1840" w:type="dxa"/>
            <w:vAlign w:val="bottom"/>
            <w:tcBorders>
              <w:bottom w:val="single" w:sz="8" w:color="auto"/>
              <w:right w:val="single" w:sz="8" w:color="auto"/>
            </w:tcBorders>
          </w:tcPr>
          <w:p>
            <w:pPr>
              <w:spacing w:after="0"/>
              <w:rPr>
                <w:sz w:val="6"/>
                <w:szCs w:val="6"/>
                <w:color w:val="auto"/>
              </w:rPr>
            </w:pPr>
          </w:p>
        </w:tc>
        <w:tc>
          <w:tcPr>
            <w:tcW w:w="1740" w:type="dxa"/>
            <w:vAlign w:val="bottom"/>
            <w:tcBorders>
              <w:bottom w:val="single" w:sz="8" w:color="auto"/>
              <w:right w:val="single" w:sz="8" w:color="auto"/>
            </w:tcBorders>
          </w:tcPr>
          <w:p>
            <w:pPr>
              <w:spacing w:after="0"/>
              <w:rPr>
                <w:sz w:val="6"/>
                <w:szCs w:val="6"/>
                <w:color w:val="auto"/>
              </w:rPr>
            </w:pPr>
          </w:p>
        </w:tc>
        <w:tc>
          <w:tcPr>
            <w:tcW w:w="4720" w:type="dxa"/>
            <w:vAlign w:val="bottom"/>
            <w:tcBorders>
              <w:bottom w:val="single" w:sz="8" w:color="auto"/>
              <w:right w:val="single" w:sz="8" w:color="auto"/>
            </w:tcBorders>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39"/>
        </w:trPr>
        <w:tc>
          <w:tcPr>
            <w:tcW w:w="2980" w:type="dxa"/>
            <w:vAlign w:val="bottom"/>
            <w:tcBorders>
              <w:left w:val="single" w:sz="8" w:color="auto"/>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5"/>
                <w:szCs w:val="15"/>
                <w:color w:val="auto"/>
                <w:w w:val="96"/>
              </w:rPr>
              <w:t>PCT/EP2023/057939</w:t>
            </w:r>
          </w:p>
        </w:tc>
        <w:tc>
          <w:tcPr>
            <w:tcW w:w="184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5"/>
                <w:szCs w:val="15"/>
                <w:color w:val="auto"/>
                <w:w w:val="99"/>
              </w:rPr>
              <w:t>WIPO</w:t>
            </w:r>
          </w:p>
        </w:tc>
        <w:tc>
          <w:tcPr>
            <w:tcW w:w="174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5"/>
                <w:szCs w:val="15"/>
                <w:color w:val="auto"/>
                <w:w w:val="97"/>
              </w:rPr>
              <w:t>Pending</w:t>
            </w:r>
          </w:p>
        </w:tc>
        <w:tc>
          <w:tcPr>
            <w:tcW w:w="4720" w:type="dxa"/>
            <w:vAlign w:val="bottom"/>
            <w:tcBorders>
              <w:right w:val="single" w:sz="8" w:color="auto"/>
            </w:tcBorders>
          </w:tcPr>
          <w:p>
            <w:pPr>
              <w:jc w:val="center"/>
              <w:spacing w:after="0" w:line="139" w:lineRule="exact"/>
              <w:rPr>
                <w:sz w:val="20"/>
                <w:szCs w:val="20"/>
                <w:color w:val="auto"/>
              </w:rPr>
            </w:pPr>
            <w:r>
              <w:rPr>
                <w:rFonts w:ascii="Times New Roman" w:cs="Times New Roman" w:eastAsia="Times New Roman" w:hAnsi="Times New Roman"/>
                <w:sz w:val="15"/>
                <w:szCs w:val="15"/>
                <w:color w:val="auto"/>
                <w:w w:val="96"/>
              </w:rPr>
              <w:t>Methods For Delivery of Psychedelic Medications By Inhalation and Systems</w:t>
            </w:r>
          </w:p>
        </w:tc>
        <w:tc>
          <w:tcPr>
            <w:tcW w:w="0" w:type="dxa"/>
            <w:vAlign w:val="bottom"/>
          </w:tcPr>
          <w:p>
            <w:pPr>
              <w:spacing w:after="0"/>
              <w:rPr>
                <w:sz w:val="1"/>
                <w:szCs w:val="1"/>
                <w:color w:val="auto"/>
              </w:rPr>
            </w:pPr>
          </w:p>
        </w:tc>
      </w:tr>
      <w:tr>
        <w:trPr>
          <w:trHeight w:val="117"/>
        </w:trPr>
        <w:tc>
          <w:tcPr>
            <w:tcW w:w="2980" w:type="dxa"/>
            <w:vAlign w:val="bottom"/>
            <w:tcBorders>
              <w:left w:val="single" w:sz="8" w:color="auto"/>
              <w:right w:val="single" w:sz="8" w:color="auto"/>
            </w:tcBorders>
            <w:vMerge w:val="continue"/>
          </w:tcPr>
          <w:p>
            <w:pPr>
              <w:spacing w:after="0"/>
              <w:rPr>
                <w:sz w:val="10"/>
                <w:szCs w:val="10"/>
                <w:color w:val="auto"/>
              </w:rPr>
            </w:pPr>
          </w:p>
        </w:tc>
        <w:tc>
          <w:tcPr>
            <w:tcW w:w="1840" w:type="dxa"/>
            <w:vAlign w:val="bottom"/>
            <w:tcBorders>
              <w:right w:val="single" w:sz="8" w:color="auto"/>
            </w:tcBorders>
            <w:vMerge w:val="continue"/>
          </w:tcPr>
          <w:p>
            <w:pPr>
              <w:spacing w:after="0"/>
              <w:rPr>
                <w:sz w:val="10"/>
                <w:szCs w:val="10"/>
                <w:color w:val="auto"/>
              </w:rPr>
            </w:pPr>
          </w:p>
        </w:tc>
        <w:tc>
          <w:tcPr>
            <w:tcW w:w="1740" w:type="dxa"/>
            <w:vAlign w:val="bottom"/>
            <w:tcBorders>
              <w:right w:val="single" w:sz="8" w:color="auto"/>
            </w:tcBorders>
            <w:vMerge w:val="continue"/>
          </w:tcPr>
          <w:p>
            <w:pPr>
              <w:spacing w:after="0"/>
              <w:rPr>
                <w:sz w:val="10"/>
                <w:szCs w:val="10"/>
                <w:color w:val="auto"/>
              </w:rPr>
            </w:pPr>
          </w:p>
        </w:tc>
        <w:tc>
          <w:tcPr>
            <w:tcW w:w="472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5"/>
                <w:szCs w:val="15"/>
                <w:color w:val="auto"/>
                <w:w w:val="95"/>
              </w:rPr>
              <w:t>For Performing the Methods</w:t>
            </w:r>
          </w:p>
        </w:tc>
        <w:tc>
          <w:tcPr>
            <w:tcW w:w="0" w:type="dxa"/>
            <w:vAlign w:val="bottom"/>
          </w:tcPr>
          <w:p>
            <w:pPr>
              <w:spacing w:after="0"/>
              <w:rPr>
                <w:sz w:val="1"/>
                <w:szCs w:val="1"/>
                <w:color w:val="auto"/>
              </w:rPr>
            </w:pPr>
          </w:p>
        </w:tc>
      </w:tr>
      <w:tr>
        <w:trPr>
          <w:trHeight w:val="75"/>
        </w:trPr>
        <w:tc>
          <w:tcPr>
            <w:tcW w:w="2980" w:type="dxa"/>
            <w:vAlign w:val="bottom"/>
            <w:tcBorders>
              <w:left w:val="single" w:sz="8" w:color="auto"/>
              <w:bottom w:val="single" w:sz="8" w:color="auto"/>
              <w:right w:val="single" w:sz="8" w:color="auto"/>
            </w:tcBorders>
          </w:tcPr>
          <w:p>
            <w:pPr>
              <w:spacing w:after="0"/>
              <w:rPr>
                <w:sz w:val="6"/>
                <w:szCs w:val="6"/>
                <w:color w:val="auto"/>
              </w:rPr>
            </w:pPr>
          </w:p>
        </w:tc>
        <w:tc>
          <w:tcPr>
            <w:tcW w:w="1840" w:type="dxa"/>
            <w:vAlign w:val="bottom"/>
            <w:tcBorders>
              <w:bottom w:val="single" w:sz="8" w:color="auto"/>
              <w:right w:val="single" w:sz="8" w:color="auto"/>
            </w:tcBorders>
          </w:tcPr>
          <w:p>
            <w:pPr>
              <w:spacing w:after="0"/>
              <w:rPr>
                <w:sz w:val="6"/>
                <w:szCs w:val="6"/>
                <w:color w:val="auto"/>
              </w:rPr>
            </w:pPr>
          </w:p>
        </w:tc>
        <w:tc>
          <w:tcPr>
            <w:tcW w:w="1740" w:type="dxa"/>
            <w:vAlign w:val="bottom"/>
            <w:tcBorders>
              <w:bottom w:val="single" w:sz="8" w:color="auto"/>
              <w:right w:val="single" w:sz="8" w:color="auto"/>
            </w:tcBorders>
          </w:tcPr>
          <w:p>
            <w:pPr>
              <w:spacing w:after="0"/>
              <w:rPr>
                <w:sz w:val="6"/>
                <w:szCs w:val="6"/>
                <w:color w:val="auto"/>
              </w:rPr>
            </w:pPr>
          </w:p>
        </w:tc>
        <w:tc>
          <w:tcPr>
            <w:tcW w:w="4720" w:type="dxa"/>
            <w:vAlign w:val="bottom"/>
            <w:tcBorders>
              <w:bottom w:val="single" w:sz="8" w:color="auto"/>
              <w:right w:val="single" w:sz="8" w:color="auto"/>
            </w:tcBorders>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6"/>
        </w:trPr>
        <w:tc>
          <w:tcPr>
            <w:tcW w:w="298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w w:val="96"/>
              </w:rPr>
              <w:t>PCT/EP2023/058107</w:t>
            </w:r>
          </w:p>
        </w:tc>
        <w:tc>
          <w:tcPr>
            <w:tcW w:w="18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w w:val="99"/>
              </w:rPr>
              <w:t>WIPO</w:t>
            </w:r>
          </w:p>
        </w:tc>
        <w:tc>
          <w:tcPr>
            <w:tcW w:w="17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w w:val="97"/>
              </w:rPr>
              <w:t>Pending</w:t>
            </w:r>
          </w:p>
        </w:tc>
        <w:tc>
          <w:tcPr>
            <w:tcW w:w="47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w w:val="96"/>
              </w:rPr>
              <w:t>Combination Drug Therapies</w:t>
            </w:r>
          </w:p>
        </w:tc>
        <w:tc>
          <w:tcPr>
            <w:tcW w:w="0" w:type="dxa"/>
            <w:vAlign w:val="bottom"/>
          </w:tcPr>
          <w:p>
            <w:pPr>
              <w:spacing w:after="0"/>
              <w:rPr>
                <w:sz w:val="1"/>
                <w:szCs w:val="1"/>
                <w:color w:val="auto"/>
              </w:rPr>
            </w:pPr>
          </w:p>
        </w:tc>
      </w:tr>
      <w:tr>
        <w:trPr>
          <w:trHeight w:val="186"/>
        </w:trPr>
        <w:tc>
          <w:tcPr>
            <w:tcW w:w="298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w w:val="96"/>
              </w:rPr>
              <w:t>PCT/EP2023/066900</w:t>
            </w:r>
          </w:p>
        </w:tc>
        <w:tc>
          <w:tcPr>
            <w:tcW w:w="18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w w:val="99"/>
              </w:rPr>
              <w:t>WIPO</w:t>
            </w:r>
          </w:p>
        </w:tc>
        <w:tc>
          <w:tcPr>
            <w:tcW w:w="17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w w:val="97"/>
              </w:rPr>
              <w:t>Pending</w:t>
            </w:r>
          </w:p>
        </w:tc>
        <w:tc>
          <w:tcPr>
            <w:tcW w:w="47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w w:val="96"/>
              </w:rPr>
              <w:t>Formulations of Psilocybin</w:t>
            </w:r>
          </w:p>
        </w:tc>
        <w:tc>
          <w:tcPr>
            <w:tcW w:w="0" w:type="dxa"/>
            <w:vAlign w:val="bottom"/>
          </w:tcPr>
          <w:p>
            <w:pPr>
              <w:spacing w:after="0"/>
              <w:rPr>
                <w:sz w:val="1"/>
                <w:szCs w:val="1"/>
                <w:color w:val="auto"/>
              </w:rPr>
            </w:pPr>
          </w:p>
        </w:tc>
      </w:tr>
      <w:tr>
        <w:trPr>
          <w:trHeight w:val="186"/>
        </w:trPr>
        <w:tc>
          <w:tcPr>
            <w:tcW w:w="298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w w:val="97"/>
              </w:rPr>
              <w:t>18/547,100</w:t>
            </w:r>
          </w:p>
        </w:tc>
        <w:tc>
          <w:tcPr>
            <w:tcW w:w="18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w w:val="96"/>
              </w:rPr>
              <w:t>United States</w:t>
            </w:r>
          </w:p>
        </w:tc>
        <w:tc>
          <w:tcPr>
            <w:tcW w:w="17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w w:val="97"/>
              </w:rPr>
              <w:t>Pending</w:t>
            </w:r>
          </w:p>
        </w:tc>
        <w:tc>
          <w:tcPr>
            <w:tcW w:w="47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w w:val="96"/>
              </w:rPr>
              <w:t>Psilocybin Analogs, Salts, Compositions, and Methods of Use</w:t>
            </w:r>
          </w:p>
        </w:tc>
        <w:tc>
          <w:tcPr>
            <w:tcW w:w="0" w:type="dxa"/>
            <w:vAlign w:val="bottom"/>
          </w:tcPr>
          <w:p>
            <w:pPr>
              <w:spacing w:after="0"/>
              <w:rPr>
                <w:sz w:val="1"/>
                <w:szCs w:val="1"/>
                <w:color w:val="auto"/>
              </w:rPr>
            </w:pPr>
          </w:p>
        </w:tc>
      </w:tr>
      <w:tr>
        <w:trPr>
          <w:trHeight w:val="186"/>
        </w:trPr>
        <w:tc>
          <w:tcPr>
            <w:tcW w:w="298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w w:val="96"/>
              </w:rPr>
              <w:t>PCT/EP2023/073122</w:t>
            </w:r>
          </w:p>
        </w:tc>
        <w:tc>
          <w:tcPr>
            <w:tcW w:w="18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w w:val="99"/>
              </w:rPr>
              <w:t>WIPO</w:t>
            </w:r>
          </w:p>
        </w:tc>
        <w:tc>
          <w:tcPr>
            <w:tcW w:w="17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w w:val="97"/>
              </w:rPr>
              <w:t>Pending</w:t>
            </w:r>
          </w:p>
        </w:tc>
        <w:tc>
          <w:tcPr>
            <w:tcW w:w="47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w w:val="96"/>
              </w:rPr>
              <w:t>Tryptamine Compounds, Compositions, and Methods of Use</w:t>
            </w:r>
          </w:p>
        </w:tc>
        <w:tc>
          <w:tcPr>
            <w:tcW w:w="0" w:type="dxa"/>
            <w:vAlign w:val="bottom"/>
          </w:tcPr>
          <w:p>
            <w:pPr>
              <w:spacing w:after="0"/>
              <w:rPr>
                <w:sz w:val="1"/>
                <w:szCs w:val="1"/>
                <w:color w:val="auto"/>
              </w:rPr>
            </w:pPr>
          </w:p>
        </w:tc>
      </w:tr>
      <w:tr>
        <w:trPr>
          <w:trHeight w:val="186"/>
        </w:trPr>
        <w:tc>
          <w:tcPr>
            <w:tcW w:w="298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w w:val="96"/>
              </w:rPr>
              <w:t>PCT/EP2023/080027</w:t>
            </w:r>
          </w:p>
        </w:tc>
        <w:tc>
          <w:tcPr>
            <w:tcW w:w="18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w w:val="99"/>
              </w:rPr>
              <w:t>WIPO</w:t>
            </w:r>
          </w:p>
        </w:tc>
        <w:tc>
          <w:tcPr>
            <w:tcW w:w="17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w w:val="97"/>
              </w:rPr>
              <w:t>Pending</w:t>
            </w:r>
          </w:p>
        </w:tc>
        <w:tc>
          <w:tcPr>
            <w:tcW w:w="47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w w:val="96"/>
              </w:rPr>
              <w:t>Phenethylamine Compounds, Compositions, and Methods of Use</w:t>
            </w:r>
          </w:p>
        </w:tc>
        <w:tc>
          <w:tcPr>
            <w:tcW w:w="0" w:type="dxa"/>
            <w:vAlign w:val="bottom"/>
          </w:tcPr>
          <w:p>
            <w:pPr>
              <w:spacing w:after="0"/>
              <w:rPr>
                <w:sz w:val="1"/>
                <w:szCs w:val="1"/>
                <w:color w:val="auto"/>
              </w:rPr>
            </w:pPr>
          </w:p>
        </w:tc>
      </w:tr>
      <w:tr>
        <w:trPr>
          <w:trHeight w:val="186"/>
        </w:trPr>
        <w:tc>
          <w:tcPr>
            <w:tcW w:w="298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w w:val="97"/>
              </w:rPr>
              <w:t>63/599,483</w:t>
            </w:r>
          </w:p>
        </w:tc>
        <w:tc>
          <w:tcPr>
            <w:tcW w:w="18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w w:val="96"/>
              </w:rPr>
              <w:t>United States</w:t>
            </w:r>
          </w:p>
        </w:tc>
        <w:tc>
          <w:tcPr>
            <w:tcW w:w="17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w w:val="97"/>
              </w:rPr>
              <w:t>Pending</w:t>
            </w:r>
          </w:p>
        </w:tc>
        <w:tc>
          <w:tcPr>
            <w:tcW w:w="47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w w:val="96"/>
              </w:rPr>
              <w:t>Injectable Pharmaceutical Formulations</w:t>
            </w:r>
          </w:p>
        </w:tc>
        <w:tc>
          <w:tcPr>
            <w:tcW w:w="0" w:type="dxa"/>
            <w:vAlign w:val="bottom"/>
          </w:tcPr>
          <w:p>
            <w:pPr>
              <w:spacing w:after="0"/>
              <w:rPr>
                <w:sz w:val="1"/>
                <w:szCs w:val="1"/>
                <w:color w:val="auto"/>
              </w:rPr>
            </w:pPr>
          </w:p>
        </w:tc>
      </w:tr>
      <w:tr>
        <w:trPr>
          <w:trHeight w:val="186"/>
        </w:trPr>
        <w:tc>
          <w:tcPr>
            <w:tcW w:w="298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w w:val="97"/>
              </w:rPr>
              <w:t>18/561,152</w:t>
            </w:r>
          </w:p>
        </w:tc>
        <w:tc>
          <w:tcPr>
            <w:tcW w:w="18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w w:val="96"/>
              </w:rPr>
              <w:t>United States</w:t>
            </w:r>
          </w:p>
        </w:tc>
        <w:tc>
          <w:tcPr>
            <w:tcW w:w="17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w w:val="97"/>
              </w:rPr>
              <w:t>Pending</w:t>
            </w:r>
          </w:p>
        </w:tc>
        <w:tc>
          <w:tcPr>
            <w:tcW w:w="47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w w:val="96"/>
              </w:rPr>
              <w:t>Formulations of Psilocybin</w:t>
            </w:r>
          </w:p>
        </w:tc>
        <w:tc>
          <w:tcPr>
            <w:tcW w:w="0" w:type="dxa"/>
            <w:vAlign w:val="bottom"/>
          </w:tcPr>
          <w:p>
            <w:pPr>
              <w:spacing w:after="0"/>
              <w:rPr>
                <w:sz w:val="1"/>
                <w:szCs w:val="1"/>
                <w:color w:val="auto"/>
              </w:rPr>
            </w:pPr>
          </w:p>
        </w:tc>
      </w:tr>
      <w:tr>
        <w:trPr>
          <w:trHeight w:val="186"/>
        </w:trPr>
        <w:tc>
          <w:tcPr>
            <w:tcW w:w="298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w w:val="97"/>
              </w:rPr>
              <w:t>63/600,179</w:t>
            </w:r>
          </w:p>
        </w:tc>
        <w:tc>
          <w:tcPr>
            <w:tcW w:w="18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w w:val="96"/>
              </w:rPr>
              <w:t>United States</w:t>
            </w:r>
          </w:p>
        </w:tc>
        <w:tc>
          <w:tcPr>
            <w:tcW w:w="17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w w:val="97"/>
              </w:rPr>
              <w:t>Pending</w:t>
            </w:r>
          </w:p>
        </w:tc>
        <w:tc>
          <w:tcPr>
            <w:tcW w:w="47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w w:val="96"/>
              </w:rPr>
              <w:t>Companion Animal Treatments</w:t>
            </w:r>
          </w:p>
        </w:tc>
        <w:tc>
          <w:tcPr>
            <w:tcW w:w="0" w:type="dxa"/>
            <w:vAlign w:val="bottom"/>
          </w:tcPr>
          <w:p>
            <w:pPr>
              <w:spacing w:after="0"/>
              <w:rPr>
                <w:sz w:val="1"/>
                <w:szCs w:val="1"/>
                <w:color w:val="auto"/>
              </w:rPr>
            </w:pPr>
          </w:p>
        </w:tc>
      </w:tr>
      <w:tr>
        <w:trPr>
          <w:trHeight w:val="186"/>
        </w:trPr>
        <w:tc>
          <w:tcPr>
            <w:tcW w:w="298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w w:val="97"/>
              </w:rPr>
              <w:t>63/602,888</w:t>
            </w:r>
          </w:p>
        </w:tc>
        <w:tc>
          <w:tcPr>
            <w:tcW w:w="18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w w:val="96"/>
              </w:rPr>
              <w:t>United States</w:t>
            </w:r>
          </w:p>
        </w:tc>
        <w:tc>
          <w:tcPr>
            <w:tcW w:w="17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w w:val="97"/>
              </w:rPr>
              <w:t>Pending</w:t>
            </w:r>
          </w:p>
        </w:tc>
        <w:tc>
          <w:tcPr>
            <w:tcW w:w="47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w w:val="96"/>
              </w:rPr>
              <w:t>Methods of Treating Disorders with a Psilocybin Analog</w:t>
            </w:r>
          </w:p>
        </w:tc>
        <w:tc>
          <w:tcPr>
            <w:tcW w:w="0" w:type="dxa"/>
            <w:vAlign w:val="bottom"/>
          </w:tcPr>
          <w:p>
            <w:pPr>
              <w:spacing w:after="0"/>
              <w:rPr>
                <w:sz w:val="1"/>
                <w:szCs w:val="1"/>
                <w:color w:val="auto"/>
              </w:rPr>
            </w:pPr>
          </w:p>
        </w:tc>
      </w:tr>
      <w:tr>
        <w:trPr>
          <w:trHeight w:val="186"/>
        </w:trPr>
        <w:tc>
          <w:tcPr>
            <w:tcW w:w="298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w w:val="97"/>
              </w:rPr>
              <w:t>63/603,262</w:t>
            </w:r>
          </w:p>
        </w:tc>
        <w:tc>
          <w:tcPr>
            <w:tcW w:w="18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w w:val="96"/>
              </w:rPr>
              <w:t>United States</w:t>
            </w:r>
          </w:p>
        </w:tc>
        <w:tc>
          <w:tcPr>
            <w:tcW w:w="17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w w:val="97"/>
              </w:rPr>
              <w:t>Pending</w:t>
            </w:r>
          </w:p>
        </w:tc>
        <w:tc>
          <w:tcPr>
            <w:tcW w:w="47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w w:val="96"/>
              </w:rPr>
              <w:t>Methods of Treating Disorders with a Psilocybin Analog</w:t>
            </w:r>
          </w:p>
        </w:tc>
        <w:tc>
          <w:tcPr>
            <w:tcW w:w="0" w:type="dxa"/>
            <w:vAlign w:val="bottom"/>
          </w:tcPr>
          <w:p>
            <w:pPr>
              <w:spacing w:after="0"/>
              <w:rPr>
                <w:sz w:val="1"/>
                <w:szCs w:val="1"/>
                <w:color w:val="auto"/>
              </w:rPr>
            </w:pPr>
          </w:p>
        </w:tc>
      </w:tr>
      <w:tr>
        <w:trPr>
          <w:trHeight w:val="186"/>
        </w:trPr>
        <w:tc>
          <w:tcPr>
            <w:tcW w:w="298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w w:val="97"/>
              </w:rPr>
              <w:t>63/603,886</w:t>
            </w:r>
          </w:p>
        </w:tc>
        <w:tc>
          <w:tcPr>
            <w:tcW w:w="18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w w:val="96"/>
              </w:rPr>
              <w:t>United States</w:t>
            </w:r>
          </w:p>
        </w:tc>
        <w:tc>
          <w:tcPr>
            <w:tcW w:w="17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w w:val="97"/>
              </w:rPr>
              <w:t>Pending</w:t>
            </w:r>
          </w:p>
        </w:tc>
        <w:tc>
          <w:tcPr>
            <w:tcW w:w="47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w w:val="96"/>
              </w:rPr>
              <w:t>Methods of Treating Disorders with a Psilocybin Analog</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28</w:t>
      </w:r>
    </w:p>
    <w:p>
      <w:pPr>
        <w:sectPr>
          <w:pgSz w:w="11900" w:h="16838" w:orient="portrait"/>
          <w:cols w:equalWidth="0" w:num="1">
            <w:col w:w="11260"/>
          </w:cols>
          <w:pgMar w:left="320" w:top="1304" w:right="319" w:bottom="1440" w:gutter="0" w:footer="0" w:header="0"/>
        </w:sectPr>
      </w:pPr>
    </w:p>
    <w:bookmarkStart w:id="54" w:name="page55"/>
    <w:bookmarkEnd w:id="54"/>
    <w:tbl>
      <w:tblPr>
        <w:tblLayout w:type="fixed"/>
        <w:tblInd w:w="10" w:type="dxa"/>
        <w:tblCellMar>
          <w:top w:w="0" w:type="dxa"/>
          <w:left w:w="0" w:type="dxa"/>
          <w:bottom w:w="0" w:type="dxa"/>
          <w:right w:w="0" w:type="dxa"/>
        </w:tblCellMar>
      </w:tblPr>
      <w:tr>
        <w:trPr>
          <w:trHeight w:val="204"/>
        </w:trPr>
        <w:tc>
          <w:tcPr>
            <w:tcW w:w="2980" w:type="dxa"/>
            <w:vAlign w:val="bottom"/>
            <w:tcBorders>
              <w:top w:val="single" w:sz="8" w:color="auto"/>
              <w:left w:val="single" w:sz="8" w:color="auto"/>
              <w:bottom w:val="single" w:sz="8" w:color="auto"/>
              <w:right w:val="single" w:sz="8" w:color="auto"/>
            </w:tcBorders>
            <w:shd w:val="clear" w:color="auto" w:fill="BFBFBF"/>
          </w:tcPr>
          <w:p>
            <w:pPr>
              <w:ind w:left="620"/>
              <w:spacing w:after="0"/>
              <w:rPr>
                <w:sz w:val="20"/>
                <w:szCs w:val="20"/>
                <w:color w:val="auto"/>
              </w:rPr>
            </w:pPr>
            <w:r>
              <w:rPr>
                <w:rFonts w:ascii="Times New Roman" w:cs="Times New Roman" w:eastAsia="Times New Roman" w:hAnsi="Times New Roman"/>
                <w:sz w:val="15"/>
                <w:szCs w:val="15"/>
                <w:b w:val="1"/>
                <w:bCs w:val="1"/>
                <w:color w:val="auto"/>
              </w:rPr>
              <w:t>Patent Application Number</w:t>
            </w:r>
          </w:p>
        </w:tc>
        <w:tc>
          <w:tcPr>
            <w:tcW w:w="1840" w:type="dxa"/>
            <w:vAlign w:val="bottom"/>
            <w:tcBorders>
              <w:top w:val="single" w:sz="8" w:color="auto"/>
              <w:bottom w:val="single" w:sz="8" w:color="auto"/>
              <w:right w:val="single" w:sz="8" w:color="auto"/>
            </w:tcBorders>
            <w:shd w:val="clear" w:color="auto" w:fill="BFBFBF"/>
          </w:tcPr>
          <w:p>
            <w:pPr>
              <w:jc w:val="center"/>
              <w:spacing w:after="0"/>
              <w:rPr>
                <w:sz w:val="20"/>
                <w:szCs w:val="20"/>
                <w:color w:val="auto"/>
              </w:rPr>
            </w:pPr>
            <w:r>
              <w:rPr>
                <w:rFonts w:ascii="Times New Roman" w:cs="Times New Roman" w:eastAsia="Times New Roman" w:hAnsi="Times New Roman"/>
                <w:sz w:val="15"/>
                <w:szCs w:val="15"/>
                <w:b w:val="1"/>
                <w:bCs w:val="1"/>
                <w:color w:val="auto"/>
                <w:w w:val="96"/>
              </w:rPr>
              <w:t>Jurisdiction of Filing</w:t>
            </w:r>
          </w:p>
        </w:tc>
        <w:tc>
          <w:tcPr>
            <w:tcW w:w="1740" w:type="dxa"/>
            <w:vAlign w:val="bottom"/>
            <w:tcBorders>
              <w:top w:val="single" w:sz="8" w:color="auto"/>
              <w:bottom w:val="single" w:sz="8" w:color="auto"/>
              <w:right w:val="single" w:sz="8" w:color="auto"/>
            </w:tcBorders>
            <w:shd w:val="clear" w:color="auto" w:fill="BFBFBF"/>
          </w:tcPr>
          <w:p>
            <w:pPr>
              <w:jc w:val="center"/>
              <w:spacing w:after="0"/>
              <w:rPr>
                <w:sz w:val="20"/>
                <w:szCs w:val="20"/>
                <w:color w:val="auto"/>
              </w:rPr>
            </w:pPr>
            <w:r>
              <w:rPr>
                <w:rFonts w:ascii="Times New Roman" w:cs="Times New Roman" w:eastAsia="Times New Roman" w:hAnsi="Times New Roman"/>
                <w:sz w:val="15"/>
                <w:szCs w:val="15"/>
                <w:b w:val="1"/>
                <w:bCs w:val="1"/>
                <w:color w:val="auto"/>
                <w:w w:val="99"/>
              </w:rPr>
              <w:t>Status</w:t>
            </w:r>
          </w:p>
        </w:tc>
        <w:tc>
          <w:tcPr>
            <w:tcW w:w="4720" w:type="dxa"/>
            <w:vAlign w:val="bottom"/>
            <w:tcBorders>
              <w:top w:val="single" w:sz="8" w:color="auto"/>
              <w:bottom w:val="single" w:sz="8" w:color="auto"/>
              <w:right w:val="single" w:sz="8" w:color="auto"/>
            </w:tcBorders>
            <w:shd w:val="clear" w:color="auto" w:fill="BFBFBF"/>
          </w:tcPr>
          <w:p>
            <w:pPr>
              <w:jc w:val="center"/>
              <w:spacing w:after="0"/>
              <w:rPr>
                <w:sz w:val="20"/>
                <w:szCs w:val="20"/>
                <w:color w:val="auto"/>
              </w:rPr>
            </w:pPr>
            <w:r>
              <w:rPr>
                <w:rFonts w:ascii="Times New Roman" w:cs="Times New Roman" w:eastAsia="Times New Roman" w:hAnsi="Times New Roman"/>
                <w:sz w:val="15"/>
                <w:szCs w:val="15"/>
                <w:b w:val="1"/>
                <w:bCs w:val="1"/>
                <w:color w:val="auto"/>
                <w:w w:val="97"/>
              </w:rPr>
              <w:t>Description</w:t>
            </w:r>
          </w:p>
        </w:tc>
        <w:tc>
          <w:tcPr>
            <w:tcW w:w="0" w:type="dxa"/>
            <w:vAlign w:val="bottom"/>
          </w:tcPr>
          <w:p>
            <w:pPr>
              <w:spacing w:after="0"/>
              <w:rPr>
                <w:sz w:val="1"/>
                <w:szCs w:val="1"/>
                <w:color w:val="auto"/>
              </w:rPr>
            </w:pPr>
          </w:p>
        </w:tc>
      </w:tr>
      <w:tr>
        <w:trPr>
          <w:trHeight w:val="138"/>
        </w:trPr>
        <w:tc>
          <w:tcPr>
            <w:tcW w:w="2980" w:type="dxa"/>
            <w:vAlign w:val="bottom"/>
            <w:tcBorders>
              <w:left w:val="single" w:sz="8" w:color="auto"/>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5"/>
                <w:szCs w:val="15"/>
                <w:color w:val="auto"/>
                <w:w w:val="97"/>
              </w:rPr>
              <w:t>18/576,487</w:t>
            </w:r>
          </w:p>
        </w:tc>
        <w:tc>
          <w:tcPr>
            <w:tcW w:w="184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5"/>
                <w:szCs w:val="15"/>
                <w:color w:val="auto"/>
                <w:w w:val="96"/>
              </w:rPr>
              <w:t>United States</w:t>
            </w:r>
          </w:p>
        </w:tc>
        <w:tc>
          <w:tcPr>
            <w:tcW w:w="174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5"/>
                <w:szCs w:val="15"/>
                <w:color w:val="auto"/>
                <w:w w:val="97"/>
              </w:rPr>
              <w:t>Pending</w:t>
            </w:r>
          </w:p>
        </w:tc>
        <w:tc>
          <w:tcPr>
            <w:tcW w:w="4720" w:type="dxa"/>
            <w:vAlign w:val="bottom"/>
            <w:tcBorders>
              <w:right w:val="single" w:sz="8" w:color="auto"/>
            </w:tcBorders>
          </w:tcPr>
          <w:p>
            <w:pPr>
              <w:jc w:val="center"/>
              <w:spacing w:after="0" w:line="138" w:lineRule="exact"/>
              <w:rPr>
                <w:sz w:val="20"/>
                <w:szCs w:val="20"/>
                <w:color w:val="auto"/>
              </w:rPr>
            </w:pPr>
            <w:r>
              <w:rPr>
                <w:rFonts w:ascii="Times New Roman" w:cs="Times New Roman" w:eastAsia="Times New Roman" w:hAnsi="Times New Roman"/>
                <w:sz w:val="15"/>
                <w:szCs w:val="15"/>
                <w:color w:val="auto"/>
                <w:w w:val="96"/>
              </w:rPr>
              <w:t>Integrated Data Collection Devices for Use in Various Therapeutic and Wellness</w:t>
            </w:r>
          </w:p>
        </w:tc>
        <w:tc>
          <w:tcPr>
            <w:tcW w:w="0" w:type="dxa"/>
            <w:vAlign w:val="bottom"/>
          </w:tcPr>
          <w:p>
            <w:pPr>
              <w:spacing w:after="0"/>
              <w:rPr>
                <w:sz w:val="1"/>
                <w:szCs w:val="1"/>
                <w:color w:val="auto"/>
              </w:rPr>
            </w:pPr>
          </w:p>
        </w:tc>
      </w:tr>
      <w:tr>
        <w:trPr>
          <w:trHeight w:val="117"/>
        </w:trPr>
        <w:tc>
          <w:tcPr>
            <w:tcW w:w="2980" w:type="dxa"/>
            <w:vAlign w:val="bottom"/>
            <w:tcBorders>
              <w:left w:val="single" w:sz="8" w:color="auto"/>
              <w:right w:val="single" w:sz="8" w:color="auto"/>
            </w:tcBorders>
            <w:vMerge w:val="continue"/>
          </w:tcPr>
          <w:p>
            <w:pPr>
              <w:spacing w:after="0"/>
              <w:rPr>
                <w:sz w:val="10"/>
                <w:szCs w:val="10"/>
                <w:color w:val="auto"/>
              </w:rPr>
            </w:pPr>
          </w:p>
        </w:tc>
        <w:tc>
          <w:tcPr>
            <w:tcW w:w="1840" w:type="dxa"/>
            <w:vAlign w:val="bottom"/>
            <w:tcBorders>
              <w:right w:val="single" w:sz="8" w:color="auto"/>
            </w:tcBorders>
            <w:vMerge w:val="continue"/>
          </w:tcPr>
          <w:p>
            <w:pPr>
              <w:spacing w:after="0"/>
              <w:rPr>
                <w:sz w:val="10"/>
                <w:szCs w:val="10"/>
                <w:color w:val="auto"/>
              </w:rPr>
            </w:pPr>
          </w:p>
        </w:tc>
        <w:tc>
          <w:tcPr>
            <w:tcW w:w="1740" w:type="dxa"/>
            <w:vAlign w:val="bottom"/>
            <w:tcBorders>
              <w:right w:val="single" w:sz="8" w:color="auto"/>
            </w:tcBorders>
            <w:vMerge w:val="continue"/>
          </w:tcPr>
          <w:p>
            <w:pPr>
              <w:spacing w:after="0"/>
              <w:rPr>
                <w:sz w:val="10"/>
                <w:szCs w:val="10"/>
                <w:color w:val="auto"/>
              </w:rPr>
            </w:pPr>
          </w:p>
        </w:tc>
        <w:tc>
          <w:tcPr>
            <w:tcW w:w="472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5"/>
                <w:szCs w:val="15"/>
                <w:color w:val="auto"/>
                <w:w w:val="99"/>
              </w:rPr>
              <w:t>Applications</w:t>
            </w:r>
          </w:p>
        </w:tc>
        <w:tc>
          <w:tcPr>
            <w:tcW w:w="0" w:type="dxa"/>
            <w:vAlign w:val="bottom"/>
          </w:tcPr>
          <w:p>
            <w:pPr>
              <w:spacing w:after="0"/>
              <w:rPr>
                <w:sz w:val="1"/>
                <w:szCs w:val="1"/>
                <w:color w:val="auto"/>
              </w:rPr>
            </w:pPr>
          </w:p>
        </w:tc>
      </w:tr>
      <w:tr>
        <w:trPr>
          <w:trHeight w:val="75"/>
        </w:trPr>
        <w:tc>
          <w:tcPr>
            <w:tcW w:w="2980" w:type="dxa"/>
            <w:vAlign w:val="bottom"/>
            <w:tcBorders>
              <w:left w:val="single" w:sz="8" w:color="auto"/>
              <w:bottom w:val="single" w:sz="8" w:color="auto"/>
              <w:right w:val="single" w:sz="8" w:color="auto"/>
            </w:tcBorders>
          </w:tcPr>
          <w:p>
            <w:pPr>
              <w:spacing w:after="0"/>
              <w:rPr>
                <w:sz w:val="6"/>
                <w:szCs w:val="6"/>
                <w:color w:val="auto"/>
              </w:rPr>
            </w:pPr>
          </w:p>
        </w:tc>
        <w:tc>
          <w:tcPr>
            <w:tcW w:w="1840" w:type="dxa"/>
            <w:vAlign w:val="bottom"/>
            <w:tcBorders>
              <w:bottom w:val="single" w:sz="8" w:color="auto"/>
              <w:right w:val="single" w:sz="8" w:color="auto"/>
            </w:tcBorders>
          </w:tcPr>
          <w:p>
            <w:pPr>
              <w:spacing w:after="0"/>
              <w:rPr>
                <w:sz w:val="6"/>
                <w:szCs w:val="6"/>
                <w:color w:val="auto"/>
              </w:rPr>
            </w:pPr>
          </w:p>
        </w:tc>
        <w:tc>
          <w:tcPr>
            <w:tcW w:w="1740" w:type="dxa"/>
            <w:vAlign w:val="bottom"/>
            <w:tcBorders>
              <w:bottom w:val="single" w:sz="8" w:color="auto"/>
              <w:right w:val="single" w:sz="8" w:color="auto"/>
            </w:tcBorders>
          </w:tcPr>
          <w:p>
            <w:pPr>
              <w:spacing w:after="0"/>
              <w:rPr>
                <w:sz w:val="6"/>
                <w:szCs w:val="6"/>
                <w:color w:val="auto"/>
              </w:rPr>
            </w:pPr>
          </w:p>
        </w:tc>
        <w:tc>
          <w:tcPr>
            <w:tcW w:w="4720" w:type="dxa"/>
            <w:vAlign w:val="bottom"/>
            <w:tcBorders>
              <w:bottom w:val="single" w:sz="8" w:color="auto"/>
              <w:right w:val="single" w:sz="8" w:color="auto"/>
            </w:tcBorders>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6"/>
        </w:trPr>
        <w:tc>
          <w:tcPr>
            <w:tcW w:w="298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w w:val="97"/>
              </w:rPr>
              <w:t>63/553,321</w:t>
            </w:r>
          </w:p>
        </w:tc>
        <w:tc>
          <w:tcPr>
            <w:tcW w:w="18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w w:val="96"/>
              </w:rPr>
              <w:t>United States</w:t>
            </w:r>
          </w:p>
        </w:tc>
        <w:tc>
          <w:tcPr>
            <w:tcW w:w="17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w w:val="97"/>
              </w:rPr>
              <w:t>Pending</w:t>
            </w:r>
          </w:p>
        </w:tc>
        <w:tc>
          <w:tcPr>
            <w:tcW w:w="47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w w:val="96"/>
              </w:rPr>
              <w:t>Methods of Treating Disorders with a Psilocybin Analog</w:t>
            </w:r>
          </w:p>
        </w:tc>
        <w:tc>
          <w:tcPr>
            <w:tcW w:w="0" w:type="dxa"/>
            <w:vAlign w:val="bottom"/>
          </w:tcPr>
          <w:p>
            <w:pPr>
              <w:spacing w:after="0"/>
              <w:rPr>
                <w:sz w:val="1"/>
                <w:szCs w:val="1"/>
                <w:color w:val="auto"/>
              </w:rPr>
            </w:pPr>
          </w:p>
        </w:tc>
      </w:tr>
      <w:tr>
        <w:trPr>
          <w:trHeight w:val="186"/>
        </w:trPr>
        <w:tc>
          <w:tcPr>
            <w:tcW w:w="298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w w:val="97"/>
              </w:rPr>
              <w:t>18/588,132</w:t>
            </w:r>
          </w:p>
        </w:tc>
        <w:tc>
          <w:tcPr>
            <w:tcW w:w="18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w w:val="96"/>
              </w:rPr>
              <w:t>United States</w:t>
            </w:r>
          </w:p>
        </w:tc>
        <w:tc>
          <w:tcPr>
            <w:tcW w:w="17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w w:val="97"/>
              </w:rPr>
              <w:t>Pending</w:t>
            </w:r>
          </w:p>
        </w:tc>
        <w:tc>
          <w:tcPr>
            <w:tcW w:w="47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w w:val="96"/>
              </w:rPr>
              <w:t>Methods of Treating Disorders with a Psilocybin Analog</w:t>
            </w:r>
          </w:p>
        </w:tc>
        <w:tc>
          <w:tcPr>
            <w:tcW w:w="0" w:type="dxa"/>
            <w:vAlign w:val="bottom"/>
          </w:tcPr>
          <w:p>
            <w:pPr>
              <w:spacing w:after="0"/>
              <w:rPr>
                <w:sz w:val="1"/>
                <w:szCs w:val="1"/>
                <w:color w:val="auto"/>
              </w:rPr>
            </w:pPr>
          </w:p>
        </w:tc>
      </w:tr>
      <w:tr>
        <w:trPr>
          <w:trHeight w:val="186"/>
        </w:trPr>
        <w:tc>
          <w:tcPr>
            <w:tcW w:w="298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w w:val="96"/>
              </w:rPr>
              <w:t>PCT/EP2024/054897</w:t>
            </w:r>
          </w:p>
        </w:tc>
        <w:tc>
          <w:tcPr>
            <w:tcW w:w="18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w w:val="99"/>
              </w:rPr>
              <w:t>WIPO</w:t>
            </w:r>
          </w:p>
        </w:tc>
        <w:tc>
          <w:tcPr>
            <w:tcW w:w="17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w w:val="97"/>
              </w:rPr>
              <w:t>Pending</w:t>
            </w:r>
          </w:p>
        </w:tc>
        <w:tc>
          <w:tcPr>
            <w:tcW w:w="47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w w:val="96"/>
              </w:rPr>
              <w:t>Methods of Treating Disorders with a Psilocybin Analog</w:t>
            </w:r>
          </w:p>
        </w:tc>
        <w:tc>
          <w:tcPr>
            <w:tcW w:w="0" w:type="dxa"/>
            <w:vAlign w:val="bottom"/>
          </w:tcPr>
          <w:p>
            <w:pPr>
              <w:spacing w:after="0"/>
              <w:rPr>
                <w:sz w:val="1"/>
                <w:szCs w:val="1"/>
                <w:color w:val="auto"/>
              </w:rPr>
            </w:pPr>
          </w:p>
        </w:tc>
      </w:tr>
      <w:tr>
        <w:trPr>
          <w:trHeight w:val="186"/>
        </w:trPr>
        <w:tc>
          <w:tcPr>
            <w:tcW w:w="298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w w:val="97"/>
              </w:rPr>
              <w:t>18/688,125</w:t>
            </w:r>
          </w:p>
        </w:tc>
        <w:tc>
          <w:tcPr>
            <w:tcW w:w="18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w w:val="96"/>
              </w:rPr>
              <w:t>United States</w:t>
            </w:r>
          </w:p>
        </w:tc>
        <w:tc>
          <w:tcPr>
            <w:tcW w:w="17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w w:val="97"/>
              </w:rPr>
              <w:t>Pending</w:t>
            </w:r>
          </w:p>
        </w:tc>
        <w:tc>
          <w:tcPr>
            <w:tcW w:w="47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w w:val="96"/>
              </w:rPr>
              <w:t>Combination Drug Therapies</w:t>
            </w:r>
          </w:p>
        </w:tc>
        <w:tc>
          <w:tcPr>
            <w:tcW w:w="0" w:type="dxa"/>
            <w:vAlign w:val="bottom"/>
          </w:tcPr>
          <w:p>
            <w:pPr>
              <w:spacing w:after="0"/>
              <w:rPr>
                <w:sz w:val="1"/>
                <w:szCs w:val="1"/>
                <w:color w:val="auto"/>
              </w:rPr>
            </w:pPr>
          </w:p>
        </w:tc>
      </w:tr>
      <w:tr>
        <w:trPr>
          <w:trHeight w:val="186"/>
        </w:trPr>
        <w:tc>
          <w:tcPr>
            <w:tcW w:w="298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w w:val="97"/>
              </w:rPr>
              <w:t>18/600,018</w:t>
            </w:r>
          </w:p>
        </w:tc>
        <w:tc>
          <w:tcPr>
            <w:tcW w:w="18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w w:val="96"/>
              </w:rPr>
              <w:t>United States</w:t>
            </w:r>
          </w:p>
        </w:tc>
        <w:tc>
          <w:tcPr>
            <w:tcW w:w="17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w w:val="97"/>
              </w:rPr>
              <w:t>Pending</w:t>
            </w:r>
          </w:p>
        </w:tc>
        <w:tc>
          <w:tcPr>
            <w:tcW w:w="47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w w:val="96"/>
              </w:rPr>
              <w:t>Deuterated Tryptamine Derivatives and Methods of Use</w:t>
            </w:r>
          </w:p>
        </w:tc>
        <w:tc>
          <w:tcPr>
            <w:tcW w:w="0" w:type="dxa"/>
            <w:vAlign w:val="bottom"/>
          </w:tcPr>
          <w:p>
            <w:pPr>
              <w:spacing w:after="0"/>
              <w:rPr>
                <w:sz w:val="1"/>
                <w:szCs w:val="1"/>
                <w:color w:val="auto"/>
              </w:rPr>
            </w:pPr>
          </w:p>
        </w:tc>
      </w:tr>
      <w:tr>
        <w:trPr>
          <w:trHeight w:val="186"/>
        </w:trPr>
        <w:tc>
          <w:tcPr>
            <w:tcW w:w="298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w w:val="96"/>
              </w:rPr>
              <w:t>PCT/EP2024/062406</w:t>
            </w:r>
          </w:p>
        </w:tc>
        <w:tc>
          <w:tcPr>
            <w:tcW w:w="18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w w:val="99"/>
              </w:rPr>
              <w:t>WIPO</w:t>
            </w:r>
          </w:p>
        </w:tc>
        <w:tc>
          <w:tcPr>
            <w:tcW w:w="17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w w:val="97"/>
              </w:rPr>
              <w:t>Pending</w:t>
            </w:r>
          </w:p>
        </w:tc>
        <w:tc>
          <w:tcPr>
            <w:tcW w:w="47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w w:val="96"/>
              </w:rPr>
              <w:t>Injectable Pharmaceutical Formulations</w:t>
            </w:r>
          </w:p>
        </w:tc>
        <w:tc>
          <w:tcPr>
            <w:tcW w:w="0" w:type="dxa"/>
            <w:vAlign w:val="bottom"/>
          </w:tcPr>
          <w:p>
            <w:pPr>
              <w:spacing w:after="0"/>
              <w:rPr>
                <w:sz w:val="1"/>
                <w:szCs w:val="1"/>
                <w:color w:val="auto"/>
              </w:rPr>
            </w:pPr>
          </w:p>
        </w:tc>
      </w:tr>
      <w:tr>
        <w:trPr>
          <w:trHeight w:val="186"/>
        </w:trPr>
        <w:tc>
          <w:tcPr>
            <w:tcW w:w="298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w w:val="97"/>
              </w:rPr>
              <w:t>18/707,825</w:t>
            </w:r>
          </w:p>
        </w:tc>
        <w:tc>
          <w:tcPr>
            <w:tcW w:w="18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w w:val="96"/>
              </w:rPr>
              <w:t>United States</w:t>
            </w:r>
          </w:p>
        </w:tc>
        <w:tc>
          <w:tcPr>
            <w:tcW w:w="17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w w:val="97"/>
              </w:rPr>
              <w:t>Pending</w:t>
            </w:r>
          </w:p>
        </w:tc>
        <w:tc>
          <w:tcPr>
            <w:tcW w:w="47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w w:val="96"/>
              </w:rPr>
              <w:t>Formulations Of Psilocybin Analogs and Methods of Use</w:t>
            </w:r>
          </w:p>
        </w:tc>
        <w:tc>
          <w:tcPr>
            <w:tcW w:w="0" w:type="dxa"/>
            <w:vAlign w:val="bottom"/>
          </w:tcPr>
          <w:p>
            <w:pPr>
              <w:spacing w:after="0"/>
              <w:rPr>
                <w:sz w:val="1"/>
                <w:szCs w:val="1"/>
                <w:color w:val="auto"/>
              </w:rPr>
            </w:pPr>
          </w:p>
        </w:tc>
      </w:tr>
      <w:tr>
        <w:trPr>
          <w:trHeight w:val="186"/>
        </w:trPr>
        <w:tc>
          <w:tcPr>
            <w:tcW w:w="298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w w:val="96"/>
              </w:rPr>
              <w:t>PCT/EP2024/065453</w:t>
            </w:r>
          </w:p>
        </w:tc>
        <w:tc>
          <w:tcPr>
            <w:tcW w:w="18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w w:val="99"/>
              </w:rPr>
              <w:t>WIPO</w:t>
            </w:r>
          </w:p>
        </w:tc>
        <w:tc>
          <w:tcPr>
            <w:tcW w:w="17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w w:val="97"/>
              </w:rPr>
              <w:t>Pending</w:t>
            </w:r>
          </w:p>
        </w:tc>
        <w:tc>
          <w:tcPr>
            <w:tcW w:w="47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w w:val="96"/>
              </w:rPr>
              <w:t>Companion Animal Treatments</w:t>
            </w:r>
          </w:p>
        </w:tc>
        <w:tc>
          <w:tcPr>
            <w:tcW w:w="0" w:type="dxa"/>
            <w:vAlign w:val="bottom"/>
          </w:tcPr>
          <w:p>
            <w:pPr>
              <w:spacing w:after="0"/>
              <w:rPr>
                <w:sz w:val="1"/>
                <w:szCs w:val="1"/>
                <w:color w:val="auto"/>
              </w:rPr>
            </w:pPr>
          </w:p>
        </w:tc>
      </w:tr>
      <w:tr>
        <w:trPr>
          <w:trHeight w:val="186"/>
        </w:trPr>
        <w:tc>
          <w:tcPr>
            <w:tcW w:w="298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w w:val="97"/>
              </w:rPr>
              <w:t>18/720,922</w:t>
            </w:r>
          </w:p>
        </w:tc>
        <w:tc>
          <w:tcPr>
            <w:tcW w:w="18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w w:val="96"/>
              </w:rPr>
              <w:t>United States</w:t>
            </w:r>
          </w:p>
        </w:tc>
        <w:tc>
          <w:tcPr>
            <w:tcW w:w="17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w w:val="97"/>
              </w:rPr>
              <w:t>Pending</w:t>
            </w:r>
          </w:p>
        </w:tc>
        <w:tc>
          <w:tcPr>
            <w:tcW w:w="47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w w:val="97"/>
              </w:rPr>
              <w:t>Tryptamine Compositions and Methods</w:t>
            </w:r>
          </w:p>
        </w:tc>
        <w:tc>
          <w:tcPr>
            <w:tcW w:w="0" w:type="dxa"/>
            <w:vAlign w:val="bottom"/>
          </w:tcPr>
          <w:p>
            <w:pPr>
              <w:spacing w:after="0"/>
              <w:rPr>
                <w:sz w:val="1"/>
                <w:szCs w:val="1"/>
                <w:color w:val="auto"/>
              </w:rPr>
            </w:pPr>
          </w:p>
        </w:tc>
      </w:tr>
      <w:tr>
        <w:trPr>
          <w:trHeight w:val="186"/>
        </w:trPr>
        <w:tc>
          <w:tcPr>
            <w:tcW w:w="298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w w:val="96"/>
              </w:rPr>
              <w:t>PCT/EP2024/067458</w:t>
            </w:r>
          </w:p>
        </w:tc>
        <w:tc>
          <w:tcPr>
            <w:tcW w:w="18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w w:val="99"/>
              </w:rPr>
              <w:t>WIPO</w:t>
            </w:r>
          </w:p>
        </w:tc>
        <w:tc>
          <w:tcPr>
            <w:tcW w:w="17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w w:val="97"/>
              </w:rPr>
              <w:t>Pending</w:t>
            </w:r>
          </w:p>
        </w:tc>
        <w:tc>
          <w:tcPr>
            <w:tcW w:w="47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w w:val="96"/>
              </w:rPr>
              <w:t>Processes For Preparing Phenethylamine Compounds</w:t>
            </w:r>
          </w:p>
        </w:tc>
        <w:tc>
          <w:tcPr>
            <w:tcW w:w="0" w:type="dxa"/>
            <w:vAlign w:val="bottom"/>
          </w:tcPr>
          <w:p>
            <w:pPr>
              <w:spacing w:after="0"/>
              <w:rPr>
                <w:sz w:val="1"/>
                <w:szCs w:val="1"/>
                <w:color w:val="auto"/>
              </w:rPr>
            </w:pPr>
          </w:p>
        </w:tc>
      </w:tr>
      <w:tr>
        <w:trPr>
          <w:trHeight w:val="186"/>
        </w:trPr>
        <w:tc>
          <w:tcPr>
            <w:tcW w:w="298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w w:val="97"/>
              </w:rPr>
              <w:t>18/730,397</w:t>
            </w:r>
          </w:p>
        </w:tc>
        <w:tc>
          <w:tcPr>
            <w:tcW w:w="18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w w:val="96"/>
              </w:rPr>
              <w:t>United States</w:t>
            </w:r>
          </w:p>
        </w:tc>
        <w:tc>
          <w:tcPr>
            <w:tcW w:w="17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w w:val="97"/>
              </w:rPr>
              <w:t>Pending</w:t>
            </w:r>
          </w:p>
        </w:tc>
        <w:tc>
          <w:tcPr>
            <w:tcW w:w="47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w w:val="96"/>
              </w:rPr>
              <w:t>Therapeutic Phenethylamine Compositions and Methods of Use</w:t>
            </w:r>
          </w:p>
        </w:tc>
        <w:tc>
          <w:tcPr>
            <w:tcW w:w="0" w:type="dxa"/>
            <w:vAlign w:val="bottom"/>
          </w:tcPr>
          <w:p>
            <w:pPr>
              <w:spacing w:after="0"/>
              <w:rPr>
                <w:sz w:val="1"/>
                <w:szCs w:val="1"/>
                <w:color w:val="auto"/>
              </w:rPr>
            </w:pPr>
          </w:p>
        </w:tc>
      </w:tr>
      <w:tr>
        <w:trPr>
          <w:trHeight w:val="186"/>
        </w:trPr>
        <w:tc>
          <w:tcPr>
            <w:tcW w:w="298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w w:val="97"/>
              </w:rPr>
              <w:t>18/730,423</w:t>
            </w:r>
          </w:p>
        </w:tc>
        <w:tc>
          <w:tcPr>
            <w:tcW w:w="18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w w:val="96"/>
              </w:rPr>
              <w:t>United States</w:t>
            </w:r>
          </w:p>
        </w:tc>
        <w:tc>
          <w:tcPr>
            <w:tcW w:w="17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w w:val="97"/>
              </w:rPr>
              <w:t>Pending</w:t>
            </w:r>
          </w:p>
        </w:tc>
        <w:tc>
          <w:tcPr>
            <w:tcW w:w="47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w w:val="96"/>
              </w:rPr>
              <w:t>Phenethylamine Derivatives, Compositions, and Methods of Use</w:t>
            </w:r>
          </w:p>
        </w:tc>
        <w:tc>
          <w:tcPr>
            <w:tcW w:w="0" w:type="dxa"/>
            <w:vAlign w:val="bottom"/>
          </w:tcPr>
          <w:p>
            <w:pPr>
              <w:spacing w:after="0"/>
              <w:rPr>
                <w:sz w:val="1"/>
                <w:szCs w:val="1"/>
                <w:color w:val="auto"/>
              </w:rPr>
            </w:pPr>
          </w:p>
        </w:tc>
      </w:tr>
      <w:tr>
        <w:trPr>
          <w:trHeight w:val="186"/>
        </w:trPr>
        <w:tc>
          <w:tcPr>
            <w:tcW w:w="298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w w:val="97"/>
              </w:rPr>
              <w:t>18/825,122</w:t>
            </w:r>
          </w:p>
        </w:tc>
        <w:tc>
          <w:tcPr>
            <w:tcW w:w="18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w w:val="96"/>
              </w:rPr>
              <w:t>United States</w:t>
            </w:r>
          </w:p>
        </w:tc>
        <w:tc>
          <w:tcPr>
            <w:tcW w:w="17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w w:val="97"/>
              </w:rPr>
              <w:t>Pending</w:t>
            </w:r>
          </w:p>
        </w:tc>
        <w:tc>
          <w:tcPr>
            <w:tcW w:w="47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w w:val="96"/>
              </w:rPr>
              <w:t>Therapeutic Phenethylamine Compositions and Methods of Use</w:t>
            </w:r>
          </w:p>
        </w:tc>
        <w:tc>
          <w:tcPr>
            <w:tcW w:w="0" w:type="dxa"/>
            <w:vAlign w:val="bottom"/>
          </w:tcPr>
          <w:p>
            <w:pPr>
              <w:spacing w:after="0"/>
              <w:rPr>
                <w:sz w:val="1"/>
                <w:szCs w:val="1"/>
                <w:color w:val="auto"/>
              </w:rPr>
            </w:pPr>
          </w:p>
        </w:tc>
      </w:tr>
      <w:tr>
        <w:trPr>
          <w:trHeight w:val="186"/>
        </w:trPr>
        <w:tc>
          <w:tcPr>
            <w:tcW w:w="298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w w:val="97"/>
              </w:rPr>
              <w:t>18/883,262</w:t>
            </w:r>
          </w:p>
        </w:tc>
        <w:tc>
          <w:tcPr>
            <w:tcW w:w="18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w w:val="96"/>
              </w:rPr>
              <w:t>United States</w:t>
            </w:r>
          </w:p>
        </w:tc>
        <w:tc>
          <w:tcPr>
            <w:tcW w:w="17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w w:val="97"/>
              </w:rPr>
              <w:t>Pending</w:t>
            </w:r>
          </w:p>
        </w:tc>
        <w:tc>
          <w:tcPr>
            <w:tcW w:w="47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w w:val="96"/>
              </w:rPr>
              <w:t>Deuterated Tryptamine Derivatives and Methods of Use</w:t>
            </w:r>
          </w:p>
        </w:tc>
        <w:tc>
          <w:tcPr>
            <w:tcW w:w="0" w:type="dxa"/>
            <w:vAlign w:val="bottom"/>
          </w:tcPr>
          <w:p>
            <w:pPr>
              <w:spacing w:after="0"/>
              <w:rPr>
                <w:sz w:val="1"/>
                <w:szCs w:val="1"/>
                <w:color w:val="auto"/>
              </w:rPr>
            </w:pPr>
          </w:p>
        </w:tc>
      </w:tr>
      <w:tr>
        <w:trPr>
          <w:trHeight w:val="139"/>
        </w:trPr>
        <w:tc>
          <w:tcPr>
            <w:tcW w:w="2980" w:type="dxa"/>
            <w:vAlign w:val="bottom"/>
            <w:tcBorders>
              <w:left w:val="single" w:sz="8" w:color="auto"/>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5"/>
                <w:szCs w:val="15"/>
                <w:color w:val="auto"/>
                <w:w w:val="97"/>
              </w:rPr>
              <w:t>18/850,356</w:t>
            </w:r>
          </w:p>
        </w:tc>
        <w:tc>
          <w:tcPr>
            <w:tcW w:w="184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5"/>
                <w:szCs w:val="15"/>
                <w:color w:val="auto"/>
                <w:w w:val="96"/>
              </w:rPr>
              <w:t>United States</w:t>
            </w:r>
          </w:p>
        </w:tc>
        <w:tc>
          <w:tcPr>
            <w:tcW w:w="174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5"/>
                <w:szCs w:val="15"/>
                <w:color w:val="auto"/>
                <w:w w:val="97"/>
              </w:rPr>
              <w:t>Pending</w:t>
            </w:r>
          </w:p>
        </w:tc>
        <w:tc>
          <w:tcPr>
            <w:tcW w:w="4720" w:type="dxa"/>
            <w:vAlign w:val="bottom"/>
            <w:tcBorders>
              <w:right w:val="single" w:sz="8" w:color="auto"/>
            </w:tcBorders>
          </w:tcPr>
          <w:p>
            <w:pPr>
              <w:jc w:val="center"/>
              <w:spacing w:after="0" w:line="139" w:lineRule="exact"/>
              <w:rPr>
                <w:sz w:val="20"/>
                <w:szCs w:val="20"/>
                <w:color w:val="auto"/>
              </w:rPr>
            </w:pPr>
            <w:r>
              <w:rPr>
                <w:rFonts w:ascii="Times New Roman" w:cs="Times New Roman" w:eastAsia="Times New Roman" w:hAnsi="Times New Roman"/>
                <w:sz w:val="15"/>
                <w:szCs w:val="15"/>
                <w:color w:val="auto"/>
                <w:w w:val="96"/>
              </w:rPr>
              <w:t>Methods For Delivery of Psychedelic Medications By Inhalation and Systems</w:t>
            </w:r>
          </w:p>
        </w:tc>
        <w:tc>
          <w:tcPr>
            <w:tcW w:w="0" w:type="dxa"/>
            <w:vAlign w:val="bottom"/>
          </w:tcPr>
          <w:p>
            <w:pPr>
              <w:spacing w:after="0"/>
              <w:rPr>
                <w:sz w:val="1"/>
                <w:szCs w:val="1"/>
                <w:color w:val="auto"/>
              </w:rPr>
            </w:pPr>
          </w:p>
        </w:tc>
      </w:tr>
      <w:tr>
        <w:trPr>
          <w:trHeight w:val="117"/>
        </w:trPr>
        <w:tc>
          <w:tcPr>
            <w:tcW w:w="2980" w:type="dxa"/>
            <w:vAlign w:val="bottom"/>
            <w:tcBorders>
              <w:left w:val="single" w:sz="8" w:color="auto"/>
              <w:right w:val="single" w:sz="8" w:color="auto"/>
            </w:tcBorders>
            <w:vMerge w:val="continue"/>
          </w:tcPr>
          <w:p>
            <w:pPr>
              <w:spacing w:after="0"/>
              <w:rPr>
                <w:sz w:val="10"/>
                <w:szCs w:val="10"/>
                <w:color w:val="auto"/>
              </w:rPr>
            </w:pPr>
          </w:p>
        </w:tc>
        <w:tc>
          <w:tcPr>
            <w:tcW w:w="1840" w:type="dxa"/>
            <w:vAlign w:val="bottom"/>
            <w:tcBorders>
              <w:right w:val="single" w:sz="8" w:color="auto"/>
            </w:tcBorders>
            <w:vMerge w:val="continue"/>
          </w:tcPr>
          <w:p>
            <w:pPr>
              <w:spacing w:after="0"/>
              <w:rPr>
                <w:sz w:val="10"/>
                <w:szCs w:val="10"/>
                <w:color w:val="auto"/>
              </w:rPr>
            </w:pPr>
          </w:p>
        </w:tc>
        <w:tc>
          <w:tcPr>
            <w:tcW w:w="1740" w:type="dxa"/>
            <w:vAlign w:val="bottom"/>
            <w:tcBorders>
              <w:right w:val="single" w:sz="8" w:color="auto"/>
            </w:tcBorders>
            <w:vMerge w:val="continue"/>
          </w:tcPr>
          <w:p>
            <w:pPr>
              <w:spacing w:after="0"/>
              <w:rPr>
                <w:sz w:val="10"/>
                <w:szCs w:val="10"/>
                <w:color w:val="auto"/>
              </w:rPr>
            </w:pPr>
          </w:p>
        </w:tc>
        <w:tc>
          <w:tcPr>
            <w:tcW w:w="472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5"/>
                <w:szCs w:val="15"/>
                <w:color w:val="auto"/>
                <w:w w:val="95"/>
              </w:rPr>
              <w:t>For Performing the Methods</w:t>
            </w:r>
          </w:p>
        </w:tc>
        <w:tc>
          <w:tcPr>
            <w:tcW w:w="0" w:type="dxa"/>
            <w:vAlign w:val="bottom"/>
          </w:tcPr>
          <w:p>
            <w:pPr>
              <w:spacing w:after="0"/>
              <w:rPr>
                <w:sz w:val="1"/>
                <w:szCs w:val="1"/>
                <w:color w:val="auto"/>
              </w:rPr>
            </w:pPr>
          </w:p>
        </w:tc>
      </w:tr>
      <w:tr>
        <w:trPr>
          <w:trHeight w:val="75"/>
        </w:trPr>
        <w:tc>
          <w:tcPr>
            <w:tcW w:w="2980" w:type="dxa"/>
            <w:vAlign w:val="bottom"/>
            <w:tcBorders>
              <w:left w:val="single" w:sz="8" w:color="auto"/>
              <w:bottom w:val="single" w:sz="8" w:color="auto"/>
              <w:right w:val="single" w:sz="8" w:color="auto"/>
            </w:tcBorders>
          </w:tcPr>
          <w:p>
            <w:pPr>
              <w:spacing w:after="0"/>
              <w:rPr>
                <w:sz w:val="6"/>
                <w:szCs w:val="6"/>
                <w:color w:val="auto"/>
              </w:rPr>
            </w:pPr>
          </w:p>
        </w:tc>
        <w:tc>
          <w:tcPr>
            <w:tcW w:w="1840" w:type="dxa"/>
            <w:vAlign w:val="bottom"/>
            <w:tcBorders>
              <w:bottom w:val="single" w:sz="8" w:color="auto"/>
              <w:right w:val="single" w:sz="8" w:color="auto"/>
            </w:tcBorders>
          </w:tcPr>
          <w:p>
            <w:pPr>
              <w:spacing w:after="0"/>
              <w:rPr>
                <w:sz w:val="6"/>
                <w:szCs w:val="6"/>
                <w:color w:val="auto"/>
              </w:rPr>
            </w:pPr>
          </w:p>
        </w:tc>
        <w:tc>
          <w:tcPr>
            <w:tcW w:w="1740" w:type="dxa"/>
            <w:vAlign w:val="bottom"/>
            <w:tcBorders>
              <w:bottom w:val="single" w:sz="8" w:color="auto"/>
              <w:right w:val="single" w:sz="8" w:color="auto"/>
            </w:tcBorders>
          </w:tcPr>
          <w:p>
            <w:pPr>
              <w:spacing w:after="0"/>
              <w:rPr>
                <w:sz w:val="6"/>
                <w:szCs w:val="6"/>
                <w:color w:val="auto"/>
              </w:rPr>
            </w:pPr>
          </w:p>
        </w:tc>
        <w:tc>
          <w:tcPr>
            <w:tcW w:w="4720" w:type="dxa"/>
            <w:vAlign w:val="bottom"/>
            <w:tcBorders>
              <w:bottom w:val="single" w:sz="8" w:color="auto"/>
              <w:right w:val="single" w:sz="8" w:color="auto"/>
            </w:tcBorders>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6"/>
        </w:trPr>
        <w:tc>
          <w:tcPr>
            <w:tcW w:w="298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w w:val="94"/>
              </w:rPr>
              <w:t>18/852,115</w:t>
            </w:r>
          </w:p>
        </w:tc>
        <w:tc>
          <w:tcPr>
            <w:tcW w:w="18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w w:val="96"/>
              </w:rPr>
              <w:t>United States</w:t>
            </w:r>
          </w:p>
        </w:tc>
        <w:tc>
          <w:tcPr>
            <w:tcW w:w="17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w w:val="97"/>
              </w:rPr>
              <w:t>Pending</w:t>
            </w:r>
          </w:p>
        </w:tc>
        <w:tc>
          <w:tcPr>
            <w:tcW w:w="47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w w:val="97"/>
              </w:rPr>
              <w:t>Combination of Nitrous Oxide and 5-HT2A Receptor Agonists</w:t>
            </w:r>
          </w:p>
        </w:tc>
        <w:tc>
          <w:tcPr>
            <w:tcW w:w="0" w:type="dxa"/>
            <w:vAlign w:val="bottom"/>
          </w:tcPr>
          <w:p>
            <w:pPr>
              <w:spacing w:after="0"/>
              <w:rPr>
                <w:sz w:val="1"/>
                <w:szCs w:val="1"/>
                <w:color w:val="auto"/>
              </w:rPr>
            </w:pPr>
          </w:p>
        </w:tc>
      </w:tr>
      <w:tr>
        <w:trPr>
          <w:trHeight w:val="186"/>
        </w:trPr>
        <w:tc>
          <w:tcPr>
            <w:tcW w:w="298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w w:val="97"/>
              </w:rPr>
              <w:t>793553</w:t>
            </w:r>
          </w:p>
        </w:tc>
        <w:tc>
          <w:tcPr>
            <w:tcW w:w="18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w w:val="96"/>
              </w:rPr>
              <w:t>New Zealand</w:t>
            </w:r>
          </w:p>
        </w:tc>
        <w:tc>
          <w:tcPr>
            <w:tcW w:w="17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w w:val="97"/>
              </w:rPr>
              <w:t>Pending</w:t>
            </w:r>
          </w:p>
        </w:tc>
        <w:tc>
          <w:tcPr>
            <w:tcW w:w="47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w w:val="96"/>
              </w:rPr>
              <w:t>Deuterated Tryptamine Derivatives and Methods of Use</w:t>
            </w:r>
          </w:p>
        </w:tc>
        <w:tc>
          <w:tcPr>
            <w:tcW w:w="0" w:type="dxa"/>
            <w:vAlign w:val="bottom"/>
          </w:tcPr>
          <w:p>
            <w:pPr>
              <w:spacing w:after="0"/>
              <w:rPr>
                <w:sz w:val="1"/>
                <w:szCs w:val="1"/>
                <w:color w:val="auto"/>
              </w:rPr>
            </w:pPr>
          </w:p>
        </w:tc>
      </w:tr>
      <w:tr>
        <w:trPr>
          <w:trHeight w:val="186"/>
        </w:trPr>
        <w:tc>
          <w:tcPr>
            <w:tcW w:w="298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w w:val="97"/>
              </w:rPr>
              <w:t>812214</w:t>
            </w:r>
          </w:p>
        </w:tc>
        <w:tc>
          <w:tcPr>
            <w:tcW w:w="18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w w:val="96"/>
              </w:rPr>
              <w:t>New Zealand</w:t>
            </w:r>
          </w:p>
        </w:tc>
        <w:tc>
          <w:tcPr>
            <w:tcW w:w="17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w w:val="97"/>
              </w:rPr>
              <w:t>Pending</w:t>
            </w:r>
          </w:p>
        </w:tc>
        <w:tc>
          <w:tcPr>
            <w:tcW w:w="47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w w:val="96"/>
              </w:rPr>
              <w:t>Deuterated Tryptamine Derivatives and Methods of Use</w:t>
            </w:r>
          </w:p>
        </w:tc>
        <w:tc>
          <w:tcPr>
            <w:tcW w:w="0" w:type="dxa"/>
            <w:vAlign w:val="bottom"/>
          </w:tcPr>
          <w:p>
            <w:pPr>
              <w:spacing w:after="0"/>
              <w:rPr>
                <w:sz w:val="1"/>
                <w:szCs w:val="1"/>
                <w:color w:val="auto"/>
              </w:rPr>
            </w:pPr>
          </w:p>
        </w:tc>
      </w:tr>
      <w:tr>
        <w:trPr>
          <w:trHeight w:val="186"/>
        </w:trPr>
        <w:tc>
          <w:tcPr>
            <w:tcW w:w="298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w w:val="97"/>
              </w:rPr>
              <w:t>297492</w:t>
            </w:r>
          </w:p>
        </w:tc>
        <w:tc>
          <w:tcPr>
            <w:tcW w:w="18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rPr>
              <w:t>Israel</w:t>
            </w:r>
          </w:p>
        </w:tc>
        <w:tc>
          <w:tcPr>
            <w:tcW w:w="17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w w:val="97"/>
              </w:rPr>
              <w:t>Pending</w:t>
            </w:r>
          </w:p>
        </w:tc>
        <w:tc>
          <w:tcPr>
            <w:tcW w:w="47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w w:val="96"/>
              </w:rPr>
              <w:t>Deuterated Tryptamine Derivatives and Methods of Use</w:t>
            </w:r>
          </w:p>
        </w:tc>
        <w:tc>
          <w:tcPr>
            <w:tcW w:w="0" w:type="dxa"/>
            <w:vAlign w:val="bottom"/>
          </w:tcPr>
          <w:p>
            <w:pPr>
              <w:spacing w:after="0"/>
              <w:rPr>
                <w:sz w:val="1"/>
                <w:szCs w:val="1"/>
                <w:color w:val="auto"/>
              </w:rPr>
            </w:pPr>
          </w:p>
        </w:tc>
      </w:tr>
      <w:tr>
        <w:trPr>
          <w:trHeight w:val="186"/>
        </w:trPr>
        <w:tc>
          <w:tcPr>
            <w:tcW w:w="298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w w:val="97"/>
              </w:rPr>
              <w:t>312785</w:t>
            </w:r>
          </w:p>
        </w:tc>
        <w:tc>
          <w:tcPr>
            <w:tcW w:w="18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rPr>
              <w:t>Israel</w:t>
            </w:r>
          </w:p>
        </w:tc>
        <w:tc>
          <w:tcPr>
            <w:tcW w:w="17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w w:val="97"/>
              </w:rPr>
              <w:t>Pending</w:t>
            </w:r>
          </w:p>
        </w:tc>
        <w:tc>
          <w:tcPr>
            <w:tcW w:w="47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w w:val="96"/>
              </w:rPr>
              <w:t>Deuterated Tryptamine Derivatives and Methods of Use</w:t>
            </w:r>
          </w:p>
        </w:tc>
        <w:tc>
          <w:tcPr>
            <w:tcW w:w="0" w:type="dxa"/>
            <w:vAlign w:val="bottom"/>
          </w:tcPr>
          <w:p>
            <w:pPr>
              <w:spacing w:after="0"/>
              <w:rPr>
                <w:sz w:val="1"/>
                <w:szCs w:val="1"/>
                <w:color w:val="auto"/>
              </w:rPr>
            </w:pPr>
          </w:p>
        </w:tc>
      </w:tr>
      <w:tr>
        <w:trPr>
          <w:trHeight w:val="186"/>
        </w:trPr>
        <w:tc>
          <w:tcPr>
            <w:tcW w:w="298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w w:val="98"/>
              </w:rPr>
              <w:t>3177454</w:t>
            </w:r>
          </w:p>
        </w:tc>
        <w:tc>
          <w:tcPr>
            <w:tcW w:w="18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w w:val="93"/>
              </w:rPr>
              <w:t>Canada</w:t>
            </w:r>
          </w:p>
        </w:tc>
        <w:tc>
          <w:tcPr>
            <w:tcW w:w="17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w w:val="97"/>
              </w:rPr>
              <w:t>Pending</w:t>
            </w:r>
          </w:p>
        </w:tc>
        <w:tc>
          <w:tcPr>
            <w:tcW w:w="47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w w:val="96"/>
              </w:rPr>
              <w:t>Deuterated Tryptamine Derivatives and Methods of Use</w:t>
            </w:r>
          </w:p>
        </w:tc>
        <w:tc>
          <w:tcPr>
            <w:tcW w:w="0" w:type="dxa"/>
            <w:vAlign w:val="bottom"/>
          </w:tcPr>
          <w:p>
            <w:pPr>
              <w:spacing w:after="0"/>
              <w:rPr>
                <w:sz w:val="1"/>
                <w:szCs w:val="1"/>
                <w:color w:val="auto"/>
              </w:rPr>
            </w:pPr>
          </w:p>
        </w:tc>
      </w:tr>
      <w:tr>
        <w:trPr>
          <w:trHeight w:val="186"/>
        </w:trPr>
        <w:tc>
          <w:tcPr>
            <w:tcW w:w="298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w w:val="96"/>
              </w:rPr>
              <w:t>NC2022/0016662</w:t>
            </w:r>
          </w:p>
        </w:tc>
        <w:tc>
          <w:tcPr>
            <w:tcW w:w="18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w w:val="97"/>
              </w:rPr>
              <w:t>Colombia</w:t>
            </w:r>
          </w:p>
        </w:tc>
        <w:tc>
          <w:tcPr>
            <w:tcW w:w="17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w w:val="97"/>
              </w:rPr>
              <w:t>Pending</w:t>
            </w:r>
          </w:p>
        </w:tc>
        <w:tc>
          <w:tcPr>
            <w:tcW w:w="47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w w:val="96"/>
              </w:rPr>
              <w:t>Deuterated Tryptamine Derivatives and Methods of Use</w:t>
            </w:r>
          </w:p>
        </w:tc>
        <w:tc>
          <w:tcPr>
            <w:tcW w:w="0" w:type="dxa"/>
            <w:vAlign w:val="bottom"/>
          </w:tcPr>
          <w:p>
            <w:pPr>
              <w:spacing w:after="0"/>
              <w:rPr>
                <w:sz w:val="1"/>
                <w:szCs w:val="1"/>
                <w:color w:val="auto"/>
              </w:rPr>
            </w:pPr>
          </w:p>
        </w:tc>
      </w:tr>
      <w:tr>
        <w:trPr>
          <w:trHeight w:val="186"/>
        </w:trPr>
        <w:tc>
          <w:tcPr>
            <w:tcW w:w="298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w w:val="96"/>
              </w:rPr>
              <w:t>MX/a/2022/014605</w:t>
            </w:r>
          </w:p>
        </w:tc>
        <w:tc>
          <w:tcPr>
            <w:tcW w:w="18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rPr>
              <w:t>Mexico</w:t>
            </w:r>
          </w:p>
        </w:tc>
        <w:tc>
          <w:tcPr>
            <w:tcW w:w="17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w w:val="97"/>
              </w:rPr>
              <w:t>Pending</w:t>
            </w:r>
          </w:p>
        </w:tc>
        <w:tc>
          <w:tcPr>
            <w:tcW w:w="47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w w:val="96"/>
              </w:rPr>
              <w:t>Deuterated Tryptamine Derivatives and Methods of Use</w:t>
            </w:r>
          </w:p>
        </w:tc>
        <w:tc>
          <w:tcPr>
            <w:tcW w:w="0" w:type="dxa"/>
            <w:vAlign w:val="bottom"/>
          </w:tcPr>
          <w:p>
            <w:pPr>
              <w:spacing w:after="0"/>
              <w:rPr>
                <w:sz w:val="1"/>
                <w:szCs w:val="1"/>
                <w:color w:val="auto"/>
              </w:rPr>
            </w:pPr>
          </w:p>
        </w:tc>
      </w:tr>
      <w:tr>
        <w:trPr>
          <w:trHeight w:val="186"/>
        </w:trPr>
        <w:tc>
          <w:tcPr>
            <w:tcW w:w="298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w w:val="96"/>
              </w:rPr>
              <w:t>MX/a/2024/006467</w:t>
            </w:r>
          </w:p>
        </w:tc>
        <w:tc>
          <w:tcPr>
            <w:tcW w:w="18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rPr>
              <w:t>Mexico</w:t>
            </w:r>
          </w:p>
        </w:tc>
        <w:tc>
          <w:tcPr>
            <w:tcW w:w="17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w w:val="97"/>
              </w:rPr>
              <w:t>Pending</w:t>
            </w:r>
          </w:p>
        </w:tc>
        <w:tc>
          <w:tcPr>
            <w:tcW w:w="47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w w:val="96"/>
              </w:rPr>
              <w:t>Deuterated Tryptamine Derivatives and Methods of Use</w:t>
            </w:r>
          </w:p>
        </w:tc>
        <w:tc>
          <w:tcPr>
            <w:tcW w:w="0" w:type="dxa"/>
            <w:vAlign w:val="bottom"/>
          </w:tcPr>
          <w:p>
            <w:pPr>
              <w:spacing w:after="0"/>
              <w:rPr>
                <w:sz w:val="1"/>
                <w:szCs w:val="1"/>
                <w:color w:val="auto"/>
              </w:rPr>
            </w:pPr>
          </w:p>
        </w:tc>
      </w:tr>
      <w:tr>
        <w:trPr>
          <w:trHeight w:val="186"/>
        </w:trPr>
        <w:tc>
          <w:tcPr>
            <w:tcW w:w="298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w w:val="97"/>
              </w:rPr>
              <w:t>202203191</w:t>
            </w:r>
          </w:p>
        </w:tc>
        <w:tc>
          <w:tcPr>
            <w:tcW w:w="18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w w:val="92"/>
              </w:rPr>
              <w:t>Chile</w:t>
            </w:r>
          </w:p>
        </w:tc>
        <w:tc>
          <w:tcPr>
            <w:tcW w:w="17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w w:val="97"/>
              </w:rPr>
              <w:t>Pending</w:t>
            </w:r>
          </w:p>
        </w:tc>
        <w:tc>
          <w:tcPr>
            <w:tcW w:w="47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w w:val="96"/>
              </w:rPr>
              <w:t>Deuterated Tryptamine Derivatives and Methods of Use</w:t>
            </w:r>
          </w:p>
        </w:tc>
        <w:tc>
          <w:tcPr>
            <w:tcW w:w="0" w:type="dxa"/>
            <w:vAlign w:val="bottom"/>
          </w:tcPr>
          <w:p>
            <w:pPr>
              <w:spacing w:after="0"/>
              <w:rPr>
                <w:sz w:val="1"/>
                <w:szCs w:val="1"/>
                <w:color w:val="auto"/>
              </w:rPr>
            </w:pPr>
          </w:p>
        </w:tc>
      </w:tr>
      <w:tr>
        <w:trPr>
          <w:trHeight w:val="186"/>
        </w:trPr>
        <w:tc>
          <w:tcPr>
            <w:tcW w:w="298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w w:val="96"/>
              </w:rPr>
              <w:t>10-2022-7040243</w:t>
            </w:r>
          </w:p>
        </w:tc>
        <w:tc>
          <w:tcPr>
            <w:tcW w:w="18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w w:val="95"/>
              </w:rPr>
              <w:t>Republic of Korea</w:t>
            </w:r>
          </w:p>
        </w:tc>
        <w:tc>
          <w:tcPr>
            <w:tcW w:w="17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w w:val="97"/>
              </w:rPr>
              <w:t>Pending</w:t>
            </w:r>
          </w:p>
        </w:tc>
        <w:tc>
          <w:tcPr>
            <w:tcW w:w="47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w w:val="96"/>
              </w:rPr>
              <w:t>Deuterated Tryptamine Derivatives and Methods of Use</w:t>
            </w:r>
          </w:p>
        </w:tc>
        <w:tc>
          <w:tcPr>
            <w:tcW w:w="0" w:type="dxa"/>
            <w:vAlign w:val="bottom"/>
          </w:tcPr>
          <w:p>
            <w:pPr>
              <w:spacing w:after="0"/>
              <w:rPr>
                <w:sz w:val="1"/>
                <w:szCs w:val="1"/>
                <w:color w:val="auto"/>
              </w:rPr>
            </w:pPr>
          </w:p>
        </w:tc>
      </w:tr>
      <w:tr>
        <w:trPr>
          <w:trHeight w:val="186"/>
        </w:trPr>
        <w:tc>
          <w:tcPr>
            <w:tcW w:w="298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w w:val="96"/>
              </w:rPr>
              <w:t>10-2024-7019118</w:t>
            </w:r>
          </w:p>
        </w:tc>
        <w:tc>
          <w:tcPr>
            <w:tcW w:w="18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w w:val="95"/>
              </w:rPr>
              <w:t>Republic of Korea</w:t>
            </w:r>
          </w:p>
        </w:tc>
        <w:tc>
          <w:tcPr>
            <w:tcW w:w="17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w w:val="97"/>
              </w:rPr>
              <w:t>Pending</w:t>
            </w:r>
          </w:p>
        </w:tc>
        <w:tc>
          <w:tcPr>
            <w:tcW w:w="47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w w:val="96"/>
              </w:rPr>
              <w:t>Deuterated Tryptamine Derivatives and Methods of Use</w:t>
            </w:r>
          </w:p>
        </w:tc>
        <w:tc>
          <w:tcPr>
            <w:tcW w:w="0" w:type="dxa"/>
            <w:vAlign w:val="bottom"/>
          </w:tcPr>
          <w:p>
            <w:pPr>
              <w:spacing w:after="0"/>
              <w:rPr>
                <w:sz w:val="1"/>
                <w:szCs w:val="1"/>
                <w:color w:val="auto"/>
              </w:rPr>
            </w:pPr>
          </w:p>
        </w:tc>
      </w:tr>
      <w:tr>
        <w:trPr>
          <w:trHeight w:val="186"/>
        </w:trPr>
        <w:tc>
          <w:tcPr>
            <w:tcW w:w="298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w w:val="96"/>
              </w:rPr>
              <w:t>EP21808464.8</w:t>
            </w:r>
          </w:p>
        </w:tc>
        <w:tc>
          <w:tcPr>
            <w:tcW w:w="18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w w:val="96"/>
              </w:rPr>
              <w:t>European Patent Office</w:t>
            </w:r>
          </w:p>
        </w:tc>
        <w:tc>
          <w:tcPr>
            <w:tcW w:w="17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w w:val="97"/>
              </w:rPr>
              <w:t>Pending</w:t>
            </w:r>
          </w:p>
        </w:tc>
        <w:tc>
          <w:tcPr>
            <w:tcW w:w="47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w w:val="96"/>
              </w:rPr>
              <w:t>Deuterated Tryptamine Derivatives and Methods of Use</w:t>
            </w:r>
          </w:p>
        </w:tc>
        <w:tc>
          <w:tcPr>
            <w:tcW w:w="0" w:type="dxa"/>
            <w:vAlign w:val="bottom"/>
          </w:tcPr>
          <w:p>
            <w:pPr>
              <w:spacing w:after="0"/>
              <w:rPr>
                <w:sz w:val="1"/>
                <w:szCs w:val="1"/>
                <w:color w:val="auto"/>
              </w:rPr>
            </w:pPr>
          </w:p>
        </w:tc>
      </w:tr>
      <w:tr>
        <w:trPr>
          <w:trHeight w:val="186"/>
        </w:trPr>
        <w:tc>
          <w:tcPr>
            <w:tcW w:w="298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w w:val="95"/>
              </w:rPr>
              <w:t>24175524.8</w:t>
            </w:r>
          </w:p>
        </w:tc>
        <w:tc>
          <w:tcPr>
            <w:tcW w:w="18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w w:val="96"/>
              </w:rPr>
              <w:t>European Patent Office</w:t>
            </w:r>
          </w:p>
        </w:tc>
        <w:tc>
          <w:tcPr>
            <w:tcW w:w="17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w w:val="97"/>
              </w:rPr>
              <w:t>Pending</w:t>
            </w:r>
          </w:p>
        </w:tc>
        <w:tc>
          <w:tcPr>
            <w:tcW w:w="47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w w:val="96"/>
              </w:rPr>
              <w:t>Deuterated Tryptamine Derivatives and Methods of Use</w:t>
            </w:r>
          </w:p>
        </w:tc>
        <w:tc>
          <w:tcPr>
            <w:tcW w:w="0" w:type="dxa"/>
            <w:vAlign w:val="bottom"/>
          </w:tcPr>
          <w:p>
            <w:pPr>
              <w:spacing w:after="0"/>
              <w:rPr>
                <w:sz w:val="1"/>
                <w:szCs w:val="1"/>
                <w:color w:val="auto"/>
              </w:rPr>
            </w:pPr>
          </w:p>
        </w:tc>
      </w:tr>
      <w:tr>
        <w:trPr>
          <w:trHeight w:val="186"/>
        </w:trPr>
        <w:tc>
          <w:tcPr>
            <w:tcW w:w="298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w w:val="96"/>
              </w:rPr>
              <w:t>202180036163.3</w:t>
            </w:r>
          </w:p>
        </w:tc>
        <w:tc>
          <w:tcPr>
            <w:tcW w:w="18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w w:val="94"/>
              </w:rPr>
              <w:t>China</w:t>
            </w:r>
          </w:p>
        </w:tc>
        <w:tc>
          <w:tcPr>
            <w:tcW w:w="17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w w:val="97"/>
              </w:rPr>
              <w:t>Pending</w:t>
            </w:r>
          </w:p>
        </w:tc>
        <w:tc>
          <w:tcPr>
            <w:tcW w:w="47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w w:val="96"/>
              </w:rPr>
              <w:t>Deuterated Tryptamine Derivatives and Methods of Use</w:t>
            </w:r>
          </w:p>
        </w:tc>
        <w:tc>
          <w:tcPr>
            <w:tcW w:w="0" w:type="dxa"/>
            <w:vAlign w:val="bottom"/>
          </w:tcPr>
          <w:p>
            <w:pPr>
              <w:spacing w:after="0"/>
              <w:rPr>
                <w:sz w:val="1"/>
                <w:szCs w:val="1"/>
                <w:color w:val="auto"/>
              </w:rPr>
            </w:pPr>
          </w:p>
        </w:tc>
      </w:tr>
      <w:tr>
        <w:trPr>
          <w:trHeight w:val="186"/>
        </w:trPr>
        <w:tc>
          <w:tcPr>
            <w:tcW w:w="298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w w:val="96"/>
              </w:rPr>
              <w:t>202410728550.9</w:t>
            </w:r>
          </w:p>
        </w:tc>
        <w:tc>
          <w:tcPr>
            <w:tcW w:w="18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w w:val="94"/>
              </w:rPr>
              <w:t>China</w:t>
            </w:r>
          </w:p>
        </w:tc>
        <w:tc>
          <w:tcPr>
            <w:tcW w:w="17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w w:val="97"/>
              </w:rPr>
              <w:t>Pending</w:t>
            </w:r>
          </w:p>
        </w:tc>
        <w:tc>
          <w:tcPr>
            <w:tcW w:w="47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w w:val="96"/>
              </w:rPr>
              <w:t>Deuterated Tryptamine Derivatives and Methods of Use</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29</w:t>
      </w:r>
    </w:p>
    <w:p>
      <w:pPr>
        <w:sectPr>
          <w:pgSz w:w="11900" w:h="16838" w:orient="portrait"/>
          <w:cols w:equalWidth="0" w:num="1">
            <w:col w:w="11260"/>
          </w:cols>
          <w:pgMar w:left="320" w:top="1304" w:right="319" w:bottom="1440" w:gutter="0" w:footer="0" w:header="0"/>
        </w:sectPr>
      </w:pPr>
    </w:p>
    <w:bookmarkStart w:id="55" w:name="page56"/>
    <w:bookmarkEnd w:id="55"/>
    <w:tbl>
      <w:tblPr>
        <w:tblLayout w:type="fixed"/>
        <w:tblInd w:w="10" w:type="dxa"/>
        <w:tblCellMar>
          <w:top w:w="0" w:type="dxa"/>
          <w:left w:w="0" w:type="dxa"/>
          <w:bottom w:w="0" w:type="dxa"/>
          <w:right w:w="0" w:type="dxa"/>
        </w:tblCellMar>
      </w:tblPr>
      <w:tr>
        <w:trPr>
          <w:trHeight w:val="206"/>
        </w:trPr>
        <w:tc>
          <w:tcPr>
            <w:tcW w:w="2980" w:type="dxa"/>
            <w:vAlign w:val="bottom"/>
            <w:tcBorders>
              <w:top w:val="single" w:sz="8" w:color="auto"/>
              <w:left w:val="single" w:sz="8" w:color="auto"/>
              <w:bottom w:val="single" w:sz="8" w:color="auto"/>
              <w:right w:val="single" w:sz="8" w:color="auto"/>
            </w:tcBorders>
            <w:shd w:val="clear" w:color="auto" w:fill="BFBFBF"/>
          </w:tcPr>
          <w:p>
            <w:pPr>
              <w:ind w:left="620"/>
              <w:spacing w:after="0"/>
              <w:rPr>
                <w:sz w:val="20"/>
                <w:szCs w:val="20"/>
                <w:color w:val="auto"/>
              </w:rPr>
            </w:pPr>
            <w:r>
              <w:rPr>
                <w:rFonts w:ascii="Times New Roman" w:cs="Times New Roman" w:eastAsia="Times New Roman" w:hAnsi="Times New Roman"/>
                <w:sz w:val="15"/>
                <w:szCs w:val="15"/>
                <w:b w:val="1"/>
                <w:bCs w:val="1"/>
                <w:color w:val="auto"/>
              </w:rPr>
              <w:t>Patent Application Number</w:t>
            </w:r>
          </w:p>
        </w:tc>
        <w:tc>
          <w:tcPr>
            <w:tcW w:w="1840" w:type="dxa"/>
            <w:vAlign w:val="bottom"/>
            <w:tcBorders>
              <w:top w:val="single" w:sz="8" w:color="auto"/>
              <w:bottom w:val="single" w:sz="8" w:color="auto"/>
              <w:right w:val="single" w:sz="8" w:color="auto"/>
            </w:tcBorders>
            <w:shd w:val="clear" w:color="auto" w:fill="BFBFBF"/>
          </w:tcPr>
          <w:p>
            <w:pPr>
              <w:jc w:val="center"/>
              <w:spacing w:after="0"/>
              <w:rPr>
                <w:sz w:val="20"/>
                <w:szCs w:val="20"/>
                <w:color w:val="auto"/>
              </w:rPr>
            </w:pPr>
            <w:r>
              <w:rPr>
                <w:rFonts w:ascii="Times New Roman" w:cs="Times New Roman" w:eastAsia="Times New Roman" w:hAnsi="Times New Roman"/>
                <w:sz w:val="15"/>
                <w:szCs w:val="15"/>
                <w:b w:val="1"/>
                <w:bCs w:val="1"/>
                <w:color w:val="auto"/>
                <w:w w:val="96"/>
              </w:rPr>
              <w:t>Jurisdiction of Filing</w:t>
            </w:r>
          </w:p>
        </w:tc>
        <w:tc>
          <w:tcPr>
            <w:tcW w:w="1740" w:type="dxa"/>
            <w:vAlign w:val="bottom"/>
            <w:tcBorders>
              <w:top w:val="single" w:sz="8" w:color="auto"/>
              <w:bottom w:val="single" w:sz="8" w:color="auto"/>
              <w:right w:val="single" w:sz="8" w:color="auto"/>
            </w:tcBorders>
            <w:shd w:val="clear" w:color="auto" w:fill="BFBFBF"/>
          </w:tcPr>
          <w:p>
            <w:pPr>
              <w:jc w:val="center"/>
              <w:spacing w:after="0"/>
              <w:rPr>
                <w:sz w:val="20"/>
                <w:szCs w:val="20"/>
                <w:color w:val="auto"/>
              </w:rPr>
            </w:pPr>
            <w:r>
              <w:rPr>
                <w:rFonts w:ascii="Times New Roman" w:cs="Times New Roman" w:eastAsia="Times New Roman" w:hAnsi="Times New Roman"/>
                <w:sz w:val="15"/>
                <w:szCs w:val="15"/>
                <w:b w:val="1"/>
                <w:bCs w:val="1"/>
                <w:color w:val="auto"/>
                <w:w w:val="99"/>
              </w:rPr>
              <w:t>Status</w:t>
            </w:r>
          </w:p>
        </w:tc>
        <w:tc>
          <w:tcPr>
            <w:tcW w:w="4720" w:type="dxa"/>
            <w:vAlign w:val="bottom"/>
            <w:tcBorders>
              <w:top w:val="single" w:sz="8" w:color="auto"/>
              <w:bottom w:val="single" w:sz="8" w:color="auto"/>
              <w:right w:val="single" w:sz="8" w:color="auto"/>
            </w:tcBorders>
            <w:shd w:val="clear" w:color="auto" w:fill="BFBFBF"/>
          </w:tcPr>
          <w:p>
            <w:pPr>
              <w:jc w:val="center"/>
              <w:spacing w:after="0"/>
              <w:rPr>
                <w:sz w:val="20"/>
                <w:szCs w:val="20"/>
                <w:color w:val="auto"/>
              </w:rPr>
            </w:pPr>
            <w:r>
              <w:rPr>
                <w:rFonts w:ascii="Times New Roman" w:cs="Times New Roman" w:eastAsia="Times New Roman" w:hAnsi="Times New Roman"/>
                <w:sz w:val="15"/>
                <w:szCs w:val="15"/>
                <w:b w:val="1"/>
                <w:bCs w:val="1"/>
                <w:color w:val="auto"/>
                <w:w w:val="97"/>
              </w:rPr>
              <w:t>Description</w:t>
            </w:r>
          </w:p>
        </w:tc>
        <w:tc>
          <w:tcPr>
            <w:tcW w:w="0" w:type="dxa"/>
            <w:vAlign w:val="bottom"/>
          </w:tcPr>
          <w:p>
            <w:pPr>
              <w:spacing w:after="0"/>
              <w:rPr>
                <w:sz w:val="1"/>
                <w:szCs w:val="1"/>
                <w:color w:val="auto"/>
              </w:rPr>
            </w:pPr>
          </w:p>
        </w:tc>
      </w:tr>
      <w:tr>
        <w:trPr>
          <w:trHeight w:val="183"/>
        </w:trPr>
        <w:tc>
          <w:tcPr>
            <w:tcW w:w="298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w w:val="96"/>
              </w:rPr>
              <w:t>1120220235658</w:t>
            </w:r>
          </w:p>
        </w:tc>
        <w:tc>
          <w:tcPr>
            <w:tcW w:w="18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w w:val="92"/>
              </w:rPr>
              <w:t>Brazil</w:t>
            </w:r>
          </w:p>
        </w:tc>
        <w:tc>
          <w:tcPr>
            <w:tcW w:w="17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w w:val="97"/>
              </w:rPr>
              <w:t>Pending</w:t>
            </w:r>
          </w:p>
        </w:tc>
        <w:tc>
          <w:tcPr>
            <w:tcW w:w="47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w w:val="96"/>
              </w:rPr>
              <w:t>Deuterated Tryptamine Derivatives and Methods of Use</w:t>
            </w:r>
          </w:p>
        </w:tc>
        <w:tc>
          <w:tcPr>
            <w:tcW w:w="0" w:type="dxa"/>
            <w:vAlign w:val="bottom"/>
          </w:tcPr>
          <w:p>
            <w:pPr>
              <w:spacing w:after="0"/>
              <w:rPr>
                <w:sz w:val="1"/>
                <w:szCs w:val="1"/>
                <w:color w:val="auto"/>
              </w:rPr>
            </w:pPr>
          </w:p>
        </w:tc>
      </w:tr>
      <w:tr>
        <w:trPr>
          <w:trHeight w:val="186"/>
        </w:trPr>
        <w:tc>
          <w:tcPr>
            <w:tcW w:w="298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w w:val="95"/>
              </w:rPr>
              <w:t>2021276656</w:t>
            </w:r>
          </w:p>
        </w:tc>
        <w:tc>
          <w:tcPr>
            <w:tcW w:w="18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w w:val="98"/>
              </w:rPr>
              <w:t>Australia</w:t>
            </w:r>
          </w:p>
        </w:tc>
        <w:tc>
          <w:tcPr>
            <w:tcW w:w="17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w w:val="97"/>
              </w:rPr>
              <w:t>Pending</w:t>
            </w:r>
          </w:p>
        </w:tc>
        <w:tc>
          <w:tcPr>
            <w:tcW w:w="47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w w:val="96"/>
              </w:rPr>
              <w:t>Deuterated Tryptamine Derivatives and Methods of Use</w:t>
            </w:r>
          </w:p>
        </w:tc>
        <w:tc>
          <w:tcPr>
            <w:tcW w:w="0" w:type="dxa"/>
            <w:vAlign w:val="bottom"/>
          </w:tcPr>
          <w:p>
            <w:pPr>
              <w:spacing w:after="0"/>
              <w:rPr>
                <w:sz w:val="1"/>
                <w:szCs w:val="1"/>
                <w:color w:val="auto"/>
              </w:rPr>
            </w:pPr>
          </w:p>
        </w:tc>
      </w:tr>
      <w:tr>
        <w:trPr>
          <w:trHeight w:val="186"/>
        </w:trPr>
        <w:tc>
          <w:tcPr>
            <w:tcW w:w="298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w w:val="95"/>
              </w:rPr>
              <w:t>2024203974</w:t>
            </w:r>
          </w:p>
        </w:tc>
        <w:tc>
          <w:tcPr>
            <w:tcW w:w="18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w w:val="98"/>
              </w:rPr>
              <w:t>Australia</w:t>
            </w:r>
          </w:p>
        </w:tc>
        <w:tc>
          <w:tcPr>
            <w:tcW w:w="17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w w:val="97"/>
              </w:rPr>
              <w:t>Pending</w:t>
            </w:r>
          </w:p>
        </w:tc>
        <w:tc>
          <w:tcPr>
            <w:tcW w:w="47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w w:val="96"/>
              </w:rPr>
              <w:t>Deuterated Tryptamine Derivatives and Methods of Use</w:t>
            </w:r>
          </w:p>
        </w:tc>
        <w:tc>
          <w:tcPr>
            <w:tcW w:w="0" w:type="dxa"/>
            <w:vAlign w:val="bottom"/>
          </w:tcPr>
          <w:p>
            <w:pPr>
              <w:spacing w:after="0"/>
              <w:rPr>
                <w:sz w:val="1"/>
                <w:szCs w:val="1"/>
                <w:color w:val="auto"/>
              </w:rPr>
            </w:pPr>
          </w:p>
        </w:tc>
      </w:tr>
      <w:tr>
        <w:trPr>
          <w:trHeight w:val="186"/>
        </w:trPr>
        <w:tc>
          <w:tcPr>
            <w:tcW w:w="298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w w:val="95"/>
              </w:rPr>
              <w:t>11202254530T</w:t>
            </w:r>
          </w:p>
        </w:tc>
        <w:tc>
          <w:tcPr>
            <w:tcW w:w="18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w w:val="95"/>
              </w:rPr>
              <w:t>Singapore</w:t>
            </w:r>
          </w:p>
        </w:tc>
        <w:tc>
          <w:tcPr>
            <w:tcW w:w="17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w w:val="97"/>
              </w:rPr>
              <w:t>Pending</w:t>
            </w:r>
          </w:p>
        </w:tc>
        <w:tc>
          <w:tcPr>
            <w:tcW w:w="47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w w:val="96"/>
              </w:rPr>
              <w:t>Deuterated Tryptamine Derivatives and Methods of Use</w:t>
            </w:r>
          </w:p>
        </w:tc>
        <w:tc>
          <w:tcPr>
            <w:tcW w:w="0" w:type="dxa"/>
            <w:vAlign w:val="bottom"/>
          </w:tcPr>
          <w:p>
            <w:pPr>
              <w:spacing w:after="0"/>
              <w:rPr>
                <w:sz w:val="1"/>
                <w:szCs w:val="1"/>
                <w:color w:val="auto"/>
              </w:rPr>
            </w:pPr>
          </w:p>
        </w:tc>
      </w:tr>
      <w:tr>
        <w:trPr>
          <w:trHeight w:val="186"/>
        </w:trPr>
        <w:tc>
          <w:tcPr>
            <w:tcW w:w="298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w w:val="96"/>
              </w:rPr>
              <w:t>10202401521X</w:t>
            </w:r>
          </w:p>
        </w:tc>
        <w:tc>
          <w:tcPr>
            <w:tcW w:w="18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w w:val="95"/>
              </w:rPr>
              <w:t>Singapore</w:t>
            </w:r>
          </w:p>
        </w:tc>
        <w:tc>
          <w:tcPr>
            <w:tcW w:w="17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w w:val="97"/>
              </w:rPr>
              <w:t>Pending</w:t>
            </w:r>
          </w:p>
        </w:tc>
        <w:tc>
          <w:tcPr>
            <w:tcW w:w="47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w w:val="96"/>
              </w:rPr>
              <w:t>Deuterated Tryptamine Derivatives and Methods of Use</w:t>
            </w:r>
          </w:p>
        </w:tc>
        <w:tc>
          <w:tcPr>
            <w:tcW w:w="0" w:type="dxa"/>
            <w:vAlign w:val="bottom"/>
          </w:tcPr>
          <w:p>
            <w:pPr>
              <w:spacing w:after="0"/>
              <w:rPr>
                <w:sz w:val="1"/>
                <w:szCs w:val="1"/>
                <w:color w:val="auto"/>
              </w:rPr>
            </w:pPr>
          </w:p>
        </w:tc>
      </w:tr>
      <w:tr>
        <w:trPr>
          <w:trHeight w:val="186"/>
        </w:trPr>
        <w:tc>
          <w:tcPr>
            <w:tcW w:w="298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w w:val="97"/>
              </w:rPr>
              <w:t>202213256</w:t>
            </w:r>
          </w:p>
        </w:tc>
        <w:tc>
          <w:tcPr>
            <w:tcW w:w="18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w w:val="95"/>
              </w:rPr>
              <w:t>South Africa</w:t>
            </w:r>
          </w:p>
        </w:tc>
        <w:tc>
          <w:tcPr>
            <w:tcW w:w="17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w w:val="97"/>
              </w:rPr>
              <w:t>Pending</w:t>
            </w:r>
          </w:p>
        </w:tc>
        <w:tc>
          <w:tcPr>
            <w:tcW w:w="47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w w:val="96"/>
              </w:rPr>
              <w:t>Deuterated Tryptamine Derivatives and Methods of Use</w:t>
            </w:r>
          </w:p>
        </w:tc>
        <w:tc>
          <w:tcPr>
            <w:tcW w:w="0" w:type="dxa"/>
            <w:vAlign w:val="bottom"/>
          </w:tcPr>
          <w:p>
            <w:pPr>
              <w:spacing w:after="0"/>
              <w:rPr>
                <w:sz w:val="1"/>
                <w:szCs w:val="1"/>
                <w:color w:val="auto"/>
              </w:rPr>
            </w:pPr>
          </w:p>
        </w:tc>
      </w:tr>
      <w:tr>
        <w:trPr>
          <w:trHeight w:val="186"/>
        </w:trPr>
        <w:tc>
          <w:tcPr>
            <w:tcW w:w="298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w w:val="95"/>
              </w:rPr>
              <w:t>2201007493</w:t>
            </w:r>
          </w:p>
        </w:tc>
        <w:tc>
          <w:tcPr>
            <w:tcW w:w="18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w w:val="93"/>
              </w:rPr>
              <w:t>Thailand</w:t>
            </w:r>
          </w:p>
        </w:tc>
        <w:tc>
          <w:tcPr>
            <w:tcW w:w="17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w w:val="97"/>
              </w:rPr>
              <w:t>Pending</w:t>
            </w:r>
          </w:p>
        </w:tc>
        <w:tc>
          <w:tcPr>
            <w:tcW w:w="47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w w:val="96"/>
              </w:rPr>
              <w:t>Deuterated Tryptamine Derivatives and Methods of Use</w:t>
            </w:r>
          </w:p>
        </w:tc>
        <w:tc>
          <w:tcPr>
            <w:tcW w:w="0" w:type="dxa"/>
            <w:vAlign w:val="bottom"/>
          </w:tcPr>
          <w:p>
            <w:pPr>
              <w:spacing w:after="0"/>
              <w:rPr>
                <w:sz w:val="1"/>
                <w:szCs w:val="1"/>
                <w:color w:val="auto"/>
              </w:rPr>
            </w:pPr>
          </w:p>
        </w:tc>
      </w:tr>
      <w:tr>
        <w:trPr>
          <w:trHeight w:val="186"/>
        </w:trPr>
        <w:tc>
          <w:tcPr>
            <w:tcW w:w="298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w w:val="97"/>
              </w:rPr>
              <w:t>1-2022-553135</w:t>
            </w:r>
          </w:p>
        </w:tc>
        <w:tc>
          <w:tcPr>
            <w:tcW w:w="18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w w:val="97"/>
              </w:rPr>
              <w:t>Philippines</w:t>
            </w:r>
          </w:p>
        </w:tc>
        <w:tc>
          <w:tcPr>
            <w:tcW w:w="17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w w:val="97"/>
              </w:rPr>
              <w:t>Pending</w:t>
            </w:r>
          </w:p>
        </w:tc>
        <w:tc>
          <w:tcPr>
            <w:tcW w:w="47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w w:val="96"/>
              </w:rPr>
              <w:t>Deuterated Tryptamine Derivatives and Methods of Use</w:t>
            </w:r>
          </w:p>
        </w:tc>
        <w:tc>
          <w:tcPr>
            <w:tcW w:w="0" w:type="dxa"/>
            <w:vAlign w:val="bottom"/>
          </w:tcPr>
          <w:p>
            <w:pPr>
              <w:spacing w:after="0"/>
              <w:rPr>
                <w:sz w:val="1"/>
                <w:szCs w:val="1"/>
                <w:color w:val="auto"/>
              </w:rPr>
            </w:pPr>
          </w:p>
        </w:tc>
      </w:tr>
      <w:tr>
        <w:trPr>
          <w:trHeight w:val="186"/>
        </w:trPr>
        <w:tc>
          <w:tcPr>
            <w:tcW w:w="298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w w:val="97"/>
              </w:rPr>
              <w:t>1-2024-551326</w:t>
            </w:r>
          </w:p>
        </w:tc>
        <w:tc>
          <w:tcPr>
            <w:tcW w:w="18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w w:val="97"/>
              </w:rPr>
              <w:t>Philippines</w:t>
            </w:r>
          </w:p>
        </w:tc>
        <w:tc>
          <w:tcPr>
            <w:tcW w:w="17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w w:val="97"/>
              </w:rPr>
              <w:t>Pending</w:t>
            </w:r>
          </w:p>
        </w:tc>
        <w:tc>
          <w:tcPr>
            <w:tcW w:w="47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w w:val="96"/>
              </w:rPr>
              <w:t>Deuterated Tryptamine Derivatives and Methods of Use</w:t>
            </w:r>
          </w:p>
        </w:tc>
        <w:tc>
          <w:tcPr>
            <w:tcW w:w="0" w:type="dxa"/>
            <w:vAlign w:val="bottom"/>
          </w:tcPr>
          <w:p>
            <w:pPr>
              <w:spacing w:after="0"/>
              <w:rPr>
                <w:sz w:val="1"/>
                <w:szCs w:val="1"/>
                <w:color w:val="auto"/>
              </w:rPr>
            </w:pPr>
          </w:p>
        </w:tc>
      </w:tr>
      <w:tr>
        <w:trPr>
          <w:trHeight w:val="186"/>
        </w:trPr>
        <w:tc>
          <w:tcPr>
            <w:tcW w:w="298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w w:val="97"/>
              </w:rPr>
              <w:t>202227065770</w:t>
            </w:r>
          </w:p>
        </w:tc>
        <w:tc>
          <w:tcPr>
            <w:tcW w:w="18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w w:val="97"/>
              </w:rPr>
              <w:t>India</w:t>
            </w:r>
          </w:p>
        </w:tc>
        <w:tc>
          <w:tcPr>
            <w:tcW w:w="17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w w:val="97"/>
              </w:rPr>
              <w:t>Pending</w:t>
            </w:r>
          </w:p>
        </w:tc>
        <w:tc>
          <w:tcPr>
            <w:tcW w:w="47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w w:val="96"/>
              </w:rPr>
              <w:t>Deuterated Tryptamine Derivatives and Methods of Use</w:t>
            </w:r>
          </w:p>
        </w:tc>
        <w:tc>
          <w:tcPr>
            <w:tcW w:w="0" w:type="dxa"/>
            <w:vAlign w:val="bottom"/>
          </w:tcPr>
          <w:p>
            <w:pPr>
              <w:spacing w:after="0"/>
              <w:rPr>
                <w:sz w:val="1"/>
                <w:szCs w:val="1"/>
                <w:color w:val="auto"/>
              </w:rPr>
            </w:pPr>
          </w:p>
        </w:tc>
      </w:tr>
      <w:tr>
        <w:trPr>
          <w:trHeight w:val="186"/>
        </w:trPr>
        <w:tc>
          <w:tcPr>
            <w:tcW w:w="298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w w:val="94"/>
              </w:rPr>
              <w:t>2022-571175</w:t>
            </w:r>
          </w:p>
        </w:tc>
        <w:tc>
          <w:tcPr>
            <w:tcW w:w="18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w w:val="99"/>
              </w:rPr>
              <w:t>Japan</w:t>
            </w:r>
          </w:p>
        </w:tc>
        <w:tc>
          <w:tcPr>
            <w:tcW w:w="17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w w:val="97"/>
              </w:rPr>
              <w:t>Pending</w:t>
            </w:r>
          </w:p>
        </w:tc>
        <w:tc>
          <w:tcPr>
            <w:tcW w:w="47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w w:val="96"/>
              </w:rPr>
              <w:t>Deuterated Tryptamine Derivatives and Methods of Use</w:t>
            </w:r>
          </w:p>
        </w:tc>
        <w:tc>
          <w:tcPr>
            <w:tcW w:w="0" w:type="dxa"/>
            <w:vAlign w:val="bottom"/>
          </w:tcPr>
          <w:p>
            <w:pPr>
              <w:spacing w:after="0"/>
              <w:rPr>
                <w:sz w:val="1"/>
                <w:szCs w:val="1"/>
                <w:color w:val="auto"/>
              </w:rPr>
            </w:pPr>
          </w:p>
        </w:tc>
      </w:tr>
      <w:tr>
        <w:trPr>
          <w:trHeight w:val="186"/>
        </w:trPr>
        <w:tc>
          <w:tcPr>
            <w:tcW w:w="298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w w:val="97"/>
              </w:rPr>
              <w:t>2024-080101</w:t>
            </w:r>
          </w:p>
        </w:tc>
        <w:tc>
          <w:tcPr>
            <w:tcW w:w="18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w w:val="99"/>
              </w:rPr>
              <w:t>Japan</w:t>
            </w:r>
          </w:p>
        </w:tc>
        <w:tc>
          <w:tcPr>
            <w:tcW w:w="17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w w:val="97"/>
              </w:rPr>
              <w:t>Pending</w:t>
            </w:r>
          </w:p>
        </w:tc>
        <w:tc>
          <w:tcPr>
            <w:tcW w:w="47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w w:val="96"/>
              </w:rPr>
              <w:t>Deuterated Tryptamine Derivatives and Methods of Use</w:t>
            </w:r>
          </w:p>
        </w:tc>
        <w:tc>
          <w:tcPr>
            <w:tcW w:w="0" w:type="dxa"/>
            <w:vAlign w:val="bottom"/>
          </w:tcPr>
          <w:p>
            <w:pPr>
              <w:spacing w:after="0"/>
              <w:rPr>
                <w:sz w:val="1"/>
                <w:szCs w:val="1"/>
                <w:color w:val="auto"/>
              </w:rPr>
            </w:pPr>
          </w:p>
        </w:tc>
      </w:tr>
      <w:tr>
        <w:trPr>
          <w:trHeight w:val="186"/>
        </w:trPr>
        <w:tc>
          <w:tcPr>
            <w:tcW w:w="298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w w:val="95"/>
              </w:rPr>
              <w:t>62023078320.6</w:t>
            </w:r>
          </w:p>
        </w:tc>
        <w:tc>
          <w:tcPr>
            <w:tcW w:w="18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w w:val="96"/>
              </w:rPr>
              <w:t>Hong Kong</w:t>
            </w:r>
          </w:p>
        </w:tc>
        <w:tc>
          <w:tcPr>
            <w:tcW w:w="17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w w:val="97"/>
              </w:rPr>
              <w:t>Pending</w:t>
            </w:r>
          </w:p>
        </w:tc>
        <w:tc>
          <w:tcPr>
            <w:tcW w:w="47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w w:val="96"/>
              </w:rPr>
              <w:t>Deuterated Tryptamine Derivatives and Methods of Use</w:t>
            </w:r>
          </w:p>
        </w:tc>
        <w:tc>
          <w:tcPr>
            <w:tcW w:w="0" w:type="dxa"/>
            <w:vAlign w:val="bottom"/>
          </w:tcPr>
          <w:p>
            <w:pPr>
              <w:spacing w:after="0"/>
              <w:rPr>
                <w:sz w:val="1"/>
                <w:szCs w:val="1"/>
                <w:color w:val="auto"/>
              </w:rPr>
            </w:pPr>
          </w:p>
        </w:tc>
      </w:tr>
      <w:tr>
        <w:trPr>
          <w:trHeight w:val="186"/>
        </w:trPr>
        <w:tc>
          <w:tcPr>
            <w:tcW w:w="298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w w:val="98"/>
              </w:rPr>
              <w:t>3186357</w:t>
            </w:r>
          </w:p>
        </w:tc>
        <w:tc>
          <w:tcPr>
            <w:tcW w:w="18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w w:val="93"/>
              </w:rPr>
              <w:t>Canada</w:t>
            </w:r>
          </w:p>
        </w:tc>
        <w:tc>
          <w:tcPr>
            <w:tcW w:w="17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w w:val="97"/>
              </w:rPr>
              <w:t>Pending</w:t>
            </w:r>
          </w:p>
        </w:tc>
        <w:tc>
          <w:tcPr>
            <w:tcW w:w="47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w w:val="96"/>
              </w:rPr>
              <w:t>Therapeutic Phenethylamine Compositions and Methods of Use</w:t>
            </w:r>
          </w:p>
        </w:tc>
        <w:tc>
          <w:tcPr>
            <w:tcW w:w="0" w:type="dxa"/>
            <w:vAlign w:val="bottom"/>
          </w:tcPr>
          <w:p>
            <w:pPr>
              <w:spacing w:after="0"/>
              <w:rPr>
                <w:sz w:val="1"/>
                <w:szCs w:val="1"/>
                <w:color w:val="auto"/>
              </w:rPr>
            </w:pPr>
          </w:p>
        </w:tc>
      </w:tr>
      <w:tr>
        <w:trPr>
          <w:trHeight w:val="186"/>
        </w:trPr>
        <w:tc>
          <w:tcPr>
            <w:tcW w:w="298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w w:val="96"/>
              </w:rPr>
              <w:t>10-2023-7003815</w:t>
            </w:r>
          </w:p>
        </w:tc>
        <w:tc>
          <w:tcPr>
            <w:tcW w:w="18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w w:val="92"/>
              </w:rPr>
              <w:t>Korea</w:t>
            </w:r>
          </w:p>
        </w:tc>
        <w:tc>
          <w:tcPr>
            <w:tcW w:w="17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w w:val="97"/>
              </w:rPr>
              <w:t>Pending</w:t>
            </w:r>
          </w:p>
        </w:tc>
        <w:tc>
          <w:tcPr>
            <w:tcW w:w="47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w w:val="96"/>
              </w:rPr>
              <w:t>Therapeutic Phenethylamine Compositions and Methods of Use</w:t>
            </w:r>
          </w:p>
        </w:tc>
        <w:tc>
          <w:tcPr>
            <w:tcW w:w="0" w:type="dxa"/>
            <w:vAlign w:val="bottom"/>
          </w:tcPr>
          <w:p>
            <w:pPr>
              <w:spacing w:after="0"/>
              <w:rPr>
                <w:sz w:val="1"/>
                <w:szCs w:val="1"/>
                <w:color w:val="auto"/>
              </w:rPr>
            </w:pPr>
          </w:p>
        </w:tc>
      </w:tr>
      <w:tr>
        <w:trPr>
          <w:trHeight w:val="186"/>
        </w:trPr>
        <w:tc>
          <w:tcPr>
            <w:tcW w:w="298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w w:val="95"/>
              </w:rPr>
              <w:t>2021327136</w:t>
            </w:r>
          </w:p>
        </w:tc>
        <w:tc>
          <w:tcPr>
            <w:tcW w:w="18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w w:val="98"/>
              </w:rPr>
              <w:t>Australia</w:t>
            </w:r>
          </w:p>
        </w:tc>
        <w:tc>
          <w:tcPr>
            <w:tcW w:w="17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w w:val="97"/>
              </w:rPr>
              <w:t>Pending</w:t>
            </w:r>
          </w:p>
        </w:tc>
        <w:tc>
          <w:tcPr>
            <w:tcW w:w="47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w w:val="96"/>
              </w:rPr>
              <w:t>Therapeutic Phenethylamine Compositions and Methods of Use</w:t>
            </w:r>
          </w:p>
        </w:tc>
        <w:tc>
          <w:tcPr>
            <w:tcW w:w="0" w:type="dxa"/>
            <w:vAlign w:val="bottom"/>
          </w:tcPr>
          <w:p>
            <w:pPr>
              <w:spacing w:after="0"/>
              <w:rPr>
                <w:sz w:val="1"/>
                <w:szCs w:val="1"/>
                <w:color w:val="auto"/>
              </w:rPr>
            </w:pPr>
          </w:p>
        </w:tc>
      </w:tr>
      <w:tr>
        <w:trPr>
          <w:trHeight w:val="186"/>
        </w:trPr>
        <w:tc>
          <w:tcPr>
            <w:tcW w:w="298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w w:val="97"/>
              </w:rPr>
              <w:t>2023-512063</w:t>
            </w:r>
          </w:p>
        </w:tc>
        <w:tc>
          <w:tcPr>
            <w:tcW w:w="18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w w:val="99"/>
              </w:rPr>
              <w:t>Japan</w:t>
            </w:r>
          </w:p>
        </w:tc>
        <w:tc>
          <w:tcPr>
            <w:tcW w:w="17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w w:val="97"/>
              </w:rPr>
              <w:t>Pending</w:t>
            </w:r>
          </w:p>
        </w:tc>
        <w:tc>
          <w:tcPr>
            <w:tcW w:w="47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w w:val="96"/>
              </w:rPr>
              <w:t>Therapeutic Phenethylamine Compositions and Methods of Use</w:t>
            </w:r>
          </w:p>
        </w:tc>
        <w:tc>
          <w:tcPr>
            <w:tcW w:w="0" w:type="dxa"/>
            <w:vAlign w:val="bottom"/>
          </w:tcPr>
          <w:p>
            <w:pPr>
              <w:spacing w:after="0"/>
              <w:rPr>
                <w:sz w:val="1"/>
                <w:szCs w:val="1"/>
                <w:color w:val="auto"/>
              </w:rPr>
            </w:pPr>
          </w:p>
        </w:tc>
      </w:tr>
      <w:tr>
        <w:trPr>
          <w:trHeight w:val="186"/>
        </w:trPr>
        <w:tc>
          <w:tcPr>
            <w:tcW w:w="298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w w:val="95"/>
              </w:rPr>
              <w:t>21766581.9</w:t>
            </w:r>
          </w:p>
        </w:tc>
        <w:tc>
          <w:tcPr>
            <w:tcW w:w="18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w w:val="96"/>
              </w:rPr>
              <w:t>European Patent Office</w:t>
            </w:r>
          </w:p>
        </w:tc>
        <w:tc>
          <w:tcPr>
            <w:tcW w:w="17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w w:val="97"/>
              </w:rPr>
              <w:t>Pending</w:t>
            </w:r>
          </w:p>
        </w:tc>
        <w:tc>
          <w:tcPr>
            <w:tcW w:w="47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w w:val="96"/>
              </w:rPr>
              <w:t>Therapeutic Phenethylamine Compositions and Methods of Use</w:t>
            </w:r>
          </w:p>
        </w:tc>
        <w:tc>
          <w:tcPr>
            <w:tcW w:w="0" w:type="dxa"/>
            <w:vAlign w:val="bottom"/>
          </w:tcPr>
          <w:p>
            <w:pPr>
              <w:spacing w:after="0"/>
              <w:rPr>
                <w:sz w:val="1"/>
                <w:szCs w:val="1"/>
                <w:color w:val="auto"/>
              </w:rPr>
            </w:pPr>
          </w:p>
        </w:tc>
      </w:tr>
      <w:tr>
        <w:trPr>
          <w:trHeight w:val="186"/>
        </w:trPr>
        <w:tc>
          <w:tcPr>
            <w:tcW w:w="298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w w:val="95"/>
              </w:rPr>
              <w:t>62023079716.4</w:t>
            </w:r>
          </w:p>
        </w:tc>
        <w:tc>
          <w:tcPr>
            <w:tcW w:w="18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w w:val="96"/>
              </w:rPr>
              <w:t>Hong Kong</w:t>
            </w:r>
          </w:p>
        </w:tc>
        <w:tc>
          <w:tcPr>
            <w:tcW w:w="17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w w:val="97"/>
              </w:rPr>
              <w:t>Pending</w:t>
            </w:r>
          </w:p>
        </w:tc>
        <w:tc>
          <w:tcPr>
            <w:tcW w:w="47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w w:val="96"/>
              </w:rPr>
              <w:t>Therapeutic Phenethylamine Compositions and Methods of Use</w:t>
            </w:r>
          </w:p>
        </w:tc>
        <w:tc>
          <w:tcPr>
            <w:tcW w:w="0" w:type="dxa"/>
            <w:vAlign w:val="bottom"/>
          </w:tcPr>
          <w:p>
            <w:pPr>
              <w:spacing w:after="0"/>
              <w:rPr>
                <w:sz w:val="1"/>
                <w:szCs w:val="1"/>
                <w:color w:val="auto"/>
              </w:rPr>
            </w:pPr>
          </w:p>
        </w:tc>
      </w:tr>
      <w:tr>
        <w:trPr>
          <w:trHeight w:val="186"/>
        </w:trPr>
        <w:tc>
          <w:tcPr>
            <w:tcW w:w="298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w w:val="98"/>
              </w:rPr>
              <w:t>3186359</w:t>
            </w:r>
          </w:p>
        </w:tc>
        <w:tc>
          <w:tcPr>
            <w:tcW w:w="18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w w:val="93"/>
              </w:rPr>
              <w:t>Canada</w:t>
            </w:r>
          </w:p>
        </w:tc>
        <w:tc>
          <w:tcPr>
            <w:tcW w:w="17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w w:val="97"/>
              </w:rPr>
              <w:t>Pending</w:t>
            </w:r>
          </w:p>
        </w:tc>
        <w:tc>
          <w:tcPr>
            <w:tcW w:w="47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w w:val="96"/>
              </w:rPr>
              <w:t>Phenethylamine Derivatives, Compositions, and Methods of Use</w:t>
            </w:r>
          </w:p>
        </w:tc>
        <w:tc>
          <w:tcPr>
            <w:tcW w:w="0" w:type="dxa"/>
            <w:vAlign w:val="bottom"/>
          </w:tcPr>
          <w:p>
            <w:pPr>
              <w:spacing w:after="0"/>
              <w:rPr>
                <w:sz w:val="1"/>
                <w:szCs w:val="1"/>
                <w:color w:val="auto"/>
              </w:rPr>
            </w:pPr>
          </w:p>
        </w:tc>
      </w:tr>
      <w:tr>
        <w:trPr>
          <w:trHeight w:val="186"/>
        </w:trPr>
        <w:tc>
          <w:tcPr>
            <w:tcW w:w="298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w w:val="96"/>
              </w:rPr>
              <w:t>10-2023-7006128</w:t>
            </w:r>
          </w:p>
        </w:tc>
        <w:tc>
          <w:tcPr>
            <w:tcW w:w="18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w w:val="92"/>
              </w:rPr>
              <w:t>Korea</w:t>
            </w:r>
          </w:p>
        </w:tc>
        <w:tc>
          <w:tcPr>
            <w:tcW w:w="17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w w:val="97"/>
              </w:rPr>
              <w:t>Pending</w:t>
            </w:r>
          </w:p>
        </w:tc>
        <w:tc>
          <w:tcPr>
            <w:tcW w:w="47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w w:val="96"/>
              </w:rPr>
              <w:t>Phenethylamine Derivatives, Compositions, and Methods of Use</w:t>
            </w:r>
          </w:p>
        </w:tc>
        <w:tc>
          <w:tcPr>
            <w:tcW w:w="0" w:type="dxa"/>
            <w:vAlign w:val="bottom"/>
          </w:tcPr>
          <w:p>
            <w:pPr>
              <w:spacing w:after="0"/>
              <w:rPr>
                <w:sz w:val="1"/>
                <w:szCs w:val="1"/>
                <w:color w:val="auto"/>
              </w:rPr>
            </w:pPr>
          </w:p>
        </w:tc>
      </w:tr>
      <w:tr>
        <w:trPr>
          <w:trHeight w:val="186"/>
        </w:trPr>
        <w:tc>
          <w:tcPr>
            <w:tcW w:w="298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w w:val="95"/>
              </w:rPr>
              <w:t>2021328671</w:t>
            </w:r>
          </w:p>
        </w:tc>
        <w:tc>
          <w:tcPr>
            <w:tcW w:w="18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w w:val="98"/>
              </w:rPr>
              <w:t>Australia</w:t>
            </w:r>
          </w:p>
        </w:tc>
        <w:tc>
          <w:tcPr>
            <w:tcW w:w="17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w w:val="97"/>
              </w:rPr>
              <w:t>Pending</w:t>
            </w:r>
          </w:p>
        </w:tc>
        <w:tc>
          <w:tcPr>
            <w:tcW w:w="47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w w:val="96"/>
              </w:rPr>
              <w:t>Phenethylamine Derivatives, Compositions, and Methods of Use</w:t>
            </w:r>
          </w:p>
        </w:tc>
        <w:tc>
          <w:tcPr>
            <w:tcW w:w="0" w:type="dxa"/>
            <w:vAlign w:val="bottom"/>
          </w:tcPr>
          <w:p>
            <w:pPr>
              <w:spacing w:after="0"/>
              <w:rPr>
                <w:sz w:val="1"/>
                <w:szCs w:val="1"/>
                <w:color w:val="auto"/>
              </w:rPr>
            </w:pPr>
          </w:p>
        </w:tc>
      </w:tr>
      <w:tr>
        <w:trPr>
          <w:trHeight w:val="186"/>
        </w:trPr>
        <w:tc>
          <w:tcPr>
            <w:tcW w:w="298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w w:val="97"/>
              </w:rPr>
              <w:t>2023-512107</w:t>
            </w:r>
          </w:p>
        </w:tc>
        <w:tc>
          <w:tcPr>
            <w:tcW w:w="18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w w:val="99"/>
              </w:rPr>
              <w:t>Japan</w:t>
            </w:r>
          </w:p>
        </w:tc>
        <w:tc>
          <w:tcPr>
            <w:tcW w:w="17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w w:val="97"/>
              </w:rPr>
              <w:t>Pending</w:t>
            </w:r>
          </w:p>
        </w:tc>
        <w:tc>
          <w:tcPr>
            <w:tcW w:w="47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w w:val="96"/>
              </w:rPr>
              <w:t>Phenethylamine Derivatives, Compositions, and Methods of Use</w:t>
            </w:r>
          </w:p>
        </w:tc>
        <w:tc>
          <w:tcPr>
            <w:tcW w:w="0" w:type="dxa"/>
            <w:vAlign w:val="bottom"/>
          </w:tcPr>
          <w:p>
            <w:pPr>
              <w:spacing w:after="0"/>
              <w:rPr>
                <w:sz w:val="1"/>
                <w:szCs w:val="1"/>
                <w:color w:val="auto"/>
              </w:rPr>
            </w:pPr>
          </w:p>
        </w:tc>
      </w:tr>
      <w:tr>
        <w:trPr>
          <w:trHeight w:val="186"/>
        </w:trPr>
        <w:tc>
          <w:tcPr>
            <w:tcW w:w="298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w w:val="95"/>
              </w:rPr>
              <w:t>21763068.0</w:t>
            </w:r>
          </w:p>
        </w:tc>
        <w:tc>
          <w:tcPr>
            <w:tcW w:w="18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w w:val="96"/>
              </w:rPr>
              <w:t>European Patent Office</w:t>
            </w:r>
          </w:p>
        </w:tc>
        <w:tc>
          <w:tcPr>
            <w:tcW w:w="17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w w:val="97"/>
              </w:rPr>
              <w:t>Pending</w:t>
            </w:r>
          </w:p>
        </w:tc>
        <w:tc>
          <w:tcPr>
            <w:tcW w:w="47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w w:val="96"/>
              </w:rPr>
              <w:t>Phenethylamine Derivatives, Compositions, and Methods of Use</w:t>
            </w:r>
          </w:p>
        </w:tc>
        <w:tc>
          <w:tcPr>
            <w:tcW w:w="0" w:type="dxa"/>
            <w:vAlign w:val="bottom"/>
          </w:tcPr>
          <w:p>
            <w:pPr>
              <w:spacing w:after="0"/>
              <w:rPr>
                <w:sz w:val="1"/>
                <w:szCs w:val="1"/>
                <w:color w:val="auto"/>
              </w:rPr>
            </w:pPr>
          </w:p>
        </w:tc>
      </w:tr>
      <w:tr>
        <w:trPr>
          <w:trHeight w:val="186"/>
        </w:trPr>
        <w:tc>
          <w:tcPr>
            <w:tcW w:w="298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w w:val="95"/>
              </w:rPr>
              <w:t>62023079718.0</w:t>
            </w:r>
          </w:p>
        </w:tc>
        <w:tc>
          <w:tcPr>
            <w:tcW w:w="18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w w:val="96"/>
              </w:rPr>
              <w:t>Hong Kong</w:t>
            </w:r>
          </w:p>
        </w:tc>
        <w:tc>
          <w:tcPr>
            <w:tcW w:w="17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w w:val="97"/>
              </w:rPr>
              <w:t>Pending</w:t>
            </w:r>
          </w:p>
        </w:tc>
        <w:tc>
          <w:tcPr>
            <w:tcW w:w="47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w w:val="96"/>
              </w:rPr>
              <w:t>Phenethylamine Derivatives, Compositions, and Methods of Use</w:t>
            </w:r>
          </w:p>
        </w:tc>
        <w:tc>
          <w:tcPr>
            <w:tcW w:w="0" w:type="dxa"/>
            <w:vAlign w:val="bottom"/>
          </w:tcPr>
          <w:p>
            <w:pPr>
              <w:spacing w:after="0"/>
              <w:rPr>
                <w:sz w:val="1"/>
                <w:szCs w:val="1"/>
                <w:color w:val="auto"/>
              </w:rPr>
            </w:pPr>
          </w:p>
        </w:tc>
      </w:tr>
      <w:tr>
        <w:trPr>
          <w:trHeight w:val="139"/>
        </w:trPr>
        <w:tc>
          <w:tcPr>
            <w:tcW w:w="2980" w:type="dxa"/>
            <w:vAlign w:val="bottom"/>
            <w:tcBorders>
              <w:left w:val="single" w:sz="8" w:color="auto"/>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5"/>
                <w:szCs w:val="15"/>
                <w:color w:val="auto"/>
                <w:w w:val="95"/>
              </w:rPr>
              <w:t>21786852.0</w:t>
            </w:r>
          </w:p>
        </w:tc>
        <w:tc>
          <w:tcPr>
            <w:tcW w:w="184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5"/>
                <w:szCs w:val="15"/>
                <w:color w:val="auto"/>
                <w:w w:val="96"/>
              </w:rPr>
              <w:t>European Patent Office</w:t>
            </w:r>
          </w:p>
        </w:tc>
        <w:tc>
          <w:tcPr>
            <w:tcW w:w="174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5"/>
                <w:szCs w:val="15"/>
                <w:color w:val="auto"/>
                <w:w w:val="97"/>
              </w:rPr>
              <w:t>Pending</w:t>
            </w:r>
          </w:p>
        </w:tc>
        <w:tc>
          <w:tcPr>
            <w:tcW w:w="4720" w:type="dxa"/>
            <w:vAlign w:val="bottom"/>
            <w:tcBorders>
              <w:right w:val="single" w:sz="8" w:color="auto"/>
            </w:tcBorders>
          </w:tcPr>
          <w:p>
            <w:pPr>
              <w:jc w:val="center"/>
              <w:spacing w:after="0" w:line="139" w:lineRule="exact"/>
              <w:rPr>
                <w:sz w:val="20"/>
                <w:szCs w:val="20"/>
                <w:color w:val="auto"/>
              </w:rPr>
            </w:pPr>
            <w:r>
              <w:rPr>
                <w:rFonts w:ascii="Times New Roman" w:cs="Times New Roman" w:eastAsia="Times New Roman" w:hAnsi="Times New Roman"/>
                <w:sz w:val="15"/>
                <w:szCs w:val="15"/>
                <w:color w:val="auto"/>
                <w:w w:val="96"/>
              </w:rPr>
              <w:t>Methods For Delivery of Psychedelic Medications By Inhalation and Systems</w:t>
            </w:r>
          </w:p>
        </w:tc>
        <w:tc>
          <w:tcPr>
            <w:tcW w:w="0" w:type="dxa"/>
            <w:vAlign w:val="bottom"/>
          </w:tcPr>
          <w:p>
            <w:pPr>
              <w:spacing w:after="0"/>
              <w:rPr>
                <w:sz w:val="1"/>
                <w:szCs w:val="1"/>
                <w:color w:val="auto"/>
              </w:rPr>
            </w:pPr>
          </w:p>
        </w:tc>
      </w:tr>
      <w:tr>
        <w:trPr>
          <w:trHeight w:val="117"/>
        </w:trPr>
        <w:tc>
          <w:tcPr>
            <w:tcW w:w="2980" w:type="dxa"/>
            <w:vAlign w:val="bottom"/>
            <w:tcBorders>
              <w:left w:val="single" w:sz="8" w:color="auto"/>
              <w:right w:val="single" w:sz="8" w:color="auto"/>
            </w:tcBorders>
            <w:vMerge w:val="continue"/>
          </w:tcPr>
          <w:p>
            <w:pPr>
              <w:spacing w:after="0"/>
              <w:rPr>
                <w:sz w:val="10"/>
                <w:szCs w:val="10"/>
                <w:color w:val="auto"/>
              </w:rPr>
            </w:pPr>
          </w:p>
        </w:tc>
        <w:tc>
          <w:tcPr>
            <w:tcW w:w="1840" w:type="dxa"/>
            <w:vAlign w:val="bottom"/>
            <w:tcBorders>
              <w:right w:val="single" w:sz="8" w:color="auto"/>
            </w:tcBorders>
            <w:vMerge w:val="continue"/>
          </w:tcPr>
          <w:p>
            <w:pPr>
              <w:spacing w:after="0"/>
              <w:rPr>
                <w:sz w:val="10"/>
                <w:szCs w:val="10"/>
                <w:color w:val="auto"/>
              </w:rPr>
            </w:pPr>
          </w:p>
        </w:tc>
        <w:tc>
          <w:tcPr>
            <w:tcW w:w="1740" w:type="dxa"/>
            <w:vAlign w:val="bottom"/>
            <w:tcBorders>
              <w:right w:val="single" w:sz="8" w:color="auto"/>
            </w:tcBorders>
            <w:vMerge w:val="continue"/>
          </w:tcPr>
          <w:p>
            <w:pPr>
              <w:spacing w:after="0"/>
              <w:rPr>
                <w:sz w:val="10"/>
                <w:szCs w:val="10"/>
                <w:color w:val="auto"/>
              </w:rPr>
            </w:pPr>
          </w:p>
        </w:tc>
        <w:tc>
          <w:tcPr>
            <w:tcW w:w="472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5"/>
                <w:szCs w:val="15"/>
                <w:color w:val="auto"/>
                <w:w w:val="95"/>
              </w:rPr>
              <w:t>For Performing the Methods</w:t>
            </w:r>
          </w:p>
        </w:tc>
        <w:tc>
          <w:tcPr>
            <w:tcW w:w="0" w:type="dxa"/>
            <w:vAlign w:val="bottom"/>
          </w:tcPr>
          <w:p>
            <w:pPr>
              <w:spacing w:after="0"/>
              <w:rPr>
                <w:sz w:val="1"/>
                <w:szCs w:val="1"/>
                <w:color w:val="auto"/>
              </w:rPr>
            </w:pPr>
          </w:p>
        </w:tc>
      </w:tr>
      <w:tr>
        <w:trPr>
          <w:trHeight w:val="75"/>
        </w:trPr>
        <w:tc>
          <w:tcPr>
            <w:tcW w:w="2980" w:type="dxa"/>
            <w:vAlign w:val="bottom"/>
            <w:tcBorders>
              <w:left w:val="single" w:sz="8" w:color="auto"/>
              <w:bottom w:val="single" w:sz="8" w:color="auto"/>
              <w:right w:val="single" w:sz="8" w:color="auto"/>
            </w:tcBorders>
          </w:tcPr>
          <w:p>
            <w:pPr>
              <w:spacing w:after="0"/>
              <w:rPr>
                <w:sz w:val="6"/>
                <w:szCs w:val="6"/>
                <w:color w:val="auto"/>
              </w:rPr>
            </w:pPr>
          </w:p>
        </w:tc>
        <w:tc>
          <w:tcPr>
            <w:tcW w:w="1840" w:type="dxa"/>
            <w:vAlign w:val="bottom"/>
            <w:tcBorders>
              <w:bottom w:val="single" w:sz="8" w:color="auto"/>
              <w:right w:val="single" w:sz="8" w:color="auto"/>
            </w:tcBorders>
          </w:tcPr>
          <w:p>
            <w:pPr>
              <w:spacing w:after="0"/>
              <w:rPr>
                <w:sz w:val="6"/>
                <w:szCs w:val="6"/>
                <w:color w:val="auto"/>
              </w:rPr>
            </w:pPr>
          </w:p>
        </w:tc>
        <w:tc>
          <w:tcPr>
            <w:tcW w:w="1740" w:type="dxa"/>
            <w:vAlign w:val="bottom"/>
            <w:tcBorders>
              <w:bottom w:val="single" w:sz="8" w:color="auto"/>
              <w:right w:val="single" w:sz="8" w:color="auto"/>
            </w:tcBorders>
          </w:tcPr>
          <w:p>
            <w:pPr>
              <w:spacing w:after="0"/>
              <w:rPr>
                <w:sz w:val="6"/>
                <w:szCs w:val="6"/>
                <w:color w:val="auto"/>
              </w:rPr>
            </w:pPr>
          </w:p>
        </w:tc>
        <w:tc>
          <w:tcPr>
            <w:tcW w:w="4720" w:type="dxa"/>
            <w:vAlign w:val="bottom"/>
            <w:tcBorders>
              <w:bottom w:val="single" w:sz="8" w:color="auto"/>
              <w:right w:val="single" w:sz="8" w:color="auto"/>
            </w:tcBorders>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39"/>
        </w:trPr>
        <w:tc>
          <w:tcPr>
            <w:tcW w:w="2980" w:type="dxa"/>
            <w:vAlign w:val="bottom"/>
            <w:tcBorders>
              <w:left w:val="single" w:sz="8" w:color="auto"/>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5"/>
                <w:szCs w:val="15"/>
                <w:color w:val="auto"/>
                <w:w w:val="96"/>
              </w:rPr>
              <w:t>10-2023-7007858</w:t>
            </w:r>
          </w:p>
        </w:tc>
        <w:tc>
          <w:tcPr>
            <w:tcW w:w="184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5"/>
                <w:szCs w:val="15"/>
                <w:color w:val="auto"/>
                <w:w w:val="92"/>
              </w:rPr>
              <w:t>Korea</w:t>
            </w:r>
          </w:p>
        </w:tc>
        <w:tc>
          <w:tcPr>
            <w:tcW w:w="174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5"/>
                <w:szCs w:val="15"/>
                <w:color w:val="auto"/>
                <w:w w:val="97"/>
              </w:rPr>
              <w:t>Pending</w:t>
            </w:r>
          </w:p>
        </w:tc>
        <w:tc>
          <w:tcPr>
            <w:tcW w:w="4720" w:type="dxa"/>
            <w:vAlign w:val="bottom"/>
            <w:tcBorders>
              <w:right w:val="single" w:sz="8" w:color="auto"/>
            </w:tcBorders>
          </w:tcPr>
          <w:p>
            <w:pPr>
              <w:jc w:val="center"/>
              <w:spacing w:after="0" w:line="139" w:lineRule="exact"/>
              <w:rPr>
                <w:sz w:val="20"/>
                <w:szCs w:val="20"/>
                <w:color w:val="auto"/>
              </w:rPr>
            </w:pPr>
            <w:r>
              <w:rPr>
                <w:rFonts w:ascii="Times New Roman" w:cs="Times New Roman" w:eastAsia="Times New Roman" w:hAnsi="Times New Roman"/>
                <w:sz w:val="15"/>
                <w:szCs w:val="15"/>
                <w:color w:val="auto"/>
                <w:w w:val="96"/>
              </w:rPr>
              <w:t>Methods For Delivery of Psychedelic Medications By Inhalation and Systems</w:t>
            </w:r>
          </w:p>
        </w:tc>
        <w:tc>
          <w:tcPr>
            <w:tcW w:w="0" w:type="dxa"/>
            <w:vAlign w:val="bottom"/>
          </w:tcPr>
          <w:p>
            <w:pPr>
              <w:spacing w:after="0"/>
              <w:rPr>
                <w:sz w:val="1"/>
                <w:szCs w:val="1"/>
                <w:color w:val="auto"/>
              </w:rPr>
            </w:pPr>
          </w:p>
        </w:tc>
      </w:tr>
      <w:tr>
        <w:trPr>
          <w:trHeight w:val="117"/>
        </w:trPr>
        <w:tc>
          <w:tcPr>
            <w:tcW w:w="2980" w:type="dxa"/>
            <w:vAlign w:val="bottom"/>
            <w:tcBorders>
              <w:left w:val="single" w:sz="8" w:color="auto"/>
              <w:right w:val="single" w:sz="8" w:color="auto"/>
            </w:tcBorders>
            <w:vMerge w:val="continue"/>
          </w:tcPr>
          <w:p>
            <w:pPr>
              <w:spacing w:after="0"/>
              <w:rPr>
                <w:sz w:val="10"/>
                <w:szCs w:val="10"/>
                <w:color w:val="auto"/>
              </w:rPr>
            </w:pPr>
          </w:p>
        </w:tc>
        <w:tc>
          <w:tcPr>
            <w:tcW w:w="1840" w:type="dxa"/>
            <w:vAlign w:val="bottom"/>
            <w:tcBorders>
              <w:right w:val="single" w:sz="8" w:color="auto"/>
            </w:tcBorders>
            <w:vMerge w:val="continue"/>
          </w:tcPr>
          <w:p>
            <w:pPr>
              <w:spacing w:after="0"/>
              <w:rPr>
                <w:sz w:val="10"/>
                <w:szCs w:val="10"/>
                <w:color w:val="auto"/>
              </w:rPr>
            </w:pPr>
          </w:p>
        </w:tc>
        <w:tc>
          <w:tcPr>
            <w:tcW w:w="1740" w:type="dxa"/>
            <w:vAlign w:val="bottom"/>
            <w:tcBorders>
              <w:right w:val="single" w:sz="8" w:color="auto"/>
            </w:tcBorders>
            <w:vMerge w:val="continue"/>
          </w:tcPr>
          <w:p>
            <w:pPr>
              <w:spacing w:after="0"/>
              <w:rPr>
                <w:sz w:val="10"/>
                <w:szCs w:val="10"/>
                <w:color w:val="auto"/>
              </w:rPr>
            </w:pPr>
          </w:p>
        </w:tc>
        <w:tc>
          <w:tcPr>
            <w:tcW w:w="472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5"/>
                <w:szCs w:val="15"/>
                <w:color w:val="auto"/>
                <w:w w:val="95"/>
              </w:rPr>
              <w:t>For Performing the Methods</w:t>
            </w:r>
          </w:p>
        </w:tc>
        <w:tc>
          <w:tcPr>
            <w:tcW w:w="0" w:type="dxa"/>
            <w:vAlign w:val="bottom"/>
          </w:tcPr>
          <w:p>
            <w:pPr>
              <w:spacing w:after="0"/>
              <w:rPr>
                <w:sz w:val="1"/>
                <w:szCs w:val="1"/>
                <w:color w:val="auto"/>
              </w:rPr>
            </w:pPr>
          </w:p>
        </w:tc>
      </w:tr>
      <w:tr>
        <w:trPr>
          <w:trHeight w:val="75"/>
        </w:trPr>
        <w:tc>
          <w:tcPr>
            <w:tcW w:w="2980" w:type="dxa"/>
            <w:vAlign w:val="bottom"/>
            <w:tcBorders>
              <w:left w:val="single" w:sz="8" w:color="auto"/>
              <w:bottom w:val="single" w:sz="8" w:color="auto"/>
              <w:right w:val="single" w:sz="8" w:color="auto"/>
            </w:tcBorders>
          </w:tcPr>
          <w:p>
            <w:pPr>
              <w:spacing w:after="0"/>
              <w:rPr>
                <w:sz w:val="6"/>
                <w:szCs w:val="6"/>
                <w:color w:val="auto"/>
              </w:rPr>
            </w:pPr>
          </w:p>
        </w:tc>
        <w:tc>
          <w:tcPr>
            <w:tcW w:w="1840" w:type="dxa"/>
            <w:vAlign w:val="bottom"/>
            <w:tcBorders>
              <w:bottom w:val="single" w:sz="8" w:color="auto"/>
              <w:right w:val="single" w:sz="8" w:color="auto"/>
            </w:tcBorders>
          </w:tcPr>
          <w:p>
            <w:pPr>
              <w:spacing w:after="0"/>
              <w:rPr>
                <w:sz w:val="6"/>
                <w:szCs w:val="6"/>
                <w:color w:val="auto"/>
              </w:rPr>
            </w:pPr>
          </w:p>
        </w:tc>
        <w:tc>
          <w:tcPr>
            <w:tcW w:w="1740" w:type="dxa"/>
            <w:vAlign w:val="bottom"/>
            <w:tcBorders>
              <w:bottom w:val="single" w:sz="8" w:color="auto"/>
              <w:right w:val="single" w:sz="8" w:color="auto"/>
            </w:tcBorders>
          </w:tcPr>
          <w:p>
            <w:pPr>
              <w:spacing w:after="0"/>
              <w:rPr>
                <w:sz w:val="6"/>
                <w:szCs w:val="6"/>
                <w:color w:val="auto"/>
              </w:rPr>
            </w:pPr>
          </w:p>
        </w:tc>
        <w:tc>
          <w:tcPr>
            <w:tcW w:w="4720" w:type="dxa"/>
            <w:vAlign w:val="bottom"/>
            <w:tcBorders>
              <w:bottom w:val="single" w:sz="8" w:color="auto"/>
              <w:right w:val="single" w:sz="8" w:color="auto"/>
            </w:tcBorders>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39"/>
        </w:trPr>
        <w:tc>
          <w:tcPr>
            <w:tcW w:w="2980" w:type="dxa"/>
            <w:vAlign w:val="bottom"/>
            <w:tcBorders>
              <w:left w:val="single" w:sz="8" w:color="auto"/>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5"/>
                <w:szCs w:val="15"/>
                <w:color w:val="auto"/>
                <w:w w:val="95"/>
              </w:rPr>
              <w:t>2021354006</w:t>
            </w:r>
          </w:p>
        </w:tc>
        <w:tc>
          <w:tcPr>
            <w:tcW w:w="184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5"/>
                <w:szCs w:val="15"/>
                <w:color w:val="auto"/>
                <w:w w:val="98"/>
              </w:rPr>
              <w:t>Australia</w:t>
            </w:r>
          </w:p>
        </w:tc>
        <w:tc>
          <w:tcPr>
            <w:tcW w:w="174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5"/>
                <w:szCs w:val="15"/>
                <w:color w:val="auto"/>
                <w:w w:val="97"/>
              </w:rPr>
              <w:t>Pending</w:t>
            </w:r>
          </w:p>
        </w:tc>
        <w:tc>
          <w:tcPr>
            <w:tcW w:w="4720" w:type="dxa"/>
            <w:vAlign w:val="bottom"/>
            <w:tcBorders>
              <w:right w:val="single" w:sz="8" w:color="auto"/>
            </w:tcBorders>
          </w:tcPr>
          <w:p>
            <w:pPr>
              <w:jc w:val="center"/>
              <w:spacing w:after="0" w:line="139" w:lineRule="exact"/>
              <w:rPr>
                <w:sz w:val="20"/>
                <w:szCs w:val="20"/>
                <w:color w:val="auto"/>
              </w:rPr>
            </w:pPr>
            <w:r>
              <w:rPr>
                <w:rFonts w:ascii="Times New Roman" w:cs="Times New Roman" w:eastAsia="Times New Roman" w:hAnsi="Times New Roman"/>
                <w:sz w:val="15"/>
                <w:szCs w:val="15"/>
                <w:color w:val="auto"/>
                <w:w w:val="96"/>
              </w:rPr>
              <w:t>Methods For Delivery of Psychedelic Medications By Inhalation and Systems</w:t>
            </w:r>
          </w:p>
        </w:tc>
        <w:tc>
          <w:tcPr>
            <w:tcW w:w="0" w:type="dxa"/>
            <w:vAlign w:val="bottom"/>
          </w:tcPr>
          <w:p>
            <w:pPr>
              <w:spacing w:after="0"/>
              <w:rPr>
                <w:sz w:val="1"/>
                <w:szCs w:val="1"/>
                <w:color w:val="auto"/>
              </w:rPr>
            </w:pPr>
          </w:p>
        </w:tc>
      </w:tr>
      <w:tr>
        <w:trPr>
          <w:trHeight w:val="117"/>
        </w:trPr>
        <w:tc>
          <w:tcPr>
            <w:tcW w:w="2980" w:type="dxa"/>
            <w:vAlign w:val="bottom"/>
            <w:tcBorders>
              <w:left w:val="single" w:sz="8" w:color="auto"/>
              <w:right w:val="single" w:sz="8" w:color="auto"/>
            </w:tcBorders>
            <w:vMerge w:val="continue"/>
          </w:tcPr>
          <w:p>
            <w:pPr>
              <w:spacing w:after="0"/>
              <w:rPr>
                <w:sz w:val="10"/>
                <w:szCs w:val="10"/>
                <w:color w:val="auto"/>
              </w:rPr>
            </w:pPr>
          </w:p>
        </w:tc>
        <w:tc>
          <w:tcPr>
            <w:tcW w:w="1840" w:type="dxa"/>
            <w:vAlign w:val="bottom"/>
            <w:tcBorders>
              <w:right w:val="single" w:sz="8" w:color="auto"/>
            </w:tcBorders>
            <w:vMerge w:val="continue"/>
          </w:tcPr>
          <w:p>
            <w:pPr>
              <w:spacing w:after="0"/>
              <w:rPr>
                <w:sz w:val="10"/>
                <w:szCs w:val="10"/>
                <w:color w:val="auto"/>
              </w:rPr>
            </w:pPr>
          </w:p>
        </w:tc>
        <w:tc>
          <w:tcPr>
            <w:tcW w:w="1740" w:type="dxa"/>
            <w:vAlign w:val="bottom"/>
            <w:tcBorders>
              <w:right w:val="single" w:sz="8" w:color="auto"/>
            </w:tcBorders>
            <w:vMerge w:val="continue"/>
          </w:tcPr>
          <w:p>
            <w:pPr>
              <w:spacing w:after="0"/>
              <w:rPr>
                <w:sz w:val="10"/>
                <w:szCs w:val="10"/>
                <w:color w:val="auto"/>
              </w:rPr>
            </w:pPr>
          </w:p>
        </w:tc>
        <w:tc>
          <w:tcPr>
            <w:tcW w:w="472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5"/>
                <w:szCs w:val="15"/>
                <w:color w:val="auto"/>
                <w:w w:val="95"/>
              </w:rPr>
              <w:t>For Performing the Methods</w:t>
            </w:r>
          </w:p>
        </w:tc>
        <w:tc>
          <w:tcPr>
            <w:tcW w:w="0" w:type="dxa"/>
            <w:vAlign w:val="bottom"/>
          </w:tcPr>
          <w:p>
            <w:pPr>
              <w:spacing w:after="0"/>
              <w:rPr>
                <w:sz w:val="1"/>
                <w:szCs w:val="1"/>
                <w:color w:val="auto"/>
              </w:rPr>
            </w:pPr>
          </w:p>
        </w:tc>
      </w:tr>
      <w:tr>
        <w:trPr>
          <w:trHeight w:val="75"/>
        </w:trPr>
        <w:tc>
          <w:tcPr>
            <w:tcW w:w="2980" w:type="dxa"/>
            <w:vAlign w:val="bottom"/>
            <w:tcBorders>
              <w:left w:val="single" w:sz="8" w:color="auto"/>
              <w:bottom w:val="single" w:sz="8" w:color="auto"/>
              <w:right w:val="single" w:sz="8" w:color="auto"/>
            </w:tcBorders>
          </w:tcPr>
          <w:p>
            <w:pPr>
              <w:spacing w:after="0"/>
              <w:rPr>
                <w:sz w:val="6"/>
                <w:szCs w:val="6"/>
                <w:color w:val="auto"/>
              </w:rPr>
            </w:pPr>
          </w:p>
        </w:tc>
        <w:tc>
          <w:tcPr>
            <w:tcW w:w="1840" w:type="dxa"/>
            <w:vAlign w:val="bottom"/>
            <w:tcBorders>
              <w:bottom w:val="single" w:sz="8" w:color="auto"/>
              <w:right w:val="single" w:sz="8" w:color="auto"/>
            </w:tcBorders>
          </w:tcPr>
          <w:p>
            <w:pPr>
              <w:spacing w:after="0"/>
              <w:rPr>
                <w:sz w:val="6"/>
                <w:szCs w:val="6"/>
                <w:color w:val="auto"/>
              </w:rPr>
            </w:pPr>
          </w:p>
        </w:tc>
        <w:tc>
          <w:tcPr>
            <w:tcW w:w="1740" w:type="dxa"/>
            <w:vAlign w:val="bottom"/>
            <w:tcBorders>
              <w:bottom w:val="single" w:sz="8" w:color="auto"/>
              <w:right w:val="single" w:sz="8" w:color="auto"/>
            </w:tcBorders>
          </w:tcPr>
          <w:p>
            <w:pPr>
              <w:spacing w:after="0"/>
              <w:rPr>
                <w:sz w:val="6"/>
                <w:szCs w:val="6"/>
                <w:color w:val="auto"/>
              </w:rPr>
            </w:pPr>
          </w:p>
        </w:tc>
        <w:tc>
          <w:tcPr>
            <w:tcW w:w="4720" w:type="dxa"/>
            <w:vAlign w:val="bottom"/>
            <w:tcBorders>
              <w:bottom w:val="single" w:sz="8" w:color="auto"/>
              <w:right w:val="single" w:sz="8" w:color="auto"/>
            </w:tcBorders>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39"/>
        </w:trPr>
        <w:tc>
          <w:tcPr>
            <w:tcW w:w="2980" w:type="dxa"/>
            <w:vAlign w:val="bottom"/>
            <w:tcBorders>
              <w:left w:val="single" w:sz="8" w:color="auto"/>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5"/>
                <w:szCs w:val="15"/>
                <w:color w:val="auto"/>
                <w:w w:val="97"/>
              </w:rPr>
              <w:t>2023-519831</w:t>
            </w:r>
          </w:p>
        </w:tc>
        <w:tc>
          <w:tcPr>
            <w:tcW w:w="184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5"/>
                <w:szCs w:val="15"/>
                <w:color w:val="auto"/>
                <w:w w:val="99"/>
              </w:rPr>
              <w:t>Japan</w:t>
            </w:r>
          </w:p>
        </w:tc>
        <w:tc>
          <w:tcPr>
            <w:tcW w:w="174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5"/>
                <w:szCs w:val="15"/>
                <w:color w:val="auto"/>
                <w:w w:val="97"/>
              </w:rPr>
              <w:t>Pending</w:t>
            </w:r>
          </w:p>
        </w:tc>
        <w:tc>
          <w:tcPr>
            <w:tcW w:w="4720" w:type="dxa"/>
            <w:vAlign w:val="bottom"/>
            <w:tcBorders>
              <w:right w:val="single" w:sz="8" w:color="auto"/>
            </w:tcBorders>
          </w:tcPr>
          <w:p>
            <w:pPr>
              <w:jc w:val="center"/>
              <w:spacing w:after="0" w:line="139" w:lineRule="exact"/>
              <w:rPr>
                <w:sz w:val="20"/>
                <w:szCs w:val="20"/>
                <w:color w:val="auto"/>
              </w:rPr>
            </w:pPr>
            <w:r>
              <w:rPr>
                <w:rFonts w:ascii="Times New Roman" w:cs="Times New Roman" w:eastAsia="Times New Roman" w:hAnsi="Times New Roman"/>
                <w:sz w:val="15"/>
                <w:szCs w:val="15"/>
                <w:color w:val="auto"/>
                <w:w w:val="96"/>
              </w:rPr>
              <w:t>Methods For Delivery of Psychedelic Medications By Inhalation and Systems</w:t>
            </w:r>
          </w:p>
        </w:tc>
        <w:tc>
          <w:tcPr>
            <w:tcW w:w="0" w:type="dxa"/>
            <w:vAlign w:val="bottom"/>
          </w:tcPr>
          <w:p>
            <w:pPr>
              <w:spacing w:after="0"/>
              <w:rPr>
                <w:sz w:val="1"/>
                <w:szCs w:val="1"/>
                <w:color w:val="auto"/>
              </w:rPr>
            </w:pPr>
          </w:p>
        </w:tc>
      </w:tr>
      <w:tr>
        <w:trPr>
          <w:trHeight w:val="117"/>
        </w:trPr>
        <w:tc>
          <w:tcPr>
            <w:tcW w:w="2980" w:type="dxa"/>
            <w:vAlign w:val="bottom"/>
            <w:tcBorders>
              <w:left w:val="single" w:sz="8" w:color="auto"/>
              <w:right w:val="single" w:sz="8" w:color="auto"/>
            </w:tcBorders>
            <w:vMerge w:val="continue"/>
          </w:tcPr>
          <w:p>
            <w:pPr>
              <w:spacing w:after="0"/>
              <w:rPr>
                <w:sz w:val="10"/>
                <w:szCs w:val="10"/>
                <w:color w:val="auto"/>
              </w:rPr>
            </w:pPr>
          </w:p>
        </w:tc>
        <w:tc>
          <w:tcPr>
            <w:tcW w:w="1840" w:type="dxa"/>
            <w:vAlign w:val="bottom"/>
            <w:tcBorders>
              <w:right w:val="single" w:sz="8" w:color="auto"/>
            </w:tcBorders>
            <w:vMerge w:val="continue"/>
          </w:tcPr>
          <w:p>
            <w:pPr>
              <w:spacing w:after="0"/>
              <w:rPr>
                <w:sz w:val="10"/>
                <w:szCs w:val="10"/>
                <w:color w:val="auto"/>
              </w:rPr>
            </w:pPr>
          </w:p>
        </w:tc>
        <w:tc>
          <w:tcPr>
            <w:tcW w:w="1740" w:type="dxa"/>
            <w:vAlign w:val="bottom"/>
            <w:tcBorders>
              <w:right w:val="single" w:sz="8" w:color="auto"/>
            </w:tcBorders>
            <w:vMerge w:val="continue"/>
          </w:tcPr>
          <w:p>
            <w:pPr>
              <w:spacing w:after="0"/>
              <w:rPr>
                <w:sz w:val="10"/>
                <w:szCs w:val="10"/>
                <w:color w:val="auto"/>
              </w:rPr>
            </w:pPr>
          </w:p>
        </w:tc>
        <w:tc>
          <w:tcPr>
            <w:tcW w:w="472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5"/>
                <w:szCs w:val="15"/>
                <w:color w:val="auto"/>
                <w:w w:val="95"/>
              </w:rPr>
              <w:t>For Performing the Methods</w:t>
            </w:r>
          </w:p>
        </w:tc>
        <w:tc>
          <w:tcPr>
            <w:tcW w:w="0" w:type="dxa"/>
            <w:vAlign w:val="bottom"/>
          </w:tcPr>
          <w:p>
            <w:pPr>
              <w:spacing w:after="0"/>
              <w:rPr>
                <w:sz w:val="1"/>
                <w:szCs w:val="1"/>
                <w:color w:val="auto"/>
              </w:rPr>
            </w:pPr>
          </w:p>
        </w:tc>
      </w:tr>
      <w:tr>
        <w:trPr>
          <w:trHeight w:val="75"/>
        </w:trPr>
        <w:tc>
          <w:tcPr>
            <w:tcW w:w="2980" w:type="dxa"/>
            <w:vAlign w:val="bottom"/>
            <w:tcBorders>
              <w:left w:val="single" w:sz="8" w:color="auto"/>
              <w:bottom w:val="single" w:sz="8" w:color="auto"/>
              <w:right w:val="single" w:sz="8" w:color="auto"/>
            </w:tcBorders>
          </w:tcPr>
          <w:p>
            <w:pPr>
              <w:spacing w:after="0"/>
              <w:rPr>
                <w:sz w:val="6"/>
                <w:szCs w:val="6"/>
                <w:color w:val="auto"/>
              </w:rPr>
            </w:pPr>
          </w:p>
        </w:tc>
        <w:tc>
          <w:tcPr>
            <w:tcW w:w="1840" w:type="dxa"/>
            <w:vAlign w:val="bottom"/>
            <w:tcBorders>
              <w:bottom w:val="single" w:sz="8" w:color="auto"/>
              <w:right w:val="single" w:sz="8" w:color="auto"/>
            </w:tcBorders>
          </w:tcPr>
          <w:p>
            <w:pPr>
              <w:spacing w:after="0"/>
              <w:rPr>
                <w:sz w:val="6"/>
                <w:szCs w:val="6"/>
                <w:color w:val="auto"/>
              </w:rPr>
            </w:pPr>
          </w:p>
        </w:tc>
        <w:tc>
          <w:tcPr>
            <w:tcW w:w="1740" w:type="dxa"/>
            <w:vAlign w:val="bottom"/>
            <w:tcBorders>
              <w:bottom w:val="single" w:sz="8" w:color="auto"/>
              <w:right w:val="single" w:sz="8" w:color="auto"/>
            </w:tcBorders>
          </w:tcPr>
          <w:p>
            <w:pPr>
              <w:spacing w:after="0"/>
              <w:rPr>
                <w:sz w:val="6"/>
                <w:szCs w:val="6"/>
                <w:color w:val="auto"/>
              </w:rPr>
            </w:pPr>
          </w:p>
        </w:tc>
        <w:tc>
          <w:tcPr>
            <w:tcW w:w="4720" w:type="dxa"/>
            <w:vAlign w:val="bottom"/>
            <w:tcBorders>
              <w:bottom w:val="single" w:sz="8" w:color="auto"/>
              <w:right w:val="single" w:sz="8" w:color="auto"/>
            </w:tcBorders>
            <w:vMerge w:val="continue"/>
          </w:tcPr>
          <w:p>
            <w:pPr>
              <w:spacing w:after="0"/>
              <w:rPr>
                <w:sz w:val="6"/>
                <w:szCs w:val="6"/>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30</w:t>
      </w:r>
    </w:p>
    <w:p>
      <w:pPr>
        <w:sectPr>
          <w:pgSz w:w="11900" w:h="16838" w:orient="portrait"/>
          <w:cols w:equalWidth="0" w:num="1">
            <w:col w:w="11260"/>
          </w:cols>
          <w:pgMar w:left="320" w:top="1304" w:right="319" w:bottom="1440" w:gutter="0" w:footer="0" w:header="0"/>
        </w:sectPr>
      </w:pPr>
    </w:p>
    <w:bookmarkStart w:id="56" w:name="page57"/>
    <w:bookmarkEnd w:id="56"/>
    <w:tbl>
      <w:tblPr>
        <w:tblLayout w:type="fixed"/>
        <w:tblInd w:w="10" w:type="dxa"/>
        <w:tblCellMar>
          <w:top w:w="0" w:type="dxa"/>
          <w:left w:w="0" w:type="dxa"/>
          <w:bottom w:w="0" w:type="dxa"/>
          <w:right w:w="0" w:type="dxa"/>
        </w:tblCellMar>
      </w:tblPr>
      <w:tr>
        <w:trPr>
          <w:trHeight w:val="204"/>
        </w:trPr>
        <w:tc>
          <w:tcPr>
            <w:tcW w:w="2980" w:type="dxa"/>
            <w:vAlign w:val="bottom"/>
            <w:tcBorders>
              <w:top w:val="single" w:sz="8" w:color="auto"/>
              <w:left w:val="single" w:sz="8" w:color="auto"/>
              <w:bottom w:val="single" w:sz="8" w:color="auto"/>
              <w:right w:val="single" w:sz="8" w:color="auto"/>
            </w:tcBorders>
            <w:shd w:val="clear" w:color="auto" w:fill="BFBFBF"/>
          </w:tcPr>
          <w:p>
            <w:pPr>
              <w:ind w:left="620"/>
              <w:spacing w:after="0"/>
              <w:rPr>
                <w:sz w:val="20"/>
                <w:szCs w:val="20"/>
                <w:color w:val="auto"/>
              </w:rPr>
            </w:pPr>
            <w:r>
              <w:rPr>
                <w:rFonts w:ascii="Times New Roman" w:cs="Times New Roman" w:eastAsia="Times New Roman" w:hAnsi="Times New Roman"/>
                <w:sz w:val="15"/>
                <w:szCs w:val="15"/>
                <w:b w:val="1"/>
                <w:bCs w:val="1"/>
                <w:color w:val="auto"/>
              </w:rPr>
              <w:t>Patent Application Number</w:t>
            </w:r>
          </w:p>
        </w:tc>
        <w:tc>
          <w:tcPr>
            <w:tcW w:w="1840" w:type="dxa"/>
            <w:vAlign w:val="bottom"/>
            <w:tcBorders>
              <w:top w:val="single" w:sz="8" w:color="auto"/>
              <w:bottom w:val="single" w:sz="8" w:color="auto"/>
              <w:right w:val="single" w:sz="8" w:color="auto"/>
            </w:tcBorders>
            <w:shd w:val="clear" w:color="auto" w:fill="BFBFBF"/>
          </w:tcPr>
          <w:p>
            <w:pPr>
              <w:jc w:val="center"/>
              <w:spacing w:after="0"/>
              <w:rPr>
                <w:sz w:val="20"/>
                <w:szCs w:val="20"/>
                <w:color w:val="auto"/>
              </w:rPr>
            </w:pPr>
            <w:r>
              <w:rPr>
                <w:rFonts w:ascii="Times New Roman" w:cs="Times New Roman" w:eastAsia="Times New Roman" w:hAnsi="Times New Roman"/>
                <w:sz w:val="15"/>
                <w:szCs w:val="15"/>
                <w:b w:val="1"/>
                <w:bCs w:val="1"/>
                <w:color w:val="auto"/>
                <w:w w:val="96"/>
              </w:rPr>
              <w:t>Jurisdiction of Filing</w:t>
            </w:r>
          </w:p>
        </w:tc>
        <w:tc>
          <w:tcPr>
            <w:tcW w:w="1740" w:type="dxa"/>
            <w:vAlign w:val="bottom"/>
            <w:tcBorders>
              <w:top w:val="single" w:sz="8" w:color="auto"/>
              <w:bottom w:val="single" w:sz="8" w:color="auto"/>
              <w:right w:val="single" w:sz="8" w:color="auto"/>
            </w:tcBorders>
            <w:shd w:val="clear" w:color="auto" w:fill="BFBFBF"/>
          </w:tcPr>
          <w:p>
            <w:pPr>
              <w:jc w:val="center"/>
              <w:spacing w:after="0"/>
              <w:rPr>
                <w:sz w:val="20"/>
                <w:szCs w:val="20"/>
                <w:color w:val="auto"/>
              </w:rPr>
            </w:pPr>
            <w:r>
              <w:rPr>
                <w:rFonts w:ascii="Times New Roman" w:cs="Times New Roman" w:eastAsia="Times New Roman" w:hAnsi="Times New Roman"/>
                <w:sz w:val="15"/>
                <w:szCs w:val="15"/>
                <w:b w:val="1"/>
                <w:bCs w:val="1"/>
                <w:color w:val="auto"/>
                <w:w w:val="99"/>
              </w:rPr>
              <w:t>Status</w:t>
            </w:r>
          </w:p>
        </w:tc>
        <w:tc>
          <w:tcPr>
            <w:tcW w:w="4720" w:type="dxa"/>
            <w:vAlign w:val="bottom"/>
            <w:tcBorders>
              <w:top w:val="single" w:sz="8" w:color="auto"/>
              <w:bottom w:val="single" w:sz="8" w:color="auto"/>
              <w:right w:val="single" w:sz="8" w:color="auto"/>
            </w:tcBorders>
            <w:shd w:val="clear" w:color="auto" w:fill="BFBFBF"/>
          </w:tcPr>
          <w:p>
            <w:pPr>
              <w:jc w:val="center"/>
              <w:spacing w:after="0"/>
              <w:rPr>
                <w:sz w:val="20"/>
                <w:szCs w:val="20"/>
                <w:color w:val="auto"/>
              </w:rPr>
            </w:pPr>
            <w:r>
              <w:rPr>
                <w:rFonts w:ascii="Times New Roman" w:cs="Times New Roman" w:eastAsia="Times New Roman" w:hAnsi="Times New Roman"/>
                <w:sz w:val="15"/>
                <w:szCs w:val="15"/>
                <w:b w:val="1"/>
                <w:bCs w:val="1"/>
                <w:color w:val="auto"/>
                <w:w w:val="97"/>
              </w:rPr>
              <w:t>Description</w:t>
            </w:r>
          </w:p>
        </w:tc>
        <w:tc>
          <w:tcPr>
            <w:tcW w:w="0" w:type="dxa"/>
            <w:vAlign w:val="bottom"/>
          </w:tcPr>
          <w:p>
            <w:pPr>
              <w:spacing w:after="0"/>
              <w:rPr>
                <w:sz w:val="1"/>
                <w:szCs w:val="1"/>
                <w:color w:val="auto"/>
              </w:rPr>
            </w:pPr>
          </w:p>
        </w:tc>
      </w:tr>
      <w:tr>
        <w:trPr>
          <w:trHeight w:val="138"/>
        </w:trPr>
        <w:tc>
          <w:tcPr>
            <w:tcW w:w="2980" w:type="dxa"/>
            <w:vAlign w:val="bottom"/>
            <w:tcBorders>
              <w:left w:val="single" w:sz="8" w:color="auto"/>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5"/>
                <w:szCs w:val="15"/>
                <w:color w:val="auto"/>
                <w:w w:val="98"/>
              </w:rPr>
              <w:t>3194558</w:t>
            </w:r>
          </w:p>
        </w:tc>
        <w:tc>
          <w:tcPr>
            <w:tcW w:w="184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5"/>
                <w:szCs w:val="15"/>
                <w:color w:val="auto"/>
                <w:w w:val="93"/>
              </w:rPr>
              <w:t>Canada</w:t>
            </w:r>
          </w:p>
        </w:tc>
        <w:tc>
          <w:tcPr>
            <w:tcW w:w="174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5"/>
                <w:szCs w:val="15"/>
                <w:color w:val="auto"/>
                <w:w w:val="97"/>
              </w:rPr>
              <w:t>Pending</w:t>
            </w:r>
          </w:p>
        </w:tc>
        <w:tc>
          <w:tcPr>
            <w:tcW w:w="4720" w:type="dxa"/>
            <w:vAlign w:val="bottom"/>
            <w:tcBorders>
              <w:right w:val="single" w:sz="8" w:color="auto"/>
            </w:tcBorders>
          </w:tcPr>
          <w:p>
            <w:pPr>
              <w:jc w:val="center"/>
              <w:spacing w:after="0" w:line="138" w:lineRule="exact"/>
              <w:rPr>
                <w:sz w:val="20"/>
                <w:szCs w:val="20"/>
                <w:color w:val="auto"/>
              </w:rPr>
            </w:pPr>
            <w:r>
              <w:rPr>
                <w:rFonts w:ascii="Times New Roman" w:cs="Times New Roman" w:eastAsia="Times New Roman" w:hAnsi="Times New Roman"/>
                <w:sz w:val="15"/>
                <w:szCs w:val="15"/>
                <w:color w:val="auto"/>
                <w:w w:val="96"/>
              </w:rPr>
              <w:t>Methods For Delivery of Psychedelic Medications By Inhalation and Systems</w:t>
            </w:r>
          </w:p>
        </w:tc>
        <w:tc>
          <w:tcPr>
            <w:tcW w:w="0" w:type="dxa"/>
            <w:vAlign w:val="bottom"/>
          </w:tcPr>
          <w:p>
            <w:pPr>
              <w:spacing w:after="0"/>
              <w:rPr>
                <w:sz w:val="1"/>
                <w:szCs w:val="1"/>
                <w:color w:val="auto"/>
              </w:rPr>
            </w:pPr>
          </w:p>
        </w:tc>
      </w:tr>
      <w:tr>
        <w:trPr>
          <w:trHeight w:val="117"/>
        </w:trPr>
        <w:tc>
          <w:tcPr>
            <w:tcW w:w="2980" w:type="dxa"/>
            <w:vAlign w:val="bottom"/>
            <w:tcBorders>
              <w:left w:val="single" w:sz="8" w:color="auto"/>
              <w:right w:val="single" w:sz="8" w:color="auto"/>
            </w:tcBorders>
            <w:vMerge w:val="continue"/>
          </w:tcPr>
          <w:p>
            <w:pPr>
              <w:spacing w:after="0"/>
              <w:rPr>
                <w:sz w:val="10"/>
                <w:szCs w:val="10"/>
                <w:color w:val="auto"/>
              </w:rPr>
            </w:pPr>
          </w:p>
        </w:tc>
        <w:tc>
          <w:tcPr>
            <w:tcW w:w="1840" w:type="dxa"/>
            <w:vAlign w:val="bottom"/>
            <w:tcBorders>
              <w:right w:val="single" w:sz="8" w:color="auto"/>
            </w:tcBorders>
            <w:vMerge w:val="continue"/>
          </w:tcPr>
          <w:p>
            <w:pPr>
              <w:spacing w:after="0"/>
              <w:rPr>
                <w:sz w:val="10"/>
                <w:szCs w:val="10"/>
                <w:color w:val="auto"/>
              </w:rPr>
            </w:pPr>
          </w:p>
        </w:tc>
        <w:tc>
          <w:tcPr>
            <w:tcW w:w="1740" w:type="dxa"/>
            <w:vAlign w:val="bottom"/>
            <w:tcBorders>
              <w:right w:val="single" w:sz="8" w:color="auto"/>
            </w:tcBorders>
            <w:vMerge w:val="continue"/>
          </w:tcPr>
          <w:p>
            <w:pPr>
              <w:spacing w:after="0"/>
              <w:rPr>
                <w:sz w:val="10"/>
                <w:szCs w:val="10"/>
                <w:color w:val="auto"/>
              </w:rPr>
            </w:pPr>
          </w:p>
        </w:tc>
        <w:tc>
          <w:tcPr>
            <w:tcW w:w="472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5"/>
                <w:szCs w:val="15"/>
                <w:color w:val="auto"/>
                <w:w w:val="95"/>
              </w:rPr>
              <w:t>For Performing the Methods</w:t>
            </w:r>
          </w:p>
        </w:tc>
        <w:tc>
          <w:tcPr>
            <w:tcW w:w="0" w:type="dxa"/>
            <w:vAlign w:val="bottom"/>
          </w:tcPr>
          <w:p>
            <w:pPr>
              <w:spacing w:after="0"/>
              <w:rPr>
                <w:sz w:val="1"/>
                <w:szCs w:val="1"/>
                <w:color w:val="auto"/>
              </w:rPr>
            </w:pPr>
          </w:p>
        </w:tc>
      </w:tr>
      <w:tr>
        <w:trPr>
          <w:trHeight w:val="75"/>
        </w:trPr>
        <w:tc>
          <w:tcPr>
            <w:tcW w:w="2980" w:type="dxa"/>
            <w:vAlign w:val="bottom"/>
            <w:tcBorders>
              <w:left w:val="single" w:sz="8" w:color="auto"/>
              <w:bottom w:val="single" w:sz="8" w:color="auto"/>
              <w:right w:val="single" w:sz="8" w:color="auto"/>
            </w:tcBorders>
          </w:tcPr>
          <w:p>
            <w:pPr>
              <w:spacing w:after="0"/>
              <w:rPr>
                <w:sz w:val="6"/>
                <w:szCs w:val="6"/>
                <w:color w:val="auto"/>
              </w:rPr>
            </w:pPr>
          </w:p>
        </w:tc>
        <w:tc>
          <w:tcPr>
            <w:tcW w:w="1840" w:type="dxa"/>
            <w:vAlign w:val="bottom"/>
            <w:tcBorders>
              <w:bottom w:val="single" w:sz="8" w:color="auto"/>
              <w:right w:val="single" w:sz="8" w:color="auto"/>
            </w:tcBorders>
          </w:tcPr>
          <w:p>
            <w:pPr>
              <w:spacing w:after="0"/>
              <w:rPr>
                <w:sz w:val="6"/>
                <w:szCs w:val="6"/>
                <w:color w:val="auto"/>
              </w:rPr>
            </w:pPr>
          </w:p>
        </w:tc>
        <w:tc>
          <w:tcPr>
            <w:tcW w:w="1740" w:type="dxa"/>
            <w:vAlign w:val="bottom"/>
            <w:tcBorders>
              <w:bottom w:val="single" w:sz="8" w:color="auto"/>
              <w:right w:val="single" w:sz="8" w:color="auto"/>
            </w:tcBorders>
          </w:tcPr>
          <w:p>
            <w:pPr>
              <w:spacing w:after="0"/>
              <w:rPr>
                <w:sz w:val="6"/>
                <w:szCs w:val="6"/>
                <w:color w:val="auto"/>
              </w:rPr>
            </w:pPr>
          </w:p>
        </w:tc>
        <w:tc>
          <w:tcPr>
            <w:tcW w:w="4720" w:type="dxa"/>
            <w:vAlign w:val="bottom"/>
            <w:tcBorders>
              <w:bottom w:val="single" w:sz="8" w:color="auto"/>
              <w:right w:val="single" w:sz="8" w:color="auto"/>
            </w:tcBorders>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39"/>
        </w:trPr>
        <w:tc>
          <w:tcPr>
            <w:tcW w:w="2980" w:type="dxa"/>
            <w:vAlign w:val="bottom"/>
            <w:tcBorders>
              <w:left w:val="single" w:sz="8" w:color="auto"/>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5"/>
                <w:szCs w:val="15"/>
                <w:color w:val="auto"/>
                <w:w w:val="95"/>
              </w:rPr>
              <w:t>62023079720.6</w:t>
            </w:r>
          </w:p>
        </w:tc>
        <w:tc>
          <w:tcPr>
            <w:tcW w:w="184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5"/>
                <w:szCs w:val="15"/>
                <w:color w:val="auto"/>
                <w:w w:val="96"/>
              </w:rPr>
              <w:t>Hong Kong</w:t>
            </w:r>
          </w:p>
        </w:tc>
        <w:tc>
          <w:tcPr>
            <w:tcW w:w="174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5"/>
                <w:szCs w:val="15"/>
                <w:color w:val="auto"/>
                <w:w w:val="97"/>
              </w:rPr>
              <w:t>Pending</w:t>
            </w:r>
          </w:p>
        </w:tc>
        <w:tc>
          <w:tcPr>
            <w:tcW w:w="4720" w:type="dxa"/>
            <w:vAlign w:val="bottom"/>
            <w:tcBorders>
              <w:right w:val="single" w:sz="8" w:color="auto"/>
            </w:tcBorders>
          </w:tcPr>
          <w:p>
            <w:pPr>
              <w:jc w:val="center"/>
              <w:spacing w:after="0" w:line="139" w:lineRule="exact"/>
              <w:rPr>
                <w:sz w:val="20"/>
                <w:szCs w:val="20"/>
                <w:color w:val="auto"/>
              </w:rPr>
            </w:pPr>
            <w:r>
              <w:rPr>
                <w:rFonts w:ascii="Times New Roman" w:cs="Times New Roman" w:eastAsia="Times New Roman" w:hAnsi="Times New Roman"/>
                <w:sz w:val="15"/>
                <w:szCs w:val="15"/>
                <w:color w:val="auto"/>
                <w:w w:val="96"/>
              </w:rPr>
              <w:t>Methods For Delivery of Psychedelic Medications By Inhalation and Systems</w:t>
            </w:r>
          </w:p>
        </w:tc>
        <w:tc>
          <w:tcPr>
            <w:tcW w:w="0" w:type="dxa"/>
            <w:vAlign w:val="bottom"/>
          </w:tcPr>
          <w:p>
            <w:pPr>
              <w:spacing w:after="0"/>
              <w:rPr>
                <w:sz w:val="1"/>
                <w:szCs w:val="1"/>
                <w:color w:val="auto"/>
              </w:rPr>
            </w:pPr>
          </w:p>
        </w:tc>
      </w:tr>
      <w:tr>
        <w:trPr>
          <w:trHeight w:val="117"/>
        </w:trPr>
        <w:tc>
          <w:tcPr>
            <w:tcW w:w="2980" w:type="dxa"/>
            <w:vAlign w:val="bottom"/>
            <w:tcBorders>
              <w:left w:val="single" w:sz="8" w:color="auto"/>
              <w:right w:val="single" w:sz="8" w:color="auto"/>
            </w:tcBorders>
            <w:vMerge w:val="continue"/>
          </w:tcPr>
          <w:p>
            <w:pPr>
              <w:spacing w:after="0"/>
              <w:rPr>
                <w:sz w:val="10"/>
                <w:szCs w:val="10"/>
                <w:color w:val="auto"/>
              </w:rPr>
            </w:pPr>
          </w:p>
        </w:tc>
        <w:tc>
          <w:tcPr>
            <w:tcW w:w="1840" w:type="dxa"/>
            <w:vAlign w:val="bottom"/>
            <w:tcBorders>
              <w:right w:val="single" w:sz="8" w:color="auto"/>
            </w:tcBorders>
            <w:vMerge w:val="continue"/>
          </w:tcPr>
          <w:p>
            <w:pPr>
              <w:spacing w:after="0"/>
              <w:rPr>
                <w:sz w:val="10"/>
                <w:szCs w:val="10"/>
                <w:color w:val="auto"/>
              </w:rPr>
            </w:pPr>
          </w:p>
        </w:tc>
        <w:tc>
          <w:tcPr>
            <w:tcW w:w="1740" w:type="dxa"/>
            <w:vAlign w:val="bottom"/>
            <w:tcBorders>
              <w:right w:val="single" w:sz="8" w:color="auto"/>
            </w:tcBorders>
            <w:vMerge w:val="continue"/>
          </w:tcPr>
          <w:p>
            <w:pPr>
              <w:spacing w:after="0"/>
              <w:rPr>
                <w:sz w:val="10"/>
                <w:szCs w:val="10"/>
                <w:color w:val="auto"/>
              </w:rPr>
            </w:pPr>
          </w:p>
        </w:tc>
        <w:tc>
          <w:tcPr>
            <w:tcW w:w="472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5"/>
                <w:szCs w:val="15"/>
                <w:color w:val="auto"/>
                <w:w w:val="95"/>
              </w:rPr>
              <w:t>For Performing the Methods</w:t>
            </w:r>
          </w:p>
        </w:tc>
        <w:tc>
          <w:tcPr>
            <w:tcW w:w="0" w:type="dxa"/>
            <w:vAlign w:val="bottom"/>
          </w:tcPr>
          <w:p>
            <w:pPr>
              <w:spacing w:after="0"/>
              <w:rPr>
                <w:sz w:val="1"/>
                <w:szCs w:val="1"/>
                <w:color w:val="auto"/>
              </w:rPr>
            </w:pPr>
          </w:p>
        </w:tc>
      </w:tr>
      <w:tr>
        <w:trPr>
          <w:trHeight w:val="75"/>
        </w:trPr>
        <w:tc>
          <w:tcPr>
            <w:tcW w:w="2980" w:type="dxa"/>
            <w:vAlign w:val="bottom"/>
            <w:tcBorders>
              <w:left w:val="single" w:sz="8" w:color="auto"/>
              <w:bottom w:val="single" w:sz="8" w:color="auto"/>
              <w:right w:val="single" w:sz="8" w:color="auto"/>
            </w:tcBorders>
          </w:tcPr>
          <w:p>
            <w:pPr>
              <w:spacing w:after="0"/>
              <w:rPr>
                <w:sz w:val="6"/>
                <w:szCs w:val="6"/>
                <w:color w:val="auto"/>
              </w:rPr>
            </w:pPr>
          </w:p>
        </w:tc>
        <w:tc>
          <w:tcPr>
            <w:tcW w:w="1840" w:type="dxa"/>
            <w:vAlign w:val="bottom"/>
            <w:tcBorders>
              <w:bottom w:val="single" w:sz="8" w:color="auto"/>
              <w:right w:val="single" w:sz="8" w:color="auto"/>
            </w:tcBorders>
          </w:tcPr>
          <w:p>
            <w:pPr>
              <w:spacing w:after="0"/>
              <w:rPr>
                <w:sz w:val="6"/>
                <w:szCs w:val="6"/>
                <w:color w:val="auto"/>
              </w:rPr>
            </w:pPr>
          </w:p>
        </w:tc>
        <w:tc>
          <w:tcPr>
            <w:tcW w:w="1740" w:type="dxa"/>
            <w:vAlign w:val="bottom"/>
            <w:tcBorders>
              <w:bottom w:val="single" w:sz="8" w:color="auto"/>
              <w:right w:val="single" w:sz="8" w:color="auto"/>
            </w:tcBorders>
          </w:tcPr>
          <w:p>
            <w:pPr>
              <w:spacing w:after="0"/>
              <w:rPr>
                <w:sz w:val="6"/>
                <w:szCs w:val="6"/>
                <w:color w:val="auto"/>
              </w:rPr>
            </w:pPr>
          </w:p>
        </w:tc>
        <w:tc>
          <w:tcPr>
            <w:tcW w:w="4720" w:type="dxa"/>
            <w:vAlign w:val="bottom"/>
            <w:tcBorders>
              <w:bottom w:val="single" w:sz="8" w:color="auto"/>
              <w:right w:val="single" w:sz="8" w:color="auto"/>
            </w:tcBorders>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6"/>
        </w:trPr>
        <w:tc>
          <w:tcPr>
            <w:tcW w:w="298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w w:val="97"/>
              </w:rPr>
              <w:t>802136</w:t>
            </w:r>
          </w:p>
        </w:tc>
        <w:tc>
          <w:tcPr>
            <w:tcW w:w="18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w w:val="96"/>
              </w:rPr>
              <w:t>New Zealand</w:t>
            </w:r>
          </w:p>
        </w:tc>
        <w:tc>
          <w:tcPr>
            <w:tcW w:w="17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w w:val="97"/>
              </w:rPr>
              <w:t>Pending</w:t>
            </w:r>
          </w:p>
        </w:tc>
        <w:tc>
          <w:tcPr>
            <w:tcW w:w="47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w w:val="96"/>
              </w:rPr>
              <w:t>Psilocybin Analogs, Salts, Compositions, and Methods of Use</w:t>
            </w:r>
          </w:p>
        </w:tc>
        <w:tc>
          <w:tcPr>
            <w:tcW w:w="0" w:type="dxa"/>
            <w:vAlign w:val="bottom"/>
          </w:tcPr>
          <w:p>
            <w:pPr>
              <w:spacing w:after="0"/>
              <w:rPr>
                <w:sz w:val="1"/>
                <w:szCs w:val="1"/>
                <w:color w:val="auto"/>
              </w:rPr>
            </w:pPr>
          </w:p>
        </w:tc>
      </w:tr>
      <w:tr>
        <w:trPr>
          <w:trHeight w:val="186"/>
        </w:trPr>
        <w:tc>
          <w:tcPr>
            <w:tcW w:w="298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w w:val="97"/>
              </w:rPr>
              <w:t>305457</w:t>
            </w:r>
          </w:p>
        </w:tc>
        <w:tc>
          <w:tcPr>
            <w:tcW w:w="18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rPr>
              <w:t>Israel</w:t>
            </w:r>
          </w:p>
        </w:tc>
        <w:tc>
          <w:tcPr>
            <w:tcW w:w="17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w w:val="97"/>
              </w:rPr>
              <w:t>Pending</w:t>
            </w:r>
          </w:p>
        </w:tc>
        <w:tc>
          <w:tcPr>
            <w:tcW w:w="47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w w:val="96"/>
              </w:rPr>
              <w:t>Psilocybin Analogs, Salts, Compositions, and Methods of Use</w:t>
            </w:r>
          </w:p>
        </w:tc>
        <w:tc>
          <w:tcPr>
            <w:tcW w:w="0" w:type="dxa"/>
            <w:vAlign w:val="bottom"/>
          </w:tcPr>
          <w:p>
            <w:pPr>
              <w:spacing w:after="0"/>
              <w:rPr>
                <w:sz w:val="1"/>
                <w:szCs w:val="1"/>
                <w:color w:val="auto"/>
              </w:rPr>
            </w:pPr>
          </w:p>
        </w:tc>
      </w:tr>
      <w:tr>
        <w:trPr>
          <w:trHeight w:val="186"/>
        </w:trPr>
        <w:tc>
          <w:tcPr>
            <w:tcW w:w="298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w w:val="98"/>
              </w:rPr>
              <w:t>3212563</w:t>
            </w:r>
          </w:p>
        </w:tc>
        <w:tc>
          <w:tcPr>
            <w:tcW w:w="18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w w:val="93"/>
              </w:rPr>
              <w:t>Canada</w:t>
            </w:r>
          </w:p>
        </w:tc>
        <w:tc>
          <w:tcPr>
            <w:tcW w:w="17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w w:val="97"/>
              </w:rPr>
              <w:t>Pending</w:t>
            </w:r>
          </w:p>
        </w:tc>
        <w:tc>
          <w:tcPr>
            <w:tcW w:w="47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w w:val="96"/>
              </w:rPr>
              <w:t>Psilocybin Analogs, Salts, Compositions, and Methods of Use</w:t>
            </w:r>
          </w:p>
        </w:tc>
        <w:tc>
          <w:tcPr>
            <w:tcW w:w="0" w:type="dxa"/>
            <w:vAlign w:val="bottom"/>
          </w:tcPr>
          <w:p>
            <w:pPr>
              <w:spacing w:after="0"/>
              <w:rPr>
                <w:sz w:val="1"/>
                <w:szCs w:val="1"/>
                <w:color w:val="auto"/>
              </w:rPr>
            </w:pPr>
          </w:p>
        </w:tc>
      </w:tr>
      <w:tr>
        <w:trPr>
          <w:trHeight w:val="186"/>
        </w:trPr>
        <w:tc>
          <w:tcPr>
            <w:tcW w:w="298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w w:val="96"/>
              </w:rPr>
              <w:t>NC2023/0013714</w:t>
            </w:r>
          </w:p>
        </w:tc>
        <w:tc>
          <w:tcPr>
            <w:tcW w:w="18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w w:val="97"/>
              </w:rPr>
              <w:t>Columbia</w:t>
            </w:r>
          </w:p>
        </w:tc>
        <w:tc>
          <w:tcPr>
            <w:tcW w:w="17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w w:val="97"/>
              </w:rPr>
              <w:t>Pending</w:t>
            </w:r>
          </w:p>
        </w:tc>
        <w:tc>
          <w:tcPr>
            <w:tcW w:w="47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w w:val="96"/>
              </w:rPr>
              <w:t>Psilocybin Analogs, Salts, Compositions, and Methods of Use</w:t>
            </w:r>
          </w:p>
        </w:tc>
        <w:tc>
          <w:tcPr>
            <w:tcW w:w="0" w:type="dxa"/>
            <w:vAlign w:val="bottom"/>
          </w:tcPr>
          <w:p>
            <w:pPr>
              <w:spacing w:after="0"/>
              <w:rPr>
                <w:sz w:val="1"/>
                <w:szCs w:val="1"/>
                <w:color w:val="auto"/>
              </w:rPr>
            </w:pPr>
          </w:p>
        </w:tc>
      </w:tr>
      <w:tr>
        <w:trPr>
          <w:trHeight w:val="186"/>
        </w:trPr>
        <w:tc>
          <w:tcPr>
            <w:tcW w:w="298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w w:val="96"/>
              </w:rPr>
              <w:t>MX/a/2023/010843</w:t>
            </w:r>
          </w:p>
        </w:tc>
        <w:tc>
          <w:tcPr>
            <w:tcW w:w="18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rPr>
              <w:t>Mexico</w:t>
            </w:r>
          </w:p>
        </w:tc>
        <w:tc>
          <w:tcPr>
            <w:tcW w:w="17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w w:val="97"/>
              </w:rPr>
              <w:t>Pending</w:t>
            </w:r>
          </w:p>
        </w:tc>
        <w:tc>
          <w:tcPr>
            <w:tcW w:w="47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w w:val="96"/>
              </w:rPr>
              <w:t>Psilocybin Analogs, Salts, Compositions, and Methods of Use</w:t>
            </w:r>
          </w:p>
        </w:tc>
        <w:tc>
          <w:tcPr>
            <w:tcW w:w="0" w:type="dxa"/>
            <w:vAlign w:val="bottom"/>
          </w:tcPr>
          <w:p>
            <w:pPr>
              <w:spacing w:after="0"/>
              <w:rPr>
                <w:sz w:val="1"/>
                <w:szCs w:val="1"/>
                <w:color w:val="auto"/>
              </w:rPr>
            </w:pPr>
          </w:p>
        </w:tc>
      </w:tr>
      <w:tr>
        <w:trPr>
          <w:trHeight w:val="186"/>
        </w:trPr>
        <w:tc>
          <w:tcPr>
            <w:tcW w:w="298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w w:val="97"/>
              </w:rPr>
              <w:t>202302731</w:t>
            </w:r>
          </w:p>
        </w:tc>
        <w:tc>
          <w:tcPr>
            <w:tcW w:w="18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w w:val="92"/>
              </w:rPr>
              <w:t>Chile</w:t>
            </w:r>
          </w:p>
        </w:tc>
        <w:tc>
          <w:tcPr>
            <w:tcW w:w="17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w w:val="97"/>
              </w:rPr>
              <w:t>Pending</w:t>
            </w:r>
          </w:p>
        </w:tc>
        <w:tc>
          <w:tcPr>
            <w:tcW w:w="47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w w:val="96"/>
              </w:rPr>
              <w:t>Psilocybin Analogs, Salts, Compositions, and Methods of Use</w:t>
            </w:r>
          </w:p>
        </w:tc>
        <w:tc>
          <w:tcPr>
            <w:tcW w:w="0" w:type="dxa"/>
            <w:vAlign w:val="bottom"/>
          </w:tcPr>
          <w:p>
            <w:pPr>
              <w:spacing w:after="0"/>
              <w:rPr>
                <w:sz w:val="1"/>
                <w:szCs w:val="1"/>
                <w:color w:val="auto"/>
              </w:rPr>
            </w:pPr>
          </w:p>
        </w:tc>
      </w:tr>
      <w:tr>
        <w:trPr>
          <w:trHeight w:val="186"/>
        </w:trPr>
        <w:tc>
          <w:tcPr>
            <w:tcW w:w="298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w w:val="96"/>
              </w:rPr>
              <w:t>10-2023-7032581</w:t>
            </w:r>
          </w:p>
        </w:tc>
        <w:tc>
          <w:tcPr>
            <w:tcW w:w="18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w w:val="92"/>
              </w:rPr>
              <w:t>Korea</w:t>
            </w:r>
          </w:p>
        </w:tc>
        <w:tc>
          <w:tcPr>
            <w:tcW w:w="17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w w:val="97"/>
              </w:rPr>
              <w:t>Pending</w:t>
            </w:r>
          </w:p>
        </w:tc>
        <w:tc>
          <w:tcPr>
            <w:tcW w:w="47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w w:val="96"/>
              </w:rPr>
              <w:t>Psilocybin Analogs, Salts, Compositions, and Methods of Use</w:t>
            </w:r>
          </w:p>
        </w:tc>
        <w:tc>
          <w:tcPr>
            <w:tcW w:w="0" w:type="dxa"/>
            <w:vAlign w:val="bottom"/>
          </w:tcPr>
          <w:p>
            <w:pPr>
              <w:spacing w:after="0"/>
              <w:rPr>
                <w:sz w:val="1"/>
                <w:szCs w:val="1"/>
                <w:color w:val="auto"/>
              </w:rPr>
            </w:pPr>
          </w:p>
        </w:tc>
      </w:tr>
      <w:tr>
        <w:trPr>
          <w:trHeight w:val="186"/>
        </w:trPr>
        <w:tc>
          <w:tcPr>
            <w:tcW w:w="298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w w:val="95"/>
              </w:rPr>
              <w:t>22716857.2</w:t>
            </w:r>
          </w:p>
        </w:tc>
        <w:tc>
          <w:tcPr>
            <w:tcW w:w="18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w w:val="96"/>
              </w:rPr>
              <w:t>European Patent Office</w:t>
            </w:r>
          </w:p>
        </w:tc>
        <w:tc>
          <w:tcPr>
            <w:tcW w:w="17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w w:val="97"/>
              </w:rPr>
              <w:t>Pending</w:t>
            </w:r>
          </w:p>
        </w:tc>
        <w:tc>
          <w:tcPr>
            <w:tcW w:w="47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w w:val="96"/>
              </w:rPr>
              <w:t>Psilocybin Analogs, Salts, Compositions, and Methods of Use</w:t>
            </w:r>
          </w:p>
        </w:tc>
        <w:tc>
          <w:tcPr>
            <w:tcW w:w="0" w:type="dxa"/>
            <w:vAlign w:val="bottom"/>
          </w:tcPr>
          <w:p>
            <w:pPr>
              <w:spacing w:after="0"/>
              <w:rPr>
                <w:sz w:val="1"/>
                <w:szCs w:val="1"/>
                <w:color w:val="auto"/>
              </w:rPr>
            </w:pPr>
          </w:p>
        </w:tc>
      </w:tr>
      <w:tr>
        <w:trPr>
          <w:trHeight w:val="186"/>
        </w:trPr>
        <w:tc>
          <w:tcPr>
            <w:tcW w:w="298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w w:val="96"/>
              </w:rPr>
              <w:t>202280022029.2</w:t>
            </w:r>
          </w:p>
        </w:tc>
        <w:tc>
          <w:tcPr>
            <w:tcW w:w="18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w w:val="94"/>
              </w:rPr>
              <w:t>China</w:t>
            </w:r>
          </w:p>
        </w:tc>
        <w:tc>
          <w:tcPr>
            <w:tcW w:w="17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w w:val="97"/>
              </w:rPr>
              <w:t>Pending</w:t>
            </w:r>
          </w:p>
        </w:tc>
        <w:tc>
          <w:tcPr>
            <w:tcW w:w="47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w w:val="96"/>
              </w:rPr>
              <w:t>Psilocybin Analogs, Salts, Compositions, and Methods of Use</w:t>
            </w:r>
          </w:p>
        </w:tc>
        <w:tc>
          <w:tcPr>
            <w:tcW w:w="0" w:type="dxa"/>
            <w:vAlign w:val="bottom"/>
          </w:tcPr>
          <w:p>
            <w:pPr>
              <w:spacing w:after="0"/>
              <w:rPr>
                <w:sz w:val="1"/>
                <w:szCs w:val="1"/>
                <w:color w:val="auto"/>
              </w:rPr>
            </w:pPr>
          </w:p>
        </w:tc>
      </w:tr>
      <w:tr>
        <w:trPr>
          <w:trHeight w:val="186"/>
        </w:trPr>
        <w:tc>
          <w:tcPr>
            <w:tcW w:w="298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w w:val="96"/>
              </w:rPr>
              <w:t>1120230188946</w:t>
            </w:r>
          </w:p>
        </w:tc>
        <w:tc>
          <w:tcPr>
            <w:tcW w:w="18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w w:val="92"/>
              </w:rPr>
              <w:t>Brazil</w:t>
            </w:r>
          </w:p>
        </w:tc>
        <w:tc>
          <w:tcPr>
            <w:tcW w:w="17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w w:val="97"/>
              </w:rPr>
              <w:t>Pending</w:t>
            </w:r>
          </w:p>
        </w:tc>
        <w:tc>
          <w:tcPr>
            <w:tcW w:w="47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w w:val="96"/>
              </w:rPr>
              <w:t>Psilocybin Analogs, Salts, Compositions, and Methods of Use</w:t>
            </w:r>
          </w:p>
        </w:tc>
        <w:tc>
          <w:tcPr>
            <w:tcW w:w="0" w:type="dxa"/>
            <w:vAlign w:val="bottom"/>
          </w:tcPr>
          <w:p>
            <w:pPr>
              <w:spacing w:after="0"/>
              <w:rPr>
                <w:sz w:val="1"/>
                <w:szCs w:val="1"/>
                <w:color w:val="auto"/>
              </w:rPr>
            </w:pPr>
          </w:p>
        </w:tc>
      </w:tr>
      <w:tr>
        <w:trPr>
          <w:trHeight w:val="186"/>
        </w:trPr>
        <w:tc>
          <w:tcPr>
            <w:tcW w:w="298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w w:val="95"/>
              </w:rPr>
              <w:t>2022239825</w:t>
            </w:r>
          </w:p>
        </w:tc>
        <w:tc>
          <w:tcPr>
            <w:tcW w:w="18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w w:val="98"/>
              </w:rPr>
              <w:t>Australia</w:t>
            </w:r>
          </w:p>
        </w:tc>
        <w:tc>
          <w:tcPr>
            <w:tcW w:w="17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w w:val="97"/>
              </w:rPr>
              <w:t>Pending</w:t>
            </w:r>
          </w:p>
        </w:tc>
        <w:tc>
          <w:tcPr>
            <w:tcW w:w="47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w w:val="96"/>
              </w:rPr>
              <w:t>Psilocybin Analogs, Salts, Compositions, and Methods of Use</w:t>
            </w:r>
          </w:p>
        </w:tc>
        <w:tc>
          <w:tcPr>
            <w:tcW w:w="0" w:type="dxa"/>
            <w:vAlign w:val="bottom"/>
          </w:tcPr>
          <w:p>
            <w:pPr>
              <w:spacing w:after="0"/>
              <w:rPr>
                <w:sz w:val="1"/>
                <w:szCs w:val="1"/>
                <w:color w:val="auto"/>
              </w:rPr>
            </w:pPr>
          </w:p>
        </w:tc>
      </w:tr>
      <w:tr>
        <w:trPr>
          <w:trHeight w:val="186"/>
        </w:trPr>
        <w:tc>
          <w:tcPr>
            <w:tcW w:w="298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w w:val="96"/>
              </w:rPr>
              <w:t>11202305618U</w:t>
            </w:r>
          </w:p>
        </w:tc>
        <w:tc>
          <w:tcPr>
            <w:tcW w:w="18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w w:val="95"/>
              </w:rPr>
              <w:t>Singapore</w:t>
            </w:r>
          </w:p>
        </w:tc>
        <w:tc>
          <w:tcPr>
            <w:tcW w:w="17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w w:val="97"/>
              </w:rPr>
              <w:t>Pending</w:t>
            </w:r>
          </w:p>
        </w:tc>
        <w:tc>
          <w:tcPr>
            <w:tcW w:w="47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w w:val="96"/>
              </w:rPr>
              <w:t>Psilocybin Analogs, Salts, Compositions, and Methods of Use</w:t>
            </w:r>
          </w:p>
        </w:tc>
        <w:tc>
          <w:tcPr>
            <w:tcW w:w="0" w:type="dxa"/>
            <w:vAlign w:val="bottom"/>
          </w:tcPr>
          <w:p>
            <w:pPr>
              <w:spacing w:after="0"/>
              <w:rPr>
                <w:sz w:val="1"/>
                <w:szCs w:val="1"/>
                <w:color w:val="auto"/>
              </w:rPr>
            </w:pPr>
          </w:p>
        </w:tc>
      </w:tr>
      <w:tr>
        <w:trPr>
          <w:trHeight w:val="186"/>
        </w:trPr>
        <w:tc>
          <w:tcPr>
            <w:tcW w:w="298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w w:val="97"/>
              </w:rPr>
              <w:t>202309486</w:t>
            </w:r>
          </w:p>
        </w:tc>
        <w:tc>
          <w:tcPr>
            <w:tcW w:w="18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w w:val="95"/>
              </w:rPr>
              <w:t>South Africa</w:t>
            </w:r>
          </w:p>
        </w:tc>
        <w:tc>
          <w:tcPr>
            <w:tcW w:w="17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w w:val="97"/>
              </w:rPr>
              <w:t>Pending</w:t>
            </w:r>
          </w:p>
        </w:tc>
        <w:tc>
          <w:tcPr>
            <w:tcW w:w="47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w w:val="96"/>
              </w:rPr>
              <w:t>Psilocybin Analogs, Salts, Compositions, and Methods of Use</w:t>
            </w:r>
          </w:p>
        </w:tc>
        <w:tc>
          <w:tcPr>
            <w:tcW w:w="0" w:type="dxa"/>
            <w:vAlign w:val="bottom"/>
          </w:tcPr>
          <w:p>
            <w:pPr>
              <w:spacing w:after="0"/>
              <w:rPr>
                <w:sz w:val="1"/>
                <w:szCs w:val="1"/>
                <w:color w:val="auto"/>
              </w:rPr>
            </w:pPr>
          </w:p>
        </w:tc>
      </w:tr>
      <w:tr>
        <w:trPr>
          <w:trHeight w:val="186"/>
        </w:trPr>
        <w:tc>
          <w:tcPr>
            <w:tcW w:w="298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w w:val="95"/>
              </w:rPr>
              <w:t>2301005753</w:t>
            </w:r>
          </w:p>
        </w:tc>
        <w:tc>
          <w:tcPr>
            <w:tcW w:w="18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w w:val="93"/>
              </w:rPr>
              <w:t>Thailand</w:t>
            </w:r>
          </w:p>
        </w:tc>
        <w:tc>
          <w:tcPr>
            <w:tcW w:w="17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w w:val="97"/>
              </w:rPr>
              <w:t>Pending</w:t>
            </w:r>
          </w:p>
        </w:tc>
        <w:tc>
          <w:tcPr>
            <w:tcW w:w="47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w w:val="96"/>
              </w:rPr>
              <w:t>Psilocybin Analogs, Salts, Compositions, and Methods of Use</w:t>
            </w:r>
          </w:p>
        </w:tc>
        <w:tc>
          <w:tcPr>
            <w:tcW w:w="0" w:type="dxa"/>
            <w:vAlign w:val="bottom"/>
          </w:tcPr>
          <w:p>
            <w:pPr>
              <w:spacing w:after="0"/>
              <w:rPr>
                <w:sz w:val="1"/>
                <w:szCs w:val="1"/>
                <w:color w:val="auto"/>
              </w:rPr>
            </w:pPr>
          </w:p>
        </w:tc>
      </w:tr>
      <w:tr>
        <w:trPr>
          <w:trHeight w:val="186"/>
        </w:trPr>
        <w:tc>
          <w:tcPr>
            <w:tcW w:w="298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w w:val="97"/>
              </w:rPr>
              <w:t>1-2023-552572</w:t>
            </w:r>
          </w:p>
        </w:tc>
        <w:tc>
          <w:tcPr>
            <w:tcW w:w="18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w w:val="97"/>
              </w:rPr>
              <w:t>Philippines</w:t>
            </w:r>
          </w:p>
        </w:tc>
        <w:tc>
          <w:tcPr>
            <w:tcW w:w="17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w w:val="97"/>
              </w:rPr>
              <w:t>Pending</w:t>
            </w:r>
          </w:p>
        </w:tc>
        <w:tc>
          <w:tcPr>
            <w:tcW w:w="47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w w:val="96"/>
              </w:rPr>
              <w:t>Psilocybin Analogs, Salts, Compositions, and Methods of Use</w:t>
            </w:r>
          </w:p>
        </w:tc>
        <w:tc>
          <w:tcPr>
            <w:tcW w:w="0" w:type="dxa"/>
            <w:vAlign w:val="bottom"/>
          </w:tcPr>
          <w:p>
            <w:pPr>
              <w:spacing w:after="0"/>
              <w:rPr>
                <w:sz w:val="1"/>
                <w:szCs w:val="1"/>
                <w:color w:val="auto"/>
              </w:rPr>
            </w:pPr>
          </w:p>
        </w:tc>
      </w:tr>
      <w:tr>
        <w:trPr>
          <w:trHeight w:val="186"/>
        </w:trPr>
        <w:tc>
          <w:tcPr>
            <w:tcW w:w="298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w w:val="97"/>
              </w:rPr>
              <w:t>202327063524</w:t>
            </w:r>
          </w:p>
        </w:tc>
        <w:tc>
          <w:tcPr>
            <w:tcW w:w="18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w w:val="97"/>
              </w:rPr>
              <w:t>India</w:t>
            </w:r>
          </w:p>
        </w:tc>
        <w:tc>
          <w:tcPr>
            <w:tcW w:w="17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w w:val="97"/>
              </w:rPr>
              <w:t>Pending</w:t>
            </w:r>
          </w:p>
        </w:tc>
        <w:tc>
          <w:tcPr>
            <w:tcW w:w="47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w w:val="96"/>
              </w:rPr>
              <w:t>Psilocybin Analogs, Salts, Compositions, and Methods of Use</w:t>
            </w:r>
          </w:p>
        </w:tc>
        <w:tc>
          <w:tcPr>
            <w:tcW w:w="0" w:type="dxa"/>
            <w:vAlign w:val="bottom"/>
          </w:tcPr>
          <w:p>
            <w:pPr>
              <w:spacing w:after="0"/>
              <w:rPr>
                <w:sz w:val="1"/>
                <w:szCs w:val="1"/>
                <w:color w:val="auto"/>
              </w:rPr>
            </w:pPr>
          </w:p>
        </w:tc>
      </w:tr>
      <w:tr>
        <w:trPr>
          <w:trHeight w:val="186"/>
        </w:trPr>
        <w:tc>
          <w:tcPr>
            <w:tcW w:w="298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w w:val="97"/>
              </w:rPr>
              <w:t>2023-556906</w:t>
            </w:r>
          </w:p>
        </w:tc>
        <w:tc>
          <w:tcPr>
            <w:tcW w:w="18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w w:val="99"/>
              </w:rPr>
              <w:t>Japan</w:t>
            </w:r>
          </w:p>
        </w:tc>
        <w:tc>
          <w:tcPr>
            <w:tcW w:w="17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w w:val="97"/>
              </w:rPr>
              <w:t>Pending</w:t>
            </w:r>
          </w:p>
        </w:tc>
        <w:tc>
          <w:tcPr>
            <w:tcW w:w="47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w w:val="96"/>
              </w:rPr>
              <w:t>Psilocybin Analogs, Salts, Compositions, and Methods of Use</w:t>
            </w:r>
          </w:p>
        </w:tc>
        <w:tc>
          <w:tcPr>
            <w:tcW w:w="0" w:type="dxa"/>
            <w:vAlign w:val="bottom"/>
          </w:tcPr>
          <w:p>
            <w:pPr>
              <w:spacing w:after="0"/>
              <w:rPr>
                <w:sz w:val="1"/>
                <w:szCs w:val="1"/>
                <w:color w:val="auto"/>
              </w:rPr>
            </w:pPr>
          </w:p>
        </w:tc>
      </w:tr>
      <w:tr>
        <w:trPr>
          <w:trHeight w:val="186"/>
        </w:trPr>
        <w:tc>
          <w:tcPr>
            <w:tcW w:w="298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w w:val="95"/>
              </w:rPr>
              <w:t>62024086011.9</w:t>
            </w:r>
          </w:p>
        </w:tc>
        <w:tc>
          <w:tcPr>
            <w:tcW w:w="18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w w:val="96"/>
              </w:rPr>
              <w:t>Hong Kong</w:t>
            </w:r>
          </w:p>
        </w:tc>
        <w:tc>
          <w:tcPr>
            <w:tcW w:w="17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w w:val="97"/>
              </w:rPr>
              <w:t>Pending</w:t>
            </w:r>
          </w:p>
        </w:tc>
        <w:tc>
          <w:tcPr>
            <w:tcW w:w="47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w w:val="96"/>
              </w:rPr>
              <w:t>Psilocybin Analogs, Salts, Compositions, and Methods of Use</w:t>
            </w:r>
          </w:p>
        </w:tc>
        <w:tc>
          <w:tcPr>
            <w:tcW w:w="0" w:type="dxa"/>
            <w:vAlign w:val="bottom"/>
          </w:tcPr>
          <w:p>
            <w:pPr>
              <w:spacing w:after="0"/>
              <w:rPr>
                <w:sz w:val="1"/>
                <w:szCs w:val="1"/>
                <w:color w:val="auto"/>
              </w:rPr>
            </w:pPr>
          </w:p>
        </w:tc>
      </w:tr>
      <w:tr>
        <w:trPr>
          <w:trHeight w:val="186"/>
        </w:trPr>
        <w:tc>
          <w:tcPr>
            <w:tcW w:w="298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w w:val="95"/>
              </w:rPr>
              <w:t>2022277515</w:t>
            </w:r>
          </w:p>
        </w:tc>
        <w:tc>
          <w:tcPr>
            <w:tcW w:w="18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w w:val="98"/>
              </w:rPr>
              <w:t>Australia</w:t>
            </w:r>
          </w:p>
        </w:tc>
        <w:tc>
          <w:tcPr>
            <w:tcW w:w="17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w w:val="97"/>
              </w:rPr>
              <w:t>Pending</w:t>
            </w:r>
          </w:p>
        </w:tc>
        <w:tc>
          <w:tcPr>
            <w:tcW w:w="47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w w:val="96"/>
              </w:rPr>
              <w:t>Formulations of Psilocybin</w:t>
            </w:r>
          </w:p>
        </w:tc>
        <w:tc>
          <w:tcPr>
            <w:tcW w:w="0" w:type="dxa"/>
            <w:vAlign w:val="bottom"/>
          </w:tcPr>
          <w:p>
            <w:pPr>
              <w:spacing w:after="0"/>
              <w:rPr>
                <w:sz w:val="1"/>
                <w:szCs w:val="1"/>
                <w:color w:val="auto"/>
              </w:rPr>
            </w:pPr>
          </w:p>
        </w:tc>
      </w:tr>
      <w:tr>
        <w:trPr>
          <w:trHeight w:val="186"/>
        </w:trPr>
        <w:tc>
          <w:tcPr>
            <w:tcW w:w="298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w w:val="98"/>
              </w:rPr>
              <w:t>3216799</w:t>
            </w:r>
          </w:p>
        </w:tc>
        <w:tc>
          <w:tcPr>
            <w:tcW w:w="18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w w:val="93"/>
              </w:rPr>
              <w:t>Canada</w:t>
            </w:r>
          </w:p>
        </w:tc>
        <w:tc>
          <w:tcPr>
            <w:tcW w:w="17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w w:val="97"/>
              </w:rPr>
              <w:t>Pending</w:t>
            </w:r>
          </w:p>
        </w:tc>
        <w:tc>
          <w:tcPr>
            <w:tcW w:w="47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w w:val="96"/>
              </w:rPr>
              <w:t>Formulations of Psilocybin</w:t>
            </w:r>
          </w:p>
        </w:tc>
        <w:tc>
          <w:tcPr>
            <w:tcW w:w="0" w:type="dxa"/>
            <w:vAlign w:val="bottom"/>
          </w:tcPr>
          <w:p>
            <w:pPr>
              <w:spacing w:after="0"/>
              <w:rPr>
                <w:sz w:val="1"/>
                <w:szCs w:val="1"/>
                <w:color w:val="auto"/>
              </w:rPr>
            </w:pPr>
          </w:p>
        </w:tc>
      </w:tr>
      <w:tr>
        <w:trPr>
          <w:trHeight w:val="186"/>
        </w:trPr>
        <w:tc>
          <w:tcPr>
            <w:tcW w:w="298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w w:val="95"/>
              </w:rPr>
              <w:t>22729558.1</w:t>
            </w:r>
          </w:p>
        </w:tc>
        <w:tc>
          <w:tcPr>
            <w:tcW w:w="18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w w:val="96"/>
              </w:rPr>
              <w:t>European Patent Office</w:t>
            </w:r>
          </w:p>
        </w:tc>
        <w:tc>
          <w:tcPr>
            <w:tcW w:w="17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w w:val="97"/>
              </w:rPr>
              <w:t>Pending</w:t>
            </w:r>
          </w:p>
        </w:tc>
        <w:tc>
          <w:tcPr>
            <w:tcW w:w="47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w w:val="96"/>
              </w:rPr>
              <w:t>Formulations of Psilocybin</w:t>
            </w:r>
          </w:p>
        </w:tc>
        <w:tc>
          <w:tcPr>
            <w:tcW w:w="0" w:type="dxa"/>
            <w:vAlign w:val="bottom"/>
          </w:tcPr>
          <w:p>
            <w:pPr>
              <w:spacing w:after="0"/>
              <w:rPr>
                <w:sz w:val="1"/>
                <w:szCs w:val="1"/>
                <w:color w:val="auto"/>
              </w:rPr>
            </w:pPr>
          </w:p>
        </w:tc>
      </w:tr>
      <w:tr>
        <w:trPr>
          <w:trHeight w:val="186"/>
        </w:trPr>
        <w:tc>
          <w:tcPr>
            <w:tcW w:w="298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w w:val="97"/>
              </w:rPr>
              <w:t>202327074210</w:t>
            </w:r>
          </w:p>
        </w:tc>
        <w:tc>
          <w:tcPr>
            <w:tcW w:w="18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w w:val="97"/>
              </w:rPr>
              <w:t>India</w:t>
            </w:r>
          </w:p>
        </w:tc>
        <w:tc>
          <w:tcPr>
            <w:tcW w:w="17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w w:val="97"/>
              </w:rPr>
              <w:t>Pending</w:t>
            </w:r>
          </w:p>
        </w:tc>
        <w:tc>
          <w:tcPr>
            <w:tcW w:w="47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w w:val="96"/>
              </w:rPr>
              <w:t>Formulations of Psilocybin</w:t>
            </w:r>
          </w:p>
        </w:tc>
        <w:tc>
          <w:tcPr>
            <w:tcW w:w="0" w:type="dxa"/>
            <w:vAlign w:val="bottom"/>
          </w:tcPr>
          <w:p>
            <w:pPr>
              <w:spacing w:after="0"/>
              <w:rPr>
                <w:sz w:val="1"/>
                <w:szCs w:val="1"/>
                <w:color w:val="auto"/>
              </w:rPr>
            </w:pPr>
          </w:p>
        </w:tc>
      </w:tr>
      <w:tr>
        <w:trPr>
          <w:trHeight w:val="186"/>
        </w:trPr>
        <w:tc>
          <w:tcPr>
            <w:tcW w:w="298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w w:val="97"/>
              </w:rPr>
              <w:t>2023-571283</w:t>
            </w:r>
          </w:p>
        </w:tc>
        <w:tc>
          <w:tcPr>
            <w:tcW w:w="18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w w:val="99"/>
              </w:rPr>
              <w:t>Japan</w:t>
            </w:r>
          </w:p>
        </w:tc>
        <w:tc>
          <w:tcPr>
            <w:tcW w:w="17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w w:val="97"/>
              </w:rPr>
              <w:t>Pending</w:t>
            </w:r>
          </w:p>
        </w:tc>
        <w:tc>
          <w:tcPr>
            <w:tcW w:w="47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w w:val="96"/>
              </w:rPr>
              <w:t>Formulations of Psilocybin</w:t>
            </w:r>
          </w:p>
        </w:tc>
        <w:tc>
          <w:tcPr>
            <w:tcW w:w="0" w:type="dxa"/>
            <w:vAlign w:val="bottom"/>
          </w:tcPr>
          <w:p>
            <w:pPr>
              <w:spacing w:after="0"/>
              <w:rPr>
                <w:sz w:val="1"/>
                <w:szCs w:val="1"/>
                <w:color w:val="auto"/>
              </w:rPr>
            </w:pPr>
          </w:p>
        </w:tc>
      </w:tr>
      <w:tr>
        <w:trPr>
          <w:trHeight w:val="186"/>
        </w:trPr>
        <w:tc>
          <w:tcPr>
            <w:tcW w:w="298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w w:val="96"/>
              </w:rPr>
              <w:t>10-2023-7041239</w:t>
            </w:r>
          </w:p>
        </w:tc>
        <w:tc>
          <w:tcPr>
            <w:tcW w:w="18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w w:val="92"/>
              </w:rPr>
              <w:t>Korea</w:t>
            </w:r>
          </w:p>
        </w:tc>
        <w:tc>
          <w:tcPr>
            <w:tcW w:w="17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w w:val="97"/>
              </w:rPr>
              <w:t>Pending</w:t>
            </w:r>
          </w:p>
        </w:tc>
        <w:tc>
          <w:tcPr>
            <w:tcW w:w="47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w w:val="96"/>
              </w:rPr>
              <w:t>Formulations of Psilocybin</w:t>
            </w:r>
          </w:p>
        </w:tc>
        <w:tc>
          <w:tcPr>
            <w:tcW w:w="0" w:type="dxa"/>
            <w:vAlign w:val="bottom"/>
          </w:tcPr>
          <w:p>
            <w:pPr>
              <w:spacing w:after="0"/>
              <w:rPr>
                <w:sz w:val="1"/>
                <w:szCs w:val="1"/>
                <w:color w:val="auto"/>
              </w:rPr>
            </w:pPr>
          </w:p>
        </w:tc>
      </w:tr>
      <w:tr>
        <w:trPr>
          <w:trHeight w:val="186"/>
        </w:trPr>
        <w:tc>
          <w:tcPr>
            <w:tcW w:w="298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w w:val="95"/>
              </w:rPr>
              <w:t>62024089505.7</w:t>
            </w:r>
          </w:p>
        </w:tc>
        <w:tc>
          <w:tcPr>
            <w:tcW w:w="18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w w:val="96"/>
              </w:rPr>
              <w:t>Hong Kong</w:t>
            </w:r>
          </w:p>
        </w:tc>
        <w:tc>
          <w:tcPr>
            <w:tcW w:w="17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w w:val="97"/>
              </w:rPr>
              <w:t>Pending</w:t>
            </w:r>
          </w:p>
        </w:tc>
        <w:tc>
          <w:tcPr>
            <w:tcW w:w="47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w w:val="96"/>
              </w:rPr>
              <w:t>Formulations of Psilocybin</w:t>
            </w:r>
          </w:p>
        </w:tc>
        <w:tc>
          <w:tcPr>
            <w:tcW w:w="0" w:type="dxa"/>
            <w:vAlign w:val="bottom"/>
          </w:tcPr>
          <w:p>
            <w:pPr>
              <w:spacing w:after="0"/>
              <w:rPr>
                <w:sz w:val="1"/>
                <w:szCs w:val="1"/>
                <w:color w:val="auto"/>
              </w:rPr>
            </w:pPr>
          </w:p>
        </w:tc>
      </w:tr>
      <w:tr>
        <w:trPr>
          <w:trHeight w:val="186"/>
        </w:trPr>
        <w:tc>
          <w:tcPr>
            <w:tcW w:w="298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w w:val="95"/>
              </w:rPr>
              <w:t>2022342266</w:t>
            </w:r>
          </w:p>
        </w:tc>
        <w:tc>
          <w:tcPr>
            <w:tcW w:w="18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w w:val="98"/>
              </w:rPr>
              <w:t>Australia</w:t>
            </w:r>
          </w:p>
        </w:tc>
        <w:tc>
          <w:tcPr>
            <w:tcW w:w="17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w w:val="97"/>
              </w:rPr>
              <w:t>Pending</w:t>
            </w:r>
          </w:p>
        </w:tc>
        <w:tc>
          <w:tcPr>
            <w:tcW w:w="47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w w:val="96"/>
              </w:rPr>
              <w:t>Combination Drug Therapies</w:t>
            </w:r>
          </w:p>
        </w:tc>
        <w:tc>
          <w:tcPr>
            <w:tcW w:w="0" w:type="dxa"/>
            <w:vAlign w:val="bottom"/>
          </w:tcPr>
          <w:p>
            <w:pPr>
              <w:spacing w:after="0"/>
              <w:rPr>
                <w:sz w:val="1"/>
                <w:szCs w:val="1"/>
                <w:color w:val="auto"/>
              </w:rPr>
            </w:pPr>
          </w:p>
        </w:tc>
      </w:tr>
      <w:tr>
        <w:trPr>
          <w:trHeight w:val="186"/>
        </w:trPr>
        <w:tc>
          <w:tcPr>
            <w:tcW w:w="298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w w:val="98"/>
              </w:rPr>
              <w:t>3231021</w:t>
            </w:r>
          </w:p>
        </w:tc>
        <w:tc>
          <w:tcPr>
            <w:tcW w:w="18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w w:val="93"/>
              </w:rPr>
              <w:t>Canada</w:t>
            </w:r>
          </w:p>
        </w:tc>
        <w:tc>
          <w:tcPr>
            <w:tcW w:w="17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w w:val="97"/>
              </w:rPr>
              <w:t>Pending</w:t>
            </w:r>
          </w:p>
        </w:tc>
        <w:tc>
          <w:tcPr>
            <w:tcW w:w="47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w w:val="96"/>
              </w:rPr>
              <w:t>Combination Drug Therapies</w:t>
            </w:r>
          </w:p>
        </w:tc>
        <w:tc>
          <w:tcPr>
            <w:tcW w:w="0" w:type="dxa"/>
            <w:vAlign w:val="bottom"/>
          </w:tcPr>
          <w:p>
            <w:pPr>
              <w:spacing w:after="0"/>
              <w:rPr>
                <w:sz w:val="1"/>
                <w:szCs w:val="1"/>
                <w:color w:val="auto"/>
              </w:rPr>
            </w:pPr>
          </w:p>
        </w:tc>
      </w:tr>
      <w:tr>
        <w:trPr>
          <w:trHeight w:val="186"/>
        </w:trPr>
        <w:tc>
          <w:tcPr>
            <w:tcW w:w="298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w w:val="95"/>
              </w:rPr>
              <w:t>22716971.1</w:t>
            </w:r>
          </w:p>
        </w:tc>
        <w:tc>
          <w:tcPr>
            <w:tcW w:w="18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w w:val="96"/>
              </w:rPr>
              <w:t>European Patent Office</w:t>
            </w:r>
          </w:p>
        </w:tc>
        <w:tc>
          <w:tcPr>
            <w:tcW w:w="17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w w:val="97"/>
              </w:rPr>
              <w:t>Pending</w:t>
            </w:r>
          </w:p>
        </w:tc>
        <w:tc>
          <w:tcPr>
            <w:tcW w:w="47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w w:val="96"/>
              </w:rPr>
              <w:t>Combination Drug Therapies</w:t>
            </w:r>
          </w:p>
        </w:tc>
        <w:tc>
          <w:tcPr>
            <w:tcW w:w="0" w:type="dxa"/>
            <w:vAlign w:val="bottom"/>
          </w:tcPr>
          <w:p>
            <w:pPr>
              <w:spacing w:after="0"/>
              <w:rPr>
                <w:sz w:val="1"/>
                <w:szCs w:val="1"/>
                <w:color w:val="auto"/>
              </w:rPr>
            </w:pPr>
          </w:p>
        </w:tc>
      </w:tr>
      <w:tr>
        <w:trPr>
          <w:trHeight w:val="186"/>
        </w:trPr>
        <w:tc>
          <w:tcPr>
            <w:tcW w:w="298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w w:val="97"/>
              </w:rPr>
              <w:t>2024-515026</w:t>
            </w:r>
          </w:p>
        </w:tc>
        <w:tc>
          <w:tcPr>
            <w:tcW w:w="18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w w:val="99"/>
              </w:rPr>
              <w:t>Japan</w:t>
            </w:r>
          </w:p>
        </w:tc>
        <w:tc>
          <w:tcPr>
            <w:tcW w:w="17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w w:val="97"/>
              </w:rPr>
              <w:t>Pending</w:t>
            </w:r>
          </w:p>
        </w:tc>
        <w:tc>
          <w:tcPr>
            <w:tcW w:w="47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w w:val="96"/>
              </w:rPr>
              <w:t>Combination Drug Therapies</w:t>
            </w:r>
          </w:p>
        </w:tc>
        <w:tc>
          <w:tcPr>
            <w:tcW w:w="0" w:type="dxa"/>
            <w:vAlign w:val="bottom"/>
          </w:tcPr>
          <w:p>
            <w:pPr>
              <w:spacing w:after="0"/>
              <w:rPr>
                <w:sz w:val="1"/>
                <w:szCs w:val="1"/>
                <w:color w:val="auto"/>
              </w:rPr>
            </w:pPr>
          </w:p>
        </w:tc>
      </w:tr>
      <w:tr>
        <w:trPr>
          <w:trHeight w:val="186"/>
        </w:trPr>
        <w:tc>
          <w:tcPr>
            <w:tcW w:w="298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w w:val="96"/>
              </w:rPr>
              <w:t>10-2024-7008355</w:t>
            </w:r>
          </w:p>
        </w:tc>
        <w:tc>
          <w:tcPr>
            <w:tcW w:w="18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w w:val="92"/>
              </w:rPr>
              <w:t>Korea</w:t>
            </w:r>
          </w:p>
        </w:tc>
        <w:tc>
          <w:tcPr>
            <w:tcW w:w="17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w w:val="97"/>
              </w:rPr>
              <w:t>Pending</w:t>
            </w:r>
          </w:p>
        </w:tc>
        <w:tc>
          <w:tcPr>
            <w:tcW w:w="47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w w:val="96"/>
              </w:rPr>
              <w:t>Combination Drug Therapies</w:t>
            </w:r>
          </w:p>
        </w:tc>
        <w:tc>
          <w:tcPr>
            <w:tcW w:w="0" w:type="dxa"/>
            <w:vAlign w:val="bottom"/>
          </w:tcPr>
          <w:p>
            <w:pPr>
              <w:spacing w:after="0"/>
              <w:rPr>
                <w:sz w:val="1"/>
                <w:szCs w:val="1"/>
                <w:color w:val="auto"/>
              </w:rPr>
            </w:pPr>
          </w:p>
        </w:tc>
      </w:tr>
      <w:tr>
        <w:trPr>
          <w:trHeight w:val="186"/>
        </w:trPr>
        <w:tc>
          <w:tcPr>
            <w:tcW w:w="298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w w:val="95"/>
              </w:rPr>
              <w:t>62024094405.3</w:t>
            </w:r>
          </w:p>
        </w:tc>
        <w:tc>
          <w:tcPr>
            <w:tcW w:w="18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w w:val="96"/>
              </w:rPr>
              <w:t>Hong Kong</w:t>
            </w:r>
          </w:p>
        </w:tc>
        <w:tc>
          <w:tcPr>
            <w:tcW w:w="17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w w:val="97"/>
              </w:rPr>
              <w:t>Pending</w:t>
            </w:r>
          </w:p>
        </w:tc>
        <w:tc>
          <w:tcPr>
            <w:tcW w:w="47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w w:val="96"/>
              </w:rPr>
              <w:t>Combination Drug Therapies</w:t>
            </w:r>
          </w:p>
        </w:tc>
        <w:tc>
          <w:tcPr>
            <w:tcW w:w="0" w:type="dxa"/>
            <w:vAlign w:val="bottom"/>
          </w:tcPr>
          <w:p>
            <w:pPr>
              <w:spacing w:after="0"/>
              <w:rPr>
                <w:sz w:val="1"/>
                <w:szCs w:val="1"/>
                <w:color w:val="auto"/>
              </w:rPr>
            </w:pPr>
          </w:p>
        </w:tc>
      </w:tr>
      <w:tr>
        <w:trPr>
          <w:trHeight w:val="186"/>
        </w:trPr>
        <w:tc>
          <w:tcPr>
            <w:tcW w:w="298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w w:val="95"/>
              </w:rPr>
              <w:t>2022381220</w:t>
            </w:r>
          </w:p>
        </w:tc>
        <w:tc>
          <w:tcPr>
            <w:tcW w:w="18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w w:val="98"/>
              </w:rPr>
              <w:t>Australia</w:t>
            </w:r>
          </w:p>
        </w:tc>
        <w:tc>
          <w:tcPr>
            <w:tcW w:w="17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w w:val="97"/>
              </w:rPr>
              <w:t>Pending</w:t>
            </w:r>
          </w:p>
        </w:tc>
        <w:tc>
          <w:tcPr>
            <w:tcW w:w="47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w w:val="96"/>
              </w:rPr>
              <w:t>Formulations Of Psilocybin Analogs and Methods of Use</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31</w:t>
      </w:r>
    </w:p>
    <w:p>
      <w:pPr>
        <w:sectPr>
          <w:pgSz w:w="11900" w:h="16838" w:orient="portrait"/>
          <w:cols w:equalWidth="0" w:num="1">
            <w:col w:w="11260"/>
          </w:cols>
          <w:pgMar w:left="320" w:top="1304" w:right="319" w:bottom="1440" w:gutter="0" w:footer="0" w:header="0"/>
        </w:sectPr>
      </w:pPr>
    </w:p>
    <w:bookmarkStart w:id="57" w:name="page58"/>
    <w:bookmarkEnd w:id="57"/>
    <w:tbl>
      <w:tblPr>
        <w:tblLayout w:type="fixed"/>
        <w:tblInd w:w="10" w:type="dxa"/>
        <w:tblCellMar>
          <w:top w:w="0" w:type="dxa"/>
          <w:left w:w="0" w:type="dxa"/>
          <w:bottom w:w="0" w:type="dxa"/>
          <w:right w:w="0" w:type="dxa"/>
        </w:tblCellMar>
      </w:tblPr>
      <w:tr>
        <w:trPr>
          <w:trHeight w:val="206"/>
        </w:trPr>
        <w:tc>
          <w:tcPr>
            <w:tcW w:w="2980" w:type="dxa"/>
            <w:vAlign w:val="bottom"/>
            <w:tcBorders>
              <w:top w:val="single" w:sz="8" w:color="auto"/>
              <w:left w:val="single" w:sz="8" w:color="auto"/>
              <w:bottom w:val="single" w:sz="8" w:color="auto"/>
              <w:right w:val="single" w:sz="8" w:color="auto"/>
            </w:tcBorders>
            <w:shd w:val="clear" w:color="auto" w:fill="BFBFBF"/>
          </w:tcPr>
          <w:p>
            <w:pPr>
              <w:ind w:left="620"/>
              <w:spacing w:after="0"/>
              <w:rPr>
                <w:sz w:val="20"/>
                <w:szCs w:val="20"/>
                <w:color w:val="auto"/>
              </w:rPr>
            </w:pPr>
            <w:r>
              <w:rPr>
                <w:rFonts w:ascii="Times New Roman" w:cs="Times New Roman" w:eastAsia="Times New Roman" w:hAnsi="Times New Roman"/>
                <w:sz w:val="15"/>
                <w:szCs w:val="15"/>
                <w:b w:val="1"/>
                <w:bCs w:val="1"/>
                <w:color w:val="auto"/>
              </w:rPr>
              <w:t>Patent Application Number</w:t>
            </w:r>
          </w:p>
        </w:tc>
        <w:tc>
          <w:tcPr>
            <w:tcW w:w="1840" w:type="dxa"/>
            <w:vAlign w:val="bottom"/>
            <w:tcBorders>
              <w:top w:val="single" w:sz="8" w:color="auto"/>
              <w:bottom w:val="single" w:sz="8" w:color="auto"/>
              <w:right w:val="single" w:sz="8" w:color="auto"/>
            </w:tcBorders>
            <w:shd w:val="clear" w:color="auto" w:fill="BFBFBF"/>
          </w:tcPr>
          <w:p>
            <w:pPr>
              <w:jc w:val="center"/>
              <w:spacing w:after="0"/>
              <w:rPr>
                <w:sz w:val="20"/>
                <w:szCs w:val="20"/>
                <w:color w:val="auto"/>
              </w:rPr>
            </w:pPr>
            <w:r>
              <w:rPr>
                <w:rFonts w:ascii="Times New Roman" w:cs="Times New Roman" w:eastAsia="Times New Roman" w:hAnsi="Times New Roman"/>
                <w:sz w:val="15"/>
                <w:szCs w:val="15"/>
                <w:b w:val="1"/>
                <w:bCs w:val="1"/>
                <w:color w:val="auto"/>
                <w:w w:val="96"/>
              </w:rPr>
              <w:t>Jurisdiction of Filing</w:t>
            </w:r>
          </w:p>
        </w:tc>
        <w:tc>
          <w:tcPr>
            <w:tcW w:w="1740" w:type="dxa"/>
            <w:vAlign w:val="bottom"/>
            <w:tcBorders>
              <w:top w:val="single" w:sz="8" w:color="auto"/>
              <w:bottom w:val="single" w:sz="8" w:color="auto"/>
              <w:right w:val="single" w:sz="8" w:color="auto"/>
            </w:tcBorders>
            <w:shd w:val="clear" w:color="auto" w:fill="BFBFBF"/>
          </w:tcPr>
          <w:p>
            <w:pPr>
              <w:jc w:val="center"/>
              <w:spacing w:after="0"/>
              <w:rPr>
                <w:sz w:val="20"/>
                <w:szCs w:val="20"/>
                <w:color w:val="auto"/>
              </w:rPr>
            </w:pPr>
            <w:r>
              <w:rPr>
                <w:rFonts w:ascii="Times New Roman" w:cs="Times New Roman" w:eastAsia="Times New Roman" w:hAnsi="Times New Roman"/>
                <w:sz w:val="15"/>
                <w:szCs w:val="15"/>
                <w:b w:val="1"/>
                <w:bCs w:val="1"/>
                <w:color w:val="auto"/>
                <w:w w:val="99"/>
              </w:rPr>
              <w:t>Status</w:t>
            </w:r>
          </w:p>
        </w:tc>
        <w:tc>
          <w:tcPr>
            <w:tcW w:w="4720" w:type="dxa"/>
            <w:vAlign w:val="bottom"/>
            <w:tcBorders>
              <w:top w:val="single" w:sz="8" w:color="auto"/>
              <w:bottom w:val="single" w:sz="8" w:color="auto"/>
              <w:right w:val="single" w:sz="8" w:color="auto"/>
            </w:tcBorders>
            <w:shd w:val="clear" w:color="auto" w:fill="BFBFBF"/>
          </w:tcPr>
          <w:p>
            <w:pPr>
              <w:jc w:val="center"/>
              <w:spacing w:after="0"/>
              <w:rPr>
                <w:sz w:val="20"/>
                <w:szCs w:val="20"/>
                <w:color w:val="auto"/>
              </w:rPr>
            </w:pPr>
            <w:r>
              <w:rPr>
                <w:rFonts w:ascii="Times New Roman" w:cs="Times New Roman" w:eastAsia="Times New Roman" w:hAnsi="Times New Roman"/>
                <w:sz w:val="15"/>
                <w:szCs w:val="15"/>
                <w:b w:val="1"/>
                <w:bCs w:val="1"/>
                <w:color w:val="auto"/>
                <w:w w:val="97"/>
              </w:rPr>
              <w:t>Description</w:t>
            </w:r>
          </w:p>
        </w:tc>
        <w:tc>
          <w:tcPr>
            <w:tcW w:w="0" w:type="dxa"/>
            <w:vAlign w:val="bottom"/>
          </w:tcPr>
          <w:p>
            <w:pPr>
              <w:spacing w:after="0"/>
              <w:rPr>
                <w:sz w:val="1"/>
                <w:szCs w:val="1"/>
                <w:color w:val="auto"/>
              </w:rPr>
            </w:pPr>
          </w:p>
        </w:tc>
      </w:tr>
      <w:tr>
        <w:trPr>
          <w:trHeight w:val="183"/>
        </w:trPr>
        <w:tc>
          <w:tcPr>
            <w:tcW w:w="298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w w:val="96"/>
              </w:rPr>
              <w:t>1120240088332</w:t>
            </w:r>
          </w:p>
        </w:tc>
        <w:tc>
          <w:tcPr>
            <w:tcW w:w="18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w w:val="92"/>
              </w:rPr>
              <w:t>Brazil</w:t>
            </w:r>
          </w:p>
        </w:tc>
        <w:tc>
          <w:tcPr>
            <w:tcW w:w="17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w w:val="97"/>
              </w:rPr>
              <w:t>Pending</w:t>
            </w:r>
          </w:p>
        </w:tc>
        <w:tc>
          <w:tcPr>
            <w:tcW w:w="47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w w:val="96"/>
              </w:rPr>
              <w:t>Formulations Of Psilocybin Analogs and Methods of Use</w:t>
            </w:r>
          </w:p>
        </w:tc>
        <w:tc>
          <w:tcPr>
            <w:tcW w:w="0" w:type="dxa"/>
            <w:vAlign w:val="bottom"/>
          </w:tcPr>
          <w:p>
            <w:pPr>
              <w:spacing w:after="0"/>
              <w:rPr>
                <w:sz w:val="1"/>
                <w:szCs w:val="1"/>
                <w:color w:val="auto"/>
              </w:rPr>
            </w:pPr>
          </w:p>
        </w:tc>
      </w:tr>
      <w:tr>
        <w:trPr>
          <w:trHeight w:val="186"/>
        </w:trPr>
        <w:tc>
          <w:tcPr>
            <w:tcW w:w="298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w w:val="98"/>
              </w:rPr>
              <w:t>3236624</w:t>
            </w:r>
          </w:p>
        </w:tc>
        <w:tc>
          <w:tcPr>
            <w:tcW w:w="18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w w:val="93"/>
              </w:rPr>
              <w:t>Canada</w:t>
            </w:r>
          </w:p>
        </w:tc>
        <w:tc>
          <w:tcPr>
            <w:tcW w:w="17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w w:val="97"/>
              </w:rPr>
              <w:t>Pending</w:t>
            </w:r>
          </w:p>
        </w:tc>
        <w:tc>
          <w:tcPr>
            <w:tcW w:w="47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w w:val="96"/>
              </w:rPr>
              <w:t>Formulations Of Psilocybin Analogs and Methods of Use</w:t>
            </w:r>
          </w:p>
        </w:tc>
        <w:tc>
          <w:tcPr>
            <w:tcW w:w="0" w:type="dxa"/>
            <w:vAlign w:val="bottom"/>
          </w:tcPr>
          <w:p>
            <w:pPr>
              <w:spacing w:after="0"/>
              <w:rPr>
                <w:sz w:val="1"/>
                <w:szCs w:val="1"/>
                <w:color w:val="auto"/>
              </w:rPr>
            </w:pPr>
          </w:p>
        </w:tc>
      </w:tr>
      <w:tr>
        <w:trPr>
          <w:trHeight w:val="186"/>
        </w:trPr>
        <w:tc>
          <w:tcPr>
            <w:tcW w:w="298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w w:val="96"/>
              </w:rPr>
              <w:t>202280073355.6</w:t>
            </w:r>
          </w:p>
        </w:tc>
        <w:tc>
          <w:tcPr>
            <w:tcW w:w="18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w w:val="94"/>
              </w:rPr>
              <w:t>China</w:t>
            </w:r>
          </w:p>
        </w:tc>
        <w:tc>
          <w:tcPr>
            <w:tcW w:w="17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w w:val="97"/>
              </w:rPr>
              <w:t>Pending</w:t>
            </w:r>
          </w:p>
        </w:tc>
        <w:tc>
          <w:tcPr>
            <w:tcW w:w="47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w w:val="96"/>
              </w:rPr>
              <w:t>Formulations Of Psilocybin Analogs and Methods of Use</w:t>
            </w:r>
          </w:p>
        </w:tc>
        <w:tc>
          <w:tcPr>
            <w:tcW w:w="0" w:type="dxa"/>
            <w:vAlign w:val="bottom"/>
          </w:tcPr>
          <w:p>
            <w:pPr>
              <w:spacing w:after="0"/>
              <w:rPr>
                <w:sz w:val="1"/>
                <w:szCs w:val="1"/>
                <w:color w:val="auto"/>
              </w:rPr>
            </w:pPr>
          </w:p>
        </w:tc>
      </w:tr>
      <w:tr>
        <w:trPr>
          <w:trHeight w:val="186"/>
        </w:trPr>
        <w:tc>
          <w:tcPr>
            <w:tcW w:w="298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w w:val="95"/>
              </w:rPr>
              <w:t>22783493.4</w:t>
            </w:r>
          </w:p>
        </w:tc>
        <w:tc>
          <w:tcPr>
            <w:tcW w:w="18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w w:val="96"/>
              </w:rPr>
              <w:t>European Patent Office</w:t>
            </w:r>
          </w:p>
        </w:tc>
        <w:tc>
          <w:tcPr>
            <w:tcW w:w="17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w w:val="97"/>
              </w:rPr>
              <w:t>Pending</w:t>
            </w:r>
          </w:p>
        </w:tc>
        <w:tc>
          <w:tcPr>
            <w:tcW w:w="47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w w:val="96"/>
              </w:rPr>
              <w:t>Formulations Of Psilocybin Analogs and Methods of Use</w:t>
            </w:r>
          </w:p>
        </w:tc>
        <w:tc>
          <w:tcPr>
            <w:tcW w:w="0" w:type="dxa"/>
            <w:vAlign w:val="bottom"/>
          </w:tcPr>
          <w:p>
            <w:pPr>
              <w:spacing w:after="0"/>
              <w:rPr>
                <w:sz w:val="1"/>
                <w:szCs w:val="1"/>
                <w:color w:val="auto"/>
              </w:rPr>
            </w:pPr>
          </w:p>
        </w:tc>
      </w:tr>
      <w:tr>
        <w:trPr>
          <w:trHeight w:val="186"/>
        </w:trPr>
        <w:tc>
          <w:tcPr>
            <w:tcW w:w="298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w w:val="97"/>
              </w:rPr>
              <w:t>202417038272</w:t>
            </w:r>
          </w:p>
        </w:tc>
        <w:tc>
          <w:tcPr>
            <w:tcW w:w="18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w w:val="97"/>
              </w:rPr>
              <w:t>India</w:t>
            </w:r>
          </w:p>
        </w:tc>
        <w:tc>
          <w:tcPr>
            <w:tcW w:w="17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w w:val="97"/>
              </w:rPr>
              <w:t>Pending</w:t>
            </w:r>
          </w:p>
        </w:tc>
        <w:tc>
          <w:tcPr>
            <w:tcW w:w="47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w w:val="96"/>
              </w:rPr>
              <w:t>Formulations Of Psilocybin Analogs and Methods of Use</w:t>
            </w:r>
          </w:p>
        </w:tc>
        <w:tc>
          <w:tcPr>
            <w:tcW w:w="0" w:type="dxa"/>
            <w:vAlign w:val="bottom"/>
          </w:tcPr>
          <w:p>
            <w:pPr>
              <w:spacing w:after="0"/>
              <w:rPr>
                <w:sz w:val="1"/>
                <w:szCs w:val="1"/>
                <w:color w:val="auto"/>
              </w:rPr>
            </w:pPr>
          </w:p>
        </w:tc>
      </w:tr>
      <w:tr>
        <w:trPr>
          <w:trHeight w:val="186"/>
        </w:trPr>
        <w:tc>
          <w:tcPr>
            <w:tcW w:w="298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w w:val="97"/>
              </w:rPr>
              <w:t>312175</w:t>
            </w:r>
          </w:p>
        </w:tc>
        <w:tc>
          <w:tcPr>
            <w:tcW w:w="18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rPr>
              <w:t>Israel</w:t>
            </w:r>
          </w:p>
        </w:tc>
        <w:tc>
          <w:tcPr>
            <w:tcW w:w="17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w w:val="97"/>
              </w:rPr>
              <w:t>Pending</w:t>
            </w:r>
          </w:p>
        </w:tc>
        <w:tc>
          <w:tcPr>
            <w:tcW w:w="47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w w:val="96"/>
              </w:rPr>
              <w:t>Formulations Of Psilocybin Analogs and Methods of Use</w:t>
            </w:r>
          </w:p>
        </w:tc>
        <w:tc>
          <w:tcPr>
            <w:tcW w:w="0" w:type="dxa"/>
            <w:vAlign w:val="bottom"/>
          </w:tcPr>
          <w:p>
            <w:pPr>
              <w:spacing w:after="0"/>
              <w:rPr>
                <w:sz w:val="1"/>
                <w:szCs w:val="1"/>
                <w:color w:val="auto"/>
              </w:rPr>
            </w:pPr>
          </w:p>
        </w:tc>
      </w:tr>
      <w:tr>
        <w:trPr>
          <w:trHeight w:val="186"/>
        </w:trPr>
        <w:tc>
          <w:tcPr>
            <w:tcW w:w="298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w w:val="97"/>
              </w:rPr>
              <w:t>2024-526529</w:t>
            </w:r>
          </w:p>
        </w:tc>
        <w:tc>
          <w:tcPr>
            <w:tcW w:w="18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w w:val="99"/>
              </w:rPr>
              <w:t>Japan</w:t>
            </w:r>
          </w:p>
        </w:tc>
        <w:tc>
          <w:tcPr>
            <w:tcW w:w="17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w w:val="97"/>
              </w:rPr>
              <w:t>Pending</w:t>
            </w:r>
          </w:p>
        </w:tc>
        <w:tc>
          <w:tcPr>
            <w:tcW w:w="47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w w:val="96"/>
              </w:rPr>
              <w:t>Formulations Of Psilocybin Analogs and Methods of Use</w:t>
            </w:r>
          </w:p>
        </w:tc>
        <w:tc>
          <w:tcPr>
            <w:tcW w:w="0" w:type="dxa"/>
            <w:vAlign w:val="bottom"/>
          </w:tcPr>
          <w:p>
            <w:pPr>
              <w:spacing w:after="0"/>
              <w:rPr>
                <w:sz w:val="1"/>
                <w:szCs w:val="1"/>
                <w:color w:val="auto"/>
              </w:rPr>
            </w:pPr>
          </w:p>
        </w:tc>
      </w:tr>
      <w:tr>
        <w:trPr>
          <w:trHeight w:val="186"/>
        </w:trPr>
        <w:tc>
          <w:tcPr>
            <w:tcW w:w="298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w w:val="96"/>
              </w:rPr>
              <w:t>10-2024-7017594</w:t>
            </w:r>
          </w:p>
        </w:tc>
        <w:tc>
          <w:tcPr>
            <w:tcW w:w="18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w w:val="92"/>
              </w:rPr>
              <w:t>Korea</w:t>
            </w:r>
          </w:p>
        </w:tc>
        <w:tc>
          <w:tcPr>
            <w:tcW w:w="17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w w:val="97"/>
              </w:rPr>
              <w:t>Pending</w:t>
            </w:r>
          </w:p>
        </w:tc>
        <w:tc>
          <w:tcPr>
            <w:tcW w:w="47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w w:val="96"/>
              </w:rPr>
              <w:t>Formulations Of Psilocybin Analogs and Methods of Use</w:t>
            </w:r>
          </w:p>
        </w:tc>
        <w:tc>
          <w:tcPr>
            <w:tcW w:w="0" w:type="dxa"/>
            <w:vAlign w:val="bottom"/>
          </w:tcPr>
          <w:p>
            <w:pPr>
              <w:spacing w:after="0"/>
              <w:rPr>
                <w:sz w:val="1"/>
                <w:szCs w:val="1"/>
                <w:color w:val="auto"/>
              </w:rPr>
            </w:pPr>
          </w:p>
        </w:tc>
      </w:tr>
      <w:tr>
        <w:trPr>
          <w:trHeight w:val="186"/>
        </w:trPr>
        <w:tc>
          <w:tcPr>
            <w:tcW w:w="298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w w:val="97"/>
              </w:rPr>
              <w:t>810005</w:t>
            </w:r>
          </w:p>
        </w:tc>
        <w:tc>
          <w:tcPr>
            <w:tcW w:w="18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w w:val="96"/>
              </w:rPr>
              <w:t>New Zealand</w:t>
            </w:r>
          </w:p>
        </w:tc>
        <w:tc>
          <w:tcPr>
            <w:tcW w:w="17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w w:val="97"/>
              </w:rPr>
              <w:t>Pending</w:t>
            </w:r>
          </w:p>
        </w:tc>
        <w:tc>
          <w:tcPr>
            <w:tcW w:w="47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w w:val="96"/>
              </w:rPr>
              <w:t>Formulations Of Psilocybin Analogs and Methods of Use</w:t>
            </w:r>
          </w:p>
        </w:tc>
        <w:tc>
          <w:tcPr>
            <w:tcW w:w="0" w:type="dxa"/>
            <w:vAlign w:val="bottom"/>
          </w:tcPr>
          <w:p>
            <w:pPr>
              <w:spacing w:after="0"/>
              <w:rPr>
                <w:sz w:val="1"/>
                <w:szCs w:val="1"/>
                <w:color w:val="auto"/>
              </w:rPr>
            </w:pPr>
          </w:p>
        </w:tc>
      </w:tr>
      <w:tr>
        <w:trPr>
          <w:trHeight w:val="186"/>
        </w:trPr>
        <w:tc>
          <w:tcPr>
            <w:tcW w:w="298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w w:val="95"/>
              </w:rPr>
              <w:t>1120242311</w:t>
            </w:r>
          </w:p>
        </w:tc>
        <w:tc>
          <w:tcPr>
            <w:tcW w:w="18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w w:val="99"/>
              </w:rPr>
              <w:t>Saudi Arabia</w:t>
            </w:r>
          </w:p>
        </w:tc>
        <w:tc>
          <w:tcPr>
            <w:tcW w:w="17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w w:val="97"/>
              </w:rPr>
              <w:t>Pending</w:t>
            </w:r>
          </w:p>
        </w:tc>
        <w:tc>
          <w:tcPr>
            <w:tcW w:w="47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w w:val="96"/>
              </w:rPr>
              <w:t>Formulations Of Psilocybin Analogs and Methods of Use</w:t>
            </w:r>
          </w:p>
        </w:tc>
        <w:tc>
          <w:tcPr>
            <w:tcW w:w="0" w:type="dxa"/>
            <w:vAlign w:val="bottom"/>
          </w:tcPr>
          <w:p>
            <w:pPr>
              <w:spacing w:after="0"/>
              <w:rPr>
                <w:sz w:val="1"/>
                <w:szCs w:val="1"/>
                <w:color w:val="auto"/>
              </w:rPr>
            </w:pPr>
          </w:p>
        </w:tc>
      </w:tr>
      <w:tr>
        <w:trPr>
          <w:trHeight w:val="186"/>
        </w:trPr>
        <w:tc>
          <w:tcPr>
            <w:tcW w:w="298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w w:val="95"/>
              </w:rPr>
              <w:t>62024097476.1</w:t>
            </w:r>
          </w:p>
        </w:tc>
        <w:tc>
          <w:tcPr>
            <w:tcW w:w="18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w w:val="96"/>
              </w:rPr>
              <w:t>Hong Kong</w:t>
            </w:r>
          </w:p>
        </w:tc>
        <w:tc>
          <w:tcPr>
            <w:tcW w:w="17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w w:val="97"/>
              </w:rPr>
              <w:t>Pending</w:t>
            </w:r>
          </w:p>
        </w:tc>
        <w:tc>
          <w:tcPr>
            <w:tcW w:w="47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w w:val="96"/>
              </w:rPr>
              <w:t>Formulations Of Psilocybin Analogs and Methods of Use</w:t>
            </w:r>
          </w:p>
        </w:tc>
        <w:tc>
          <w:tcPr>
            <w:tcW w:w="0" w:type="dxa"/>
            <w:vAlign w:val="bottom"/>
          </w:tcPr>
          <w:p>
            <w:pPr>
              <w:spacing w:after="0"/>
              <w:rPr>
                <w:sz w:val="1"/>
                <w:szCs w:val="1"/>
                <w:color w:val="auto"/>
              </w:rPr>
            </w:pPr>
          </w:p>
        </w:tc>
      </w:tr>
      <w:tr>
        <w:trPr>
          <w:trHeight w:val="186"/>
        </w:trPr>
        <w:tc>
          <w:tcPr>
            <w:tcW w:w="298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w w:val="95"/>
              </w:rPr>
              <w:t>202411034735</w:t>
            </w:r>
          </w:p>
        </w:tc>
        <w:tc>
          <w:tcPr>
            <w:tcW w:w="18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w w:val="97"/>
              </w:rPr>
              <w:t>India</w:t>
            </w:r>
          </w:p>
        </w:tc>
        <w:tc>
          <w:tcPr>
            <w:tcW w:w="17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w w:val="97"/>
              </w:rPr>
              <w:t>Pending</w:t>
            </w:r>
          </w:p>
        </w:tc>
        <w:tc>
          <w:tcPr>
            <w:tcW w:w="47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w w:val="96"/>
              </w:rPr>
              <w:t>Processes For Preparing Phenethylamine Compounds</w:t>
            </w:r>
          </w:p>
        </w:tc>
        <w:tc>
          <w:tcPr>
            <w:tcW w:w="0" w:type="dxa"/>
            <w:vAlign w:val="bottom"/>
          </w:tcPr>
          <w:p>
            <w:pPr>
              <w:spacing w:after="0"/>
              <w:rPr>
                <w:sz w:val="1"/>
                <w:szCs w:val="1"/>
                <w:color w:val="auto"/>
              </w:rPr>
            </w:pPr>
          </w:p>
        </w:tc>
      </w:tr>
      <w:tr>
        <w:trPr>
          <w:trHeight w:val="186"/>
        </w:trPr>
        <w:tc>
          <w:tcPr>
            <w:tcW w:w="298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w w:val="95"/>
              </w:rPr>
              <w:t>2023207801</w:t>
            </w:r>
          </w:p>
        </w:tc>
        <w:tc>
          <w:tcPr>
            <w:tcW w:w="18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w w:val="98"/>
              </w:rPr>
              <w:t>Australia</w:t>
            </w:r>
          </w:p>
        </w:tc>
        <w:tc>
          <w:tcPr>
            <w:tcW w:w="17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w w:val="97"/>
              </w:rPr>
              <w:t>Pending</w:t>
            </w:r>
          </w:p>
        </w:tc>
        <w:tc>
          <w:tcPr>
            <w:tcW w:w="47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w w:val="97"/>
              </w:rPr>
              <w:t>Tryptamine Compositions and Methods</w:t>
            </w:r>
          </w:p>
        </w:tc>
        <w:tc>
          <w:tcPr>
            <w:tcW w:w="0" w:type="dxa"/>
            <w:vAlign w:val="bottom"/>
          </w:tcPr>
          <w:p>
            <w:pPr>
              <w:spacing w:after="0"/>
              <w:rPr>
                <w:sz w:val="1"/>
                <w:szCs w:val="1"/>
                <w:color w:val="auto"/>
              </w:rPr>
            </w:pPr>
          </w:p>
        </w:tc>
      </w:tr>
      <w:tr>
        <w:trPr>
          <w:trHeight w:val="186"/>
        </w:trPr>
        <w:tc>
          <w:tcPr>
            <w:tcW w:w="298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w w:val="96"/>
              </w:rPr>
              <w:t>1120240139522</w:t>
            </w:r>
          </w:p>
        </w:tc>
        <w:tc>
          <w:tcPr>
            <w:tcW w:w="18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w w:val="92"/>
              </w:rPr>
              <w:t>Brazil</w:t>
            </w:r>
          </w:p>
        </w:tc>
        <w:tc>
          <w:tcPr>
            <w:tcW w:w="17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w w:val="97"/>
              </w:rPr>
              <w:t>Pending</w:t>
            </w:r>
          </w:p>
        </w:tc>
        <w:tc>
          <w:tcPr>
            <w:tcW w:w="47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w w:val="97"/>
              </w:rPr>
              <w:t>Tryptamine Compositions and Methods</w:t>
            </w:r>
          </w:p>
        </w:tc>
        <w:tc>
          <w:tcPr>
            <w:tcW w:w="0" w:type="dxa"/>
            <w:vAlign w:val="bottom"/>
          </w:tcPr>
          <w:p>
            <w:pPr>
              <w:spacing w:after="0"/>
              <w:rPr>
                <w:sz w:val="1"/>
                <w:szCs w:val="1"/>
                <w:color w:val="auto"/>
              </w:rPr>
            </w:pPr>
          </w:p>
        </w:tc>
      </w:tr>
      <w:tr>
        <w:trPr>
          <w:trHeight w:val="186"/>
        </w:trPr>
        <w:tc>
          <w:tcPr>
            <w:tcW w:w="298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w w:val="96"/>
              </w:rPr>
              <w:t>202380016531.7</w:t>
            </w:r>
          </w:p>
        </w:tc>
        <w:tc>
          <w:tcPr>
            <w:tcW w:w="18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w w:val="94"/>
              </w:rPr>
              <w:t>China</w:t>
            </w:r>
          </w:p>
        </w:tc>
        <w:tc>
          <w:tcPr>
            <w:tcW w:w="17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w w:val="97"/>
              </w:rPr>
              <w:t>Pending</w:t>
            </w:r>
          </w:p>
        </w:tc>
        <w:tc>
          <w:tcPr>
            <w:tcW w:w="47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w w:val="97"/>
              </w:rPr>
              <w:t>Tryptamine Compositions and Methods</w:t>
            </w:r>
          </w:p>
        </w:tc>
        <w:tc>
          <w:tcPr>
            <w:tcW w:w="0" w:type="dxa"/>
            <w:vAlign w:val="bottom"/>
          </w:tcPr>
          <w:p>
            <w:pPr>
              <w:spacing w:after="0"/>
              <w:rPr>
                <w:sz w:val="1"/>
                <w:szCs w:val="1"/>
                <w:color w:val="auto"/>
              </w:rPr>
            </w:pPr>
          </w:p>
        </w:tc>
      </w:tr>
      <w:tr>
        <w:trPr>
          <w:trHeight w:val="186"/>
        </w:trPr>
        <w:tc>
          <w:tcPr>
            <w:tcW w:w="298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w w:val="95"/>
              </w:rPr>
              <w:t>23700949.3</w:t>
            </w:r>
          </w:p>
        </w:tc>
        <w:tc>
          <w:tcPr>
            <w:tcW w:w="18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w w:val="96"/>
              </w:rPr>
              <w:t>European Patent Office</w:t>
            </w:r>
          </w:p>
        </w:tc>
        <w:tc>
          <w:tcPr>
            <w:tcW w:w="17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w w:val="97"/>
              </w:rPr>
              <w:t>Pending</w:t>
            </w:r>
          </w:p>
        </w:tc>
        <w:tc>
          <w:tcPr>
            <w:tcW w:w="47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w w:val="97"/>
              </w:rPr>
              <w:t>Tryptamine Compositions and Methods</w:t>
            </w:r>
          </w:p>
        </w:tc>
        <w:tc>
          <w:tcPr>
            <w:tcW w:w="0" w:type="dxa"/>
            <w:vAlign w:val="bottom"/>
          </w:tcPr>
          <w:p>
            <w:pPr>
              <w:spacing w:after="0"/>
              <w:rPr>
                <w:sz w:val="1"/>
                <w:szCs w:val="1"/>
                <w:color w:val="auto"/>
              </w:rPr>
            </w:pPr>
          </w:p>
        </w:tc>
      </w:tr>
      <w:tr>
        <w:trPr>
          <w:trHeight w:val="186"/>
        </w:trPr>
        <w:tc>
          <w:tcPr>
            <w:tcW w:w="298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w w:val="97"/>
              </w:rPr>
              <w:t>313889</w:t>
            </w:r>
          </w:p>
        </w:tc>
        <w:tc>
          <w:tcPr>
            <w:tcW w:w="18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rPr>
              <w:t>Israel</w:t>
            </w:r>
          </w:p>
        </w:tc>
        <w:tc>
          <w:tcPr>
            <w:tcW w:w="17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w w:val="97"/>
              </w:rPr>
              <w:t>Pending</w:t>
            </w:r>
          </w:p>
        </w:tc>
        <w:tc>
          <w:tcPr>
            <w:tcW w:w="47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w w:val="97"/>
              </w:rPr>
              <w:t>Tryptamine Compositions and Methods</w:t>
            </w:r>
          </w:p>
        </w:tc>
        <w:tc>
          <w:tcPr>
            <w:tcW w:w="0" w:type="dxa"/>
            <w:vAlign w:val="bottom"/>
          </w:tcPr>
          <w:p>
            <w:pPr>
              <w:spacing w:after="0"/>
              <w:rPr>
                <w:sz w:val="1"/>
                <w:szCs w:val="1"/>
                <w:color w:val="auto"/>
              </w:rPr>
            </w:pPr>
          </w:p>
        </w:tc>
      </w:tr>
      <w:tr>
        <w:trPr>
          <w:trHeight w:val="186"/>
        </w:trPr>
        <w:tc>
          <w:tcPr>
            <w:tcW w:w="298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w w:val="97"/>
              </w:rPr>
              <w:t>202417058417</w:t>
            </w:r>
          </w:p>
        </w:tc>
        <w:tc>
          <w:tcPr>
            <w:tcW w:w="18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w w:val="97"/>
              </w:rPr>
              <w:t>India</w:t>
            </w:r>
          </w:p>
        </w:tc>
        <w:tc>
          <w:tcPr>
            <w:tcW w:w="17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w w:val="97"/>
              </w:rPr>
              <w:t>Pending</w:t>
            </w:r>
          </w:p>
        </w:tc>
        <w:tc>
          <w:tcPr>
            <w:tcW w:w="47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w w:val="97"/>
              </w:rPr>
              <w:t>Tryptamine Compositions and Methods</w:t>
            </w:r>
          </w:p>
        </w:tc>
        <w:tc>
          <w:tcPr>
            <w:tcW w:w="0" w:type="dxa"/>
            <w:vAlign w:val="bottom"/>
          </w:tcPr>
          <w:p>
            <w:pPr>
              <w:spacing w:after="0"/>
              <w:rPr>
                <w:sz w:val="1"/>
                <w:szCs w:val="1"/>
                <w:color w:val="auto"/>
              </w:rPr>
            </w:pPr>
          </w:p>
        </w:tc>
      </w:tr>
      <w:tr>
        <w:trPr>
          <w:trHeight w:val="186"/>
        </w:trPr>
        <w:tc>
          <w:tcPr>
            <w:tcW w:w="298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w w:val="97"/>
              </w:rPr>
              <w:t>2024-541809</w:t>
            </w:r>
          </w:p>
        </w:tc>
        <w:tc>
          <w:tcPr>
            <w:tcW w:w="18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w w:val="99"/>
              </w:rPr>
              <w:t>Japan</w:t>
            </w:r>
          </w:p>
        </w:tc>
        <w:tc>
          <w:tcPr>
            <w:tcW w:w="17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w w:val="97"/>
              </w:rPr>
              <w:t>Pending</w:t>
            </w:r>
          </w:p>
        </w:tc>
        <w:tc>
          <w:tcPr>
            <w:tcW w:w="47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w w:val="97"/>
              </w:rPr>
              <w:t>Tryptamine Compositions and Methods</w:t>
            </w:r>
          </w:p>
        </w:tc>
        <w:tc>
          <w:tcPr>
            <w:tcW w:w="0" w:type="dxa"/>
            <w:vAlign w:val="bottom"/>
          </w:tcPr>
          <w:p>
            <w:pPr>
              <w:spacing w:after="0"/>
              <w:rPr>
                <w:sz w:val="1"/>
                <w:szCs w:val="1"/>
                <w:color w:val="auto"/>
              </w:rPr>
            </w:pPr>
          </w:p>
        </w:tc>
      </w:tr>
      <w:tr>
        <w:trPr>
          <w:trHeight w:val="186"/>
        </w:trPr>
        <w:tc>
          <w:tcPr>
            <w:tcW w:w="298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w w:val="96"/>
              </w:rPr>
              <w:t>10-2024-7026687</w:t>
            </w:r>
          </w:p>
        </w:tc>
        <w:tc>
          <w:tcPr>
            <w:tcW w:w="18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w w:val="92"/>
              </w:rPr>
              <w:t>Korea</w:t>
            </w:r>
          </w:p>
        </w:tc>
        <w:tc>
          <w:tcPr>
            <w:tcW w:w="17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w w:val="97"/>
              </w:rPr>
              <w:t>Pending</w:t>
            </w:r>
          </w:p>
        </w:tc>
        <w:tc>
          <w:tcPr>
            <w:tcW w:w="47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w w:val="97"/>
              </w:rPr>
              <w:t>Tryptamine Compositions and Methods</w:t>
            </w:r>
          </w:p>
        </w:tc>
        <w:tc>
          <w:tcPr>
            <w:tcW w:w="0" w:type="dxa"/>
            <w:vAlign w:val="bottom"/>
          </w:tcPr>
          <w:p>
            <w:pPr>
              <w:spacing w:after="0"/>
              <w:rPr>
                <w:sz w:val="1"/>
                <w:szCs w:val="1"/>
                <w:color w:val="auto"/>
              </w:rPr>
            </w:pPr>
          </w:p>
        </w:tc>
      </w:tr>
      <w:tr>
        <w:trPr>
          <w:trHeight w:val="186"/>
        </w:trPr>
        <w:tc>
          <w:tcPr>
            <w:tcW w:w="298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w w:val="96"/>
              </w:rPr>
              <w:t>MX/a/2024/008691</w:t>
            </w:r>
          </w:p>
        </w:tc>
        <w:tc>
          <w:tcPr>
            <w:tcW w:w="18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rPr>
              <w:t>Mexico</w:t>
            </w:r>
          </w:p>
        </w:tc>
        <w:tc>
          <w:tcPr>
            <w:tcW w:w="17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w w:val="97"/>
              </w:rPr>
              <w:t>Pending</w:t>
            </w:r>
          </w:p>
        </w:tc>
        <w:tc>
          <w:tcPr>
            <w:tcW w:w="47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w w:val="97"/>
              </w:rPr>
              <w:t>Tryptamine Compositions and Methods</w:t>
            </w:r>
          </w:p>
        </w:tc>
        <w:tc>
          <w:tcPr>
            <w:tcW w:w="0" w:type="dxa"/>
            <w:vAlign w:val="bottom"/>
          </w:tcPr>
          <w:p>
            <w:pPr>
              <w:spacing w:after="0"/>
              <w:rPr>
                <w:sz w:val="1"/>
                <w:szCs w:val="1"/>
                <w:color w:val="auto"/>
              </w:rPr>
            </w:pPr>
          </w:p>
        </w:tc>
      </w:tr>
      <w:tr>
        <w:trPr>
          <w:trHeight w:val="186"/>
        </w:trPr>
        <w:tc>
          <w:tcPr>
            <w:tcW w:w="298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w w:val="97"/>
              </w:rPr>
              <w:t>PI2024003160</w:t>
            </w:r>
          </w:p>
        </w:tc>
        <w:tc>
          <w:tcPr>
            <w:tcW w:w="18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w w:val="98"/>
              </w:rPr>
              <w:t>Malaysia</w:t>
            </w:r>
          </w:p>
        </w:tc>
        <w:tc>
          <w:tcPr>
            <w:tcW w:w="17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w w:val="97"/>
              </w:rPr>
              <w:t>Pending</w:t>
            </w:r>
          </w:p>
        </w:tc>
        <w:tc>
          <w:tcPr>
            <w:tcW w:w="47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w w:val="97"/>
              </w:rPr>
              <w:t>Tryptamine Compositions and Methods</w:t>
            </w:r>
          </w:p>
        </w:tc>
        <w:tc>
          <w:tcPr>
            <w:tcW w:w="0" w:type="dxa"/>
            <w:vAlign w:val="bottom"/>
          </w:tcPr>
          <w:p>
            <w:pPr>
              <w:spacing w:after="0"/>
              <w:rPr>
                <w:sz w:val="1"/>
                <w:szCs w:val="1"/>
                <w:color w:val="auto"/>
              </w:rPr>
            </w:pPr>
          </w:p>
        </w:tc>
      </w:tr>
      <w:tr>
        <w:trPr>
          <w:trHeight w:val="186"/>
        </w:trPr>
        <w:tc>
          <w:tcPr>
            <w:tcW w:w="298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w w:val="97"/>
              </w:rPr>
              <w:t>811765</w:t>
            </w:r>
          </w:p>
        </w:tc>
        <w:tc>
          <w:tcPr>
            <w:tcW w:w="18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w w:val="96"/>
              </w:rPr>
              <w:t>New Zealand</w:t>
            </w:r>
          </w:p>
        </w:tc>
        <w:tc>
          <w:tcPr>
            <w:tcW w:w="17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w w:val="97"/>
              </w:rPr>
              <w:t>Pending</w:t>
            </w:r>
          </w:p>
        </w:tc>
        <w:tc>
          <w:tcPr>
            <w:tcW w:w="47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w w:val="97"/>
              </w:rPr>
              <w:t>Tryptamine Compositions and Methods</w:t>
            </w:r>
          </w:p>
        </w:tc>
        <w:tc>
          <w:tcPr>
            <w:tcW w:w="0" w:type="dxa"/>
            <w:vAlign w:val="bottom"/>
          </w:tcPr>
          <w:p>
            <w:pPr>
              <w:spacing w:after="0"/>
              <w:rPr>
                <w:sz w:val="1"/>
                <w:szCs w:val="1"/>
                <w:color w:val="auto"/>
              </w:rPr>
            </w:pPr>
          </w:p>
        </w:tc>
      </w:tr>
      <w:tr>
        <w:trPr>
          <w:trHeight w:val="186"/>
        </w:trPr>
        <w:tc>
          <w:tcPr>
            <w:tcW w:w="298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w w:val="95"/>
              </w:rPr>
              <w:t>1120243886</w:t>
            </w:r>
          </w:p>
        </w:tc>
        <w:tc>
          <w:tcPr>
            <w:tcW w:w="18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w w:val="99"/>
              </w:rPr>
              <w:t>Saudi Arabia</w:t>
            </w:r>
          </w:p>
        </w:tc>
        <w:tc>
          <w:tcPr>
            <w:tcW w:w="17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w w:val="97"/>
              </w:rPr>
              <w:t>Pending</w:t>
            </w:r>
          </w:p>
        </w:tc>
        <w:tc>
          <w:tcPr>
            <w:tcW w:w="47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w w:val="97"/>
              </w:rPr>
              <w:t>Tryptamine Compositions and Methods</w:t>
            </w:r>
          </w:p>
        </w:tc>
        <w:tc>
          <w:tcPr>
            <w:tcW w:w="0" w:type="dxa"/>
            <w:vAlign w:val="bottom"/>
          </w:tcPr>
          <w:p>
            <w:pPr>
              <w:spacing w:after="0"/>
              <w:rPr>
                <w:sz w:val="1"/>
                <w:szCs w:val="1"/>
                <w:color w:val="auto"/>
              </w:rPr>
            </w:pPr>
          </w:p>
        </w:tc>
      </w:tr>
      <w:tr>
        <w:trPr>
          <w:trHeight w:val="186"/>
        </w:trPr>
        <w:tc>
          <w:tcPr>
            <w:tcW w:w="298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w w:val="95"/>
              </w:rPr>
              <w:t>2023222397</w:t>
            </w:r>
          </w:p>
        </w:tc>
        <w:tc>
          <w:tcPr>
            <w:tcW w:w="18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w w:val="98"/>
              </w:rPr>
              <w:t>Australia</w:t>
            </w:r>
          </w:p>
        </w:tc>
        <w:tc>
          <w:tcPr>
            <w:tcW w:w="17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w w:val="97"/>
              </w:rPr>
              <w:t>Pending</w:t>
            </w:r>
          </w:p>
        </w:tc>
        <w:tc>
          <w:tcPr>
            <w:tcW w:w="47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w w:val="96"/>
              </w:rPr>
              <w:t>Therapeutic Phenethylamine Compositions and Methods of Use</w:t>
            </w:r>
          </w:p>
        </w:tc>
        <w:tc>
          <w:tcPr>
            <w:tcW w:w="0" w:type="dxa"/>
            <w:vAlign w:val="bottom"/>
          </w:tcPr>
          <w:p>
            <w:pPr>
              <w:spacing w:after="0"/>
              <w:rPr>
                <w:sz w:val="1"/>
                <w:szCs w:val="1"/>
                <w:color w:val="auto"/>
              </w:rPr>
            </w:pPr>
          </w:p>
        </w:tc>
      </w:tr>
      <w:tr>
        <w:trPr>
          <w:trHeight w:val="186"/>
        </w:trPr>
        <w:tc>
          <w:tcPr>
            <w:tcW w:w="298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w w:val="98"/>
              </w:rPr>
              <w:t>3244275</w:t>
            </w:r>
          </w:p>
        </w:tc>
        <w:tc>
          <w:tcPr>
            <w:tcW w:w="18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w w:val="93"/>
              </w:rPr>
              <w:t>Canada</w:t>
            </w:r>
          </w:p>
        </w:tc>
        <w:tc>
          <w:tcPr>
            <w:tcW w:w="17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w w:val="97"/>
              </w:rPr>
              <w:t>Pending</w:t>
            </w:r>
          </w:p>
        </w:tc>
        <w:tc>
          <w:tcPr>
            <w:tcW w:w="47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w w:val="96"/>
              </w:rPr>
              <w:t>Therapeutic Phenethylamine Compositions and Methods of Use</w:t>
            </w:r>
          </w:p>
        </w:tc>
        <w:tc>
          <w:tcPr>
            <w:tcW w:w="0" w:type="dxa"/>
            <w:vAlign w:val="bottom"/>
          </w:tcPr>
          <w:p>
            <w:pPr>
              <w:spacing w:after="0"/>
              <w:rPr>
                <w:sz w:val="1"/>
                <w:szCs w:val="1"/>
                <w:color w:val="auto"/>
              </w:rPr>
            </w:pPr>
          </w:p>
        </w:tc>
      </w:tr>
      <w:tr>
        <w:trPr>
          <w:trHeight w:val="186"/>
        </w:trPr>
        <w:tc>
          <w:tcPr>
            <w:tcW w:w="298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w w:val="95"/>
              </w:rPr>
              <w:t>23705529.8</w:t>
            </w:r>
          </w:p>
        </w:tc>
        <w:tc>
          <w:tcPr>
            <w:tcW w:w="18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w w:val="96"/>
              </w:rPr>
              <w:t>European Patent Office</w:t>
            </w:r>
          </w:p>
        </w:tc>
        <w:tc>
          <w:tcPr>
            <w:tcW w:w="17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w w:val="97"/>
              </w:rPr>
              <w:t>Pending</w:t>
            </w:r>
          </w:p>
        </w:tc>
        <w:tc>
          <w:tcPr>
            <w:tcW w:w="47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w w:val="96"/>
              </w:rPr>
              <w:t>Therapeutic Phenethylamine Compositions and Methods of Use</w:t>
            </w:r>
          </w:p>
        </w:tc>
        <w:tc>
          <w:tcPr>
            <w:tcW w:w="0" w:type="dxa"/>
            <w:vAlign w:val="bottom"/>
          </w:tcPr>
          <w:p>
            <w:pPr>
              <w:spacing w:after="0"/>
              <w:rPr>
                <w:sz w:val="1"/>
                <w:szCs w:val="1"/>
                <w:color w:val="auto"/>
              </w:rPr>
            </w:pPr>
          </w:p>
        </w:tc>
      </w:tr>
      <w:tr>
        <w:trPr>
          <w:trHeight w:val="186"/>
        </w:trPr>
        <w:tc>
          <w:tcPr>
            <w:tcW w:w="298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w w:val="97"/>
              </w:rPr>
              <w:t>2024-547671</w:t>
            </w:r>
          </w:p>
        </w:tc>
        <w:tc>
          <w:tcPr>
            <w:tcW w:w="18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w w:val="99"/>
              </w:rPr>
              <w:t>Japan</w:t>
            </w:r>
          </w:p>
        </w:tc>
        <w:tc>
          <w:tcPr>
            <w:tcW w:w="17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w w:val="97"/>
              </w:rPr>
              <w:t>Pending</w:t>
            </w:r>
          </w:p>
        </w:tc>
        <w:tc>
          <w:tcPr>
            <w:tcW w:w="47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w w:val="96"/>
              </w:rPr>
              <w:t>Therapeutic Phenethylamine Compositions and Methods of Use</w:t>
            </w:r>
          </w:p>
        </w:tc>
        <w:tc>
          <w:tcPr>
            <w:tcW w:w="0" w:type="dxa"/>
            <w:vAlign w:val="bottom"/>
          </w:tcPr>
          <w:p>
            <w:pPr>
              <w:spacing w:after="0"/>
              <w:rPr>
                <w:sz w:val="1"/>
                <w:szCs w:val="1"/>
                <w:color w:val="auto"/>
              </w:rPr>
            </w:pPr>
          </w:p>
        </w:tc>
      </w:tr>
      <w:tr>
        <w:trPr>
          <w:trHeight w:val="186"/>
        </w:trPr>
        <w:tc>
          <w:tcPr>
            <w:tcW w:w="298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w w:val="96"/>
              </w:rPr>
              <w:t>10-2024-7028837</w:t>
            </w:r>
          </w:p>
        </w:tc>
        <w:tc>
          <w:tcPr>
            <w:tcW w:w="18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w w:val="92"/>
              </w:rPr>
              <w:t>Korea</w:t>
            </w:r>
          </w:p>
        </w:tc>
        <w:tc>
          <w:tcPr>
            <w:tcW w:w="17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w w:val="97"/>
              </w:rPr>
              <w:t>Pending</w:t>
            </w:r>
          </w:p>
        </w:tc>
        <w:tc>
          <w:tcPr>
            <w:tcW w:w="47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w w:val="96"/>
              </w:rPr>
              <w:t>Therapeutic Phenethylamine Compositions and Methods of Use</w:t>
            </w:r>
          </w:p>
        </w:tc>
        <w:tc>
          <w:tcPr>
            <w:tcW w:w="0" w:type="dxa"/>
            <w:vAlign w:val="bottom"/>
          </w:tcPr>
          <w:p>
            <w:pPr>
              <w:spacing w:after="0"/>
              <w:rPr>
                <w:sz w:val="1"/>
                <w:szCs w:val="1"/>
                <w:color w:val="auto"/>
              </w:rPr>
            </w:pPr>
          </w:p>
        </w:tc>
      </w:tr>
      <w:tr>
        <w:trPr>
          <w:trHeight w:val="186"/>
        </w:trPr>
        <w:tc>
          <w:tcPr>
            <w:tcW w:w="298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w w:val="95"/>
              </w:rPr>
              <w:t>2023222126</w:t>
            </w:r>
          </w:p>
        </w:tc>
        <w:tc>
          <w:tcPr>
            <w:tcW w:w="18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w w:val="98"/>
              </w:rPr>
              <w:t>Australia</w:t>
            </w:r>
          </w:p>
        </w:tc>
        <w:tc>
          <w:tcPr>
            <w:tcW w:w="17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w w:val="97"/>
              </w:rPr>
              <w:t>Pending</w:t>
            </w:r>
          </w:p>
        </w:tc>
        <w:tc>
          <w:tcPr>
            <w:tcW w:w="47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w w:val="96"/>
              </w:rPr>
              <w:t>Phenethylamine Derivatives, Compositions, and Methods of Use</w:t>
            </w:r>
          </w:p>
        </w:tc>
        <w:tc>
          <w:tcPr>
            <w:tcW w:w="0" w:type="dxa"/>
            <w:vAlign w:val="bottom"/>
          </w:tcPr>
          <w:p>
            <w:pPr>
              <w:spacing w:after="0"/>
              <w:rPr>
                <w:sz w:val="1"/>
                <w:szCs w:val="1"/>
                <w:color w:val="auto"/>
              </w:rPr>
            </w:pPr>
          </w:p>
        </w:tc>
      </w:tr>
      <w:tr>
        <w:trPr>
          <w:trHeight w:val="186"/>
        </w:trPr>
        <w:tc>
          <w:tcPr>
            <w:tcW w:w="298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w w:val="98"/>
              </w:rPr>
              <w:t>3244130</w:t>
            </w:r>
          </w:p>
        </w:tc>
        <w:tc>
          <w:tcPr>
            <w:tcW w:w="18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w w:val="93"/>
              </w:rPr>
              <w:t>Canada</w:t>
            </w:r>
          </w:p>
        </w:tc>
        <w:tc>
          <w:tcPr>
            <w:tcW w:w="17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w w:val="97"/>
              </w:rPr>
              <w:t>Pending</w:t>
            </w:r>
          </w:p>
        </w:tc>
        <w:tc>
          <w:tcPr>
            <w:tcW w:w="47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w w:val="96"/>
              </w:rPr>
              <w:t>Phenethylamine Derivatives, Compositions, and Methods of Use</w:t>
            </w:r>
          </w:p>
        </w:tc>
        <w:tc>
          <w:tcPr>
            <w:tcW w:w="0" w:type="dxa"/>
            <w:vAlign w:val="bottom"/>
          </w:tcPr>
          <w:p>
            <w:pPr>
              <w:spacing w:after="0"/>
              <w:rPr>
                <w:sz w:val="1"/>
                <w:szCs w:val="1"/>
                <w:color w:val="auto"/>
              </w:rPr>
            </w:pPr>
          </w:p>
        </w:tc>
      </w:tr>
      <w:tr>
        <w:trPr>
          <w:trHeight w:val="186"/>
        </w:trPr>
        <w:tc>
          <w:tcPr>
            <w:tcW w:w="298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w w:val="95"/>
              </w:rPr>
              <w:t>23705530.6</w:t>
            </w:r>
          </w:p>
        </w:tc>
        <w:tc>
          <w:tcPr>
            <w:tcW w:w="18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w w:val="96"/>
              </w:rPr>
              <w:t>European Patent Office</w:t>
            </w:r>
          </w:p>
        </w:tc>
        <w:tc>
          <w:tcPr>
            <w:tcW w:w="17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w w:val="97"/>
              </w:rPr>
              <w:t>Pending</w:t>
            </w:r>
          </w:p>
        </w:tc>
        <w:tc>
          <w:tcPr>
            <w:tcW w:w="47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w w:val="96"/>
              </w:rPr>
              <w:t>Phenethylamine Derivatives, Compositions, and Methods of Use</w:t>
            </w:r>
          </w:p>
        </w:tc>
        <w:tc>
          <w:tcPr>
            <w:tcW w:w="0" w:type="dxa"/>
            <w:vAlign w:val="bottom"/>
          </w:tcPr>
          <w:p>
            <w:pPr>
              <w:spacing w:after="0"/>
              <w:rPr>
                <w:sz w:val="1"/>
                <w:szCs w:val="1"/>
                <w:color w:val="auto"/>
              </w:rPr>
            </w:pPr>
          </w:p>
        </w:tc>
      </w:tr>
      <w:tr>
        <w:trPr>
          <w:trHeight w:val="186"/>
        </w:trPr>
        <w:tc>
          <w:tcPr>
            <w:tcW w:w="298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w w:val="97"/>
              </w:rPr>
              <w:t>2024-547667</w:t>
            </w:r>
          </w:p>
        </w:tc>
        <w:tc>
          <w:tcPr>
            <w:tcW w:w="18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w w:val="99"/>
              </w:rPr>
              <w:t>Japan</w:t>
            </w:r>
          </w:p>
        </w:tc>
        <w:tc>
          <w:tcPr>
            <w:tcW w:w="17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w w:val="97"/>
              </w:rPr>
              <w:t>Pending</w:t>
            </w:r>
          </w:p>
        </w:tc>
        <w:tc>
          <w:tcPr>
            <w:tcW w:w="47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w w:val="96"/>
              </w:rPr>
              <w:t>Phenethylamine Derivatives, Compositions, and Methods of Use</w:t>
            </w:r>
          </w:p>
        </w:tc>
        <w:tc>
          <w:tcPr>
            <w:tcW w:w="0" w:type="dxa"/>
            <w:vAlign w:val="bottom"/>
          </w:tcPr>
          <w:p>
            <w:pPr>
              <w:spacing w:after="0"/>
              <w:rPr>
                <w:sz w:val="1"/>
                <w:szCs w:val="1"/>
                <w:color w:val="auto"/>
              </w:rPr>
            </w:pPr>
          </w:p>
        </w:tc>
      </w:tr>
      <w:tr>
        <w:trPr>
          <w:trHeight w:val="186"/>
        </w:trPr>
        <w:tc>
          <w:tcPr>
            <w:tcW w:w="298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w w:val="96"/>
              </w:rPr>
              <w:t>10-2024-7028843</w:t>
            </w:r>
          </w:p>
        </w:tc>
        <w:tc>
          <w:tcPr>
            <w:tcW w:w="18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w w:val="92"/>
              </w:rPr>
              <w:t>Korea</w:t>
            </w:r>
          </w:p>
        </w:tc>
        <w:tc>
          <w:tcPr>
            <w:tcW w:w="17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w w:val="97"/>
              </w:rPr>
              <w:t>Pending</w:t>
            </w:r>
          </w:p>
        </w:tc>
        <w:tc>
          <w:tcPr>
            <w:tcW w:w="47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w w:val="96"/>
              </w:rPr>
              <w:t>Phenethylamine Derivatives, Compositions, and Methods of Use</w:t>
            </w:r>
          </w:p>
        </w:tc>
        <w:tc>
          <w:tcPr>
            <w:tcW w:w="0" w:type="dxa"/>
            <w:vAlign w:val="bottom"/>
          </w:tcPr>
          <w:p>
            <w:pPr>
              <w:spacing w:after="0"/>
              <w:rPr>
                <w:sz w:val="1"/>
                <w:szCs w:val="1"/>
                <w:color w:val="auto"/>
              </w:rPr>
            </w:pPr>
          </w:p>
        </w:tc>
      </w:tr>
      <w:tr>
        <w:trPr>
          <w:trHeight w:val="139"/>
        </w:trPr>
        <w:tc>
          <w:tcPr>
            <w:tcW w:w="2980" w:type="dxa"/>
            <w:vAlign w:val="bottom"/>
            <w:tcBorders>
              <w:left w:val="single" w:sz="8" w:color="auto"/>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5"/>
                <w:szCs w:val="15"/>
                <w:color w:val="auto"/>
                <w:w w:val="95"/>
              </w:rPr>
              <w:t>2023246690</w:t>
            </w:r>
          </w:p>
        </w:tc>
        <w:tc>
          <w:tcPr>
            <w:tcW w:w="184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5"/>
                <w:szCs w:val="15"/>
                <w:color w:val="auto"/>
                <w:w w:val="98"/>
              </w:rPr>
              <w:t>Australia</w:t>
            </w:r>
          </w:p>
        </w:tc>
        <w:tc>
          <w:tcPr>
            <w:tcW w:w="174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5"/>
                <w:szCs w:val="15"/>
                <w:color w:val="auto"/>
                <w:w w:val="97"/>
              </w:rPr>
              <w:t>Pending</w:t>
            </w:r>
          </w:p>
        </w:tc>
        <w:tc>
          <w:tcPr>
            <w:tcW w:w="4720" w:type="dxa"/>
            <w:vAlign w:val="bottom"/>
            <w:tcBorders>
              <w:right w:val="single" w:sz="8" w:color="auto"/>
            </w:tcBorders>
          </w:tcPr>
          <w:p>
            <w:pPr>
              <w:jc w:val="center"/>
              <w:spacing w:after="0" w:line="139" w:lineRule="exact"/>
              <w:rPr>
                <w:sz w:val="20"/>
                <w:szCs w:val="20"/>
                <w:color w:val="auto"/>
              </w:rPr>
            </w:pPr>
            <w:r>
              <w:rPr>
                <w:rFonts w:ascii="Times New Roman" w:cs="Times New Roman" w:eastAsia="Times New Roman" w:hAnsi="Times New Roman"/>
                <w:sz w:val="15"/>
                <w:szCs w:val="15"/>
                <w:color w:val="auto"/>
                <w:w w:val="96"/>
              </w:rPr>
              <w:t>Methods For Delivery of Psychedelic Medications By Inhalation and Systems</w:t>
            </w:r>
          </w:p>
        </w:tc>
        <w:tc>
          <w:tcPr>
            <w:tcW w:w="0" w:type="dxa"/>
            <w:vAlign w:val="bottom"/>
          </w:tcPr>
          <w:p>
            <w:pPr>
              <w:spacing w:after="0"/>
              <w:rPr>
                <w:sz w:val="1"/>
                <w:szCs w:val="1"/>
                <w:color w:val="auto"/>
              </w:rPr>
            </w:pPr>
          </w:p>
        </w:tc>
      </w:tr>
      <w:tr>
        <w:trPr>
          <w:trHeight w:val="117"/>
        </w:trPr>
        <w:tc>
          <w:tcPr>
            <w:tcW w:w="2980" w:type="dxa"/>
            <w:vAlign w:val="bottom"/>
            <w:tcBorders>
              <w:left w:val="single" w:sz="8" w:color="auto"/>
              <w:right w:val="single" w:sz="8" w:color="auto"/>
            </w:tcBorders>
            <w:vMerge w:val="continue"/>
          </w:tcPr>
          <w:p>
            <w:pPr>
              <w:spacing w:after="0"/>
              <w:rPr>
                <w:sz w:val="10"/>
                <w:szCs w:val="10"/>
                <w:color w:val="auto"/>
              </w:rPr>
            </w:pPr>
          </w:p>
        </w:tc>
        <w:tc>
          <w:tcPr>
            <w:tcW w:w="1840" w:type="dxa"/>
            <w:vAlign w:val="bottom"/>
            <w:tcBorders>
              <w:right w:val="single" w:sz="8" w:color="auto"/>
            </w:tcBorders>
            <w:vMerge w:val="continue"/>
          </w:tcPr>
          <w:p>
            <w:pPr>
              <w:spacing w:after="0"/>
              <w:rPr>
                <w:sz w:val="10"/>
                <w:szCs w:val="10"/>
                <w:color w:val="auto"/>
              </w:rPr>
            </w:pPr>
          </w:p>
        </w:tc>
        <w:tc>
          <w:tcPr>
            <w:tcW w:w="1740" w:type="dxa"/>
            <w:vAlign w:val="bottom"/>
            <w:tcBorders>
              <w:right w:val="single" w:sz="8" w:color="auto"/>
            </w:tcBorders>
            <w:vMerge w:val="continue"/>
          </w:tcPr>
          <w:p>
            <w:pPr>
              <w:spacing w:after="0"/>
              <w:rPr>
                <w:sz w:val="10"/>
                <w:szCs w:val="10"/>
                <w:color w:val="auto"/>
              </w:rPr>
            </w:pPr>
          </w:p>
        </w:tc>
        <w:tc>
          <w:tcPr>
            <w:tcW w:w="472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5"/>
                <w:szCs w:val="15"/>
                <w:color w:val="auto"/>
                <w:w w:val="95"/>
              </w:rPr>
              <w:t>For Performing the Methods</w:t>
            </w:r>
          </w:p>
        </w:tc>
        <w:tc>
          <w:tcPr>
            <w:tcW w:w="0" w:type="dxa"/>
            <w:vAlign w:val="bottom"/>
          </w:tcPr>
          <w:p>
            <w:pPr>
              <w:spacing w:after="0"/>
              <w:rPr>
                <w:sz w:val="1"/>
                <w:szCs w:val="1"/>
                <w:color w:val="auto"/>
              </w:rPr>
            </w:pPr>
          </w:p>
        </w:tc>
      </w:tr>
      <w:tr>
        <w:trPr>
          <w:trHeight w:val="75"/>
        </w:trPr>
        <w:tc>
          <w:tcPr>
            <w:tcW w:w="2980" w:type="dxa"/>
            <w:vAlign w:val="bottom"/>
            <w:tcBorders>
              <w:left w:val="single" w:sz="8" w:color="auto"/>
              <w:bottom w:val="single" w:sz="8" w:color="auto"/>
              <w:right w:val="single" w:sz="8" w:color="auto"/>
            </w:tcBorders>
          </w:tcPr>
          <w:p>
            <w:pPr>
              <w:spacing w:after="0"/>
              <w:rPr>
                <w:sz w:val="6"/>
                <w:szCs w:val="6"/>
                <w:color w:val="auto"/>
              </w:rPr>
            </w:pPr>
          </w:p>
        </w:tc>
        <w:tc>
          <w:tcPr>
            <w:tcW w:w="1840" w:type="dxa"/>
            <w:vAlign w:val="bottom"/>
            <w:tcBorders>
              <w:bottom w:val="single" w:sz="8" w:color="auto"/>
              <w:right w:val="single" w:sz="8" w:color="auto"/>
            </w:tcBorders>
          </w:tcPr>
          <w:p>
            <w:pPr>
              <w:spacing w:after="0"/>
              <w:rPr>
                <w:sz w:val="6"/>
                <w:szCs w:val="6"/>
                <w:color w:val="auto"/>
              </w:rPr>
            </w:pPr>
          </w:p>
        </w:tc>
        <w:tc>
          <w:tcPr>
            <w:tcW w:w="1740" w:type="dxa"/>
            <w:vAlign w:val="bottom"/>
            <w:tcBorders>
              <w:bottom w:val="single" w:sz="8" w:color="auto"/>
              <w:right w:val="single" w:sz="8" w:color="auto"/>
            </w:tcBorders>
          </w:tcPr>
          <w:p>
            <w:pPr>
              <w:spacing w:after="0"/>
              <w:rPr>
                <w:sz w:val="6"/>
                <w:szCs w:val="6"/>
                <w:color w:val="auto"/>
              </w:rPr>
            </w:pPr>
          </w:p>
        </w:tc>
        <w:tc>
          <w:tcPr>
            <w:tcW w:w="4720" w:type="dxa"/>
            <w:vAlign w:val="bottom"/>
            <w:tcBorders>
              <w:bottom w:val="single" w:sz="8" w:color="auto"/>
              <w:right w:val="single" w:sz="8" w:color="auto"/>
            </w:tcBorders>
            <w:vMerge w:val="continue"/>
          </w:tcPr>
          <w:p>
            <w:pPr>
              <w:spacing w:after="0"/>
              <w:rPr>
                <w:sz w:val="6"/>
                <w:szCs w:val="6"/>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32</w:t>
      </w:r>
    </w:p>
    <w:p>
      <w:pPr>
        <w:sectPr>
          <w:pgSz w:w="11900" w:h="16838" w:orient="portrait"/>
          <w:cols w:equalWidth="0" w:num="1">
            <w:col w:w="11260"/>
          </w:cols>
          <w:pgMar w:left="320" w:top="1304" w:right="319" w:bottom="1440" w:gutter="0" w:footer="0" w:header="0"/>
        </w:sectPr>
      </w:pPr>
    </w:p>
    <w:bookmarkStart w:id="58" w:name="page59"/>
    <w:bookmarkEnd w:id="58"/>
    <w:tbl>
      <w:tblPr>
        <w:tblLayout w:type="fixed"/>
        <w:tblInd w:w="10" w:type="dxa"/>
        <w:tblCellMar>
          <w:top w:w="0" w:type="dxa"/>
          <w:left w:w="0" w:type="dxa"/>
          <w:bottom w:w="0" w:type="dxa"/>
          <w:right w:w="0" w:type="dxa"/>
        </w:tblCellMar>
      </w:tblPr>
      <w:tr>
        <w:trPr>
          <w:trHeight w:val="204"/>
        </w:trPr>
        <w:tc>
          <w:tcPr>
            <w:tcW w:w="2980" w:type="dxa"/>
            <w:vAlign w:val="bottom"/>
            <w:tcBorders>
              <w:top w:val="single" w:sz="8" w:color="auto"/>
              <w:left w:val="single" w:sz="8" w:color="auto"/>
              <w:bottom w:val="single" w:sz="8" w:color="auto"/>
              <w:right w:val="single" w:sz="8" w:color="auto"/>
            </w:tcBorders>
            <w:shd w:val="clear" w:color="auto" w:fill="BFBFBF"/>
          </w:tcPr>
          <w:p>
            <w:pPr>
              <w:ind w:left="620"/>
              <w:spacing w:after="0"/>
              <w:rPr>
                <w:sz w:val="20"/>
                <w:szCs w:val="20"/>
                <w:color w:val="auto"/>
              </w:rPr>
            </w:pPr>
            <w:r>
              <w:rPr>
                <w:rFonts w:ascii="Times New Roman" w:cs="Times New Roman" w:eastAsia="Times New Roman" w:hAnsi="Times New Roman"/>
                <w:sz w:val="15"/>
                <w:szCs w:val="15"/>
                <w:b w:val="1"/>
                <w:bCs w:val="1"/>
                <w:color w:val="auto"/>
              </w:rPr>
              <w:t>Patent Application Number</w:t>
            </w:r>
          </w:p>
        </w:tc>
        <w:tc>
          <w:tcPr>
            <w:tcW w:w="1840" w:type="dxa"/>
            <w:vAlign w:val="bottom"/>
            <w:tcBorders>
              <w:top w:val="single" w:sz="8" w:color="auto"/>
              <w:bottom w:val="single" w:sz="8" w:color="auto"/>
              <w:right w:val="single" w:sz="8" w:color="auto"/>
            </w:tcBorders>
            <w:shd w:val="clear" w:color="auto" w:fill="BFBFBF"/>
          </w:tcPr>
          <w:p>
            <w:pPr>
              <w:jc w:val="center"/>
              <w:spacing w:after="0"/>
              <w:rPr>
                <w:sz w:val="20"/>
                <w:szCs w:val="20"/>
                <w:color w:val="auto"/>
              </w:rPr>
            </w:pPr>
            <w:r>
              <w:rPr>
                <w:rFonts w:ascii="Times New Roman" w:cs="Times New Roman" w:eastAsia="Times New Roman" w:hAnsi="Times New Roman"/>
                <w:sz w:val="15"/>
                <w:szCs w:val="15"/>
                <w:b w:val="1"/>
                <w:bCs w:val="1"/>
                <w:color w:val="auto"/>
                <w:w w:val="96"/>
              </w:rPr>
              <w:t>Jurisdiction of Filing</w:t>
            </w:r>
          </w:p>
        </w:tc>
        <w:tc>
          <w:tcPr>
            <w:tcW w:w="1740" w:type="dxa"/>
            <w:vAlign w:val="bottom"/>
            <w:tcBorders>
              <w:top w:val="single" w:sz="8" w:color="auto"/>
              <w:bottom w:val="single" w:sz="8" w:color="auto"/>
              <w:right w:val="single" w:sz="8" w:color="auto"/>
            </w:tcBorders>
            <w:shd w:val="clear" w:color="auto" w:fill="BFBFBF"/>
          </w:tcPr>
          <w:p>
            <w:pPr>
              <w:jc w:val="center"/>
              <w:spacing w:after="0"/>
              <w:rPr>
                <w:sz w:val="20"/>
                <w:szCs w:val="20"/>
                <w:color w:val="auto"/>
              </w:rPr>
            </w:pPr>
            <w:r>
              <w:rPr>
                <w:rFonts w:ascii="Times New Roman" w:cs="Times New Roman" w:eastAsia="Times New Roman" w:hAnsi="Times New Roman"/>
                <w:sz w:val="15"/>
                <w:szCs w:val="15"/>
                <w:b w:val="1"/>
                <w:bCs w:val="1"/>
                <w:color w:val="auto"/>
                <w:w w:val="99"/>
              </w:rPr>
              <w:t>Status</w:t>
            </w:r>
          </w:p>
        </w:tc>
        <w:tc>
          <w:tcPr>
            <w:tcW w:w="4720" w:type="dxa"/>
            <w:vAlign w:val="bottom"/>
            <w:tcBorders>
              <w:top w:val="single" w:sz="8" w:color="auto"/>
              <w:bottom w:val="single" w:sz="8" w:color="auto"/>
              <w:right w:val="single" w:sz="8" w:color="auto"/>
            </w:tcBorders>
            <w:shd w:val="clear" w:color="auto" w:fill="BFBFBF"/>
          </w:tcPr>
          <w:p>
            <w:pPr>
              <w:jc w:val="center"/>
              <w:spacing w:after="0"/>
              <w:rPr>
                <w:sz w:val="20"/>
                <w:szCs w:val="20"/>
                <w:color w:val="auto"/>
              </w:rPr>
            </w:pPr>
            <w:r>
              <w:rPr>
                <w:rFonts w:ascii="Times New Roman" w:cs="Times New Roman" w:eastAsia="Times New Roman" w:hAnsi="Times New Roman"/>
                <w:sz w:val="15"/>
                <w:szCs w:val="15"/>
                <w:b w:val="1"/>
                <w:bCs w:val="1"/>
                <w:color w:val="auto"/>
                <w:w w:val="97"/>
              </w:rPr>
              <w:t>Description</w:t>
            </w:r>
          </w:p>
        </w:tc>
        <w:tc>
          <w:tcPr>
            <w:tcW w:w="0" w:type="dxa"/>
            <w:vAlign w:val="bottom"/>
          </w:tcPr>
          <w:p>
            <w:pPr>
              <w:spacing w:after="0"/>
              <w:rPr>
                <w:sz w:val="1"/>
                <w:szCs w:val="1"/>
                <w:color w:val="auto"/>
              </w:rPr>
            </w:pPr>
          </w:p>
        </w:tc>
      </w:tr>
      <w:tr>
        <w:trPr>
          <w:trHeight w:val="138"/>
        </w:trPr>
        <w:tc>
          <w:tcPr>
            <w:tcW w:w="2980" w:type="dxa"/>
            <w:vAlign w:val="bottom"/>
            <w:tcBorders>
              <w:left w:val="single" w:sz="8" w:color="auto"/>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5"/>
                <w:szCs w:val="15"/>
                <w:color w:val="auto"/>
                <w:w w:val="98"/>
              </w:rPr>
              <w:t>3246274</w:t>
            </w:r>
          </w:p>
        </w:tc>
        <w:tc>
          <w:tcPr>
            <w:tcW w:w="184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5"/>
                <w:szCs w:val="15"/>
                <w:color w:val="auto"/>
                <w:w w:val="93"/>
              </w:rPr>
              <w:t>Canada</w:t>
            </w:r>
          </w:p>
        </w:tc>
        <w:tc>
          <w:tcPr>
            <w:tcW w:w="174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5"/>
                <w:szCs w:val="15"/>
                <w:color w:val="auto"/>
                <w:w w:val="97"/>
              </w:rPr>
              <w:t>Pending</w:t>
            </w:r>
          </w:p>
        </w:tc>
        <w:tc>
          <w:tcPr>
            <w:tcW w:w="4720" w:type="dxa"/>
            <w:vAlign w:val="bottom"/>
            <w:tcBorders>
              <w:right w:val="single" w:sz="8" w:color="auto"/>
            </w:tcBorders>
          </w:tcPr>
          <w:p>
            <w:pPr>
              <w:jc w:val="center"/>
              <w:spacing w:after="0" w:line="138" w:lineRule="exact"/>
              <w:rPr>
                <w:sz w:val="20"/>
                <w:szCs w:val="20"/>
                <w:color w:val="auto"/>
              </w:rPr>
            </w:pPr>
            <w:r>
              <w:rPr>
                <w:rFonts w:ascii="Times New Roman" w:cs="Times New Roman" w:eastAsia="Times New Roman" w:hAnsi="Times New Roman"/>
                <w:sz w:val="15"/>
                <w:szCs w:val="15"/>
                <w:color w:val="auto"/>
                <w:w w:val="96"/>
              </w:rPr>
              <w:t>Methods For Delivery of Psychedelic Medications By Inhalation and Systems</w:t>
            </w:r>
          </w:p>
        </w:tc>
        <w:tc>
          <w:tcPr>
            <w:tcW w:w="0" w:type="dxa"/>
            <w:vAlign w:val="bottom"/>
          </w:tcPr>
          <w:p>
            <w:pPr>
              <w:spacing w:after="0"/>
              <w:rPr>
                <w:sz w:val="1"/>
                <w:szCs w:val="1"/>
                <w:color w:val="auto"/>
              </w:rPr>
            </w:pPr>
          </w:p>
        </w:tc>
      </w:tr>
      <w:tr>
        <w:trPr>
          <w:trHeight w:val="117"/>
        </w:trPr>
        <w:tc>
          <w:tcPr>
            <w:tcW w:w="2980" w:type="dxa"/>
            <w:vAlign w:val="bottom"/>
            <w:tcBorders>
              <w:left w:val="single" w:sz="8" w:color="auto"/>
              <w:right w:val="single" w:sz="8" w:color="auto"/>
            </w:tcBorders>
            <w:vMerge w:val="continue"/>
          </w:tcPr>
          <w:p>
            <w:pPr>
              <w:spacing w:after="0"/>
              <w:rPr>
                <w:sz w:val="10"/>
                <w:szCs w:val="10"/>
                <w:color w:val="auto"/>
              </w:rPr>
            </w:pPr>
          </w:p>
        </w:tc>
        <w:tc>
          <w:tcPr>
            <w:tcW w:w="1840" w:type="dxa"/>
            <w:vAlign w:val="bottom"/>
            <w:tcBorders>
              <w:right w:val="single" w:sz="8" w:color="auto"/>
            </w:tcBorders>
            <w:vMerge w:val="continue"/>
          </w:tcPr>
          <w:p>
            <w:pPr>
              <w:spacing w:after="0"/>
              <w:rPr>
                <w:sz w:val="10"/>
                <w:szCs w:val="10"/>
                <w:color w:val="auto"/>
              </w:rPr>
            </w:pPr>
          </w:p>
        </w:tc>
        <w:tc>
          <w:tcPr>
            <w:tcW w:w="1740" w:type="dxa"/>
            <w:vAlign w:val="bottom"/>
            <w:tcBorders>
              <w:right w:val="single" w:sz="8" w:color="auto"/>
            </w:tcBorders>
            <w:vMerge w:val="continue"/>
          </w:tcPr>
          <w:p>
            <w:pPr>
              <w:spacing w:after="0"/>
              <w:rPr>
                <w:sz w:val="10"/>
                <w:szCs w:val="10"/>
                <w:color w:val="auto"/>
              </w:rPr>
            </w:pPr>
          </w:p>
        </w:tc>
        <w:tc>
          <w:tcPr>
            <w:tcW w:w="472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5"/>
                <w:szCs w:val="15"/>
                <w:color w:val="auto"/>
                <w:w w:val="95"/>
              </w:rPr>
              <w:t>For Performing the Methods</w:t>
            </w:r>
          </w:p>
        </w:tc>
        <w:tc>
          <w:tcPr>
            <w:tcW w:w="0" w:type="dxa"/>
            <w:vAlign w:val="bottom"/>
          </w:tcPr>
          <w:p>
            <w:pPr>
              <w:spacing w:after="0"/>
              <w:rPr>
                <w:sz w:val="1"/>
                <w:szCs w:val="1"/>
                <w:color w:val="auto"/>
              </w:rPr>
            </w:pPr>
          </w:p>
        </w:tc>
      </w:tr>
      <w:tr>
        <w:trPr>
          <w:trHeight w:val="75"/>
        </w:trPr>
        <w:tc>
          <w:tcPr>
            <w:tcW w:w="2980" w:type="dxa"/>
            <w:vAlign w:val="bottom"/>
            <w:tcBorders>
              <w:left w:val="single" w:sz="8" w:color="auto"/>
              <w:bottom w:val="single" w:sz="8" w:color="auto"/>
              <w:right w:val="single" w:sz="8" w:color="auto"/>
            </w:tcBorders>
          </w:tcPr>
          <w:p>
            <w:pPr>
              <w:spacing w:after="0"/>
              <w:rPr>
                <w:sz w:val="6"/>
                <w:szCs w:val="6"/>
                <w:color w:val="auto"/>
              </w:rPr>
            </w:pPr>
          </w:p>
        </w:tc>
        <w:tc>
          <w:tcPr>
            <w:tcW w:w="1840" w:type="dxa"/>
            <w:vAlign w:val="bottom"/>
            <w:tcBorders>
              <w:bottom w:val="single" w:sz="8" w:color="auto"/>
              <w:right w:val="single" w:sz="8" w:color="auto"/>
            </w:tcBorders>
          </w:tcPr>
          <w:p>
            <w:pPr>
              <w:spacing w:after="0"/>
              <w:rPr>
                <w:sz w:val="6"/>
                <w:szCs w:val="6"/>
                <w:color w:val="auto"/>
              </w:rPr>
            </w:pPr>
          </w:p>
        </w:tc>
        <w:tc>
          <w:tcPr>
            <w:tcW w:w="1740" w:type="dxa"/>
            <w:vAlign w:val="bottom"/>
            <w:tcBorders>
              <w:bottom w:val="single" w:sz="8" w:color="auto"/>
              <w:right w:val="single" w:sz="8" w:color="auto"/>
            </w:tcBorders>
          </w:tcPr>
          <w:p>
            <w:pPr>
              <w:spacing w:after="0"/>
              <w:rPr>
                <w:sz w:val="6"/>
                <w:szCs w:val="6"/>
                <w:color w:val="auto"/>
              </w:rPr>
            </w:pPr>
          </w:p>
        </w:tc>
        <w:tc>
          <w:tcPr>
            <w:tcW w:w="4720" w:type="dxa"/>
            <w:vAlign w:val="bottom"/>
            <w:tcBorders>
              <w:bottom w:val="single" w:sz="8" w:color="auto"/>
              <w:right w:val="single" w:sz="8" w:color="auto"/>
            </w:tcBorders>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39"/>
        </w:trPr>
        <w:tc>
          <w:tcPr>
            <w:tcW w:w="2980" w:type="dxa"/>
            <w:vAlign w:val="bottom"/>
            <w:tcBorders>
              <w:left w:val="single" w:sz="8" w:color="auto"/>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5"/>
                <w:szCs w:val="15"/>
                <w:color w:val="auto"/>
                <w:w w:val="95"/>
              </w:rPr>
              <w:t>23715813.4</w:t>
            </w:r>
          </w:p>
        </w:tc>
        <w:tc>
          <w:tcPr>
            <w:tcW w:w="184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5"/>
                <w:szCs w:val="15"/>
                <w:color w:val="auto"/>
                <w:w w:val="96"/>
              </w:rPr>
              <w:t>European Patent Office</w:t>
            </w:r>
          </w:p>
        </w:tc>
        <w:tc>
          <w:tcPr>
            <w:tcW w:w="174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5"/>
                <w:szCs w:val="15"/>
                <w:color w:val="auto"/>
                <w:w w:val="97"/>
              </w:rPr>
              <w:t>Pending</w:t>
            </w:r>
          </w:p>
        </w:tc>
        <w:tc>
          <w:tcPr>
            <w:tcW w:w="4720" w:type="dxa"/>
            <w:vAlign w:val="bottom"/>
            <w:tcBorders>
              <w:right w:val="single" w:sz="8" w:color="auto"/>
            </w:tcBorders>
          </w:tcPr>
          <w:p>
            <w:pPr>
              <w:jc w:val="center"/>
              <w:spacing w:after="0" w:line="139" w:lineRule="exact"/>
              <w:rPr>
                <w:sz w:val="20"/>
                <w:szCs w:val="20"/>
                <w:color w:val="auto"/>
              </w:rPr>
            </w:pPr>
            <w:r>
              <w:rPr>
                <w:rFonts w:ascii="Times New Roman" w:cs="Times New Roman" w:eastAsia="Times New Roman" w:hAnsi="Times New Roman"/>
                <w:sz w:val="15"/>
                <w:szCs w:val="15"/>
                <w:color w:val="auto"/>
                <w:w w:val="96"/>
              </w:rPr>
              <w:t>Methods For Delivery of Psychedelic Medications By Inhalation and Systems</w:t>
            </w:r>
          </w:p>
        </w:tc>
        <w:tc>
          <w:tcPr>
            <w:tcW w:w="0" w:type="dxa"/>
            <w:vAlign w:val="bottom"/>
          </w:tcPr>
          <w:p>
            <w:pPr>
              <w:spacing w:after="0"/>
              <w:rPr>
                <w:sz w:val="1"/>
                <w:szCs w:val="1"/>
                <w:color w:val="auto"/>
              </w:rPr>
            </w:pPr>
          </w:p>
        </w:tc>
      </w:tr>
      <w:tr>
        <w:trPr>
          <w:trHeight w:val="117"/>
        </w:trPr>
        <w:tc>
          <w:tcPr>
            <w:tcW w:w="2980" w:type="dxa"/>
            <w:vAlign w:val="bottom"/>
            <w:tcBorders>
              <w:left w:val="single" w:sz="8" w:color="auto"/>
              <w:right w:val="single" w:sz="8" w:color="auto"/>
            </w:tcBorders>
            <w:vMerge w:val="continue"/>
          </w:tcPr>
          <w:p>
            <w:pPr>
              <w:spacing w:after="0"/>
              <w:rPr>
                <w:sz w:val="10"/>
                <w:szCs w:val="10"/>
                <w:color w:val="auto"/>
              </w:rPr>
            </w:pPr>
          </w:p>
        </w:tc>
        <w:tc>
          <w:tcPr>
            <w:tcW w:w="1840" w:type="dxa"/>
            <w:vAlign w:val="bottom"/>
            <w:tcBorders>
              <w:right w:val="single" w:sz="8" w:color="auto"/>
            </w:tcBorders>
            <w:vMerge w:val="continue"/>
          </w:tcPr>
          <w:p>
            <w:pPr>
              <w:spacing w:after="0"/>
              <w:rPr>
                <w:sz w:val="10"/>
                <w:szCs w:val="10"/>
                <w:color w:val="auto"/>
              </w:rPr>
            </w:pPr>
          </w:p>
        </w:tc>
        <w:tc>
          <w:tcPr>
            <w:tcW w:w="1740" w:type="dxa"/>
            <w:vAlign w:val="bottom"/>
            <w:tcBorders>
              <w:right w:val="single" w:sz="8" w:color="auto"/>
            </w:tcBorders>
            <w:vMerge w:val="continue"/>
          </w:tcPr>
          <w:p>
            <w:pPr>
              <w:spacing w:after="0"/>
              <w:rPr>
                <w:sz w:val="10"/>
                <w:szCs w:val="10"/>
                <w:color w:val="auto"/>
              </w:rPr>
            </w:pPr>
          </w:p>
        </w:tc>
        <w:tc>
          <w:tcPr>
            <w:tcW w:w="472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5"/>
                <w:szCs w:val="15"/>
                <w:color w:val="auto"/>
                <w:w w:val="95"/>
              </w:rPr>
              <w:t>For Performing the Methods</w:t>
            </w:r>
          </w:p>
        </w:tc>
        <w:tc>
          <w:tcPr>
            <w:tcW w:w="0" w:type="dxa"/>
            <w:vAlign w:val="bottom"/>
          </w:tcPr>
          <w:p>
            <w:pPr>
              <w:spacing w:after="0"/>
              <w:rPr>
                <w:sz w:val="1"/>
                <w:szCs w:val="1"/>
                <w:color w:val="auto"/>
              </w:rPr>
            </w:pPr>
          </w:p>
        </w:tc>
      </w:tr>
      <w:tr>
        <w:trPr>
          <w:trHeight w:val="75"/>
        </w:trPr>
        <w:tc>
          <w:tcPr>
            <w:tcW w:w="2980" w:type="dxa"/>
            <w:vAlign w:val="bottom"/>
            <w:tcBorders>
              <w:left w:val="single" w:sz="8" w:color="auto"/>
              <w:bottom w:val="single" w:sz="8" w:color="auto"/>
              <w:right w:val="single" w:sz="8" w:color="auto"/>
            </w:tcBorders>
          </w:tcPr>
          <w:p>
            <w:pPr>
              <w:spacing w:after="0"/>
              <w:rPr>
                <w:sz w:val="6"/>
                <w:szCs w:val="6"/>
                <w:color w:val="auto"/>
              </w:rPr>
            </w:pPr>
          </w:p>
        </w:tc>
        <w:tc>
          <w:tcPr>
            <w:tcW w:w="1840" w:type="dxa"/>
            <w:vAlign w:val="bottom"/>
            <w:tcBorders>
              <w:bottom w:val="single" w:sz="8" w:color="auto"/>
              <w:right w:val="single" w:sz="8" w:color="auto"/>
            </w:tcBorders>
          </w:tcPr>
          <w:p>
            <w:pPr>
              <w:spacing w:after="0"/>
              <w:rPr>
                <w:sz w:val="6"/>
                <w:szCs w:val="6"/>
                <w:color w:val="auto"/>
              </w:rPr>
            </w:pPr>
          </w:p>
        </w:tc>
        <w:tc>
          <w:tcPr>
            <w:tcW w:w="1740" w:type="dxa"/>
            <w:vAlign w:val="bottom"/>
            <w:tcBorders>
              <w:bottom w:val="single" w:sz="8" w:color="auto"/>
              <w:right w:val="single" w:sz="8" w:color="auto"/>
            </w:tcBorders>
          </w:tcPr>
          <w:p>
            <w:pPr>
              <w:spacing w:after="0"/>
              <w:rPr>
                <w:sz w:val="6"/>
                <w:szCs w:val="6"/>
                <w:color w:val="auto"/>
              </w:rPr>
            </w:pPr>
          </w:p>
        </w:tc>
        <w:tc>
          <w:tcPr>
            <w:tcW w:w="4720" w:type="dxa"/>
            <w:vAlign w:val="bottom"/>
            <w:tcBorders>
              <w:bottom w:val="single" w:sz="8" w:color="auto"/>
              <w:right w:val="single" w:sz="8" w:color="auto"/>
            </w:tcBorders>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39"/>
        </w:trPr>
        <w:tc>
          <w:tcPr>
            <w:tcW w:w="2980" w:type="dxa"/>
            <w:vAlign w:val="bottom"/>
            <w:tcBorders>
              <w:left w:val="single" w:sz="8" w:color="auto"/>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5"/>
                <w:szCs w:val="15"/>
                <w:color w:val="auto"/>
                <w:w w:val="97"/>
              </w:rPr>
              <w:t>2024-557460</w:t>
            </w:r>
          </w:p>
        </w:tc>
        <w:tc>
          <w:tcPr>
            <w:tcW w:w="184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5"/>
                <w:szCs w:val="15"/>
                <w:color w:val="auto"/>
                <w:w w:val="99"/>
              </w:rPr>
              <w:t>Japan</w:t>
            </w:r>
          </w:p>
        </w:tc>
        <w:tc>
          <w:tcPr>
            <w:tcW w:w="174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5"/>
                <w:szCs w:val="15"/>
                <w:color w:val="auto"/>
                <w:w w:val="97"/>
              </w:rPr>
              <w:t>Pending</w:t>
            </w:r>
          </w:p>
        </w:tc>
        <w:tc>
          <w:tcPr>
            <w:tcW w:w="4720" w:type="dxa"/>
            <w:vAlign w:val="bottom"/>
            <w:tcBorders>
              <w:right w:val="single" w:sz="8" w:color="auto"/>
            </w:tcBorders>
          </w:tcPr>
          <w:p>
            <w:pPr>
              <w:jc w:val="center"/>
              <w:spacing w:after="0" w:line="139" w:lineRule="exact"/>
              <w:rPr>
                <w:sz w:val="20"/>
                <w:szCs w:val="20"/>
                <w:color w:val="auto"/>
              </w:rPr>
            </w:pPr>
            <w:r>
              <w:rPr>
                <w:rFonts w:ascii="Times New Roman" w:cs="Times New Roman" w:eastAsia="Times New Roman" w:hAnsi="Times New Roman"/>
                <w:sz w:val="15"/>
                <w:szCs w:val="15"/>
                <w:color w:val="auto"/>
                <w:w w:val="96"/>
              </w:rPr>
              <w:t>Methods For Delivery of Psychedelic Medications By Inhalation and Systems</w:t>
            </w:r>
          </w:p>
        </w:tc>
        <w:tc>
          <w:tcPr>
            <w:tcW w:w="0" w:type="dxa"/>
            <w:vAlign w:val="bottom"/>
          </w:tcPr>
          <w:p>
            <w:pPr>
              <w:spacing w:after="0"/>
              <w:rPr>
                <w:sz w:val="1"/>
                <w:szCs w:val="1"/>
                <w:color w:val="auto"/>
              </w:rPr>
            </w:pPr>
          </w:p>
        </w:tc>
      </w:tr>
      <w:tr>
        <w:trPr>
          <w:trHeight w:val="117"/>
        </w:trPr>
        <w:tc>
          <w:tcPr>
            <w:tcW w:w="2980" w:type="dxa"/>
            <w:vAlign w:val="bottom"/>
            <w:tcBorders>
              <w:left w:val="single" w:sz="8" w:color="auto"/>
              <w:right w:val="single" w:sz="8" w:color="auto"/>
            </w:tcBorders>
            <w:vMerge w:val="continue"/>
          </w:tcPr>
          <w:p>
            <w:pPr>
              <w:spacing w:after="0"/>
              <w:rPr>
                <w:sz w:val="10"/>
                <w:szCs w:val="10"/>
                <w:color w:val="auto"/>
              </w:rPr>
            </w:pPr>
          </w:p>
        </w:tc>
        <w:tc>
          <w:tcPr>
            <w:tcW w:w="1840" w:type="dxa"/>
            <w:vAlign w:val="bottom"/>
            <w:tcBorders>
              <w:right w:val="single" w:sz="8" w:color="auto"/>
            </w:tcBorders>
            <w:vMerge w:val="continue"/>
          </w:tcPr>
          <w:p>
            <w:pPr>
              <w:spacing w:after="0"/>
              <w:rPr>
                <w:sz w:val="10"/>
                <w:szCs w:val="10"/>
                <w:color w:val="auto"/>
              </w:rPr>
            </w:pPr>
          </w:p>
        </w:tc>
        <w:tc>
          <w:tcPr>
            <w:tcW w:w="1740" w:type="dxa"/>
            <w:vAlign w:val="bottom"/>
            <w:tcBorders>
              <w:right w:val="single" w:sz="8" w:color="auto"/>
            </w:tcBorders>
            <w:vMerge w:val="continue"/>
          </w:tcPr>
          <w:p>
            <w:pPr>
              <w:spacing w:after="0"/>
              <w:rPr>
                <w:sz w:val="10"/>
                <w:szCs w:val="10"/>
                <w:color w:val="auto"/>
              </w:rPr>
            </w:pPr>
          </w:p>
        </w:tc>
        <w:tc>
          <w:tcPr>
            <w:tcW w:w="472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5"/>
                <w:szCs w:val="15"/>
                <w:color w:val="auto"/>
                <w:w w:val="95"/>
              </w:rPr>
              <w:t>For Performing the Methods</w:t>
            </w:r>
          </w:p>
        </w:tc>
        <w:tc>
          <w:tcPr>
            <w:tcW w:w="0" w:type="dxa"/>
            <w:vAlign w:val="bottom"/>
          </w:tcPr>
          <w:p>
            <w:pPr>
              <w:spacing w:after="0"/>
              <w:rPr>
                <w:sz w:val="1"/>
                <w:szCs w:val="1"/>
                <w:color w:val="auto"/>
              </w:rPr>
            </w:pPr>
          </w:p>
        </w:tc>
      </w:tr>
      <w:tr>
        <w:trPr>
          <w:trHeight w:val="75"/>
        </w:trPr>
        <w:tc>
          <w:tcPr>
            <w:tcW w:w="2980" w:type="dxa"/>
            <w:vAlign w:val="bottom"/>
            <w:tcBorders>
              <w:left w:val="single" w:sz="8" w:color="auto"/>
              <w:bottom w:val="single" w:sz="8" w:color="auto"/>
              <w:right w:val="single" w:sz="8" w:color="auto"/>
            </w:tcBorders>
          </w:tcPr>
          <w:p>
            <w:pPr>
              <w:spacing w:after="0"/>
              <w:rPr>
                <w:sz w:val="6"/>
                <w:szCs w:val="6"/>
                <w:color w:val="auto"/>
              </w:rPr>
            </w:pPr>
          </w:p>
        </w:tc>
        <w:tc>
          <w:tcPr>
            <w:tcW w:w="1840" w:type="dxa"/>
            <w:vAlign w:val="bottom"/>
            <w:tcBorders>
              <w:bottom w:val="single" w:sz="8" w:color="auto"/>
              <w:right w:val="single" w:sz="8" w:color="auto"/>
            </w:tcBorders>
          </w:tcPr>
          <w:p>
            <w:pPr>
              <w:spacing w:after="0"/>
              <w:rPr>
                <w:sz w:val="6"/>
                <w:szCs w:val="6"/>
                <w:color w:val="auto"/>
              </w:rPr>
            </w:pPr>
          </w:p>
        </w:tc>
        <w:tc>
          <w:tcPr>
            <w:tcW w:w="1740" w:type="dxa"/>
            <w:vAlign w:val="bottom"/>
            <w:tcBorders>
              <w:bottom w:val="single" w:sz="8" w:color="auto"/>
              <w:right w:val="single" w:sz="8" w:color="auto"/>
            </w:tcBorders>
          </w:tcPr>
          <w:p>
            <w:pPr>
              <w:spacing w:after="0"/>
              <w:rPr>
                <w:sz w:val="6"/>
                <w:szCs w:val="6"/>
                <w:color w:val="auto"/>
              </w:rPr>
            </w:pPr>
          </w:p>
        </w:tc>
        <w:tc>
          <w:tcPr>
            <w:tcW w:w="4720" w:type="dxa"/>
            <w:vAlign w:val="bottom"/>
            <w:tcBorders>
              <w:bottom w:val="single" w:sz="8" w:color="auto"/>
              <w:right w:val="single" w:sz="8" w:color="auto"/>
            </w:tcBorders>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39"/>
        </w:trPr>
        <w:tc>
          <w:tcPr>
            <w:tcW w:w="2980" w:type="dxa"/>
            <w:vAlign w:val="bottom"/>
            <w:tcBorders>
              <w:left w:val="single" w:sz="8" w:color="auto"/>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5"/>
                <w:szCs w:val="15"/>
                <w:color w:val="auto"/>
                <w:w w:val="96"/>
              </w:rPr>
              <w:t>10-2024-7032719</w:t>
            </w:r>
          </w:p>
        </w:tc>
        <w:tc>
          <w:tcPr>
            <w:tcW w:w="184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5"/>
                <w:szCs w:val="15"/>
                <w:color w:val="auto"/>
                <w:w w:val="92"/>
              </w:rPr>
              <w:t>Korea</w:t>
            </w:r>
          </w:p>
        </w:tc>
        <w:tc>
          <w:tcPr>
            <w:tcW w:w="174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5"/>
                <w:szCs w:val="15"/>
                <w:color w:val="auto"/>
                <w:w w:val="97"/>
              </w:rPr>
              <w:t>Pending</w:t>
            </w:r>
          </w:p>
        </w:tc>
        <w:tc>
          <w:tcPr>
            <w:tcW w:w="4720" w:type="dxa"/>
            <w:vAlign w:val="bottom"/>
            <w:tcBorders>
              <w:right w:val="single" w:sz="8" w:color="auto"/>
            </w:tcBorders>
          </w:tcPr>
          <w:p>
            <w:pPr>
              <w:jc w:val="center"/>
              <w:spacing w:after="0" w:line="139" w:lineRule="exact"/>
              <w:rPr>
                <w:sz w:val="20"/>
                <w:szCs w:val="20"/>
                <w:color w:val="auto"/>
              </w:rPr>
            </w:pPr>
            <w:r>
              <w:rPr>
                <w:rFonts w:ascii="Times New Roman" w:cs="Times New Roman" w:eastAsia="Times New Roman" w:hAnsi="Times New Roman"/>
                <w:sz w:val="15"/>
                <w:szCs w:val="15"/>
                <w:color w:val="auto"/>
                <w:w w:val="96"/>
              </w:rPr>
              <w:t>Methods For Delivery of Psychedelic Medications By Inhalation and Systems</w:t>
            </w:r>
          </w:p>
        </w:tc>
        <w:tc>
          <w:tcPr>
            <w:tcW w:w="0" w:type="dxa"/>
            <w:vAlign w:val="bottom"/>
          </w:tcPr>
          <w:p>
            <w:pPr>
              <w:spacing w:after="0"/>
              <w:rPr>
                <w:sz w:val="1"/>
                <w:szCs w:val="1"/>
                <w:color w:val="auto"/>
              </w:rPr>
            </w:pPr>
          </w:p>
        </w:tc>
      </w:tr>
      <w:tr>
        <w:trPr>
          <w:trHeight w:val="117"/>
        </w:trPr>
        <w:tc>
          <w:tcPr>
            <w:tcW w:w="2980" w:type="dxa"/>
            <w:vAlign w:val="bottom"/>
            <w:tcBorders>
              <w:left w:val="single" w:sz="8" w:color="auto"/>
              <w:right w:val="single" w:sz="8" w:color="auto"/>
            </w:tcBorders>
            <w:vMerge w:val="continue"/>
          </w:tcPr>
          <w:p>
            <w:pPr>
              <w:spacing w:after="0"/>
              <w:rPr>
                <w:sz w:val="10"/>
                <w:szCs w:val="10"/>
                <w:color w:val="auto"/>
              </w:rPr>
            </w:pPr>
          </w:p>
        </w:tc>
        <w:tc>
          <w:tcPr>
            <w:tcW w:w="1840" w:type="dxa"/>
            <w:vAlign w:val="bottom"/>
            <w:tcBorders>
              <w:right w:val="single" w:sz="8" w:color="auto"/>
            </w:tcBorders>
            <w:vMerge w:val="continue"/>
          </w:tcPr>
          <w:p>
            <w:pPr>
              <w:spacing w:after="0"/>
              <w:rPr>
                <w:sz w:val="10"/>
                <w:szCs w:val="10"/>
                <w:color w:val="auto"/>
              </w:rPr>
            </w:pPr>
          </w:p>
        </w:tc>
        <w:tc>
          <w:tcPr>
            <w:tcW w:w="1740" w:type="dxa"/>
            <w:vAlign w:val="bottom"/>
            <w:tcBorders>
              <w:right w:val="single" w:sz="8" w:color="auto"/>
            </w:tcBorders>
            <w:vMerge w:val="continue"/>
          </w:tcPr>
          <w:p>
            <w:pPr>
              <w:spacing w:after="0"/>
              <w:rPr>
                <w:sz w:val="10"/>
                <w:szCs w:val="10"/>
                <w:color w:val="auto"/>
              </w:rPr>
            </w:pPr>
          </w:p>
        </w:tc>
        <w:tc>
          <w:tcPr>
            <w:tcW w:w="472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5"/>
                <w:szCs w:val="15"/>
                <w:color w:val="auto"/>
                <w:w w:val="95"/>
              </w:rPr>
              <w:t>For Performing the Methods</w:t>
            </w:r>
          </w:p>
        </w:tc>
        <w:tc>
          <w:tcPr>
            <w:tcW w:w="0" w:type="dxa"/>
            <w:vAlign w:val="bottom"/>
          </w:tcPr>
          <w:p>
            <w:pPr>
              <w:spacing w:after="0"/>
              <w:rPr>
                <w:sz w:val="1"/>
                <w:szCs w:val="1"/>
                <w:color w:val="auto"/>
              </w:rPr>
            </w:pPr>
          </w:p>
        </w:tc>
      </w:tr>
      <w:tr>
        <w:trPr>
          <w:trHeight w:val="75"/>
        </w:trPr>
        <w:tc>
          <w:tcPr>
            <w:tcW w:w="2980" w:type="dxa"/>
            <w:vAlign w:val="bottom"/>
            <w:tcBorders>
              <w:left w:val="single" w:sz="8" w:color="auto"/>
              <w:bottom w:val="single" w:sz="8" w:color="auto"/>
              <w:right w:val="single" w:sz="8" w:color="auto"/>
            </w:tcBorders>
          </w:tcPr>
          <w:p>
            <w:pPr>
              <w:spacing w:after="0"/>
              <w:rPr>
                <w:sz w:val="6"/>
                <w:szCs w:val="6"/>
                <w:color w:val="auto"/>
              </w:rPr>
            </w:pPr>
          </w:p>
        </w:tc>
        <w:tc>
          <w:tcPr>
            <w:tcW w:w="1840" w:type="dxa"/>
            <w:vAlign w:val="bottom"/>
            <w:tcBorders>
              <w:bottom w:val="single" w:sz="8" w:color="auto"/>
              <w:right w:val="single" w:sz="8" w:color="auto"/>
            </w:tcBorders>
          </w:tcPr>
          <w:p>
            <w:pPr>
              <w:spacing w:after="0"/>
              <w:rPr>
                <w:sz w:val="6"/>
                <w:szCs w:val="6"/>
                <w:color w:val="auto"/>
              </w:rPr>
            </w:pPr>
          </w:p>
        </w:tc>
        <w:tc>
          <w:tcPr>
            <w:tcW w:w="1740" w:type="dxa"/>
            <w:vAlign w:val="bottom"/>
            <w:tcBorders>
              <w:bottom w:val="single" w:sz="8" w:color="auto"/>
              <w:right w:val="single" w:sz="8" w:color="auto"/>
            </w:tcBorders>
          </w:tcPr>
          <w:p>
            <w:pPr>
              <w:spacing w:after="0"/>
              <w:rPr>
                <w:sz w:val="6"/>
                <w:szCs w:val="6"/>
                <w:color w:val="auto"/>
              </w:rPr>
            </w:pPr>
          </w:p>
        </w:tc>
        <w:tc>
          <w:tcPr>
            <w:tcW w:w="4720" w:type="dxa"/>
            <w:vAlign w:val="bottom"/>
            <w:tcBorders>
              <w:bottom w:val="single" w:sz="8" w:color="auto"/>
              <w:right w:val="single" w:sz="8" w:color="auto"/>
            </w:tcBorders>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39"/>
        </w:trPr>
        <w:tc>
          <w:tcPr>
            <w:tcW w:w="2980" w:type="dxa"/>
            <w:vAlign w:val="bottom"/>
            <w:tcBorders>
              <w:left w:val="single" w:sz="8" w:color="auto"/>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5"/>
                <w:szCs w:val="15"/>
                <w:color w:val="auto"/>
                <w:w w:val="97"/>
              </w:rPr>
              <w:t>815769</w:t>
            </w:r>
          </w:p>
        </w:tc>
        <w:tc>
          <w:tcPr>
            <w:tcW w:w="184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5"/>
                <w:szCs w:val="15"/>
                <w:color w:val="auto"/>
                <w:w w:val="96"/>
              </w:rPr>
              <w:t>New Zealand</w:t>
            </w:r>
          </w:p>
        </w:tc>
        <w:tc>
          <w:tcPr>
            <w:tcW w:w="174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5"/>
                <w:szCs w:val="15"/>
                <w:color w:val="auto"/>
                <w:w w:val="97"/>
              </w:rPr>
              <w:t>Pending</w:t>
            </w:r>
          </w:p>
        </w:tc>
        <w:tc>
          <w:tcPr>
            <w:tcW w:w="4720" w:type="dxa"/>
            <w:vAlign w:val="bottom"/>
            <w:tcBorders>
              <w:right w:val="single" w:sz="8" w:color="auto"/>
            </w:tcBorders>
          </w:tcPr>
          <w:p>
            <w:pPr>
              <w:jc w:val="center"/>
              <w:spacing w:after="0" w:line="139" w:lineRule="exact"/>
              <w:rPr>
                <w:sz w:val="20"/>
                <w:szCs w:val="20"/>
                <w:color w:val="auto"/>
              </w:rPr>
            </w:pPr>
            <w:r>
              <w:rPr>
                <w:rFonts w:ascii="Times New Roman" w:cs="Times New Roman" w:eastAsia="Times New Roman" w:hAnsi="Times New Roman"/>
                <w:sz w:val="15"/>
                <w:szCs w:val="15"/>
                <w:color w:val="auto"/>
                <w:w w:val="96"/>
              </w:rPr>
              <w:t>Methods For Delivery of Psychedelic Medications By Inhalation and Systems</w:t>
            </w:r>
          </w:p>
        </w:tc>
        <w:tc>
          <w:tcPr>
            <w:tcW w:w="0" w:type="dxa"/>
            <w:vAlign w:val="bottom"/>
          </w:tcPr>
          <w:p>
            <w:pPr>
              <w:spacing w:after="0"/>
              <w:rPr>
                <w:sz w:val="1"/>
                <w:szCs w:val="1"/>
                <w:color w:val="auto"/>
              </w:rPr>
            </w:pPr>
          </w:p>
        </w:tc>
      </w:tr>
      <w:tr>
        <w:trPr>
          <w:trHeight w:val="117"/>
        </w:trPr>
        <w:tc>
          <w:tcPr>
            <w:tcW w:w="2980" w:type="dxa"/>
            <w:vAlign w:val="bottom"/>
            <w:tcBorders>
              <w:left w:val="single" w:sz="8" w:color="auto"/>
              <w:right w:val="single" w:sz="8" w:color="auto"/>
            </w:tcBorders>
            <w:vMerge w:val="continue"/>
          </w:tcPr>
          <w:p>
            <w:pPr>
              <w:spacing w:after="0"/>
              <w:rPr>
                <w:sz w:val="10"/>
                <w:szCs w:val="10"/>
                <w:color w:val="auto"/>
              </w:rPr>
            </w:pPr>
          </w:p>
        </w:tc>
        <w:tc>
          <w:tcPr>
            <w:tcW w:w="1840" w:type="dxa"/>
            <w:vAlign w:val="bottom"/>
            <w:tcBorders>
              <w:right w:val="single" w:sz="8" w:color="auto"/>
            </w:tcBorders>
            <w:vMerge w:val="continue"/>
          </w:tcPr>
          <w:p>
            <w:pPr>
              <w:spacing w:after="0"/>
              <w:rPr>
                <w:sz w:val="10"/>
                <w:szCs w:val="10"/>
                <w:color w:val="auto"/>
              </w:rPr>
            </w:pPr>
          </w:p>
        </w:tc>
        <w:tc>
          <w:tcPr>
            <w:tcW w:w="1740" w:type="dxa"/>
            <w:vAlign w:val="bottom"/>
            <w:tcBorders>
              <w:right w:val="single" w:sz="8" w:color="auto"/>
            </w:tcBorders>
            <w:vMerge w:val="continue"/>
          </w:tcPr>
          <w:p>
            <w:pPr>
              <w:spacing w:after="0"/>
              <w:rPr>
                <w:sz w:val="10"/>
                <w:szCs w:val="10"/>
                <w:color w:val="auto"/>
              </w:rPr>
            </w:pPr>
          </w:p>
        </w:tc>
        <w:tc>
          <w:tcPr>
            <w:tcW w:w="472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5"/>
                <w:szCs w:val="15"/>
                <w:color w:val="auto"/>
                <w:w w:val="95"/>
              </w:rPr>
              <w:t>For Performing the Methods</w:t>
            </w:r>
          </w:p>
        </w:tc>
        <w:tc>
          <w:tcPr>
            <w:tcW w:w="0" w:type="dxa"/>
            <w:vAlign w:val="bottom"/>
          </w:tcPr>
          <w:p>
            <w:pPr>
              <w:spacing w:after="0"/>
              <w:rPr>
                <w:sz w:val="1"/>
                <w:szCs w:val="1"/>
                <w:color w:val="auto"/>
              </w:rPr>
            </w:pPr>
          </w:p>
        </w:tc>
      </w:tr>
      <w:tr>
        <w:trPr>
          <w:trHeight w:val="75"/>
        </w:trPr>
        <w:tc>
          <w:tcPr>
            <w:tcW w:w="2980" w:type="dxa"/>
            <w:vAlign w:val="bottom"/>
            <w:tcBorders>
              <w:left w:val="single" w:sz="8" w:color="auto"/>
              <w:bottom w:val="single" w:sz="8" w:color="auto"/>
              <w:right w:val="single" w:sz="8" w:color="auto"/>
            </w:tcBorders>
          </w:tcPr>
          <w:p>
            <w:pPr>
              <w:spacing w:after="0"/>
              <w:rPr>
                <w:sz w:val="6"/>
                <w:szCs w:val="6"/>
                <w:color w:val="auto"/>
              </w:rPr>
            </w:pPr>
          </w:p>
        </w:tc>
        <w:tc>
          <w:tcPr>
            <w:tcW w:w="1840" w:type="dxa"/>
            <w:vAlign w:val="bottom"/>
            <w:tcBorders>
              <w:bottom w:val="single" w:sz="8" w:color="auto"/>
              <w:right w:val="single" w:sz="8" w:color="auto"/>
            </w:tcBorders>
          </w:tcPr>
          <w:p>
            <w:pPr>
              <w:spacing w:after="0"/>
              <w:rPr>
                <w:sz w:val="6"/>
                <w:szCs w:val="6"/>
                <w:color w:val="auto"/>
              </w:rPr>
            </w:pPr>
          </w:p>
        </w:tc>
        <w:tc>
          <w:tcPr>
            <w:tcW w:w="1740" w:type="dxa"/>
            <w:vAlign w:val="bottom"/>
            <w:tcBorders>
              <w:bottom w:val="single" w:sz="8" w:color="auto"/>
              <w:right w:val="single" w:sz="8" w:color="auto"/>
            </w:tcBorders>
          </w:tcPr>
          <w:p>
            <w:pPr>
              <w:spacing w:after="0"/>
              <w:rPr>
                <w:sz w:val="6"/>
                <w:szCs w:val="6"/>
                <w:color w:val="auto"/>
              </w:rPr>
            </w:pPr>
          </w:p>
        </w:tc>
        <w:tc>
          <w:tcPr>
            <w:tcW w:w="4720" w:type="dxa"/>
            <w:vAlign w:val="bottom"/>
            <w:tcBorders>
              <w:bottom w:val="single" w:sz="8" w:color="auto"/>
              <w:right w:val="single" w:sz="8" w:color="auto"/>
            </w:tcBorders>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6"/>
        </w:trPr>
        <w:tc>
          <w:tcPr>
            <w:tcW w:w="298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w w:val="95"/>
              </w:rPr>
              <w:t>2023242469</w:t>
            </w:r>
          </w:p>
        </w:tc>
        <w:tc>
          <w:tcPr>
            <w:tcW w:w="18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w w:val="98"/>
              </w:rPr>
              <w:t>Australia</w:t>
            </w:r>
          </w:p>
        </w:tc>
        <w:tc>
          <w:tcPr>
            <w:tcW w:w="17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w w:val="97"/>
              </w:rPr>
              <w:t>Pending</w:t>
            </w:r>
          </w:p>
        </w:tc>
        <w:tc>
          <w:tcPr>
            <w:tcW w:w="47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w w:val="97"/>
              </w:rPr>
              <w:t>Combination of Nitrous Oxide and 5-HT2A Receptor Agonists</w:t>
            </w:r>
          </w:p>
        </w:tc>
        <w:tc>
          <w:tcPr>
            <w:tcW w:w="0" w:type="dxa"/>
            <w:vAlign w:val="bottom"/>
          </w:tcPr>
          <w:p>
            <w:pPr>
              <w:spacing w:after="0"/>
              <w:rPr>
                <w:sz w:val="1"/>
                <w:szCs w:val="1"/>
                <w:color w:val="auto"/>
              </w:rPr>
            </w:pPr>
          </w:p>
        </w:tc>
      </w:tr>
      <w:tr>
        <w:trPr>
          <w:trHeight w:val="186"/>
        </w:trPr>
        <w:tc>
          <w:tcPr>
            <w:tcW w:w="298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w w:val="98"/>
              </w:rPr>
              <w:t>3247035</w:t>
            </w:r>
          </w:p>
        </w:tc>
        <w:tc>
          <w:tcPr>
            <w:tcW w:w="18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w w:val="93"/>
              </w:rPr>
              <w:t>Canada</w:t>
            </w:r>
          </w:p>
        </w:tc>
        <w:tc>
          <w:tcPr>
            <w:tcW w:w="17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w w:val="97"/>
              </w:rPr>
              <w:t>Pending</w:t>
            </w:r>
          </w:p>
        </w:tc>
        <w:tc>
          <w:tcPr>
            <w:tcW w:w="47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w w:val="97"/>
              </w:rPr>
              <w:t>Combination of Nitrous Oxide and 5-HT2A Receptor Agonists</w:t>
            </w:r>
          </w:p>
        </w:tc>
        <w:tc>
          <w:tcPr>
            <w:tcW w:w="0" w:type="dxa"/>
            <w:vAlign w:val="bottom"/>
          </w:tcPr>
          <w:p>
            <w:pPr>
              <w:spacing w:after="0"/>
              <w:rPr>
                <w:sz w:val="1"/>
                <w:szCs w:val="1"/>
                <w:color w:val="auto"/>
              </w:rPr>
            </w:pPr>
          </w:p>
        </w:tc>
      </w:tr>
      <w:tr>
        <w:trPr>
          <w:trHeight w:val="186"/>
        </w:trPr>
        <w:tc>
          <w:tcPr>
            <w:tcW w:w="298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w w:val="95"/>
              </w:rPr>
              <w:t>23717049.3</w:t>
            </w:r>
          </w:p>
        </w:tc>
        <w:tc>
          <w:tcPr>
            <w:tcW w:w="18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w w:val="96"/>
              </w:rPr>
              <w:t>European Patent Office</w:t>
            </w:r>
          </w:p>
        </w:tc>
        <w:tc>
          <w:tcPr>
            <w:tcW w:w="17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w w:val="97"/>
              </w:rPr>
              <w:t>Pending</w:t>
            </w:r>
          </w:p>
        </w:tc>
        <w:tc>
          <w:tcPr>
            <w:tcW w:w="47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w w:val="97"/>
              </w:rPr>
              <w:t>Combination of Nitrous Oxide and 5-HT2A Receptor Agonists</w:t>
            </w:r>
          </w:p>
        </w:tc>
        <w:tc>
          <w:tcPr>
            <w:tcW w:w="0" w:type="dxa"/>
            <w:vAlign w:val="bottom"/>
          </w:tcPr>
          <w:p>
            <w:pPr>
              <w:spacing w:after="0"/>
              <w:rPr>
                <w:sz w:val="1"/>
                <w:szCs w:val="1"/>
                <w:color w:val="auto"/>
              </w:rPr>
            </w:pPr>
          </w:p>
        </w:tc>
      </w:tr>
      <w:tr>
        <w:trPr>
          <w:trHeight w:val="186"/>
        </w:trPr>
        <w:tc>
          <w:tcPr>
            <w:tcW w:w="298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w w:val="97"/>
              </w:rPr>
              <w:t>2024-557455</w:t>
            </w:r>
          </w:p>
        </w:tc>
        <w:tc>
          <w:tcPr>
            <w:tcW w:w="18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w w:val="99"/>
              </w:rPr>
              <w:t>Japan</w:t>
            </w:r>
          </w:p>
        </w:tc>
        <w:tc>
          <w:tcPr>
            <w:tcW w:w="17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w w:val="97"/>
              </w:rPr>
              <w:t>Pending</w:t>
            </w:r>
          </w:p>
        </w:tc>
        <w:tc>
          <w:tcPr>
            <w:tcW w:w="47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w w:val="97"/>
              </w:rPr>
              <w:t>Combination of Nitrous Oxide and 5-HT2A Receptor Agonists</w:t>
            </w:r>
          </w:p>
        </w:tc>
        <w:tc>
          <w:tcPr>
            <w:tcW w:w="0" w:type="dxa"/>
            <w:vAlign w:val="bottom"/>
          </w:tcPr>
          <w:p>
            <w:pPr>
              <w:spacing w:after="0"/>
              <w:rPr>
                <w:sz w:val="1"/>
                <w:szCs w:val="1"/>
                <w:color w:val="auto"/>
              </w:rPr>
            </w:pPr>
          </w:p>
        </w:tc>
      </w:tr>
      <w:tr>
        <w:trPr>
          <w:trHeight w:val="186"/>
        </w:trPr>
        <w:tc>
          <w:tcPr>
            <w:tcW w:w="298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w w:val="97"/>
              </w:rPr>
              <w:t>813800</w:t>
            </w:r>
          </w:p>
        </w:tc>
        <w:tc>
          <w:tcPr>
            <w:tcW w:w="18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w w:val="96"/>
              </w:rPr>
              <w:t>New Zealand</w:t>
            </w:r>
          </w:p>
        </w:tc>
        <w:tc>
          <w:tcPr>
            <w:tcW w:w="17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w w:val="97"/>
              </w:rPr>
              <w:t>Pending</w:t>
            </w:r>
          </w:p>
        </w:tc>
        <w:tc>
          <w:tcPr>
            <w:tcW w:w="47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w w:val="97"/>
              </w:rPr>
              <w:t>Combination of Nitrous Oxide and 5-HT2A Receptor Agonists</w:t>
            </w:r>
          </w:p>
        </w:tc>
        <w:tc>
          <w:tcPr>
            <w:tcW w:w="0" w:type="dxa"/>
            <w:vAlign w:val="bottom"/>
          </w:tcPr>
          <w:p>
            <w:pPr>
              <w:spacing w:after="0"/>
              <w:rPr>
                <w:sz w:val="1"/>
                <w:szCs w:val="1"/>
                <w:color w:val="auto"/>
              </w:rPr>
            </w:pPr>
          </w:p>
        </w:tc>
      </w:tr>
      <w:tr>
        <w:trPr>
          <w:trHeight w:val="186"/>
        </w:trPr>
        <w:tc>
          <w:tcPr>
            <w:tcW w:w="298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w w:val="96"/>
              </w:rPr>
              <w:t>1120220089198</w:t>
            </w:r>
          </w:p>
        </w:tc>
        <w:tc>
          <w:tcPr>
            <w:tcW w:w="18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w w:val="92"/>
              </w:rPr>
              <w:t>Brazil</w:t>
            </w:r>
          </w:p>
        </w:tc>
        <w:tc>
          <w:tcPr>
            <w:tcW w:w="17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w w:val="97"/>
              </w:rPr>
              <w:t>Pending</w:t>
            </w:r>
          </w:p>
        </w:tc>
        <w:tc>
          <w:tcPr>
            <w:tcW w:w="47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w w:val="99"/>
              </w:rPr>
              <w:t>Compounds</w:t>
            </w:r>
          </w:p>
        </w:tc>
        <w:tc>
          <w:tcPr>
            <w:tcW w:w="0" w:type="dxa"/>
            <w:vAlign w:val="bottom"/>
          </w:tcPr>
          <w:p>
            <w:pPr>
              <w:spacing w:after="0"/>
              <w:rPr>
                <w:sz w:val="1"/>
                <w:szCs w:val="1"/>
                <w:color w:val="auto"/>
              </w:rPr>
            </w:pPr>
          </w:p>
        </w:tc>
      </w:tr>
      <w:tr>
        <w:trPr>
          <w:trHeight w:val="186"/>
        </w:trPr>
        <w:tc>
          <w:tcPr>
            <w:tcW w:w="298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w w:val="97"/>
              </w:rPr>
              <w:t>202291378</w:t>
            </w:r>
          </w:p>
        </w:tc>
        <w:tc>
          <w:tcPr>
            <w:tcW w:w="18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w w:val="96"/>
              </w:rPr>
              <w:t>Eurasian Patent Organization</w:t>
            </w:r>
          </w:p>
        </w:tc>
        <w:tc>
          <w:tcPr>
            <w:tcW w:w="17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w w:val="97"/>
              </w:rPr>
              <w:t>Pending</w:t>
            </w:r>
          </w:p>
        </w:tc>
        <w:tc>
          <w:tcPr>
            <w:tcW w:w="47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w w:val="99"/>
              </w:rPr>
              <w:t>Compounds</w:t>
            </w:r>
          </w:p>
        </w:tc>
        <w:tc>
          <w:tcPr>
            <w:tcW w:w="0" w:type="dxa"/>
            <w:vAlign w:val="bottom"/>
          </w:tcPr>
          <w:p>
            <w:pPr>
              <w:spacing w:after="0"/>
              <w:rPr>
                <w:sz w:val="1"/>
                <w:szCs w:val="1"/>
                <w:color w:val="auto"/>
              </w:rPr>
            </w:pPr>
          </w:p>
        </w:tc>
      </w:tr>
      <w:tr>
        <w:trPr>
          <w:trHeight w:val="139"/>
        </w:trPr>
        <w:tc>
          <w:tcPr>
            <w:tcW w:w="2980" w:type="dxa"/>
            <w:vAlign w:val="bottom"/>
            <w:tcBorders>
              <w:left w:val="single" w:sz="8" w:color="auto"/>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5"/>
                <w:szCs w:val="15"/>
                <w:color w:val="auto"/>
                <w:w w:val="97"/>
              </w:rPr>
              <w:t>202217028822</w:t>
            </w:r>
          </w:p>
        </w:tc>
        <w:tc>
          <w:tcPr>
            <w:tcW w:w="184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5"/>
                <w:szCs w:val="15"/>
                <w:color w:val="auto"/>
                <w:w w:val="97"/>
              </w:rPr>
              <w:t>India</w:t>
            </w:r>
          </w:p>
        </w:tc>
        <w:tc>
          <w:tcPr>
            <w:tcW w:w="174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5"/>
                <w:szCs w:val="15"/>
                <w:color w:val="auto"/>
                <w:w w:val="97"/>
              </w:rPr>
              <w:t>Pending</w:t>
            </w:r>
          </w:p>
        </w:tc>
        <w:tc>
          <w:tcPr>
            <w:tcW w:w="4720" w:type="dxa"/>
            <w:vAlign w:val="bottom"/>
            <w:tcBorders>
              <w:right w:val="single" w:sz="8" w:color="auto"/>
            </w:tcBorders>
          </w:tcPr>
          <w:p>
            <w:pPr>
              <w:jc w:val="center"/>
              <w:spacing w:after="0" w:line="139" w:lineRule="exact"/>
              <w:rPr>
                <w:sz w:val="20"/>
                <w:szCs w:val="20"/>
                <w:color w:val="auto"/>
              </w:rPr>
            </w:pPr>
            <w:r>
              <w:rPr>
                <w:rFonts w:ascii="Times New Roman" w:cs="Times New Roman" w:eastAsia="Times New Roman" w:hAnsi="Times New Roman"/>
                <w:sz w:val="15"/>
                <w:szCs w:val="15"/>
                <w:color w:val="auto"/>
                <w:w w:val="96"/>
              </w:rPr>
              <w:t>Compounds, Compositions Comprising Same, and Uses Thereof in the</w:t>
            </w:r>
          </w:p>
        </w:tc>
        <w:tc>
          <w:tcPr>
            <w:tcW w:w="0" w:type="dxa"/>
            <w:vAlign w:val="bottom"/>
          </w:tcPr>
          <w:p>
            <w:pPr>
              <w:spacing w:after="0"/>
              <w:rPr>
                <w:sz w:val="1"/>
                <w:szCs w:val="1"/>
                <w:color w:val="auto"/>
              </w:rPr>
            </w:pPr>
          </w:p>
        </w:tc>
      </w:tr>
      <w:tr>
        <w:trPr>
          <w:trHeight w:val="117"/>
        </w:trPr>
        <w:tc>
          <w:tcPr>
            <w:tcW w:w="2980" w:type="dxa"/>
            <w:vAlign w:val="bottom"/>
            <w:tcBorders>
              <w:left w:val="single" w:sz="8" w:color="auto"/>
              <w:right w:val="single" w:sz="8" w:color="auto"/>
            </w:tcBorders>
            <w:vMerge w:val="continue"/>
          </w:tcPr>
          <w:p>
            <w:pPr>
              <w:spacing w:after="0"/>
              <w:rPr>
                <w:sz w:val="10"/>
                <w:szCs w:val="10"/>
                <w:color w:val="auto"/>
              </w:rPr>
            </w:pPr>
          </w:p>
        </w:tc>
        <w:tc>
          <w:tcPr>
            <w:tcW w:w="1840" w:type="dxa"/>
            <w:vAlign w:val="bottom"/>
            <w:tcBorders>
              <w:right w:val="single" w:sz="8" w:color="auto"/>
            </w:tcBorders>
            <w:vMerge w:val="continue"/>
          </w:tcPr>
          <w:p>
            <w:pPr>
              <w:spacing w:after="0"/>
              <w:rPr>
                <w:sz w:val="10"/>
                <w:szCs w:val="10"/>
                <w:color w:val="auto"/>
              </w:rPr>
            </w:pPr>
          </w:p>
        </w:tc>
        <w:tc>
          <w:tcPr>
            <w:tcW w:w="1740" w:type="dxa"/>
            <w:vAlign w:val="bottom"/>
            <w:tcBorders>
              <w:right w:val="single" w:sz="8" w:color="auto"/>
            </w:tcBorders>
            <w:vMerge w:val="continue"/>
          </w:tcPr>
          <w:p>
            <w:pPr>
              <w:spacing w:after="0"/>
              <w:rPr>
                <w:sz w:val="10"/>
                <w:szCs w:val="10"/>
                <w:color w:val="auto"/>
              </w:rPr>
            </w:pPr>
          </w:p>
        </w:tc>
        <w:tc>
          <w:tcPr>
            <w:tcW w:w="472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5"/>
                <w:szCs w:val="15"/>
                <w:color w:val="auto"/>
                <w:w w:val="96"/>
              </w:rPr>
              <w:t>Treatment of Psychiatric or Neurological Disorders</w:t>
            </w:r>
          </w:p>
        </w:tc>
        <w:tc>
          <w:tcPr>
            <w:tcW w:w="0" w:type="dxa"/>
            <w:vAlign w:val="bottom"/>
          </w:tcPr>
          <w:p>
            <w:pPr>
              <w:spacing w:after="0"/>
              <w:rPr>
                <w:sz w:val="1"/>
                <w:szCs w:val="1"/>
                <w:color w:val="auto"/>
              </w:rPr>
            </w:pPr>
          </w:p>
        </w:tc>
      </w:tr>
      <w:tr>
        <w:trPr>
          <w:trHeight w:val="75"/>
        </w:trPr>
        <w:tc>
          <w:tcPr>
            <w:tcW w:w="2980" w:type="dxa"/>
            <w:vAlign w:val="bottom"/>
            <w:tcBorders>
              <w:left w:val="single" w:sz="8" w:color="auto"/>
              <w:bottom w:val="single" w:sz="8" w:color="auto"/>
              <w:right w:val="single" w:sz="8" w:color="auto"/>
            </w:tcBorders>
          </w:tcPr>
          <w:p>
            <w:pPr>
              <w:spacing w:after="0"/>
              <w:rPr>
                <w:sz w:val="6"/>
                <w:szCs w:val="6"/>
                <w:color w:val="auto"/>
              </w:rPr>
            </w:pPr>
          </w:p>
        </w:tc>
        <w:tc>
          <w:tcPr>
            <w:tcW w:w="1840" w:type="dxa"/>
            <w:vAlign w:val="bottom"/>
            <w:tcBorders>
              <w:bottom w:val="single" w:sz="8" w:color="auto"/>
              <w:right w:val="single" w:sz="8" w:color="auto"/>
            </w:tcBorders>
          </w:tcPr>
          <w:p>
            <w:pPr>
              <w:spacing w:after="0"/>
              <w:rPr>
                <w:sz w:val="6"/>
                <w:szCs w:val="6"/>
                <w:color w:val="auto"/>
              </w:rPr>
            </w:pPr>
          </w:p>
        </w:tc>
        <w:tc>
          <w:tcPr>
            <w:tcW w:w="1740" w:type="dxa"/>
            <w:vAlign w:val="bottom"/>
            <w:tcBorders>
              <w:bottom w:val="single" w:sz="8" w:color="auto"/>
              <w:right w:val="single" w:sz="8" w:color="auto"/>
            </w:tcBorders>
          </w:tcPr>
          <w:p>
            <w:pPr>
              <w:spacing w:after="0"/>
              <w:rPr>
                <w:sz w:val="6"/>
                <w:szCs w:val="6"/>
                <w:color w:val="auto"/>
              </w:rPr>
            </w:pPr>
          </w:p>
        </w:tc>
        <w:tc>
          <w:tcPr>
            <w:tcW w:w="4720" w:type="dxa"/>
            <w:vAlign w:val="bottom"/>
            <w:tcBorders>
              <w:bottom w:val="single" w:sz="8" w:color="auto"/>
              <w:right w:val="single" w:sz="8" w:color="auto"/>
            </w:tcBorders>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6"/>
        </w:trPr>
        <w:tc>
          <w:tcPr>
            <w:tcW w:w="298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w w:val="97"/>
              </w:rPr>
              <w:t>2023-202672</w:t>
            </w:r>
          </w:p>
        </w:tc>
        <w:tc>
          <w:tcPr>
            <w:tcW w:w="18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w w:val="99"/>
              </w:rPr>
              <w:t>Japan</w:t>
            </w:r>
          </w:p>
        </w:tc>
        <w:tc>
          <w:tcPr>
            <w:tcW w:w="17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w w:val="97"/>
              </w:rPr>
              <w:t>Pending</w:t>
            </w:r>
          </w:p>
        </w:tc>
        <w:tc>
          <w:tcPr>
            <w:tcW w:w="47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w w:val="99"/>
              </w:rPr>
              <w:t>Compounds</w:t>
            </w:r>
          </w:p>
        </w:tc>
        <w:tc>
          <w:tcPr>
            <w:tcW w:w="0" w:type="dxa"/>
            <w:vAlign w:val="bottom"/>
          </w:tcPr>
          <w:p>
            <w:pPr>
              <w:spacing w:after="0"/>
              <w:rPr>
                <w:sz w:val="1"/>
                <w:szCs w:val="1"/>
                <w:color w:val="auto"/>
              </w:rPr>
            </w:pPr>
          </w:p>
        </w:tc>
      </w:tr>
      <w:tr>
        <w:trPr>
          <w:trHeight w:val="186"/>
        </w:trPr>
        <w:tc>
          <w:tcPr>
            <w:tcW w:w="298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w w:val="96"/>
              </w:rPr>
              <w:t>10-2023-7033500</w:t>
            </w:r>
          </w:p>
        </w:tc>
        <w:tc>
          <w:tcPr>
            <w:tcW w:w="18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w w:val="95"/>
              </w:rPr>
              <w:t>Republic of Korea</w:t>
            </w:r>
          </w:p>
        </w:tc>
        <w:tc>
          <w:tcPr>
            <w:tcW w:w="17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w w:val="97"/>
              </w:rPr>
              <w:t>Pending</w:t>
            </w:r>
          </w:p>
        </w:tc>
        <w:tc>
          <w:tcPr>
            <w:tcW w:w="47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w w:val="99"/>
              </w:rPr>
              <w:t>Compounds</w:t>
            </w:r>
          </w:p>
        </w:tc>
        <w:tc>
          <w:tcPr>
            <w:tcW w:w="0" w:type="dxa"/>
            <w:vAlign w:val="bottom"/>
          </w:tcPr>
          <w:p>
            <w:pPr>
              <w:spacing w:after="0"/>
              <w:rPr>
                <w:sz w:val="1"/>
                <w:szCs w:val="1"/>
                <w:color w:val="auto"/>
              </w:rPr>
            </w:pPr>
          </w:p>
        </w:tc>
      </w:tr>
      <w:tr>
        <w:trPr>
          <w:trHeight w:val="186"/>
        </w:trPr>
        <w:tc>
          <w:tcPr>
            <w:tcW w:w="298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w w:val="97"/>
              </w:rPr>
              <w:t>18/152,465</w:t>
            </w:r>
          </w:p>
        </w:tc>
        <w:tc>
          <w:tcPr>
            <w:tcW w:w="18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w w:val="95"/>
              </w:rPr>
              <w:t>United States of America</w:t>
            </w:r>
          </w:p>
        </w:tc>
        <w:tc>
          <w:tcPr>
            <w:tcW w:w="17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w w:val="97"/>
              </w:rPr>
              <w:t>Pending</w:t>
            </w:r>
          </w:p>
        </w:tc>
        <w:tc>
          <w:tcPr>
            <w:tcW w:w="47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w w:val="99"/>
              </w:rPr>
              <w:t>Compounds</w:t>
            </w:r>
          </w:p>
        </w:tc>
        <w:tc>
          <w:tcPr>
            <w:tcW w:w="0" w:type="dxa"/>
            <w:vAlign w:val="bottom"/>
          </w:tcPr>
          <w:p>
            <w:pPr>
              <w:spacing w:after="0"/>
              <w:rPr>
                <w:sz w:val="1"/>
                <w:szCs w:val="1"/>
                <w:color w:val="auto"/>
              </w:rPr>
            </w:pPr>
          </w:p>
        </w:tc>
      </w:tr>
      <w:tr>
        <w:trPr>
          <w:trHeight w:val="186"/>
        </w:trPr>
        <w:tc>
          <w:tcPr>
            <w:tcW w:w="298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w w:val="97"/>
              </w:rPr>
              <w:t>18/921,515</w:t>
            </w:r>
          </w:p>
        </w:tc>
        <w:tc>
          <w:tcPr>
            <w:tcW w:w="18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w w:val="95"/>
              </w:rPr>
              <w:t>United States of America</w:t>
            </w:r>
          </w:p>
        </w:tc>
        <w:tc>
          <w:tcPr>
            <w:tcW w:w="17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w w:val="97"/>
              </w:rPr>
              <w:t>Pending</w:t>
            </w:r>
          </w:p>
        </w:tc>
        <w:tc>
          <w:tcPr>
            <w:tcW w:w="47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w w:val="99"/>
              </w:rPr>
              <w:t>Compounds</w:t>
            </w:r>
          </w:p>
        </w:tc>
        <w:tc>
          <w:tcPr>
            <w:tcW w:w="0" w:type="dxa"/>
            <w:vAlign w:val="bottom"/>
          </w:tcPr>
          <w:p>
            <w:pPr>
              <w:spacing w:after="0"/>
              <w:rPr>
                <w:sz w:val="1"/>
                <w:szCs w:val="1"/>
                <w:color w:val="auto"/>
              </w:rPr>
            </w:pPr>
          </w:p>
        </w:tc>
      </w:tr>
      <w:tr>
        <w:trPr>
          <w:trHeight w:val="186"/>
        </w:trPr>
        <w:tc>
          <w:tcPr>
            <w:tcW w:w="298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w w:val="94"/>
              </w:rPr>
              <w:t>110143066</w:t>
            </w:r>
          </w:p>
        </w:tc>
        <w:tc>
          <w:tcPr>
            <w:tcW w:w="18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w w:val="93"/>
              </w:rPr>
              <w:t>Taiwan</w:t>
            </w:r>
          </w:p>
        </w:tc>
        <w:tc>
          <w:tcPr>
            <w:tcW w:w="17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w w:val="97"/>
              </w:rPr>
              <w:t>Pending</w:t>
            </w:r>
          </w:p>
        </w:tc>
        <w:tc>
          <w:tcPr>
            <w:tcW w:w="47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w w:val="95"/>
              </w:rPr>
              <w:t>Deuterated Compounds</w:t>
            </w:r>
          </w:p>
        </w:tc>
        <w:tc>
          <w:tcPr>
            <w:tcW w:w="0" w:type="dxa"/>
            <w:vAlign w:val="bottom"/>
          </w:tcPr>
          <w:p>
            <w:pPr>
              <w:spacing w:after="0"/>
              <w:rPr>
                <w:sz w:val="1"/>
                <w:szCs w:val="1"/>
                <w:color w:val="auto"/>
              </w:rPr>
            </w:pPr>
          </w:p>
        </w:tc>
      </w:tr>
      <w:tr>
        <w:trPr>
          <w:trHeight w:val="186"/>
        </w:trPr>
        <w:tc>
          <w:tcPr>
            <w:tcW w:w="298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w w:val="95"/>
              </w:rPr>
              <w:t>2021391581</w:t>
            </w:r>
          </w:p>
        </w:tc>
        <w:tc>
          <w:tcPr>
            <w:tcW w:w="18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w w:val="98"/>
              </w:rPr>
              <w:t>Australia</w:t>
            </w:r>
          </w:p>
        </w:tc>
        <w:tc>
          <w:tcPr>
            <w:tcW w:w="17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w w:val="97"/>
              </w:rPr>
              <w:t>Pending</w:t>
            </w:r>
          </w:p>
        </w:tc>
        <w:tc>
          <w:tcPr>
            <w:tcW w:w="47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w w:val="96"/>
              </w:rPr>
              <w:t>Deuterated or Partially Deuterated N,N-Dimethyltryptamine Compounds</w:t>
            </w:r>
          </w:p>
        </w:tc>
        <w:tc>
          <w:tcPr>
            <w:tcW w:w="0" w:type="dxa"/>
            <w:vAlign w:val="bottom"/>
          </w:tcPr>
          <w:p>
            <w:pPr>
              <w:spacing w:after="0"/>
              <w:rPr>
                <w:sz w:val="1"/>
                <w:szCs w:val="1"/>
                <w:color w:val="auto"/>
              </w:rPr>
            </w:pPr>
          </w:p>
        </w:tc>
      </w:tr>
      <w:tr>
        <w:trPr>
          <w:trHeight w:val="186"/>
        </w:trPr>
        <w:tc>
          <w:tcPr>
            <w:tcW w:w="298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w w:val="98"/>
              </w:rPr>
              <w:t>3203020</w:t>
            </w:r>
          </w:p>
        </w:tc>
        <w:tc>
          <w:tcPr>
            <w:tcW w:w="18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w w:val="93"/>
              </w:rPr>
              <w:t>Canada</w:t>
            </w:r>
          </w:p>
        </w:tc>
        <w:tc>
          <w:tcPr>
            <w:tcW w:w="17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w w:val="97"/>
              </w:rPr>
              <w:t>Pending</w:t>
            </w:r>
          </w:p>
        </w:tc>
        <w:tc>
          <w:tcPr>
            <w:tcW w:w="47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w w:val="96"/>
              </w:rPr>
              <w:t>Deuterated or Partially Deuterated N,N-Dimethyltryptamine Compounds</w:t>
            </w:r>
          </w:p>
        </w:tc>
        <w:tc>
          <w:tcPr>
            <w:tcW w:w="0" w:type="dxa"/>
            <w:vAlign w:val="bottom"/>
          </w:tcPr>
          <w:p>
            <w:pPr>
              <w:spacing w:after="0"/>
              <w:rPr>
                <w:sz w:val="1"/>
                <w:szCs w:val="1"/>
                <w:color w:val="auto"/>
              </w:rPr>
            </w:pPr>
          </w:p>
        </w:tc>
      </w:tr>
      <w:tr>
        <w:trPr>
          <w:trHeight w:val="186"/>
        </w:trPr>
        <w:tc>
          <w:tcPr>
            <w:tcW w:w="298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w w:val="96"/>
              </w:rPr>
              <w:t>202180090269.1</w:t>
            </w:r>
          </w:p>
        </w:tc>
        <w:tc>
          <w:tcPr>
            <w:tcW w:w="18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w w:val="94"/>
              </w:rPr>
              <w:t>China</w:t>
            </w:r>
          </w:p>
        </w:tc>
        <w:tc>
          <w:tcPr>
            <w:tcW w:w="17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w w:val="97"/>
              </w:rPr>
              <w:t>Pending</w:t>
            </w:r>
          </w:p>
        </w:tc>
        <w:tc>
          <w:tcPr>
            <w:tcW w:w="47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w w:val="96"/>
              </w:rPr>
              <w:t>Deuterated or Partially Deuterated N,N-Dimethyltryptamine Compounds</w:t>
            </w:r>
          </w:p>
        </w:tc>
        <w:tc>
          <w:tcPr>
            <w:tcW w:w="0" w:type="dxa"/>
            <w:vAlign w:val="bottom"/>
          </w:tcPr>
          <w:p>
            <w:pPr>
              <w:spacing w:after="0"/>
              <w:rPr>
                <w:sz w:val="1"/>
                <w:szCs w:val="1"/>
                <w:color w:val="auto"/>
              </w:rPr>
            </w:pPr>
          </w:p>
        </w:tc>
      </w:tr>
      <w:tr>
        <w:trPr>
          <w:trHeight w:val="186"/>
        </w:trPr>
        <w:tc>
          <w:tcPr>
            <w:tcW w:w="298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w w:val="95"/>
              </w:rPr>
              <w:t>23198784.3</w:t>
            </w:r>
          </w:p>
        </w:tc>
        <w:tc>
          <w:tcPr>
            <w:tcW w:w="18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w w:val="96"/>
              </w:rPr>
              <w:t>European Patent Office</w:t>
            </w:r>
          </w:p>
        </w:tc>
        <w:tc>
          <w:tcPr>
            <w:tcW w:w="17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w w:val="97"/>
              </w:rPr>
              <w:t>Pending</w:t>
            </w:r>
          </w:p>
        </w:tc>
        <w:tc>
          <w:tcPr>
            <w:tcW w:w="47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w w:val="96"/>
              </w:rPr>
              <w:t>Deuterated or Partially Deuterated N,N-Dimethyltryptamine Compounds</w:t>
            </w:r>
          </w:p>
        </w:tc>
        <w:tc>
          <w:tcPr>
            <w:tcW w:w="0" w:type="dxa"/>
            <w:vAlign w:val="bottom"/>
          </w:tcPr>
          <w:p>
            <w:pPr>
              <w:spacing w:after="0"/>
              <w:rPr>
                <w:sz w:val="1"/>
                <w:szCs w:val="1"/>
                <w:color w:val="auto"/>
              </w:rPr>
            </w:pPr>
          </w:p>
        </w:tc>
      </w:tr>
      <w:tr>
        <w:trPr>
          <w:trHeight w:val="186"/>
        </w:trPr>
        <w:tc>
          <w:tcPr>
            <w:tcW w:w="298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w w:val="95"/>
              </w:rPr>
              <w:t>42024091001.8</w:t>
            </w:r>
          </w:p>
        </w:tc>
        <w:tc>
          <w:tcPr>
            <w:tcW w:w="18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w w:val="96"/>
              </w:rPr>
              <w:t>Hong Kong</w:t>
            </w:r>
          </w:p>
        </w:tc>
        <w:tc>
          <w:tcPr>
            <w:tcW w:w="17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w w:val="97"/>
              </w:rPr>
              <w:t>Pending</w:t>
            </w:r>
          </w:p>
        </w:tc>
        <w:tc>
          <w:tcPr>
            <w:tcW w:w="47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w w:val="96"/>
              </w:rPr>
              <w:t>Deuterated or Partially Deuterated N,N-Dimethyltryptamine Compounds</w:t>
            </w:r>
          </w:p>
        </w:tc>
        <w:tc>
          <w:tcPr>
            <w:tcW w:w="0" w:type="dxa"/>
            <w:vAlign w:val="bottom"/>
          </w:tcPr>
          <w:p>
            <w:pPr>
              <w:spacing w:after="0"/>
              <w:rPr>
                <w:sz w:val="1"/>
                <w:szCs w:val="1"/>
                <w:color w:val="auto"/>
              </w:rPr>
            </w:pPr>
          </w:p>
        </w:tc>
      </w:tr>
      <w:tr>
        <w:trPr>
          <w:trHeight w:val="186"/>
        </w:trPr>
        <w:tc>
          <w:tcPr>
            <w:tcW w:w="298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w w:val="97"/>
              </w:rPr>
              <w:t>202317043169</w:t>
            </w:r>
          </w:p>
        </w:tc>
        <w:tc>
          <w:tcPr>
            <w:tcW w:w="18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w w:val="97"/>
              </w:rPr>
              <w:t>India</w:t>
            </w:r>
          </w:p>
        </w:tc>
        <w:tc>
          <w:tcPr>
            <w:tcW w:w="17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w w:val="97"/>
              </w:rPr>
              <w:t>Pending</w:t>
            </w:r>
          </w:p>
        </w:tc>
        <w:tc>
          <w:tcPr>
            <w:tcW w:w="47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w w:val="96"/>
              </w:rPr>
              <w:t>Deuterated or Partially Deuterated N,N-Dimethyltryptamine Compounds</w:t>
            </w:r>
          </w:p>
        </w:tc>
        <w:tc>
          <w:tcPr>
            <w:tcW w:w="0" w:type="dxa"/>
            <w:vAlign w:val="bottom"/>
          </w:tcPr>
          <w:p>
            <w:pPr>
              <w:spacing w:after="0"/>
              <w:rPr>
                <w:sz w:val="1"/>
                <w:szCs w:val="1"/>
                <w:color w:val="auto"/>
              </w:rPr>
            </w:pPr>
          </w:p>
        </w:tc>
      </w:tr>
      <w:tr>
        <w:trPr>
          <w:trHeight w:val="186"/>
        </w:trPr>
        <w:tc>
          <w:tcPr>
            <w:tcW w:w="298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w w:val="97"/>
              </w:rPr>
              <w:t>303288</w:t>
            </w:r>
          </w:p>
        </w:tc>
        <w:tc>
          <w:tcPr>
            <w:tcW w:w="18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rPr>
              <w:t>Israel</w:t>
            </w:r>
          </w:p>
        </w:tc>
        <w:tc>
          <w:tcPr>
            <w:tcW w:w="17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w w:val="97"/>
              </w:rPr>
              <w:t>Pending</w:t>
            </w:r>
          </w:p>
        </w:tc>
        <w:tc>
          <w:tcPr>
            <w:tcW w:w="47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w w:val="96"/>
              </w:rPr>
              <w:t>Deuterated or Partially Deuterated N,N-Dimethyltryptamine Compounds</w:t>
            </w:r>
          </w:p>
        </w:tc>
        <w:tc>
          <w:tcPr>
            <w:tcW w:w="0" w:type="dxa"/>
            <w:vAlign w:val="bottom"/>
          </w:tcPr>
          <w:p>
            <w:pPr>
              <w:spacing w:after="0"/>
              <w:rPr>
                <w:sz w:val="1"/>
                <w:szCs w:val="1"/>
                <w:color w:val="auto"/>
              </w:rPr>
            </w:pPr>
          </w:p>
        </w:tc>
      </w:tr>
      <w:tr>
        <w:trPr>
          <w:trHeight w:val="186"/>
        </w:trPr>
        <w:tc>
          <w:tcPr>
            <w:tcW w:w="298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w w:val="97"/>
              </w:rPr>
              <w:t>2023-533243</w:t>
            </w:r>
          </w:p>
        </w:tc>
        <w:tc>
          <w:tcPr>
            <w:tcW w:w="18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w w:val="99"/>
              </w:rPr>
              <w:t>Japan</w:t>
            </w:r>
          </w:p>
        </w:tc>
        <w:tc>
          <w:tcPr>
            <w:tcW w:w="17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w w:val="97"/>
              </w:rPr>
              <w:t>Pending</w:t>
            </w:r>
          </w:p>
        </w:tc>
        <w:tc>
          <w:tcPr>
            <w:tcW w:w="47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w w:val="96"/>
              </w:rPr>
              <w:t>Deuterated or Partially Deuterated N,N-Dimethyltryptamine Compounds</w:t>
            </w:r>
          </w:p>
        </w:tc>
        <w:tc>
          <w:tcPr>
            <w:tcW w:w="0" w:type="dxa"/>
            <w:vAlign w:val="bottom"/>
          </w:tcPr>
          <w:p>
            <w:pPr>
              <w:spacing w:after="0"/>
              <w:rPr>
                <w:sz w:val="1"/>
                <w:szCs w:val="1"/>
                <w:color w:val="auto"/>
              </w:rPr>
            </w:pPr>
          </w:p>
        </w:tc>
      </w:tr>
      <w:tr>
        <w:trPr>
          <w:trHeight w:val="186"/>
        </w:trPr>
        <w:tc>
          <w:tcPr>
            <w:tcW w:w="298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w w:val="97"/>
              </w:rPr>
              <w:t>800961</w:t>
            </w:r>
          </w:p>
        </w:tc>
        <w:tc>
          <w:tcPr>
            <w:tcW w:w="18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w w:val="96"/>
              </w:rPr>
              <w:t>New Zealand</w:t>
            </w:r>
          </w:p>
        </w:tc>
        <w:tc>
          <w:tcPr>
            <w:tcW w:w="17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w w:val="97"/>
              </w:rPr>
              <w:t>Pending</w:t>
            </w:r>
          </w:p>
        </w:tc>
        <w:tc>
          <w:tcPr>
            <w:tcW w:w="47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w w:val="96"/>
              </w:rPr>
              <w:t>Deuterated or Partially Deuterated N,N-Dimethyltryptamine Compounds</w:t>
            </w:r>
          </w:p>
        </w:tc>
        <w:tc>
          <w:tcPr>
            <w:tcW w:w="0" w:type="dxa"/>
            <w:vAlign w:val="bottom"/>
          </w:tcPr>
          <w:p>
            <w:pPr>
              <w:spacing w:after="0"/>
              <w:rPr>
                <w:sz w:val="1"/>
                <w:szCs w:val="1"/>
                <w:color w:val="auto"/>
              </w:rPr>
            </w:pPr>
          </w:p>
        </w:tc>
      </w:tr>
      <w:tr>
        <w:trPr>
          <w:trHeight w:val="186"/>
        </w:trPr>
        <w:tc>
          <w:tcPr>
            <w:tcW w:w="298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w w:val="97"/>
              </w:rPr>
              <w:t>18/163,388</w:t>
            </w:r>
          </w:p>
        </w:tc>
        <w:tc>
          <w:tcPr>
            <w:tcW w:w="18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w w:val="95"/>
              </w:rPr>
              <w:t>United States of America</w:t>
            </w:r>
          </w:p>
        </w:tc>
        <w:tc>
          <w:tcPr>
            <w:tcW w:w="17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w w:val="97"/>
              </w:rPr>
              <w:t>Pending</w:t>
            </w:r>
          </w:p>
        </w:tc>
        <w:tc>
          <w:tcPr>
            <w:tcW w:w="47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w w:val="96"/>
              </w:rPr>
              <w:t>Deuterated or Partially Deuterated N,N-Dimethyltryptamine Compounds</w:t>
            </w:r>
          </w:p>
        </w:tc>
        <w:tc>
          <w:tcPr>
            <w:tcW w:w="0" w:type="dxa"/>
            <w:vAlign w:val="bottom"/>
          </w:tcPr>
          <w:p>
            <w:pPr>
              <w:spacing w:after="0"/>
              <w:rPr>
                <w:sz w:val="1"/>
                <w:szCs w:val="1"/>
                <w:color w:val="auto"/>
              </w:rPr>
            </w:pPr>
          </w:p>
        </w:tc>
      </w:tr>
      <w:tr>
        <w:trPr>
          <w:trHeight w:val="186"/>
        </w:trPr>
        <w:tc>
          <w:tcPr>
            <w:tcW w:w="298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w w:val="95"/>
              </w:rPr>
              <w:t>21 816489.5</w:t>
            </w:r>
          </w:p>
        </w:tc>
        <w:tc>
          <w:tcPr>
            <w:tcW w:w="18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w w:val="96"/>
              </w:rPr>
              <w:t>European Patent Office</w:t>
            </w:r>
          </w:p>
        </w:tc>
        <w:tc>
          <w:tcPr>
            <w:tcW w:w="17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w w:val="97"/>
              </w:rPr>
              <w:t>Pending</w:t>
            </w:r>
          </w:p>
        </w:tc>
        <w:tc>
          <w:tcPr>
            <w:tcW w:w="47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w w:val="97"/>
              </w:rPr>
              <w:t>Inhalable Formulations</w:t>
            </w:r>
          </w:p>
        </w:tc>
        <w:tc>
          <w:tcPr>
            <w:tcW w:w="0" w:type="dxa"/>
            <w:vAlign w:val="bottom"/>
          </w:tcPr>
          <w:p>
            <w:pPr>
              <w:spacing w:after="0"/>
              <w:rPr>
                <w:sz w:val="1"/>
                <w:szCs w:val="1"/>
                <w:color w:val="auto"/>
              </w:rPr>
            </w:pPr>
          </w:p>
        </w:tc>
      </w:tr>
      <w:tr>
        <w:trPr>
          <w:trHeight w:val="186"/>
        </w:trPr>
        <w:tc>
          <w:tcPr>
            <w:tcW w:w="298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w w:val="97"/>
              </w:rPr>
              <w:t>18/252,949</w:t>
            </w:r>
          </w:p>
        </w:tc>
        <w:tc>
          <w:tcPr>
            <w:tcW w:w="18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w w:val="95"/>
              </w:rPr>
              <w:t>United States of America</w:t>
            </w:r>
          </w:p>
        </w:tc>
        <w:tc>
          <w:tcPr>
            <w:tcW w:w="17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w w:val="97"/>
              </w:rPr>
              <w:t>Pending</w:t>
            </w:r>
          </w:p>
        </w:tc>
        <w:tc>
          <w:tcPr>
            <w:tcW w:w="47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w w:val="97"/>
              </w:rPr>
              <w:t>Inhalable Formulations</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33</w:t>
      </w:r>
    </w:p>
    <w:p>
      <w:pPr>
        <w:sectPr>
          <w:pgSz w:w="11900" w:h="16838" w:orient="portrait"/>
          <w:cols w:equalWidth="0" w:num="1">
            <w:col w:w="11260"/>
          </w:cols>
          <w:pgMar w:left="320" w:top="1304" w:right="319" w:bottom="1440" w:gutter="0" w:footer="0" w:header="0"/>
        </w:sectPr>
      </w:pPr>
    </w:p>
    <w:bookmarkStart w:id="59" w:name="page60"/>
    <w:bookmarkEnd w:id="59"/>
    <w:tbl>
      <w:tblPr>
        <w:tblLayout w:type="fixed"/>
        <w:tblInd w:w="10" w:type="dxa"/>
        <w:tblCellMar>
          <w:top w:w="0" w:type="dxa"/>
          <w:left w:w="0" w:type="dxa"/>
          <w:bottom w:w="0" w:type="dxa"/>
          <w:right w:w="0" w:type="dxa"/>
        </w:tblCellMar>
      </w:tblPr>
      <w:tr>
        <w:trPr>
          <w:trHeight w:val="206"/>
        </w:trPr>
        <w:tc>
          <w:tcPr>
            <w:tcW w:w="2980" w:type="dxa"/>
            <w:vAlign w:val="bottom"/>
            <w:tcBorders>
              <w:top w:val="single" w:sz="8" w:color="auto"/>
              <w:left w:val="single" w:sz="8" w:color="auto"/>
              <w:bottom w:val="single" w:sz="8" w:color="auto"/>
              <w:right w:val="single" w:sz="8" w:color="auto"/>
            </w:tcBorders>
            <w:shd w:val="clear" w:color="auto" w:fill="BFBFBF"/>
          </w:tcPr>
          <w:p>
            <w:pPr>
              <w:jc w:val="center"/>
              <w:spacing w:after="0"/>
              <w:rPr>
                <w:sz w:val="20"/>
                <w:szCs w:val="20"/>
                <w:color w:val="auto"/>
              </w:rPr>
            </w:pPr>
            <w:r>
              <w:rPr>
                <w:rFonts w:ascii="Times New Roman" w:cs="Times New Roman" w:eastAsia="Times New Roman" w:hAnsi="Times New Roman"/>
                <w:sz w:val="15"/>
                <w:szCs w:val="15"/>
                <w:b w:val="1"/>
                <w:bCs w:val="1"/>
                <w:color w:val="auto"/>
                <w:w w:val="96"/>
              </w:rPr>
              <w:t>Patent Application Number</w:t>
            </w:r>
          </w:p>
        </w:tc>
        <w:tc>
          <w:tcPr>
            <w:tcW w:w="1840" w:type="dxa"/>
            <w:vAlign w:val="bottom"/>
            <w:tcBorders>
              <w:top w:val="single" w:sz="8" w:color="auto"/>
              <w:bottom w:val="single" w:sz="8" w:color="auto"/>
              <w:right w:val="single" w:sz="8" w:color="auto"/>
            </w:tcBorders>
            <w:shd w:val="clear" w:color="auto" w:fill="BFBFBF"/>
          </w:tcPr>
          <w:p>
            <w:pPr>
              <w:jc w:val="center"/>
              <w:spacing w:after="0"/>
              <w:rPr>
                <w:sz w:val="20"/>
                <w:szCs w:val="20"/>
                <w:color w:val="auto"/>
              </w:rPr>
            </w:pPr>
            <w:r>
              <w:rPr>
                <w:rFonts w:ascii="Times New Roman" w:cs="Times New Roman" w:eastAsia="Times New Roman" w:hAnsi="Times New Roman"/>
                <w:sz w:val="15"/>
                <w:szCs w:val="15"/>
                <w:b w:val="1"/>
                <w:bCs w:val="1"/>
                <w:color w:val="auto"/>
                <w:w w:val="96"/>
              </w:rPr>
              <w:t>Jurisdiction of Filing</w:t>
            </w:r>
          </w:p>
        </w:tc>
        <w:tc>
          <w:tcPr>
            <w:tcW w:w="1740" w:type="dxa"/>
            <w:vAlign w:val="bottom"/>
            <w:tcBorders>
              <w:top w:val="single" w:sz="8" w:color="auto"/>
              <w:bottom w:val="single" w:sz="8" w:color="auto"/>
              <w:right w:val="single" w:sz="8" w:color="auto"/>
            </w:tcBorders>
            <w:shd w:val="clear" w:color="auto" w:fill="BFBFBF"/>
          </w:tcPr>
          <w:p>
            <w:pPr>
              <w:jc w:val="center"/>
              <w:spacing w:after="0"/>
              <w:rPr>
                <w:sz w:val="20"/>
                <w:szCs w:val="20"/>
                <w:color w:val="auto"/>
              </w:rPr>
            </w:pPr>
            <w:r>
              <w:rPr>
                <w:rFonts w:ascii="Times New Roman" w:cs="Times New Roman" w:eastAsia="Times New Roman" w:hAnsi="Times New Roman"/>
                <w:sz w:val="15"/>
                <w:szCs w:val="15"/>
                <w:b w:val="1"/>
                <w:bCs w:val="1"/>
                <w:color w:val="auto"/>
                <w:w w:val="99"/>
              </w:rPr>
              <w:t>Status</w:t>
            </w:r>
          </w:p>
        </w:tc>
        <w:tc>
          <w:tcPr>
            <w:tcW w:w="4720" w:type="dxa"/>
            <w:vAlign w:val="bottom"/>
            <w:tcBorders>
              <w:top w:val="single" w:sz="8" w:color="auto"/>
              <w:bottom w:val="single" w:sz="8" w:color="auto"/>
              <w:right w:val="single" w:sz="8" w:color="auto"/>
            </w:tcBorders>
            <w:shd w:val="clear" w:color="auto" w:fill="BFBFBF"/>
          </w:tcPr>
          <w:p>
            <w:pPr>
              <w:jc w:val="center"/>
              <w:spacing w:after="0"/>
              <w:rPr>
                <w:sz w:val="20"/>
                <w:szCs w:val="20"/>
                <w:color w:val="auto"/>
              </w:rPr>
            </w:pPr>
            <w:r>
              <w:rPr>
                <w:rFonts w:ascii="Times New Roman" w:cs="Times New Roman" w:eastAsia="Times New Roman" w:hAnsi="Times New Roman"/>
                <w:sz w:val="15"/>
                <w:szCs w:val="15"/>
                <w:b w:val="1"/>
                <w:bCs w:val="1"/>
                <w:color w:val="auto"/>
                <w:w w:val="97"/>
              </w:rPr>
              <w:t>Description</w:t>
            </w:r>
          </w:p>
        </w:tc>
        <w:tc>
          <w:tcPr>
            <w:tcW w:w="0" w:type="dxa"/>
            <w:vAlign w:val="bottom"/>
          </w:tcPr>
          <w:p>
            <w:pPr>
              <w:spacing w:after="0"/>
              <w:rPr>
                <w:sz w:val="1"/>
                <w:szCs w:val="1"/>
                <w:color w:val="auto"/>
              </w:rPr>
            </w:pPr>
          </w:p>
        </w:tc>
      </w:tr>
      <w:tr>
        <w:trPr>
          <w:trHeight w:val="183"/>
        </w:trPr>
        <w:tc>
          <w:tcPr>
            <w:tcW w:w="298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w w:val="97"/>
              </w:rPr>
              <w:t>18/056,771</w:t>
            </w:r>
          </w:p>
        </w:tc>
        <w:tc>
          <w:tcPr>
            <w:tcW w:w="18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w w:val="95"/>
              </w:rPr>
              <w:t>United States of America</w:t>
            </w:r>
          </w:p>
        </w:tc>
        <w:tc>
          <w:tcPr>
            <w:tcW w:w="17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w w:val="97"/>
              </w:rPr>
              <w:t>Pending</w:t>
            </w:r>
          </w:p>
        </w:tc>
        <w:tc>
          <w:tcPr>
            <w:tcW w:w="47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w w:val="96"/>
              </w:rPr>
              <w:t>Injectable and Inhalable Formulations</w:t>
            </w:r>
          </w:p>
        </w:tc>
        <w:tc>
          <w:tcPr>
            <w:tcW w:w="0" w:type="dxa"/>
            <w:vAlign w:val="bottom"/>
          </w:tcPr>
          <w:p>
            <w:pPr>
              <w:spacing w:after="0"/>
              <w:rPr>
                <w:sz w:val="1"/>
                <w:szCs w:val="1"/>
                <w:color w:val="auto"/>
              </w:rPr>
            </w:pPr>
          </w:p>
        </w:tc>
      </w:tr>
      <w:tr>
        <w:trPr>
          <w:trHeight w:val="186"/>
        </w:trPr>
        <w:tc>
          <w:tcPr>
            <w:tcW w:w="298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w w:val="96"/>
              </w:rPr>
              <w:t>PCT/EP2022/082486</w:t>
            </w:r>
          </w:p>
        </w:tc>
        <w:tc>
          <w:tcPr>
            <w:tcW w:w="18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w w:val="99"/>
              </w:rPr>
              <w:t>WIPO</w:t>
            </w:r>
          </w:p>
        </w:tc>
        <w:tc>
          <w:tcPr>
            <w:tcW w:w="17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w w:val="97"/>
              </w:rPr>
              <w:t>Pending</w:t>
            </w:r>
          </w:p>
        </w:tc>
        <w:tc>
          <w:tcPr>
            <w:tcW w:w="47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w w:val="96"/>
              </w:rPr>
              <w:t>Injectable and Inhalable Formulations</w:t>
            </w:r>
          </w:p>
        </w:tc>
        <w:tc>
          <w:tcPr>
            <w:tcW w:w="0" w:type="dxa"/>
            <w:vAlign w:val="bottom"/>
          </w:tcPr>
          <w:p>
            <w:pPr>
              <w:spacing w:after="0"/>
              <w:rPr>
                <w:sz w:val="1"/>
                <w:szCs w:val="1"/>
                <w:color w:val="auto"/>
              </w:rPr>
            </w:pPr>
          </w:p>
        </w:tc>
      </w:tr>
      <w:tr>
        <w:trPr>
          <w:trHeight w:val="186"/>
        </w:trPr>
        <w:tc>
          <w:tcPr>
            <w:tcW w:w="298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w w:val="95"/>
              </w:rPr>
              <w:t>2022393234</w:t>
            </w:r>
          </w:p>
        </w:tc>
        <w:tc>
          <w:tcPr>
            <w:tcW w:w="18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w w:val="98"/>
              </w:rPr>
              <w:t>Australia</w:t>
            </w:r>
          </w:p>
        </w:tc>
        <w:tc>
          <w:tcPr>
            <w:tcW w:w="17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w w:val="97"/>
              </w:rPr>
              <w:t>Pending</w:t>
            </w:r>
          </w:p>
        </w:tc>
        <w:tc>
          <w:tcPr>
            <w:tcW w:w="47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w w:val="96"/>
              </w:rPr>
              <w:t>Injectable and Inhalable Formulations</w:t>
            </w:r>
          </w:p>
        </w:tc>
        <w:tc>
          <w:tcPr>
            <w:tcW w:w="0" w:type="dxa"/>
            <w:vAlign w:val="bottom"/>
          </w:tcPr>
          <w:p>
            <w:pPr>
              <w:spacing w:after="0"/>
              <w:rPr>
                <w:sz w:val="1"/>
                <w:szCs w:val="1"/>
                <w:color w:val="auto"/>
              </w:rPr>
            </w:pPr>
          </w:p>
        </w:tc>
      </w:tr>
      <w:tr>
        <w:trPr>
          <w:trHeight w:val="186"/>
        </w:trPr>
        <w:tc>
          <w:tcPr>
            <w:tcW w:w="298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w w:val="95"/>
              </w:rPr>
              <w:t>11 2024 009571 1</w:t>
            </w:r>
          </w:p>
        </w:tc>
        <w:tc>
          <w:tcPr>
            <w:tcW w:w="18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w w:val="92"/>
              </w:rPr>
              <w:t>Brazil</w:t>
            </w:r>
          </w:p>
        </w:tc>
        <w:tc>
          <w:tcPr>
            <w:tcW w:w="17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w w:val="97"/>
              </w:rPr>
              <w:t>Pending</w:t>
            </w:r>
          </w:p>
        </w:tc>
        <w:tc>
          <w:tcPr>
            <w:tcW w:w="47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w w:val="96"/>
              </w:rPr>
              <w:t>Injectable and Inhalable Formulations</w:t>
            </w:r>
          </w:p>
        </w:tc>
        <w:tc>
          <w:tcPr>
            <w:tcW w:w="0" w:type="dxa"/>
            <w:vAlign w:val="bottom"/>
          </w:tcPr>
          <w:p>
            <w:pPr>
              <w:spacing w:after="0"/>
              <w:rPr>
                <w:sz w:val="1"/>
                <w:szCs w:val="1"/>
                <w:color w:val="auto"/>
              </w:rPr>
            </w:pPr>
          </w:p>
        </w:tc>
      </w:tr>
      <w:tr>
        <w:trPr>
          <w:trHeight w:val="186"/>
        </w:trPr>
        <w:tc>
          <w:tcPr>
            <w:tcW w:w="298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w w:val="98"/>
              </w:rPr>
              <w:t>3238583</w:t>
            </w:r>
          </w:p>
        </w:tc>
        <w:tc>
          <w:tcPr>
            <w:tcW w:w="18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w w:val="93"/>
              </w:rPr>
              <w:t>Canada</w:t>
            </w:r>
          </w:p>
        </w:tc>
        <w:tc>
          <w:tcPr>
            <w:tcW w:w="17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w w:val="97"/>
              </w:rPr>
              <w:t>Pending</w:t>
            </w:r>
          </w:p>
        </w:tc>
        <w:tc>
          <w:tcPr>
            <w:tcW w:w="47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w w:val="96"/>
              </w:rPr>
              <w:t>Injectable and Inhalable Formulations</w:t>
            </w:r>
          </w:p>
        </w:tc>
        <w:tc>
          <w:tcPr>
            <w:tcW w:w="0" w:type="dxa"/>
            <w:vAlign w:val="bottom"/>
          </w:tcPr>
          <w:p>
            <w:pPr>
              <w:spacing w:after="0"/>
              <w:rPr>
                <w:sz w:val="1"/>
                <w:szCs w:val="1"/>
                <w:color w:val="auto"/>
              </w:rPr>
            </w:pPr>
          </w:p>
        </w:tc>
      </w:tr>
      <w:tr>
        <w:trPr>
          <w:trHeight w:val="186"/>
        </w:trPr>
        <w:tc>
          <w:tcPr>
            <w:tcW w:w="298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w w:val="95"/>
              </w:rPr>
              <w:t>22 818741.5</w:t>
            </w:r>
          </w:p>
        </w:tc>
        <w:tc>
          <w:tcPr>
            <w:tcW w:w="18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w w:val="96"/>
              </w:rPr>
              <w:t>European Patent Office</w:t>
            </w:r>
          </w:p>
        </w:tc>
        <w:tc>
          <w:tcPr>
            <w:tcW w:w="17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w w:val="97"/>
              </w:rPr>
              <w:t>Pending</w:t>
            </w:r>
          </w:p>
        </w:tc>
        <w:tc>
          <w:tcPr>
            <w:tcW w:w="47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w w:val="96"/>
              </w:rPr>
              <w:t>Injectable and Inhalable Formulations</w:t>
            </w:r>
          </w:p>
        </w:tc>
        <w:tc>
          <w:tcPr>
            <w:tcW w:w="0" w:type="dxa"/>
            <w:vAlign w:val="bottom"/>
          </w:tcPr>
          <w:p>
            <w:pPr>
              <w:spacing w:after="0"/>
              <w:rPr>
                <w:sz w:val="1"/>
                <w:szCs w:val="1"/>
                <w:color w:val="auto"/>
              </w:rPr>
            </w:pPr>
          </w:p>
        </w:tc>
      </w:tr>
      <w:tr>
        <w:trPr>
          <w:trHeight w:val="186"/>
        </w:trPr>
        <w:tc>
          <w:tcPr>
            <w:tcW w:w="298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w w:val="97"/>
              </w:rPr>
              <w:t>202417045861</w:t>
            </w:r>
          </w:p>
        </w:tc>
        <w:tc>
          <w:tcPr>
            <w:tcW w:w="18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w w:val="97"/>
              </w:rPr>
              <w:t>India</w:t>
            </w:r>
          </w:p>
        </w:tc>
        <w:tc>
          <w:tcPr>
            <w:tcW w:w="17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w w:val="97"/>
              </w:rPr>
              <w:t>Pending</w:t>
            </w:r>
          </w:p>
        </w:tc>
        <w:tc>
          <w:tcPr>
            <w:tcW w:w="47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w w:val="96"/>
              </w:rPr>
              <w:t>Injectable and Inhalable Formulations</w:t>
            </w:r>
          </w:p>
        </w:tc>
        <w:tc>
          <w:tcPr>
            <w:tcW w:w="0" w:type="dxa"/>
            <w:vAlign w:val="bottom"/>
          </w:tcPr>
          <w:p>
            <w:pPr>
              <w:spacing w:after="0"/>
              <w:rPr>
                <w:sz w:val="1"/>
                <w:szCs w:val="1"/>
                <w:color w:val="auto"/>
              </w:rPr>
            </w:pPr>
          </w:p>
        </w:tc>
      </w:tr>
      <w:tr>
        <w:trPr>
          <w:trHeight w:val="186"/>
        </w:trPr>
        <w:tc>
          <w:tcPr>
            <w:tcW w:w="298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w w:val="97"/>
              </w:rPr>
              <w:t>312859</w:t>
            </w:r>
          </w:p>
        </w:tc>
        <w:tc>
          <w:tcPr>
            <w:tcW w:w="18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rPr>
              <w:t>Israel</w:t>
            </w:r>
          </w:p>
        </w:tc>
        <w:tc>
          <w:tcPr>
            <w:tcW w:w="17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w w:val="97"/>
              </w:rPr>
              <w:t>Pending</w:t>
            </w:r>
          </w:p>
        </w:tc>
        <w:tc>
          <w:tcPr>
            <w:tcW w:w="47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w w:val="96"/>
              </w:rPr>
              <w:t>Injectable and Inhalable Formulations</w:t>
            </w:r>
          </w:p>
        </w:tc>
        <w:tc>
          <w:tcPr>
            <w:tcW w:w="0" w:type="dxa"/>
            <w:vAlign w:val="bottom"/>
          </w:tcPr>
          <w:p>
            <w:pPr>
              <w:spacing w:after="0"/>
              <w:rPr>
                <w:sz w:val="1"/>
                <w:szCs w:val="1"/>
                <w:color w:val="auto"/>
              </w:rPr>
            </w:pPr>
          </w:p>
        </w:tc>
      </w:tr>
      <w:tr>
        <w:trPr>
          <w:trHeight w:val="186"/>
        </w:trPr>
        <w:tc>
          <w:tcPr>
            <w:tcW w:w="298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w w:val="97"/>
              </w:rPr>
              <w:t>2024-529536</w:t>
            </w:r>
          </w:p>
        </w:tc>
        <w:tc>
          <w:tcPr>
            <w:tcW w:w="18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w w:val="99"/>
              </w:rPr>
              <w:t>Japan</w:t>
            </w:r>
          </w:p>
        </w:tc>
        <w:tc>
          <w:tcPr>
            <w:tcW w:w="17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w w:val="97"/>
              </w:rPr>
              <w:t>Pending</w:t>
            </w:r>
          </w:p>
        </w:tc>
        <w:tc>
          <w:tcPr>
            <w:tcW w:w="47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w w:val="96"/>
              </w:rPr>
              <w:t>Injectable and Inhalable Formulations</w:t>
            </w:r>
          </w:p>
        </w:tc>
        <w:tc>
          <w:tcPr>
            <w:tcW w:w="0" w:type="dxa"/>
            <w:vAlign w:val="bottom"/>
          </w:tcPr>
          <w:p>
            <w:pPr>
              <w:spacing w:after="0"/>
              <w:rPr>
                <w:sz w:val="1"/>
                <w:szCs w:val="1"/>
                <w:color w:val="auto"/>
              </w:rPr>
            </w:pPr>
          </w:p>
        </w:tc>
      </w:tr>
      <w:tr>
        <w:trPr>
          <w:trHeight w:val="186"/>
        </w:trPr>
        <w:tc>
          <w:tcPr>
            <w:tcW w:w="298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w w:val="96"/>
              </w:rPr>
              <w:t>10-2024-7020007</w:t>
            </w:r>
          </w:p>
        </w:tc>
        <w:tc>
          <w:tcPr>
            <w:tcW w:w="18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w w:val="92"/>
              </w:rPr>
              <w:t>Korea</w:t>
            </w:r>
          </w:p>
        </w:tc>
        <w:tc>
          <w:tcPr>
            <w:tcW w:w="17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w w:val="97"/>
              </w:rPr>
              <w:t>Pending</w:t>
            </w:r>
          </w:p>
        </w:tc>
        <w:tc>
          <w:tcPr>
            <w:tcW w:w="47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w w:val="96"/>
              </w:rPr>
              <w:t>Injectable and Inhalable Formulations</w:t>
            </w:r>
          </w:p>
        </w:tc>
        <w:tc>
          <w:tcPr>
            <w:tcW w:w="0" w:type="dxa"/>
            <w:vAlign w:val="bottom"/>
          </w:tcPr>
          <w:p>
            <w:pPr>
              <w:spacing w:after="0"/>
              <w:rPr>
                <w:sz w:val="1"/>
                <w:szCs w:val="1"/>
                <w:color w:val="auto"/>
              </w:rPr>
            </w:pPr>
          </w:p>
        </w:tc>
      </w:tr>
      <w:tr>
        <w:trPr>
          <w:trHeight w:val="186"/>
        </w:trPr>
        <w:tc>
          <w:tcPr>
            <w:tcW w:w="298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w w:val="96"/>
              </w:rPr>
              <w:t>MX/a/2024/005955</w:t>
            </w:r>
          </w:p>
        </w:tc>
        <w:tc>
          <w:tcPr>
            <w:tcW w:w="18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rPr>
              <w:t>Mexico</w:t>
            </w:r>
          </w:p>
        </w:tc>
        <w:tc>
          <w:tcPr>
            <w:tcW w:w="17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w w:val="97"/>
              </w:rPr>
              <w:t>Pending</w:t>
            </w:r>
          </w:p>
        </w:tc>
        <w:tc>
          <w:tcPr>
            <w:tcW w:w="47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w w:val="96"/>
              </w:rPr>
              <w:t>Injectable and Inhalable Formulations</w:t>
            </w:r>
          </w:p>
        </w:tc>
        <w:tc>
          <w:tcPr>
            <w:tcW w:w="0" w:type="dxa"/>
            <w:vAlign w:val="bottom"/>
          </w:tcPr>
          <w:p>
            <w:pPr>
              <w:spacing w:after="0"/>
              <w:rPr>
                <w:sz w:val="1"/>
                <w:szCs w:val="1"/>
                <w:color w:val="auto"/>
              </w:rPr>
            </w:pPr>
          </w:p>
        </w:tc>
      </w:tr>
      <w:tr>
        <w:trPr>
          <w:trHeight w:val="186"/>
        </w:trPr>
        <w:tc>
          <w:tcPr>
            <w:tcW w:w="298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w w:val="93"/>
              </w:rPr>
              <w:t>811102</w:t>
            </w:r>
          </w:p>
        </w:tc>
        <w:tc>
          <w:tcPr>
            <w:tcW w:w="18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w w:val="96"/>
              </w:rPr>
              <w:t>New Zealand</w:t>
            </w:r>
          </w:p>
        </w:tc>
        <w:tc>
          <w:tcPr>
            <w:tcW w:w="17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w w:val="97"/>
              </w:rPr>
              <w:t>Pending</w:t>
            </w:r>
          </w:p>
        </w:tc>
        <w:tc>
          <w:tcPr>
            <w:tcW w:w="47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w w:val="96"/>
              </w:rPr>
              <w:t>Injectable and Inhalable Formulations</w:t>
            </w:r>
          </w:p>
        </w:tc>
        <w:tc>
          <w:tcPr>
            <w:tcW w:w="0" w:type="dxa"/>
            <w:vAlign w:val="bottom"/>
          </w:tcPr>
          <w:p>
            <w:pPr>
              <w:spacing w:after="0"/>
              <w:rPr>
                <w:sz w:val="1"/>
                <w:szCs w:val="1"/>
                <w:color w:val="auto"/>
              </w:rPr>
            </w:pPr>
          </w:p>
        </w:tc>
      </w:tr>
      <w:tr>
        <w:trPr>
          <w:trHeight w:val="186"/>
        </w:trPr>
        <w:tc>
          <w:tcPr>
            <w:tcW w:w="298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w w:val="95"/>
              </w:rPr>
              <w:t>11202403174T</w:t>
            </w:r>
          </w:p>
        </w:tc>
        <w:tc>
          <w:tcPr>
            <w:tcW w:w="18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w w:val="95"/>
              </w:rPr>
              <w:t>Singapore</w:t>
            </w:r>
          </w:p>
        </w:tc>
        <w:tc>
          <w:tcPr>
            <w:tcW w:w="17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w w:val="97"/>
              </w:rPr>
              <w:t>Pending</w:t>
            </w:r>
          </w:p>
        </w:tc>
        <w:tc>
          <w:tcPr>
            <w:tcW w:w="47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w w:val="96"/>
              </w:rPr>
              <w:t>Injectable and Inhalable Formulations</w:t>
            </w:r>
          </w:p>
        </w:tc>
        <w:tc>
          <w:tcPr>
            <w:tcW w:w="0" w:type="dxa"/>
            <w:vAlign w:val="bottom"/>
          </w:tcPr>
          <w:p>
            <w:pPr>
              <w:spacing w:after="0"/>
              <w:rPr>
                <w:sz w:val="1"/>
                <w:szCs w:val="1"/>
                <w:color w:val="auto"/>
              </w:rPr>
            </w:pPr>
          </w:p>
        </w:tc>
      </w:tr>
      <w:tr>
        <w:trPr>
          <w:trHeight w:val="186"/>
        </w:trPr>
        <w:tc>
          <w:tcPr>
            <w:tcW w:w="298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w w:val="97"/>
              </w:rPr>
              <w:t>2024/03906</w:t>
            </w:r>
          </w:p>
        </w:tc>
        <w:tc>
          <w:tcPr>
            <w:tcW w:w="18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w w:val="95"/>
              </w:rPr>
              <w:t>South Africa</w:t>
            </w:r>
          </w:p>
        </w:tc>
        <w:tc>
          <w:tcPr>
            <w:tcW w:w="17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w w:val="97"/>
              </w:rPr>
              <w:t>Pending</w:t>
            </w:r>
          </w:p>
        </w:tc>
        <w:tc>
          <w:tcPr>
            <w:tcW w:w="47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w w:val="96"/>
              </w:rPr>
              <w:t>Injectable and Inhalable Formulations</w:t>
            </w:r>
          </w:p>
        </w:tc>
        <w:tc>
          <w:tcPr>
            <w:tcW w:w="0" w:type="dxa"/>
            <w:vAlign w:val="bottom"/>
          </w:tcPr>
          <w:p>
            <w:pPr>
              <w:spacing w:after="0"/>
              <w:rPr>
                <w:sz w:val="1"/>
                <w:szCs w:val="1"/>
                <w:color w:val="auto"/>
              </w:rPr>
            </w:pPr>
          </w:p>
        </w:tc>
      </w:tr>
      <w:tr>
        <w:trPr>
          <w:trHeight w:val="186"/>
        </w:trPr>
        <w:tc>
          <w:tcPr>
            <w:tcW w:w="298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w w:val="95"/>
              </w:rPr>
              <w:t>PI 2024002791</w:t>
            </w:r>
          </w:p>
        </w:tc>
        <w:tc>
          <w:tcPr>
            <w:tcW w:w="18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w w:val="98"/>
              </w:rPr>
              <w:t>Malaysia</w:t>
            </w:r>
          </w:p>
        </w:tc>
        <w:tc>
          <w:tcPr>
            <w:tcW w:w="17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w w:val="97"/>
              </w:rPr>
              <w:t>Pending</w:t>
            </w:r>
          </w:p>
        </w:tc>
        <w:tc>
          <w:tcPr>
            <w:tcW w:w="47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w w:val="96"/>
              </w:rPr>
              <w:t>Injectable and Inhalable Formulations</w:t>
            </w:r>
          </w:p>
        </w:tc>
        <w:tc>
          <w:tcPr>
            <w:tcW w:w="0" w:type="dxa"/>
            <w:vAlign w:val="bottom"/>
          </w:tcPr>
          <w:p>
            <w:pPr>
              <w:spacing w:after="0"/>
              <w:rPr>
                <w:sz w:val="1"/>
                <w:szCs w:val="1"/>
                <w:color w:val="auto"/>
              </w:rPr>
            </w:pPr>
          </w:p>
        </w:tc>
      </w:tr>
      <w:tr>
        <w:trPr>
          <w:trHeight w:val="186"/>
        </w:trPr>
        <w:tc>
          <w:tcPr>
            <w:tcW w:w="298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w w:val="95"/>
              </w:rPr>
              <w:t>1120242659</w:t>
            </w:r>
          </w:p>
        </w:tc>
        <w:tc>
          <w:tcPr>
            <w:tcW w:w="18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w w:val="99"/>
              </w:rPr>
              <w:t>Saudi Arabia</w:t>
            </w:r>
          </w:p>
        </w:tc>
        <w:tc>
          <w:tcPr>
            <w:tcW w:w="17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w w:val="97"/>
              </w:rPr>
              <w:t>Pending</w:t>
            </w:r>
          </w:p>
        </w:tc>
        <w:tc>
          <w:tcPr>
            <w:tcW w:w="47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w w:val="96"/>
              </w:rPr>
              <w:t>Injectable and Inhalable Formulations</w:t>
            </w:r>
          </w:p>
        </w:tc>
        <w:tc>
          <w:tcPr>
            <w:tcW w:w="0" w:type="dxa"/>
            <w:vAlign w:val="bottom"/>
          </w:tcPr>
          <w:p>
            <w:pPr>
              <w:spacing w:after="0"/>
              <w:rPr>
                <w:sz w:val="1"/>
                <w:szCs w:val="1"/>
                <w:color w:val="auto"/>
              </w:rPr>
            </w:pPr>
          </w:p>
        </w:tc>
      </w:tr>
      <w:tr>
        <w:trPr>
          <w:trHeight w:val="186"/>
        </w:trPr>
        <w:tc>
          <w:tcPr>
            <w:tcW w:w="298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w w:val="97"/>
              </w:rPr>
              <w:t>202401452</w:t>
            </w:r>
          </w:p>
        </w:tc>
        <w:tc>
          <w:tcPr>
            <w:tcW w:w="18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w w:val="92"/>
              </w:rPr>
              <w:t>Chile</w:t>
            </w:r>
          </w:p>
        </w:tc>
        <w:tc>
          <w:tcPr>
            <w:tcW w:w="17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w w:val="97"/>
              </w:rPr>
              <w:t>Pending</w:t>
            </w:r>
          </w:p>
        </w:tc>
        <w:tc>
          <w:tcPr>
            <w:tcW w:w="47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w w:val="96"/>
              </w:rPr>
              <w:t>Injectable and Inhalable Formulations</w:t>
            </w:r>
          </w:p>
        </w:tc>
        <w:tc>
          <w:tcPr>
            <w:tcW w:w="0" w:type="dxa"/>
            <w:vAlign w:val="bottom"/>
          </w:tcPr>
          <w:p>
            <w:pPr>
              <w:spacing w:after="0"/>
              <w:rPr>
                <w:sz w:val="1"/>
                <w:szCs w:val="1"/>
                <w:color w:val="auto"/>
              </w:rPr>
            </w:pPr>
          </w:p>
        </w:tc>
      </w:tr>
      <w:tr>
        <w:trPr>
          <w:trHeight w:val="186"/>
        </w:trPr>
        <w:tc>
          <w:tcPr>
            <w:tcW w:w="298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w w:val="95"/>
              </w:rPr>
              <w:t>2401003192</w:t>
            </w:r>
          </w:p>
        </w:tc>
        <w:tc>
          <w:tcPr>
            <w:tcW w:w="18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w w:val="93"/>
              </w:rPr>
              <w:t>Thailand</w:t>
            </w:r>
          </w:p>
        </w:tc>
        <w:tc>
          <w:tcPr>
            <w:tcW w:w="17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w w:val="97"/>
              </w:rPr>
              <w:t>Pending</w:t>
            </w:r>
          </w:p>
        </w:tc>
        <w:tc>
          <w:tcPr>
            <w:tcW w:w="47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w w:val="96"/>
              </w:rPr>
              <w:t>Injectable and Inhalable Formulations</w:t>
            </w:r>
          </w:p>
        </w:tc>
        <w:tc>
          <w:tcPr>
            <w:tcW w:w="0" w:type="dxa"/>
            <w:vAlign w:val="bottom"/>
          </w:tcPr>
          <w:p>
            <w:pPr>
              <w:spacing w:after="0"/>
              <w:rPr>
                <w:sz w:val="1"/>
                <w:szCs w:val="1"/>
                <w:color w:val="auto"/>
              </w:rPr>
            </w:pPr>
          </w:p>
        </w:tc>
      </w:tr>
      <w:tr>
        <w:trPr>
          <w:trHeight w:val="186"/>
        </w:trPr>
        <w:tc>
          <w:tcPr>
            <w:tcW w:w="298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w w:val="96"/>
              </w:rPr>
              <w:t>12024551165</w:t>
            </w:r>
          </w:p>
        </w:tc>
        <w:tc>
          <w:tcPr>
            <w:tcW w:w="18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w w:val="97"/>
              </w:rPr>
              <w:t>Philippines</w:t>
            </w:r>
          </w:p>
        </w:tc>
        <w:tc>
          <w:tcPr>
            <w:tcW w:w="17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w w:val="97"/>
              </w:rPr>
              <w:t>Pending</w:t>
            </w:r>
          </w:p>
        </w:tc>
        <w:tc>
          <w:tcPr>
            <w:tcW w:w="47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w w:val="96"/>
              </w:rPr>
              <w:t>Injectable and Inhalable Formulations</w:t>
            </w:r>
          </w:p>
        </w:tc>
        <w:tc>
          <w:tcPr>
            <w:tcW w:w="0" w:type="dxa"/>
            <w:vAlign w:val="bottom"/>
          </w:tcPr>
          <w:p>
            <w:pPr>
              <w:spacing w:after="0"/>
              <w:rPr>
                <w:sz w:val="1"/>
                <w:szCs w:val="1"/>
                <w:color w:val="auto"/>
              </w:rPr>
            </w:pPr>
          </w:p>
        </w:tc>
      </w:tr>
      <w:tr>
        <w:trPr>
          <w:trHeight w:val="186"/>
        </w:trPr>
        <w:tc>
          <w:tcPr>
            <w:tcW w:w="298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w w:val="97"/>
              </w:rPr>
              <w:t>18/056,771</w:t>
            </w:r>
          </w:p>
        </w:tc>
        <w:tc>
          <w:tcPr>
            <w:tcW w:w="18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w w:val="95"/>
              </w:rPr>
              <w:t>United States of America</w:t>
            </w:r>
          </w:p>
        </w:tc>
        <w:tc>
          <w:tcPr>
            <w:tcW w:w="17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w w:val="97"/>
              </w:rPr>
              <w:t>Pending</w:t>
            </w:r>
          </w:p>
        </w:tc>
        <w:tc>
          <w:tcPr>
            <w:tcW w:w="47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w w:val="96"/>
              </w:rPr>
              <w:t>Injectable and Inhalable Formulations</w:t>
            </w:r>
          </w:p>
        </w:tc>
        <w:tc>
          <w:tcPr>
            <w:tcW w:w="0" w:type="dxa"/>
            <w:vAlign w:val="bottom"/>
          </w:tcPr>
          <w:p>
            <w:pPr>
              <w:spacing w:after="0"/>
              <w:rPr>
                <w:sz w:val="1"/>
                <w:szCs w:val="1"/>
                <w:color w:val="auto"/>
              </w:rPr>
            </w:pPr>
          </w:p>
        </w:tc>
      </w:tr>
      <w:tr>
        <w:trPr>
          <w:trHeight w:val="186"/>
        </w:trPr>
        <w:tc>
          <w:tcPr>
            <w:tcW w:w="298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w w:val="94"/>
              </w:rPr>
              <w:t>18/711,130</w:t>
            </w:r>
          </w:p>
        </w:tc>
        <w:tc>
          <w:tcPr>
            <w:tcW w:w="18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w w:val="95"/>
              </w:rPr>
              <w:t>United States of America</w:t>
            </w:r>
          </w:p>
        </w:tc>
        <w:tc>
          <w:tcPr>
            <w:tcW w:w="17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w w:val="97"/>
              </w:rPr>
              <w:t>Pending</w:t>
            </w:r>
          </w:p>
        </w:tc>
        <w:tc>
          <w:tcPr>
            <w:tcW w:w="47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w w:val="96"/>
              </w:rPr>
              <w:t>Injectable and Inhalable Formulations</w:t>
            </w:r>
          </w:p>
        </w:tc>
        <w:tc>
          <w:tcPr>
            <w:tcW w:w="0" w:type="dxa"/>
            <w:vAlign w:val="bottom"/>
          </w:tcPr>
          <w:p>
            <w:pPr>
              <w:spacing w:after="0"/>
              <w:rPr>
                <w:sz w:val="1"/>
                <w:szCs w:val="1"/>
                <w:color w:val="auto"/>
              </w:rPr>
            </w:pPr>
          </w:p>
        </w:tc>
      </w:tr>
      <w:tr>
        <w:trPr>
          <w:trHeight w:val="186"/>
        </w:trPr>
        <w:tc>
          <w:tcPr>
            <w:tcW w:w="298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w w:val="96"/>
              </w:rPr>
              <w:t>NC2024/0007518</w:t>
            </w:r>
          </w:p>
        </w:tc>
        <w:tc>
          <w:tcPr>
            <w:tcW w:w="18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w w:val="97"/>
              </w:rPr>
              <w:t>Colombia</w:t>
            </w:r>
          </w:p>
        </w:tc>
        <w:tc>
          <w:tcPr>
            <w:tcW w:w="17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w w:val="97"/>
              </w:rPr>
              <w:t>Pending</w:t>
            </w:r>
          </w:p>
        </w:tc>
        <w:tc>
          <w:tcPr>
            <w:tcW w:w="47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w w:val="96"/>
              </w:rPr>
              <w:t>Injectable and Inhalable Formulations</w:t>
            </w:r>
          </w:p>
        </w:tc>
        <w:tc>
          <w:tcPr>
            <w:tcW w:w="0" w:type="dxa"/>
            <w:vAlign w:val="bottom"/>
          </w:tcPr>
          <w:p>
            <w:pPr>
              <w:spacing w:after="0"/>
              <w:rPr>
                <w:sz w:val="1"/>
                <w:szCs w:val="1"/>
                <w:color w:val="auto"/>
              </w:rPr>
            </w:pPr>
          </w:p>
        </w:tc>
      </w:tr>
      <w:tr>
        <w:trPr>
          <w:trHeight w:val="186"/>
        </w:trPr>
        <w:tc>
          <w:tcPr>
            <w:tcW w:w="298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w w:val="96"/>
              </w:rPr>
              <w:t>202280084101.4</w:t>
            </w:r>
          </w:p>
        </w:tc>
        <w:tc>
          <w:tcPr>
            <w:tcW w:w="18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w w:val="94"/>
              </w:rPr>
              <w:t>China</w:t>
            </w:r>
          </w:p>
        </w:tc>
        <w:tc>
          <w:tcPr>
            <w:tcW w:w="17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w w:val="97"/>
              </w:rPr>
              <w:t>Pending</w:t>
            </w:r>
          </w:p>
        </w:tc>
        <w:tc>
          <w:tcPr>
            <w:tcW w:w="47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w w:val="96"/>
              </w:rPr>
              <w:t>Injectable and Inhalable Formulations</w:t>
            </w:r>
          </w:p>
        </w:tc>
        <w:tc>
          <w:tcPr>
            <w:tcW w:w="0" w:type="dxa"/>
            <w:vAlign w:val="bottom"/>
          </w:tcPr>
          <w:p>
            <w:pPr>
              <w:spacing w:after="0"/>
              <w:rPr>
                <w:sz w:val="1"/>
                <w:szCs w:val="1"/>
                <w:color w:val="auto"/>
              </w:rPr>
            </w:pPr>
          </w:p>
        </w:tc>
      </w:tr>
      <w:tr>
        <w:trPr>
          <w:trHeight w:val="186"/>
        </w:trPr>
        <w:tc>
          <w:tcPr>
            <w:tcW w:w="298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w w:val="97"/>
              </w:rPr>
              <w:t>202390295</w:t>
            </w:r>
          </w:p>
        </w:tc>
        <w:tc>
          <w:tcPr>
            <w:tcW w:w="18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w w:val="96"/>
              </w:rPr>
              <w:t>Eurasian Patent Organization</w:t>
            </w:r>
          </w:p>
        </w:tc>
        <w:tc>
          <w:tcPr>
            <w:tcW w:w="17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w w:val="97"/>
              </w:rPr>
              <w:t>Pending</w:t>
            </w:r>
          </w:p>
        </w:tc>
        <w:tc>
          <w:tcPr>
            <w:tcW w:w="47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w w:val="97"/>
              </w:rPr>
              <w:t>Injectable Formulations</w:t>
            </w:r>
          </w:p>
        </w:tc>
        <w:tc>
          <w:tcPr>
            <w:tcW w:w="0" w:type="dxa"/>
            <w:vAlign w:val="bottom"/>
          </w:tcPr>
          <w:p>
            <w:pPr>
              <w:spacing w:after="0"/>
              <w:rPr>
                <w:sz w:val="1"/>
                <w:szCs w:val="1"/>
                <w:color w:val="auto"/>
              </w:rPr>
            </w:pPr>
          </w:p>
        </w:tc>
      </w:tr>
      <w:tr>
        <w:trPr>
          <w:trHeight w:val="186"/>
        </w:trPr>
        <w:tc>
          <w:tcPr>
            <w:tcW w:w="298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w w:val="95"/>
              </w:rPr>
              <w:t>24194778.7</w:t>
            </w:r>
          </w:p>
        </w:tc>
        <w:tc>
          <w:tcPr>
            <w:tcW w:w="18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w w:val="96"/>
              </w:rPr>
              <w:t>European Patent Office</w:t>
            </w:r>
          </w:p>
        </w:tc>
        <w:tc>
          <w:tcPr>
            <w:tcW w:w="17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w w:val="97"/>
              </w:rPr>
              <w:t>Pending</w:t>
            </w:r>
          </w:p>
        </w:tc>
        <w:tc>
          <w:tcPr>
            <w:tcW w:w="47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w w:val="97"/>
              </w:rPr>
              <w:t>Injectable Formulations</w:t>
            </w:r>
          </w:p>
        </w:tc>
        <w:tc>
          <w:tcPr>
            <w:tcW w:w="0" w:type="dxa"/>
            <w:vAlign w:val="bottom"/>
          </w:tcPr>
          <w:p>
            <w:pPr>
              <w:spacing w:after="0"/>
              <w:rPr>
                <w:sz w:val="1"/>
                <w:szCs w:val="1"/>
                <w:color w:val="auto"/>
              </w:rPr>
            </w:pPr>
          </w:p>
        </w:tc>
      </w:tr>
      <w:tr>
        <w:trPr>
          <w:trHeight w:val="186"/>
        </w:trPr>
        <w:tc>
          <w:tcPr>
            <w:tcW w:w="298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w w:val="95"/>
              </w:rPr>
              <w:t>62023077767.9</w:t>
            </w:r>
          </w:p>
        </w:tc>
        <w:tc>
          <w:tcPr>
            <w:tcW w:w="18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w w:val="96"/>
              </w:rPr>
              <w:t>Hong Kong</w:t>
            </w:r>
          </w:p>
        </w:tc>
        <w:tc>
          <w:tcPr>
            <w:tcW w:w="17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w w:val="97"/>
              </w:rPr>
              <w:t>Pending</w:t>
            </w:r>
          </w:p>
        </w:tc>
        <w:tc>
          <w:tcPr>
            <w:tcW w:w="47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w w:val="97"/>
              </w:rPr>
              <w:t>Injectable Formulations</w:t>
            </w:r>
          </w:p>
        </w:tc>
        <w:tc>
          <w:tcPr>
            <w:tcW w:w="0" w:type="dxa"/>
            <w:vAlign w:val="bottom"/>
          </w:tcPr>
          <w:p>
            <w:pPr>
              <w:spacing w:after="0"/>
              <w:rPr>
                <w:sz w:val="1"/>
                <w:szCs w:val="1"/>
                <w:color w:val="auto"/>
              </w:rPr>
            </w:pPr>
          </w:p>
        </w:tc>
      </w:tr>
      <w:tr>
        <w:trPr>
          <w:trHeight w:val="186"/>
        </w:trPr>
        <w:tc>
          <w:tcPr>
            <w:tcW w:w="298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w w:val="97"/>
              </w:rPr>
              <w:t>298129</w:t>
            </w:r>
          </w:p>
        </w:tc>
        <w:tc>
          <w:tcPr>
            <w:tcW w:w="18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rPr>
              <w:t>Israel</w:t>
            </w:r>
          </w:p>
        </w:tc>
        <w:tc>
          <w:tcPr>
            <w:tcW w:w="17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w w:val="97"/>
              </w:rPr>
              <w:t>Pending</w:t>
            </w:r>
          </w:p>
        </w:tc>
        <w:tc>
          <w:tcPr>
            <w:tcW w:w="47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w w:val="97"/>
              </w:rPr>
              <w:t>Injectable Formulations</w:t>
            </w:r>
          </w:p>
        </w:tc>
        <w:tc>
          <w:tcPr>
            <w:tcW w:w="0" w:type="dxa"/>
            <w:vAlign w:val="bottom"/>
          </w:tcPr>
          <w:p>
            <w:pPr>
              <w:spacing w:after="0"/>
              <w:rPr>
                <w:sz w:val="1"/>
                <w:szCs w:val="1"/>
                <w:color w:val="auto"/>
              </w:rPr>
            </w:pPr>
          </w:p>
        </w:tc>
      </w:tr>
      <w:tr>
        <w:trPr>
          <w:trHeight w:val="186"/>
        </w:trPr>
        <w:tc>
          <w:tcPr>
            <w:tcW w:w="298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w w:val="95"/>
              </w:rPr>
              <w:t>PI 2023000584</w:t>
            </w:r>
          </w:p>
        </w:tc>
        <w:tc>
          <w:tcPr>
            <w:tcW w:w="18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w w:val="98"/>
              </w:rPr>
              <w:t>Malaysia</w:t>
            </w:r>
          </w:p>
        </w:tc>
        <w:tc>
          <w:tcPr>
            <w:tcW w:w="17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w w:val="97"/>
              </w:rPr>
              <w:t>Pending</w:t>
            </w:r>
          </w:p>
        </w:tc>
        <w:tc>
          <w:tcPr>
            <w:tcW w:w="47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w w:val="97"/>
              </w:rPr>
              <w:t>Injectable Formulations</w:t>
            </w:r>
          </w:p>
        </w:tc>
        <w:tc>
          <w:tcPr>
            <w:tcW w:w="0" w:type="dxa"/>
            <w:vAlign w:val="bottom"/>
          </w:tcPr>
          <w:p>
            <w:pPr>
              <w:spacing w:after="0"/>
              <w:rPr>
                <w:sz w:val="1"/>
                <w:szCs w:val="1"/>
                <w:color w:val="auto"/>
              </w:rPr>
            </w:pPr>
          </w:p>
        </w:tc>
      </w:tr>
      <w:tr>
        <w:trPr>
          <w:trHeight w:val="186"/>
        </w:trPr>
        <w:tc>
          <w:tcPr>
            <w:tcW w:w="298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w w:val="96"/>
              </w:rPr>
              <w:t>MX/a/2022/014128</w:t>
            </w:r>
          </w:p>
        </w:tc>
        <w:tc>
          <w:tcPr>
            <w:tcW w:w="18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rPr>
              <w:t>Mexico</w:t>
            </w:r>
          </w:p>
        </w:tc>
        <w:tc>
          <w:tcPr>
            <w:tcW w:w="17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w w:val="97"/>
              </w:rPr>
              <w:t>Pending</w:t>
            </w:r>
          </w:p>
        </w:tc>
        <w:tc>
          <w:tcPr>
            <w:tcW w:w="47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w w:val="97"/>
              </w:rPr>
              <w:t>Injectable Formulations</w:t>
            </w:r>
          </w:p>
        </w:tc>
        <w:tc>
          <w:tcPr>
            <w:tcW w:w="0" w:type="dxa"/>
            <w:vAlign w:val="bottom"/>
          </w:tcPr>
          <w:p>
            <w:pPr>
              <w:spacing w:after="0"/>
              <w:rPr>
                <w:sz w:val="1"/>
                <w:szCs w:val="1"/>
                <w:color w:val="auto"/>
              </w:rPr>
            </w:pPr>
          </w:p>
        </w:tc>
      </w:tr>
      <w:tr>
        <w:trPr>
          <w:trHeight w:val="186"/>
        </w:trPr>
        <w:tc>
          <w:tcPr>
            <w:tcW w:w="298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w w:val="97"/>
              </w:rPr>
              <w:t>793361</w:t>
            </w:r>
          </w:p>
        </w:tc>
        <w:tc>
          <w:tcPr>
            <w:tcW w:w="18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w w:val="96"/>
              </w:rPr>
              <w:t>New Zealand</w:t>
            </w:r>
          </w:p>
        </w:tc>
        <w:tc>
          <w:tcPr>
            <w:tcW w:w="17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w w:val="97"/>
              </w:rPr>
              <w:t>Pending</w:t>
            </w:r>
          </w:p>
        </w:tc>
        <w:tc>
          <w:tcPr>
            <w:tcW w:w="47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w w:val="96"/>
              </w:rPr>
              <w:t>Injectable Formulation</w:t>
            </w:r>
          </w:p>
        </w:tc>
        <w:tc>
          <w:tcPr>
            <w:tcW w:w="0" w:type="dxa"/>
            <w:vAlign w:val="bottom"/>
          </w:tcPr>
          <w:p>
            <w:pPr>
              <w:spacing w:after="0"/>
              <w:rPr>
                <w:sz w:val="1"/>
                <w:szCs w:val="1"/>
                <w:color w:val="auto"/>
              </w:rPr>
            </w:pPr>
          </w:p>
        </w:tc>
      </w:tr>
      <w:tr>
        <w:trPr>
          <w:trHeight w:val="186"/>
        </w:trPr>
        <w:tc>
          <w:tcPr>
            <w:tcW w:w="298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w w:val="96"/>
              </w:rPr>
              <w:t>11202300697X</w:t>
            </w:r>
          </w:p>
        </w:tc>
        <w:tc>
          <w:tcPr>
            <w:tcW w:w="18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w w:val="95"/>
              </w:rPr>
              <w:t>Singapore</w:t>
            </w:r>
          </w:p>
        </w:tc>
        <w:tc>
          <w:tcPr>
            <w:tcW w:w="17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w w:val="97"/>
              </w:rPr>
              <w:t>Pending</w:t>
            </w:r>
          </w:p>
        </w:tc>
        <w:tc>
          <w:tcPr>
            <w:tcW w:w="47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w w:val="96"/>
              </w:rPr>
              <w:t>Injectable Formulation</w:t>
            </w:r>
          </w:p>
        </w:tc>
        <w:tc>
          <w:tcPr>
            <w:tcW w:w="0" w:type="dxa"/>
            <w:vAlign w:val="bottom"/>
          </w:tcPr>
          <w:p>
            <w:pPr>
              <w:spacing w:after="0"/>
              <w:rPr>
                <w:sz w:val="1"/>
                <w:szCs w:val="1"/>
                <w:color w:val="auto"/>
              </w:rPr>
            </w:pPr>
          </w:p>
        </w:tc>
      </w:tr>
      <w:tr>
        <w:trPr>
          <w:trHeight w:val="186"/>
        </w:trPr>
        <w:tc>
          <w:tcPr>
            <w:tcW w:w="298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w w:val="97"/>
              </w:rPr>
              <w:t>17/806,526</w:t>
            </w:r>
          </w:p>
        </w:tc>
        <w:tc>
          <w:tcPr>
            <w:tcW w:w="18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w w:val="95"/>
              </w:rPr>
              <w:t>United States of America</w:t>
            </w:r>
          </w:p>
        </w:tc>
        <w:tc>
          <w:tcPr>
            <w:tcW w:w="17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w w:val="97"/>
              </w:rPr>
              <w:t>Pending</w:t>
            </w:r>
          </w:p>
        </w:tc>
        <w:tc>
          <w:tcPr>
            <w:tcW w:w="47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w w:val="97"/>
              </w:rPr>
              <w:t>Injectable Formulations</w:t>
            </w:r>
          </w:p>
        </w:tc>
        <w:tc>
          <w:tcPr>
            <w:tcW w:w="0" w:type="dxa"/>
            <w:vAlign w:val="bottom"/>
          </w:tcPr>
          <w:p>
            <w:pPr>
              <w:spacing w:after="0"/>
              <w:rPr>
                <w:sz w:val="1"/>
                <w:szCs w:val="1"/>
                <w:color w:val="auto"/>
              </w:rPr>
            </w:pPr>
          </w:p>
        </w:tc>
      </w:tr>
      <w:tr>
        <w:trPr>
          <w:trHeight w:val="186"/>
        </w:trPr>
        <w:tc>
          <w:tcPr>
            <w:tcW w:w="298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w w:val="97"/>
              </w:rPr>
              <w:t>18/619,547</w:t>
            </w:r>
          </w:p>
        </w:tc>
        <w:tc>
          <w:tcPr>
            <w:tcW w:w="18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w w:val="95"/>
              </w:rPr>
              <w:t>United States of America</w:t>
            </w:r>
          </w:p>
        </w:tc>
        <w:tc>
          <w:tcPr>
            <w:tcW w:w="17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w w:val="97"/>
              </w:rPr>
              <w:t>Pending</w:t>
            </w:r>
          </w:p>
        </w:tc>
        <w:tc>
          <w:tcPr>
            <w:tcW w:w="47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w w:val="96"/>
              </w:rPr>
              <w:t>Method of Administration</w:t>
            </w:r>
          </w:p>
        </w:tc>
        <w:tc>
          <w:tcPr>
            <w:tcW w:w="0" w:type="dxa"/>
            <w:vAlign w:val="bottom"/>
          </w:tcPr>
          <w:p>
            <w:pPr>
              <w:spacing w:after="0"/>
              <w:rPr>
                <w:sz w:val="1"/>
                <w:szCs w:val="1"/>
                <w:color w:val="auto"/>
              </w:rPr>
            </w:pPr>
          </w:p>
        </w:tc>
      </w:tr>
      <w:tr>
        <w:trPr>
          <w:trHeight w:val="139"/>
        </w:trPr>
        <w:tc>
          <w:tcPr>
            <w:tcW w:w="2980" w:type="dxa"/>
            <w:vAlign w:val="bottom"/>
            <w:tcBorders>
              <w:left w:val="single" w:sz="8" w:color="auto"/>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5"/>
                <w:szCs w:val="15"/>
                <w:color w:val="auto"/>
                <w:w w:val="96"/>
              </w:rPr>
              <w:t>PCT/EP2024/058587</w:t>
            </w:r>
          </w:p>
        </w:tc>
        <w:tc>
          <w:tcPr>
            <w:tcW w:w="184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5"/>
                <w:szCs w:val="15"/>
                <w:color w:val="auto"/>
                <w:w w:val="99"/>
              </w:rPr>
              <w:t>WIPO</w:t>
            </w:r>
          </w:p>
        </w:tc>
        <w:tc>
          <w:tcPr>
            <w:tcW w:w="174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5"/>
                <w:szCs w:val="15"/>
                <w:color w:val="auto"/>
                <w:w w:val="97"/>
              </w:rPr>
              <w:t>Pending</w:t>
            </w:r>
          </w:p>
        </w:tc>
        <w:tc>
          <w:tcPr>
            <w:tcW w:w="4720" w:type="dxa"/>
            <w:vAlign w:val="bottom"/>
            <w:tcBorders>
              <w:right w:val="single" w:sz="8" w:color="auto"/>
            </w:tcBorders>
          </w:tcPr>
          <w:p>
            <w:pPr>
              <w:jc w:val="center"/>
              <w:spacing w:after="0" w:line="139" w:lineRule="exact"/>
              <w:rPr>
                <w:sz w:val="20"/>
                <w:szCs w:val="20"/>
                <w:color w:val="auto"/>
              </w:rPr>
            </w:pPr>
            <w:r>
              <w:rPr>
                <w:rFonts w:ascii="Times New Roman" w:cs="Times New Roman" w:eastAsia="Times New Roman" w:hAnsi="Times New Roman"/>
                <w:sz w:val="15"/>
                <w:szCs w:val="15"/>
                <w:color w:val="auto"/>
                <w:w w:val="96"/>
              </w:rPr>
              <w:t>Combination Comprising a Monoamine Antidepressant Agent and a Short-</w:t>
            </w:r>
          </w:p>
        </w:tc>
        <w:tc>
          <w:tcPr>
            <w:tcW w:w="0" w:type="dxa"/>
            <w:vAlign w:val="bottom"/>
          </w:tcPr>
          <w:p>
            <w:pPr>
              <w:spacing w:after="0"/>
              <w:rPr>
                <w:sz w:val="1"/>
                <w:szCs w:val="1"/>
                <w:color w:val="auto"/>
              </w:rPr>
            </w:pPr>
          </w:p>
        </w:tc>
      </w:tr>
      <w:tr>
        <w:trPr>
          <w:trHeight w:val="117"/>
        </w:trPr>
        <w:tc>
          <w:tcPr>
            <w:tcW w:w="2980" w:type="dxa"/>
            <w:vAlign w:val="bottom"/>
            <w:tcBorders>
              <w:left w:val="single" w:sz="8" w:color="auto"/>
              <w:right w:val="single" w:sz="8" w:color="auto"/>
            </w:tcBorders>
            <w:vMerge w:val="continue"/>
          </w:tcPr>
          <w:p>
            <w:pPr>
              <w:spacing w:after="0"/>
              <w:rPr>
                <w:sz w:val="10"/>
                <w:szCs w:val="10"/>
                <w:color w:val="auto"/>
              </w:rPr>
            </w:pPr>
          </w:p>
        </w:tc>
        <w:tc>
          <w:tcPr>
            <w:tcW w:w="1840" w:type="dxa"/>
            <w:vAlign w:val="bottom"/>
            <w:tcBorders>
              <w:right w:val="single" w:sz="8" w:color="auto"/>
            </w:tcBorders>
            <w:vMerge w:val="continue"/>
          </w:tcPr>
          <w:p>
            <w:pPr>
              <w:spacing w:after="0"/>
              <w:rPr>
                <w:sz w:val="10"/>
                <w:szCs w:val="10"/>
                <w:color w:val="auto"/>
              </w:rPr>
            </w:pPr>
          </w:p>
        </w:tc>
        <w:tc>
          <w:tcPr>
            <w:tcW w:w="1740" w:type="dxa"/>
            <w:vAlign w:val="bottom"/>
            <w:tcBorders>
              <w:right w:val="single" w:sz="8" w:color="auto"/>
            </w:tcBorders>
            <w:vMerge w:val="continue"/>
          </w:tcPr>
          <w:p>
            <w:pPr>
              <w:spacing w:after="0"/>
              <w:rPr>
                <w:sz w:val="10"/>
                <w:szCs w:val="10"/>
                <w:color w:val="auto"/>
              </w:rPr>
            </w:pPr>
          </w:p>
        </w:tc>
        <w:tc>
          <w:tcPr>
            <w:tcW w:w="472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5"/>
                <w:szCs w:val="15"/>
                <w:color w:val="auto"/>
                <w:w w:val="96"/>
              </w:rPr>
              <w:t>Duration Psychedelic Agent</w:t>
            </w:r>
          </w:p>
        </w:tc>
        <w:tc>
          <w:tcPr>
            <w:tcW w:w="0" w:type="dxa"/>
            <w:vAlign w:val="bottom"/>
          </w:tcPr>
          <w:p>
            <w:pPr>
              <w:spacing w:after="0"/>
              <w:rPr>
                <w:sz w:val="1"/>
                <w:szCs w:val="1"/>
                <w:color w:val="auto"/>
              </w:rPr>
            </w:pPr>
          </w:p>
        </w:tc>
      </w:tr>
      <w:tr>
        <w:trPr>
          <w:trHeight w:val="75"/>
        </w:trPr>
        <w:tc>
          <w:tcPr>
            <w:tcW w:w="2980" w:type="dxa"/>
            <w:vAlign w:val="bottom"/>
            <w:tcBorders>
              <w:left w:val="single" w:sz="8" w:color="auto"/>
              <w:bottom w:val="single" w:sz="8" w:color="auto"/>
              <w:right w:val="single" w:sz="8" w:color="auto"/>
            </w:tcBorders>
          </w:tcPr>
          <w:p>
            <w:pPr>
              <w:spacing w:after="0"/>
              <w:rPr>
                <w:sz w:val="6"/>
                <w:szCs w:val="6"/>
                <w:color w:val="auto"/>
              </w:rPr>
            </w:pPr>
          </w:p>
        </w:tc>
        <w:tc>
          <w:tcPr>
            <w:tcW w:w="1840" w:type="dxa"/>
            <w:vAlign w:val="bottom"/>
            <w:tcBorders>
              <w:bottom w:val="single" w:sz="8" w:color="auto"/>
              <w:right w:val="single" w:sz="8" w:color="auto"/>
            </w:tcBorders>
          </w:tcPr>
          <w:p>
            <w:pPr>
              <w:spacing w:after="0"/>
              <w:rPr>
                <w:sz w:val="6"/>
                <w:szCs w:val="6"/>
                <w:color w:val="auto"/>
              </w:rPr>
            </w:pPr>
          </w:p>
        </w:tc>
        <w:tc>
          <w:tcPr>
            <w:tcW w:w="1740" w:type="dxa"/>
            <w:vAlign w:val="bottom"/>
            <w:tcBorders>
              <w:bottom w:val="single" w:sz="8" w:color="auto"/>
              <w:right w:val="single" w:sz="8" w:color="auto"/>
            </w:tcBorders>
          </w:tcPr>
          <w:p>
            <w:pPr>
              <w:spacing w:after="0"/>
              <w:rPr>
                <w:sz w:val="6"/>
                <w:szCs w:val="6"/>
                <w:color w:val="auto"/>
              </w:rPr>
            </w:pPr>
          </w:p>
        </w:tc>
        <w:tc>
          <w:tcPr>
            <w:tcW w:w="4720" w:type="dxa"/>
            <w:vAlign w:val="bottom"/>
            <w:tcBorders>
              <w:bottom w:val="single" w:sz="8" w:color="auto"/>
              <w:right w:val="single" w:sz="8" w:color="auto"/>
            </w:tcBorders>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39"/>
        </w:trPr>
        <w:tc>
          <w:tcPr>
            <w:tcW w:w="2980" w:type="dxa"/>
            <w:vAlign w:val="bottom"/>
            <w:tcBorders>
              <w:left w:val="single" w:sz="8" w:color="auto"/>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5"/>
                <w:szCs w:val="15"/>
                <w:color w:val="auto"/>
                <w:w w:val="96"/>
              </w:rPr>
              <w:t>PCT/EP2023/078480</w:t>
            </w:r>
          </w:p>
        </w:tc>
        <w:tc>
          <w:tcPr>
            <w:tcW w:w="184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5"/>
                <w:szCs w:val="15"/>
                <w:color w:val="auto"/>
                <w:w w:val="99"/>
              </w:rPr>
              <w:t>WIPO</w:t>
            </w:r>
          </w:p>
        </w:tc>
        <w:tc>
          <w:tcPr>
            <w:tcW w:w="174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5"/>
                <w:szCs w:val="15"/>
                <w:color w:val="auto"/>
                <w:w w:val="97"/>
              </w:rPr>
              <w:t>Pending</w:t>
            </w:r>
          </w:p>
        </w:tc>
        <w:tc>
          <w:tcPr>
            <w:tcW w:w="4720" w:type="dxa"/>
            <w:vAlign w:val="bottom"/>
            <w:tcBorders>
              <w:right w:val="single" w:sz="8" w:color="auto"/>
            </w:tcBorders>
          </w:tcPr>
          <w:p>
            <w:pPr>
              <w:jc w:val="center"/>
              <w:spacing w:after="0" w:line="139" w:lineRule="exact"/>
              <w:rPr>
                <w:sz w:val="20"/>
                <w:szCs w:val="20"/>
                <w:color w:val="auto"/>
              </w:rPr>
            </w:pPr>
            <w:r>
              <w:rPr>
                <w:rFonts w:ascii="Times New Roman" w:cs="Times New Roman" w:eastAsia="Times New Roman" w:hAnsi="Times New Roman"/>
                <w:sz w:val="15"/>
                <w:szCs w:val="15"/>
                <w:color w:val="auto"/>
                <w:w w:val="97"/>
              </w:rPr>
              <w:t>Method of Administration of a Parenteral Formulation Comprising a</w:t>
            </w:r>
          </w:p>
        </w:tc>
        <w:tc>
          <w:tcPr>
            <w:tcW w:w="0" w:type="dxa"/>
            <w:vAlign w:val="bottom"/>
          </w:tcPr>
          <w:p>
            <w:pPr>
              <w:spacing w:after="0"/>
              <w:rPr>
                <w:sz w:val="1"/>
                <w:szCs w:val="1"/>
                <w:color w:val="auto"/>
              </w:rPr>
            </w:pPr>
          </w:p>
        </w:tc>
      </w:tr>
      <w:tr>
        <w:trPr>
          <w:trHeight w:val="117"/>
        </w:trPr>
        <w:tc>
          <w:tcPr>
            <w:tcW w:w="2980" w:type="dxa"/>
            <w:vAlign w:val="bottom"/>
            <w:tcBorders>
              <w:left w:val="single" w:sz="8" w:color="auto"/>
              <w:right w:val="single" w:sz="8" w:color="auto"/>
            </w:tcBorders>
            <w:vMerge w:val="continue"/>
          </w:tcPr>
          <w:p>
            <w:pPr>
              <w:spacing w:after="0"/>
              <w:rPr>
                <w:sz w:val="10"/>
                <w:szCs w:val="10"/>
                <w:color w:val="auto"/>
              </w:rPr>
            </w:pPr>
          </w:p>
        </w:tc>
        <w:tc>
          <w:tcPr>
            <w:tcW w:w="1840" w:type="dxa"/>
            <w:vAlign w:val="bottom"/>
            <w:tcBorders>
              <w:right w:val="single" w:sz="8" w:color="auto"/>
            </w:tcBorders>
            <w:vMerge w:val="continue"/>
          </w:tcPr>
          <w:p>
            <w:pPr>
              <w:spacing w:after="0"/>
              <w:rPr>
                <w:sz w:val="10"/>
                <w:szCs w:val="10"/>
                <w:color w:val="auto"/>
              </w:rPr>
            </w:pPr>
          </w:p>
        </w:tc>
        <w:tc>
          <w:tcPr>
            <w:tcW w:w="1740" w:type="dxa"/>
            <w:vAlign w:val="bottom"/>
            <w:tcBorders>
              <w:right w:val="single" w:sz="8" w:color="auto"/>
            </w:tcBorders>
            <w:vMerge w:val="continue"/>
          </w:tcPr>
          <w:p>
            <w:pPr>
              <w:spacing w:after="0"/>
              <w:rPr>
                <w:sz w:val="10"/>
                <w:szCs w:val="10"/>
                <w:color w:val="auto"/>
              </w:rPr>
            </w:pPr>
          </w:p>
        </w:tc>
        <w:tc>
          <w:tcPr>
            <w:tcW w:w="472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5"/>
                <w:szCs w:val="15"/>
                <w:color w:val="auto"/>
                <w:w w:val="96"/>
              </w:rPr>
              <w:t>Psychedelic Agent</w:t>
            </w:r>
          </w:p>
        </w:tc>
        <w:tc>
          <w:tcPr>
            <w:tcW w:w="0" w:type="dxa"/>
            <w:vAlign w:val="bottom"/>
          </w:tcPr>
          <w:p>
            <w:pPr>
              <w:spacing w:after="0"/>
              <w:rPr>
                <w:sz w:val="1"/>
                <w:szCs w:val="1"/>
                <w:color w:val="auto"/>
              </w:rPr>
            </w:pPr>
          </w:p>
        </w:tc>
      </w:tr>
      <w:tr>
        <w:trPr>
          <w:trHeight w:val="75"/>
        </w:trPr>
        <w:tc>
          <w:tcPr>
            <w:tcW w:w="2980" w:type="dxa"/>
            <w:vAlign w:val="bottom"/>
            <w:tcBorders>
              <w:left w:val="single" w:sz="8" w:color="auto"/>
              <w:bottom w:val="single" w:sz="8" w:color="auto"/>
              <w:right w:val="single" w:sz="8" w:color="auto"/>
            </w:tcBorders>
          </w:tcPr>
          <w:p>
            <w:pPr>
              <w:spacing w:after="0"/>
              <w:rPr>
                <w:sz w:val="6"/>
                <w:szCs w:val="6"/>
                <w:color w:val="auto"/>
              </w:rPr>
            </w:pPr>
          </w:p>
        </w:tc>
        <w:tc>
          <w:tcPr>
            <w:tcW w:w="1840" w:type="dxa"/>
            <w:vAlign w:val="bottom"/>
            <w:tcBorders>
              <w:bottom w:val="single" w:sz="8" w:color="auto"/>
              <w:right w:val="single" w:sz="8" w:color="auto"/>
            </w:tcBorders>
          </w:tcPr>
          <w:p>
            <w:pPr>
              <w:spacing w:after="0"/>
              <w:rPr>
                <w:sz w:val="6"/>
                <w:szCs w:val="6"/>
                <w:color w:val="auto"/>
              </w:rPr>
            </w:pPr>
          </w:p>
        </w:tc>
        <w:tc>
          <w:tcPr>
            <w:tcW w:w="1740" w:type="dxa"/>
            <w:vAlign w:val="bottom"/>
            <w:tcBorders>
              <w:bottom w:val="single" w:sz="8" w:color="auto"/>
              <w:right w:val="single" w:sz="8" w:color="auto"/>
            </w:tcBorders>
          </w:tcPr>
          <w:p>
            <w:pPr>
              <w:spacing w:after="0"/>
              <w:rPr>
                <w:sz w:val="6"/>
                <w:szCs w:val="6"/>
                <w:color w:val="auto"/>
              </w:rPr>
            </w:pPr>
          </w:p>
        </w:tc>
        <w:tc>
          <w:tcPr>
            <w:tcW w:w="4720" w:type="dxa"/>
            <w:vAlign w:val="bottom"/>
            <w:tcBorders>
              <w:bottom w:val="single" w:sz="8" w:color="auto"/>
              <w:right w:val="single" w:sz="8" w:color="auto"/>
            </w:tcBorders>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39"/>
        </w:trPr>
        <w:tc>
          <w:tcPr>
            <w:tcW w:w="2980" w:type="dxa"/>
            <w:vAlign w:val="bottom"/>
            <w:tcBorders>
              <w:left w:val="single" w:sz="8" w:color="auto"/>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5"/>
                <w:szCs w:val="15"/>
                <w:color w:val="auto"/>
                <w:w w:val="96"/>
              </w:rPr>
              <w:t>PCT/EP2024/051569</w:t>
            </w:r>
          </w:p>
        </w:tc>
        <w:tc>
          <w:tcPr>
            <w:tcW w:w="184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5"/>
                <w:szCs w:val="15"/>
                <w:color w:val="auto"/>
                <w:w w:val="99"/>
              </w:rPr>
              <w:t>WIPO</w:t>
            </w:r>
          </w:p>
        </w:tc>
        <w:tc>
          <w:tcPr>
            <w:tcW w:w="174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5"/>
                <w:szCs w:val="15"/>
                <w:color w:val="auto"/>
                <w:w w:val="97"/>
              </w:rPr>
              <w:t>Pending</w:t>
            </w:r>
          </w:p>
        </w:tc>
        <w:tc>
          <w:tcPr>
            <w:tcW w:w="4720" w:type="dxa"/>
            <w:vAlign w:val="bottom"/>
            <w:tcBorders>
              <w:right w:val="single" w:sz="8" w:color="auto"/>
            </w:tcBorders>
          </w:tcPr>
          <w:p>
            <w:pPr>
              <w:jc w:val="center"/>
              <w:spacing w:after="0" w:line="139" w:lineRule="exact"/>
              <w:rPr>
                <w:sz w:val="20"/>
                <w:szCs w:val="20"/>
                <w:color w:val="auto"/>
              </w:rPr>
            </w:pPr>
            <w:r>
              <w:rPr>
                <w:rFonts w:ascii="Times New Roman" w:cs="Times New Roman" w:eastAsia="Times New Roman" w:hAnsi="Times New Roman"/>
                <w:sz w:val="15"/>
                <w:szCs w:val="15"/>
                <w:color w:val="auto"/>
                <w:w w:val="96"/>
              </w:rPr>
              <w:t>Treatment of Psychiatric or Neurological Disorders by Parenteral</w:t>
            </w:r>
          </w:p>
        </w:tc>
        <w:tc>
          <w:tcPr>
            <w:tcW w:w="0" w:type="dxa"/>
            <w:vAlign w:val="bottom"/>
          </w:tcPr>
          <w:p>
            <w:pPr>
              <w:spacing w:after="0"/>
              <w:rPr>
                <w:sz w:val="1"/>
                <w:szCs w:val="1"/>
                <w:color w:val="auto"/>
              </w:rPr>
            </w:pPr>
          </w:p>
        </w:tc>
      </w:tr>
      <w:tr>
        <w:trPr>
          <w:trHeight w:val="145"/>
        </w:trPr>
        <w:tc>
          <w:tcPr>
            <w:tcW w:w="2980" w:type="dxa"/>
            <w:vAlign w:val="bottom"/>
            <w:tcBorders>
              <w:left w:val="single" w:sz="8" w:color="auto"/>
              <w:right w:val="single" w:sz="8" w:color="auto"/>
            </w:tcBorders>
            <w:vMerge w:val="continue"/>
          </w:tcPr>
          <w:p>
            <w:pPr>
              <w:spacing w:after="0"/>
              <w:rPr>
                <w:sz w:val="12"/>
                <w:szCs w:val="12"/>
                <w:color w:val="auto"/>
              </w:rPr>
            </w:pPr>
          </w:p>
        </w:tc>
        <w:tc>
          <w:tcPr>
            <w:tcW w:w="1840" w:type="dxa"/>
            <w:vAlign w:val="bottom"/>
            <w:tcBorders>
              <w:right w:val="single" w:sz="8" w:color="auto"/>
            </w:tcBorders>
            <w:vMerge w:val="continue"/>
          </w:tcPr>
          <w:p>
            <w:pPr>
              <w:spacing w:after="0"/>
              <w:rPr>
                <w:sz w:val="12"/>
                <w:szCs w:val="12"/>
                <w:color w:val="auto"/>
              </w:rPr>
            </w:pPr>
          </w:p>
        </w:tc>
        <w:tc>
          <w:tcPr>
            <w:tcW w:w="1740" w:type="dxa"/>
            <w:vAlign w:val="bottom"/>
            <w:tcBorders>
              <w:right w:val="single" w:sz="8" w:color="auto"/>
            </w:tcBorders>
            <w:vMerge w:val="continue"/>
          </w:tcPr>
          <w:p>
            <w:pPr>
              <w:spacing w:after="0"/>
              <w:rPr>
                <w:sz w:val="12"/>
                <w:szCs w:val="12"/>
                <w:color w:val="auto"/>
              </w:rPr>
            </w:pPr>
          </w:p>
        </w:tc>
        <w:tc>
          <w:tcPr>
            <w:tcW w:w="4720" w:type="dxa"/>
            <w:vAlign w:val="bottom"/>
            <w:tcBorders>
              <w:right w:val="single" w:sz="8" w:color="auto"/>
            </w:tcBorders>
          </w:tcPr>
          <w:p>
            <w:pPr>
              <w:jc w:val="center"/>
              <w:spacing w:after="0" w:line="145" w:lineRule="exact"/>
              <w:rPr>
                <w:sz w:val="20"/>
                <w:szCs w:val="20"/>
                <w:color w:val="auto"/>
              </w:rPr>
            </w:pPr>
            <w:r>
              <w:rPr>
                <w:rFonts w:ascii="Times New Roman" w:cs="Times New Roman" w:eastAsia="Times New Roman" w:hAnsi="Times New Roman"/>
                <w:sz w:val="15"/>
                <w:szCs w:val="15"/>
                <w:color w:val="auto"/>
                <w:w w:val="96"/>
              </w:rPr>
              <w:t>Administration of a Single, Effective Parenteral Dose of A Short-Acting</w:t>
            </w:r>
          </w:p>
        </w:tc>
        <w:tc>
          <w:tcPr>
            <w:tcW w:w="0" w:type="dxa"/>
            <w:vAlign w:val="bottom"/>
          </w:tcPr>
          <w:p>
            <w:pPr>
              <w:spacing w:after="0"/>
              <w:rPr>
                <w:sz w:val="1"/>
                <w:szCs w:val="1"/>
                <w:color w:val="auto"/>
              </w:rPr>
            </w:pPr>
          </w:p>
        </w:tc>
      </w:tr>
      <w:tr>
        <w:trPr>
          <w:trHeight w:val="191"/>
        </w:trPr>
        <w:tc>
          <w:tcPr>
            <w:tcW w:w="2980" w:type="dxa"/>
            <w:vAlign w:val="bottom"/>
            <w:tcBorders>
              <w:left w:val="single" w:sz="8" w:color="auto"/>
              <w:bottom w:val="single" w:sz="8" w:color="auto"/>
              <w:right w:val="single" w:sz="8" w:color="auto"/>
            </w:tcBorders>
          </w:tcPr>
          <w:p>
            <w:pPr>
              <w:spacing w:after="0"/>
              <w:rPr>
                <w:sz w:val="16"/>
                <w:szCs w:val="16"/>
                <w:color w:val="auto"/>
              </w:rPr>
            </w:pPr>
          </w:p>
        </w:tc>
        <w:tc>
          <w:tcPr>
            <w:tcW w:w="1840" w:type="dxa"/>
            <w:vAlign w:val="bottom"/>
            <w:tcBorders>
              <w:bottom w:val="single" w:sz="8" w:color="auto"/>
              <w:right w:val="single" w:sz="8" w:color="auto"/>
            </w:tcBorders>
          </w:tcPr>
          <w:p>
            <w:pPr>
              <w:spacing w:after="0"/>
              <w:rPr>
                <w:sz w:val="16"/>
                <w:szCs w:val="16"/>
                <w:color w:val="auto"/>
              </w:rPr>
            </w:pPr>
          </w:p>
        </w:tc>
        <w:tc>
          <w:tcPr>
            <w:tcW w:w="1740" w:type="dxa"/>
            <w:vAlign w:val="bottom"/>
            <w:tcBorders>
              <w:bottom w:val="single" w:sz="8" w:color="auto"/>
              <w:right w:val="single" w:sz="8" w:color="auto"/>
            </w:tcBorders>
          </w:tcPr>
          <w:p>
            <w:pPr>
              <w:spacing w:after="0"/>
              <w:rPr>
                <w:sz w:val="16"/>
                <w:szCs w:val="16"/>
                <w:color w:val="auto"/>
              </w:rPr>
            </w:pPr>
          </w:p>
        </w:tc>
        <w:tc>
          <w:tcPr>
            <w:tcW w:w="47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w w:val="96"/>
              </w:rPr>
              <w:t>Psychedelic Agent</w:t>
            </w:r>
          </w:p>
        </w:tc>
        <w:tc>
          <w:tcPr>
            <w:tcW w:w="0" w:type="dxa"/>
            <w:vAlign w:val="bottom"/>
          </w:tcPr>
          <w:p>
            <w:pPr>
              <w:spacing w:after="0"/>
              <w:rPr>
                <w:sz w:val="1"/>
                <w:szCs w:val="1"/>
                <w:color w:val="auto"/>
              </w:rPr>
            </w:pPr>
          </w:p>
        </w:tc>
      </w:tr>
      <w:tr>
        <w:trPr>
          <w:trHeight w:val="186"/>
        </w:trPr>
        <w:tc>
          <w:tcPr>
            <w:tcW w:w="298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w w:val="95"/>
              </w:rPr>
              <w:t>22214748.0</w:t>
            </w:r>
          </w:p>
        </w:tc>
        <w:tc>
          <w:tcPr>
            <w:tcW w:w="18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w w:val="96"/>
              </w:rPr>
              <w:t>European Patent Office</w:t>
            </w:r>
          </w:p>
        </w:tc>
        <w:tc>
          <w:tcPr>
            <w:tcW w:w="17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w w:val="97"/>
              </w:rPr>
              <w:t>Pending</w:t>
            </w:r>
          </w:p>
        </w:tc>
        <w:tc>
          <w:tcPr>
            <w:tcW w:w="47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w w:val="96"/>
              </w:rPr>
              <w:t>Method of Synthesis</w:t>
            </w:r>
          </w:p>
        </w:tc>
        <w:tc>
          <w:tcPr>
            <w:tcW w:w="0" w:type="dxa"/>
            <w:vAlign w:val="bottom"/>
          </w:tcPr>
          <w:p>
            <w:pPr>
              <w:spacing w:after="0"/>
              <w:rPr>
                <w:sz w:val="1"/>
                <w:szCs w:val="1"/>
                <w:color w:val="auto"/>
              </w:rPr>
            </w:pPr>
          </w:p>
        </w:tc>
      </w:tr>
      <w:tr>
        <w:trPr>
          <w:trHeight w:val="186"/>
        </w:trPr>
        <w:tc>
          <w:tcPr>
            <w:tcW w:w="298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w w:val="97"/>
              </w:rPr>
              <w:t>202217028688</w:t>
            </w:r>
          </w:p>
        </w:tc>
        <w:tc>
          <w:tcPr>
            <w:tcW w:w="18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w w:val="97"/>
              </w:rPr>
              <w:t>India</w:t>
            </w:r>
          </w:p>
        </w:tc>
        <w:tc>
          <w:tcPr>
            <w:tcW w:w="17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w w:val="97"/>
              </w:rPr>
              <w:t>Pending</w:t>
            </w:r>
          </w:p>
        </w:tc>
        <w:tc>
          <w:tcPr>
            <w:tcW w:w="47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w w:val="96"/>
              </w:rPr>
              <w:t>Method of Synthesis</w:t>
            </w:r>
          </w:p>
        </w:tc>
        <w:tc>
          <w:tcPr>
            <w:tcW w:w="0" w:type="dxa"/>
            <w:vAlign w:val="bottom"/>
          </w:tcPr>
          <w:p>
            <w:pPr>
              <w:spacing w:after="0"/>
              <w:rPr>
                <w:sz w:val="1"/>
                <w:szCs w:val="1"/>
                <w:color w:val="auto"/>
              </w:rPr>
            </w:pPr>
          </w:p>
        </w:tc>
      </w:tr>
      <w:tr>
        <w:trPr>
          <w:trHeight w:val="186"/>
        </w:trPr>
        <w:tc>
          <w:tcPr>
            <w:tcW w:w="298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w w:val="97"/>
              </w:rPr>
              <w:t>292754</w:t>
            </w:r>
          </w:p>
        </w:tc>
        <w:tc>
          <w:tcPr>
            <w:tcW w:w="18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rPr>
              <w:t>Israel</w:t>
            </w:r>
          </w:p>
        </w:tc>
        <w:tc>
          <w:tcPr>
            <w:tcW w:w="17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w w:val="97"/>
              </w:rPr>
              <w:t>Pending</w:t>
            </w:r>
          </w:p>
        </w:tc>
        <w:tc>
          <w:tcPr>
            <w:tcW w:w="47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w w:val="96"/>
              </w:rPr>
              <w:t>Method of Synthesis</w:t>
            </w:r>
          </w:p>
        </w:tc>
        <w:tc>
          <w:tcPr>
            <w:tcW w:w="0" w:type="dxa"/>
            <w:vAlign w:val="bottom"/>
          </w:tcPr>
          <w:p>
            <w:pPr>
              <w:spacing w:after="0"/>
              <w:rPr>
                <w:sz w:val="1"/>
                <w:szCs w:val="1"/>
                <w:color w:val="auto"/>
              </w:rPr>
            </w:pPr>
          </w:p>
        </w:tc>
      </w:tr>
      <w:tr>
        <w:trPr>
          <w:trHeight w:val="139"/>
        </w:trPr>
        <w:tc>
          <w:tcPr>
            <w:tcW w:w="2980" w:type="dxa"/>
            <w:vAlign w:val="bottom"/>
            <w:tcBorders>
              <w:left w:val="single" w:sz="8" w:color="auto"/>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5"/>
                <w:szCs w:val="15"/>
                <w:color w:val="auto"/>
                <w:w w:val="95"/>
              </w:rPr>
              <w:t>21203394.8</w:t>
            </w:r>
          </w:p>
        </w:tc>
        <w:tc>
          <w:tcPr>
            <w:tcW w:w="184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5"/>
                <w:szCs w:val="15"/>
                <w:color w:val="auto"/>
                <w:w w:val="96"/>
              </w:rPr>
              <w:t>European Patent Office</w:t>
            </w:r>
          </w:p>
        </w:tc>
        <w:tc>
          <w:tcPr>
            <w:tcW w:w="174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5"/>
                <w:szCs w:val="15"/>
                <w:color w:val="auto"/>
                <w:w w:val="97"/>
              </w:rPr>
              <w:t>Pending</w:t>
            </w:r>
          </w:p>
        </w:tc>
        <w:tc>
          <w:tcPr>
            <w:tcW w:w="4720" w:type="dxa"/>
            <w:vAlign w:val="bottom"/>
            <w:tcBorders>
              <w:right w:val="single" w:sz="8" w:color="auto"/>
            </w:tcBorders>
          </w:tcPr>
          <w:p>
            <w:pPr>
              <w:jc w:val="center"/>
              <w:spacing w:after="0" w:line="139" w:lineRule="exact"/>
              <w:rPr>
                <w:sz w:val="20"/>
                <w:szCs w:val="20"/>
                <w:color w:val="auto"/>
              </w:rPr>
            </w:pPr>
            <w:r>
              <w:rPr>
                <w:rFonts w:ascii="Times New Roman" w:cs="Times New Roman" w:eastAsia="Times New Roman" w:hAnsi="Times New Roman"/>
                <w:sz w:val="15"/>
                <w:szCs w:val="15"/>
                <w:color w:val="auto"/>
                <w:w w:val="96"/>
              </w:rPr>
              <w:t>Solid Oral Dosage Forms of 2R,6R-Hydroxynorketamine or Derivatives</w:t>
            </w:r>
          </w:p>
        </w:tc>
        <w:tc>
          <w:tcPr>
            <w:tcW w:w="0" w:type="dxa"/>
            <w:vAlign w:val="bottom"/>
          </w:tcPr>
          <w:p>
            <w:pPr>
              <w:spacing w:after="0"/>
              <w:rPr>
                <w:sz w:val="1"/>
                <w:szCs w:val="1"/>
                <w:color w:val="auto"/>
              </w:rPr>
            </w:pPr>
          </w:p>
        </w:tc>
      </w:tr>
      <w:tr>
        <w:trPr>
          <w:trHeight w:val="117"/>
        </w:trPr>
        <w:tc>
          <w:tcPr>
            <w:tcW w:w="2980" w:type="dxa"/>
            <w:vAlign w:val="bottom"/>
            <w:tcBorders>
              <w:left w:val="single" w:sz="8" w:color="auto"/>
              <w:right w:val="single" w:sz="8" w:color="auto"/>
            </w:tcBorders>
            <w:vMerge w:val="continue"/>
          </w:tcPr>
          <w:p>
            <w:pPr>
              <w:spacing w:after="0"/>
              <w:rPr>
                <w:sz w:val="10"/>
                <w:szCs w:val="10"/>
                <w:color w:val="auto"/>
              </w:rPr>
            </w:pPr>
          </w:p>
        </w:tc>
        <w:tc>
          <w:tcPr>
            <w:tcW w:w="1840" w:type="dxa"/>
            <w:vAlign w:val="bottom"/>
            <w:tcBorders>
              <w:right w:val="single" w:sz="8" w:color="auto"/>
            </w:tcBorders>
            <w:vMerge w:val="continue"/>
          </w:tcPr>
          <w:p>
            <w:pPr>
              <w:spacing w:after="0"/>
              <w:rPr>
                <w:sz w:val="10"/>
                <w:szCs w:val="10"/>
                <w:color w:val="auto"/>
              </w:rPr>
            </w:pPr>
          </w:p>
        </w:tc>
        <w:tc>
          <w:tcPr>
            <w:tcW w:w="1740" w:type="dxa"/>
            <w:vAlign w:val="bottom"/>
            <w:tcBorders>
              <w:right w:val="single" w:sz="8" w:color="auto"/>
            </w:tcBorders>
            <w:vMerge w:val="continue"/>
          </w:tcPr>
          <w:p>
            <w:pPr>
              <w:spacing w:after="0"/>
              <w:rPr>
                <w:sz w:val="10"/>
                <w:szCs w:val="10"/>
                <w:color w:val="auto"/>
              </w:rPr>
            </w:pPr>
          </w:p>
        </w:tc>
        <w:tc>
          <w:tcPr>
            <w:tcW w:w="472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5"/>
                <w:szCs w:val="15"/>
                <w:color w:val="auto"/>
                <w:w w:val="92"/>
              </w:rPr>
              <w:t>Thereof</w:t>
            </w:r>
          </w:p>
        </w:tc>
        <w:tc>
          <w:tcPr>
            <w:tcW w:w="0" w:type="dxa"/>
            <w:vAlign w:val="bottom"/>
          </w:tcPr>
          <w:p>
            <w:pPr>
              <w:spacing w:after="0"/>
              <w:rPr>
                <w:sz w:val="1"/>
                <w:szCs w:val="1"/>
                <w:color w:val="auto"/>
              </w:rPr>
            </w:pPr>
          </w:p>
        </w:tc>
      </w:tr>
      <w:tr>
        <w:trPr>
          <w:trHeight w:val="75"/>
        </w:trPr>
        <w:tc>
          <w:tcPr>
            <w:tcW w:w="2980" w:type="dxa"/>
            <w:vAlign w:val="bottom"/>
            <w:tcBorders>
              <w:left w:val="single" w:sz="8" w:color="auto"/>
              <w:bottom w:val="single" w:sz="8" w:color="auto"/>
              <w:right w:val="single" w:sz="8" w:color="auto"/>
            </w:tcBorders>
          </w:tcPr>
          <w:p>
            <w:pPr>
              <w:spacing w:after="0"/>
              <w:rPr>
                <w:sz w:val="6"/>
                <w:szCs w:val="6"/>
                <w:color w:val="auto"/>
              </w:rPr>
            </w:pPr>
          </w:p>
        </w:tc>
        <w:tc>
          <w:tcPr>
            <w:tcW w:w="1840" w:type="dxa"/>
            <w:vAlign w:val="bottom"/>
            <w:tcBorders>
              <w:bottom w:val="single" w:sz="8" w:color="auto"/>
              <w:right w:val="single" w:sz="8" w:color="auto"/>
            </w:tcBorders>
          </w:tcPr>
          <w:p>
            <w:pPr>
              <w:spacing w:after="0"/>
              <w:rPr>
                <w:sz w:val="6"/>
                <w:szCs w:val="6"/>
                <w:color w:val="auto"/>
              </w:rPr>
            </w:pPr>
          </w:p>
        </w:tc>
        <w:tc>
          <w:tcPr>
            <w:tcW w:w="1740" w:type="dxa"/>
            <w:vAlign w:val="bottom"/>
            <w:tcBorders>
              <w:bottom w:val="single" w:sz="8" w:color="auto"/>
              <w:right w:val="single" w:sz="8" w:color="auto"/>
            </w:tcBorders>
          </w:tcPr>
          <w:p>
            <w:pPr>
              <w:spacing w:after="0"/>
              <w:rPr>
                <w:sz w:val="6"/>
                <w:szCs w:val="6"/>
                <w:color w:val="auto"/>
              </w:rPr>
            </w:pPr>
          </w:p>
        </w:tc>
        <w:tc>
          <w:tcPr>
            <w:tcW w:w="4720" w:type="dxa"/>
            <w:vAlign w:val="bottom"/>
            <w:tcBorders>
              <w:bottom w:val="single" w:sz="8" w:color="auto"/>
              <w:right w:val="single" w:sz="8" w:color="auto"/>
            </w:tcBorders>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6"/>
        </w:trPr>
        <w:tc>
          <w:tcPr>
            <w:tcW w:w="298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w w:val="97"/>
              </w:rPr>
              <w:t>18/602,171</w:t>
            </w:r>
          </w:p>
        </w:tc>
        <w:tc>
          <w:tcPr>
            <w:tcW w:w="18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w w:val="95"/>
              </w:rPr>
              <w:t>United States of America</w:t>
            </w:r>
          </w:p>
        </w:tc>
        <w:tc>
          <w:tcPr>
            <w:tcW w:w="17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w w:val="97"/>
              </w:rPr>
              <w:t>Pending</w:t>
            </w:r>
          </w:p>
        </w:tc>
        <w:tc>
          <w:tcPr>
            <w:tcW w:w="47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w w:val="96"/>
              </w:rPr>
              <w:t>Synthesis of N,N-Dimethyltryptamine-Type Compounds, Methods, and Uses</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34</w:t>
      </w:r>
    </w:p>
    <w:p>
      <w:pPr>
        <w:sectPr>
          <w:pgSz w:w="11900" w:h="16838" w:orient="portrait"/>
          <w:cols w:equalWidth="0" w:num="1">
            <w:col w:w="11260"/>
          </w:cols>
          <w:pgMar w:left="320" w:top="1304" w:right="319" w:bottom="1440" w:gutter="0" w:footer="0" w:header="0"/>
        </w:sectPr>
      </w:pPr>
    </w:p>
    <w:bookmarkStart w:id="60" w:name="page61"/>
    <w:bookmarkEnd w:id="60"/>
    <w:tbl>
      <w:tblPr>
        <w:tblLayout w:type="fixed"/>
        <w:tblInd w:w="10" w:type="dxa"/>
        <w:tblCellMar>
          <w:top w:w="0" w:type="dxa"/>
          <w:left w:w="0" w:type="dxa"/>
          <w:bottom w:w="0" w:type="dxa"/>
          <w:right w:w="0" w:type="dxa"/>
        </w:tblCellMar>
      </w:tblPr>
      <w:tr>
        <w:trPr>
          <w:trHeight w:val="206"/>
        </w:trPr>
        <w:tc>
          <w:tcPr>
            <w:tcW w:w="2980" w:type="dxa"/>
            <w:vAlign w:val="bottom"/>
            <w:tcBorders>
              <w:top w:val="single" w:sz="8" w:color="auto"/>
              <w:left w:val="single" w:sz="8" w:color="auto"/>
              <w:bottom w:val="single" w:sz="8" w:color="auto"/>
              <w:right w:val="single" w:sz="8" w:color="auto"/>
            </w:tcBorders>
            <w:shd w:val="clear" w:color="auto" w:fill="BFBFBF"/>
          </w:tcPr>
          <w:p>
            <w:pPr>
              <w:ind w:left="620"/>
              <w:spacing w:after="0"/>
              <w:rPr>
                <w:sz w:val="20"/>
                <w:szCs w:val="20"/>
                <w:color w:val="auto"/>
              </w:rPr>
            </w:pPr>
            <w:r>
              <w:rPr>
                <w:rFonts w:ascii="Times New Roman" w:cs="Times New Roman" w:eastAsia="Times New Roman" w:hAnsi="Times New Roman"/>
                <w:sz w:val="15"/>
                <w:szCs w:val="15"/>
                <w:b w:val="1"/>
                <w:bCs w:val="1"/>
                <w:color w:val="auto"/>
              </w:rPr>
              <w:t>Patent Application Number</w:t>
            </w:r>
          </w:p>
        </w:tc>
        <w:tc>
          <w:tcPr>
            <w:tcW w:w="1840" w:type="dxa"/>
            <w:vAlign w:val="bottom"/>
            <w:tcBorders>
              <w:top w:val="single" w:sz="8" w:color="auto"/>
              <w:bottom w:val="single" w:sz="8" w:color="auto"/>
              <w:right w:val="single" w:sz="8" w:color="auto"/>
            </w:tcBorders>
            <w:shd w:val="clear" w:color="auto" w:fill="BFBFBF"/>
          </w:tcPr>
          <w:p>
            <w:pPr>
              <w:jc w:val="center"/>
              <w:spacing w:after="0"/>
              <w:rPr>
                <w:sz w:val="20"/>
                <w:szCs w:val="20"/>
                <w:color w:val="auto"/>
              </w:rPr>
            </w:pPr>
            <w:r>
              <w:rPr>
                <w:rFonts w:ascii="Times New Roman" w:cs="Times New Roman" w:eastAsia="Times New Roman" w:hAnsi="Times New Roman"/>
                <w:sz w:val="15"/>
                <w:szCs w:val="15"/>
                <w:b w:val="1"/>
                <w:bCs w:val="1"/>
                <w:color w:val="auto"/>
                <w:w w:val="96"/>
              </w:rPr>
              <w:t>Jurisdiction of Filing</w:t>
            </w:r>
          </w:p>
        </w:tc>
        <w:tc>
          <w:tcPr>
            <w:tcW w:w="1740" w:type="dxa"/>
            <w:vAlign w:val="bottom"/>
            <w:tcBorders>
              <w:top w:val="single" w:sz="8" w:color="auto"/>
              <w:bottom w:val="single" w:sz="8" w:color="auto"/>
              <w:right w:val="single" w:sz="8" w:color="auto"/>
            </w:tcBorders>
            <w:shd w:val="clear" w:color="auto" w:fill="BFBFBF"/>
          </w:tcPr>
          <w:p>
            <w:pPr>
              <w:jc w:val="center"/>
              <w:spacing w:after="0"/>
              <w:rPr>
                <w:sz w:val="20"/>
                <w:szCs w:val="20"/>
                <w:color w:val="auto"/>
              </w:rPr>
            </w:pPr>
            <w:r>
              <w:rPr>
                <w:rFonts w:ascii="Times New Roman" w:cs="Times New Roman" w:eastAsia="Times New Roman" w:hAnsi="Times New Roman"/>
                <w:sz w:val="15"/>
                <w:szCs w:val="15"/>
                <w:b w:val="1"/>
                <w:bCs w:val="1"/>
                <w:color w:val="auto"/>
                <w:w w:val="99"/>
              </w:rPr>
              <w:t>Status</w:t>
            </w:r>
          </w:p>
        </w:tc>
        <w:tc>
          <w:tcPr>
            <w:tcW w:w="4720" w:type="dxa"/>
            <w:vAlign w:val="bottom"/>
            <w:tcBorders>
              <w:top w:val="single" w:sz="8" w:color="auto"/>
              <w:bottom w:val="single" w:sz="8" w:color="auto"/>
              <w:right w:val="single" w:sz="8" w:color="auto"/>
            </w:tcBorders>
            <w:shd w:val="clear" w:color="auto" w:fill="BFBFBF"/>
          </w:tcPr>
          <w:p>
            <w:pPr>
              <w:jc w:val="center"/>
              <w:spacing w:after="0"/>
              <w:rPr>
                <w:sz w:val="20"/>
                <w:szCs w:val="20"/>
                <w:color w:val="auto"/>
              </w:rPr>
            </w:pPr>
            <w:r>
              <w:rPr>
                <w:rFonts w:ascii="Times New Roman" w:cs="Times New Roman" w:eastAsia="Times New Roman" w:hAnsi="Times New Roman"/>
                <w:sz w:val="15"/>
                <w:szCs w:val="15"/>
                <w:b w:val="1"/>
                <w:bCs w:val="1"/>
                <w:color w:val="auto"/>
                <w:w w:val="97"/>
              </w:rPr>
              <w:t>Description</w:t>
            </w:r>
          </w:p>
        </w:tc>
        <w:tc>
          <w:tcPr>
            <w:tcW w:w="0" w:type="dxa"/>
            <w:vAlign w:val="bottom"/>
          </w:tcPr>
          <w:p>
            <w:pPr>
              <w:spacing w:after="0"/>
              <w:rPr>
                <w:sz w:val="1"/>
                <w:szCs w:val="1"/>
                <w:color w:val="auto"/>
              </w:rPr>
            </w:pPr>
          </w:p>
        </w:tc>
      </w:tr>
      <w:tr>
        <w:trPr>
          <w:trHeight w:val="183"/>
        </w:trPr>
        <w:tc>
          <w:tcPr>
            <w:tcW w:w="298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w w:val="94"/>
              </w:rPr>
              <w:t>110119792</w:t>
            </w:r>
          </w:p>
        </w:tc>
        <w:tc>
          <w:tcPr>
            <w:tcW w:w="18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w w:val="93"/>
              </w:rPr>
              <w:t>Taiwan</w:t>
            </w:r>
          </w:p>
        </w:tc>
        <w:tc>
          <w:tcPr>
            <w:tcW w:w="17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w w:val="97"/>
              </w:rPr>
              <w:t>Pending</w:t>
            </w:r>
          </w:p>
        </w:tc>
        <w:tc>
          <w:tcPr>
            <w:tcW w:w="47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w w:val="95"/>
              </w:rPr>
              <w:t>Therapeutic Compositions</w:t>
            </w:r>
          </w:p>
        </w:tc>
        <w:tc>
          <w:tcPr>
            <w:tcW w:w="0" w:type="dxa"/>
            <w:vAlign w:val="bottom"/>
          </w:tcPr>
          <w:p>
            <w:pPr>
              <w:spacing w:after="0"/>
              <w:rPr>
                <w:sz w:val="1"/>
                <w:szCs w:val="1"/>
                <w:color w:val="auto"/>
              </w:rPr>
            </w:pPr>
          </w:p>
        </w:tc>
      </w:tr>
      <w:tr>
        <w:trPr>
          <w:trHeight w:val="139"/>
        </w:trPr>
        <w:tc>
          <w:tcPr>
            <w:tcW w:w="2980" w:type="dxa"/>
            <w:vAlign w:val="bottom"/>
            <w:tcBorders>
              <w:left w:val="single" w:sz="8" w:color="auto"/>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5"/>
                <w:szCs w:val="15"/>
                <w:color w:val="auto"/>
                <w:w w:val="96"/>
              </w:rPr>
              <w:t>1120220245661</w:t>
            </w:r>
          </w:p>
        </w:tc>
        <w:tc>
          <w:tcPr>
            <w:tcW w:w="184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5"/>
                <w:szCs w:val="15"/>
                <w:color w:val="auto"/>
                <w:w w:val="92"/>
              </w:rPr>
              <w:t>Brazil</w:t>
            </w:r>
          </w:p>
        </w:tc>
        <w:tc>
          <w:tcPr>
            <w:tcW w:w="174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5"/>
                <w:szCs w:val="15"/>
                <w:color w:val="auto"/>
                <w:w w:val="97"/>
              </w:rPr>
              <w:t>Pending</w:t>
            </w:r>
          </w:p>
        </w:tc>
        <w:tc>
          <w:tcPr>
            <w:tcW w:w="4720" w:type="dxa"/>
            <w:vAlign w:val="bottom"/>
            <w:tcBorders>
              <w:right w:val="single" w:sz="8" w:color="auto"/>
            </w:tcBorders>
          </w:tcPr>
          <w:p>
            <w:pPr>
              <w:jc w:val="center"/>
              <w:spacing w:after="0" w:line="139" w:lineRule="exact"/>
              <w:rPr>
                <w:sz w:val="20"/>
                <w:szCs w:val="20"/>
                <w:color w:val="auto"/>
              </w:rPr>
            </w:pPr>
            <w:r>
              <w:rPr>
                <w:rFonts w:ascii="Times New Roman" w:cs="Times New Roman" w:eastAsia="Times New Roman" w:hAnsi="Times New Roman"/>
                <w:sz w:val="15"/>
                <w:szCs w:val="15"/>
                <w:color w:val="auto"/>
                <w:w w:val="96"/>
              </w:rPr>
              <w:t>Therapeutic Compositions Comprising Deuterated or Partially Deuterated N,N-</w:t>
            </w:r>
          </w:p>
        </w:tc>
        <w:tc>
          <w:tcPr>
            <w:tcW w:w="0" w:type="dxa"/>
            <w:vAlign w:val="bottom"/>
          </w:tcPr>
          <w:p>
            <w:pPr>
              <w:spacing w:after="0"/>
              <w:rPr>
                <w:sz w:val="1"/>
                <w:szCs w:val="1"/>
                <w:color w:val="auto"/>
              </w:rPr>
            </w:pPr>
          </w:p>
        </w:tc>
      </w:tr>
      <w:tr>
        <w:trPr>
          <w:trHeight w:val="117"/>
        </w:trPr>
        <w:tc>
          <w:tcPr>
            <w:tcW w:w="2980" w:type="dxa"/>
            <w:vAlign w:val="bottom"/>
            <w:tcBorders>
              <w:left w:val="single" w:sz="8" w:color="auto"/>
              <w:right w:val="single" w:sz="8" w:color="auto"/>
            </w:tcBorders>
            <w:vMerge w:val="continue"/>
          </w:tcPr>
          <w:p>
            <w:pPr>
              <w:spacing w:after="0"/>
              <w:rPr>
                <w:sz w:val="10"/>
                <w:szCs w:val="10"/>
                <w:color w:val="auto"/>
              </w:rPr>
            </w:pPr>
          </w:p>
        </w:tc>
        <w:tc>
          <w:tcPr>
            <w:tcW w:w="1840" w:type="dxa"/>
            <w:vAlign w:val="bottom"/>
            <w:tcBorders>
              <w:right w:val="single" w:sz="8" w:color="auto"/>
            </w:tcBorders>
            <w:vMerge w:val="continue"/>
          </w:tcPr>
          <w:p>
            <w:pPr>
              <w:spacing w:after="0"/>
              <w:rPr>
                <w:sz w:val="10"/>
                <w:szCs w:val="10"/>
                <w:color w:val="auto"/>
              </w:rPr>
            </w:pPr>
          </w:p>
        </w:tc>
        <w:tc>
          <w:tcPr>
            <w:tcW w:w="1740" w:type="dxa"/>
            <w:vAlign w:val="bottom"/>
            <w:tcBorders>
              <w:right w:val="single" w:sz="8" w:color="auto"/>
            </w:tcBorders>
            <w:vMerge w:val="continue"/>
          </w:tcPr>
          <w:p>
            <w:pPr>
              <w:spacing w:after="0"/>
              <w:rPr>
                <w:sz w:val="10"/>
                <w:szCs w:val="10"/>
                <w:color w:val="auto"/>
              </w:rPr>
            </w:pPr>
          </w:p>
        </w:tc>
        <w:tc>
          <w:tcPr>
            <w:tcW w:w="472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5"/>
                <w:szCs w:val="15"/>
                <w:color w:val="auto"/>
                <w:w w:val="96"/>
              </w:rPr>
              <w:t>Dimethyltryptamine Compounds</w:t>
            </w:r>
          </w:p>
        </w:tc>
        <w:tc>
          <w:tcPr>
            <w:tcW w:w="0" w:type="dxa"/>
            <w:vAlign w:val="bottom"/>
          </w:tcPr>
          <w:p>
            <w:pPr>
              <w:spacing w:after="0"/>
              <w:rPr>
                <w:sz w:val="1"/>
                <w:szCs w:val="1"/>
                <w:color w:val="auto"/>
              </w:rPr>
            </w:pPr>
          </w:p>
        </w:tc>
      </w:tr>
      <w:tr>
        <w:trPr>
          <w:trHeight w:val="75"/>
        </w:trPr>
        <w:tc>
          <w:tcPr>
            <w:tcW w:w="2980" w:type="dxa"/>
            <w:vAlign w:val="bottom"/>
            <w:tcBorders>
              <w:left w:val="single" w:sz="8" w:color="auto"/>
              <w:bottom w:val="single" w:sz="8" w:color="auto"/>
              <w:right w:val="single" w:sz="8" w:color="auto"/>
            </w:tcBorders>
          </w:tcPr>
          <w:p>
            <w:pPr>
              <w:spacing w:after="0"/>
              <w:rPr>
                <w:sz w:val="6"/>
                <w:szCs w:val="6"/>
                <w:color w:val="auto"/>
              </w:rPr>
            </w:pPr>
          </w:p>
        </w:tc>
        <w:tc>
          <w:tcPr>
            <w:tcW w:w="1840" w:type="dxa"/>
            <w:vAlign w:val="bottom"/>
            <w:tcBorders>
              <w:bottom w:val="single" w:sz="8" w:color="auto"/>
              <w:right w:val="single" w:sz="8" w:color="auto"/>
            </w:tcBorders>
          </w:tcPr>
          <w:p>
            <w:pPr>
              <w:spacing w:after="0"/>
              <w:rPr>
                <w:sz w:val="6"/>
                <w:szCs w:val="6"/>
                <w:color w:val="auto"/>
              </w:rPr>
            </w:pPr>
          </w:p>
        </w:tc>
        <w:tc>
          <w:tcPr>
            <w:tcW w:w="1740" w:type="dxa"/>
            <w:vAlign w:val="bottom"/>
            <w:tcBorders>
              <w:bottom w:val="single" w:sz="8" w:color="auto"/>
              <w:right w:val="single" w:sz="8" w:color="auto"/>
            </w:tcBorders>
          </w:tcPr>
          <w:p>
            <w:pPr>
              <w:spacing w:after="0"/>
              <w:rPr>
                <w:sz w:val="6"/>
                <w:szCs w:val="6"/>
                <w:color w:val="auto"/>
              </w:rPr>
            </w:pPr>
          </w:p>
        </w:tc>
        <w:tc>
          <w:tcPr>
            <w:tcW w:w="4720" w:type="dxa"/>
            <w:vAlign w:val="bottom"/>
            <w:tcBorders>
              <w:bottom w:val="single" w:sz="8" w:color="auto"/>
              <w:right w:val="single" w:sz="8" w:color="auto"/>
            </w:tcBorders>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39"/>
        </w:trPr>
        <w:tc>
          <w:tcPr>
            <w:tcW w:w="2980" w:type="dxa"/>
            <w:vAlign w:val="bottom"/>
            <w:tcBorders>
              <w:left w:val="single" w:sz="8" w:color="auto"/>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5"/>
                <w:szCs w:val="15"/>
                <w:color w:val="auto"/>
                <w:w w:val="95"/>
              </w:rPr>
              <w:t>202180046463.X</w:t>
            </w:r>
          </w:p>
        </w:tc>
        <w:tc>
          <w:tcPr>
            <w:tcW w:w="184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5"/>
                <w:szCs w:val="15"/>
                <w:color w:val="auto"/>
                <w:w w:val="94"/>
              </w:rPr>
              <w:t>China</w:t>
            </w:r>
          </w:p>
        </w:tc>
        <w:tc>
          <w:tcPr>
            <w:tcW w:w="174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5"/>
                <w:szCs w:val="15"/>
                <w:color w:val="auto"/>
                <w:w w:val="97"/>
              </w:rPr>
              <w:t>Pending</w:t>
            </w:r>
          </w:p>
        </w:tc>
        <w:tc>
          <w:tcPr>
            <w:tcW w:w="4720" w:type="dxa"/>
            <w:vAlign w:val="bottom"/>
            <w:tcBorders>
              <w:right w:val="single" w:sz="8" w:color="auto"/>
            </w:tcBorders>
          </w:tcPr>
          <w:p>
            <w:pPr>
              <w:jc w:val="center"/>
              <w:spacing w:after="0" w:line="139" w:lineRule="exact"/>
              <w:rPr>
                <w:sz w:val="20"/>
                <w:szCs w:val="20"/>
                <w:color w:val="auto"/>
              </w:rPr>
            </w:pPr>
            <w:r>
              <w:rPr>
                <w:rFonts w:ascii="Times New Roman" w:cs="Times New Roman" w:eastAsia="Times New Roman" w:hAnsi="Times New Roman"/>
                <w:sz w:val="15"/>
                <w:szCs w:val="15"/>
                <w:color w:val="auto"/>
                <w:w w:val="96"/>
              </w:rPr>
              <w:t>Therapeutic Compositions Comprising Deuterated or Partially Deuterated N,N-</w:t>
            </w:r>
          </w:p>
        </w:tc>
        <w:tc>
          <w:tcPr>
            <w:tcW w:w="0" w:type="dxa"/>
            <w:vAlign w:val="bottom"/>
          </w:tcPr>
          <w:p>
            <w:pPr>
              <w:spacing w:after="0"/>
              <w:rPr>
                <w:sz w:val="1"/>
                <w:szCs w:val="1"/>
                <w:color w:val="auto"/>
              </w:rPr>
            </w:pPr>
          </w:p>
        </w:tc>
      </w:tr>
      <w:tr>
        <w:trPr>
          <w:trHeight w:val="117"/>
        </w:trPr>
        <w:tc>
          <w:tcPr>
            <w:tcW w:w="2980" w:type="dxa"/>
            <w:vAlign w:val="bottom"/>
            <w:tcBorders>
              <w:left w:val="single" w:sz="8" w:color="auto"/>
              <w:right w:val="single" w:sz="8" w:color="auto"/>
            </w:tcBorders>
            <w:vMerge w:val="continue"/>
          </w:tcPr>
          <w:p>
            <w:pPr>
              <w:spacing w:after="0"/>
              <w:rPr>
                <w:sz w:val="10"/>
                <w:szCs w:val="10"/>
                <w:color w:val="auto"/>
              </w:rPr>
            </w:pPr>
          </w:p>
        </w:tc>
        <w:tc>
          <w:tcPr>
            <w:tcW w:w="1840" w:type="dxa"/>
            <w:vAlign w:val="bottom"/>
            <w:tcBorders>
              <w:right w:val="single" w:sz="8" w:color="auto"/>
            </w:tcBorders>
            <w:vMerge w:val="continue"/>
          </w:tcPr>
          <w:p>
            <w:pPr>
              <w:spacing w:after="0"/>
              <w:rPr>
                <w:sz w:val="10"/>
                <w:szCs w:val="10"/>
                <w:color w:val="auto"/>
              </w:rPr>
            </w:pPr>
          </w:p>
        </w:tc>
        <w:tc>
          <w:tcPr>
            <w:tcW w:w="1740" w:type="dxa"/>
            <w:vAlign w:val="bottom"/>
            <w:tcBorders>
              <w:right w:val="single" w:sz="8" w:color="auto"/>
            </w:tcBorders>
            <w:vMerge w:val="continue"/>
          </w:tcPr>
          <w:p>
            <w:pPr>
              <w:spacing w:after="0"/>
              <w:rPr>
                <w:sz w:val="10"/>
                <w:szCs w:val="10"/>
                <w:color w:val="auto"/>
              </w:rPr>
            </w:pPr>
          </w:p>
        </w:tc>
        <w:tc>
          <w:tcPr>
            <w:tcW w:w="472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5"/>
                <w:szCs w:val="15"/>
                <w:color w:val="auto"/>
                <w:w w:val="96"/>
              </w:rPr>
              <w:t>Dimethyltryptamine Compounds</w:t>
            </w:r>
          </w:p>
        </w:tc>
        <w:tc>
          <w:tcPr>
            <w:tcW w:w="0" w:type="dxa"/>
            <w:vAlign w:val="bottom"/>
          </w:tcPr>
          <w:p>
            <w:pPr>
              <w:spacing w:after="0"/>
              <w:rPr>
                <w:sz w:val="1"/>
                <w:szCs w:val="1"/>
                <w:color w:val="auto"/>
              </w:rPr>
            </w:pPr>
          </w:p>
        </w:tc>
      </w:tr>
      <w:tr>
        <w:trPr>
          <w:trHeight w:val="75"/>
        </w:trPr>
        <w:tc>
          <w:tcPr>
            <w:tcW w:w="2980" w:type="dxa"/>
            <w:vAlign w:val="bottom"/>
            <w:tcBorders>
              <w:left w:val="single" w:sz="8" w:color="auto"/>
              <w:bottom w:val="single" w:sz="8" w:color="auto"/>
              <w:right w:val="single" w:sz="8" w:color="auto"/>
            </w:tcBorders>
          </w:tcPr>
          <w:p>
            <w:pPr>
              <w:spacing w:after="0"/>
              <w:rPr>
                <w:sz w:val="6"/>
                <w:szCs w:val="6"/>
                <w:color w:val="auto"/>
              </w:rPr>
            </w:pPr>
          </w:p>
        </w:tc>
        <w:tc>
          <w:tcPr>
            <w:tcW w:w="1840" w:type="dxa"/>
            <w:vAlign w:val="bottom"/>
            <w:tcBorders>
              <w:bottom w:val="single" w:sz="8" w:color="auto"/>
              <w:right w:val="single" w:sz="8" w:color="auto"/>
            </w:tcBorders>
          </w:tcPr>
          <w:p>
            <w:pPr>
              <w:spacing w:after="0"/>
              <w:rPr>
                <w:sz w:val="6"/>
                <w:szCs w:val="6"/>
                <w:color w:val="auto"/>
              </w:rPr>
            </w:pPr>
          </w:p>
        </w:tc>
        <w:tc>
          <w:tcPr>
            <w:tcW w:w="1740" w:type="dxa"/>
            <w:vAlign w:val="bottom"/>
            <w:tcBorders>
              <w:bottom w:val="single" w:sz="8" w:color="auto"/>
              <w:right w:val="single" w:sz="8" w:color="auto"/>
            </w:tcBorders>
          </w:tcPr>
          <w:p>
            <w:pPr>
              <w:spacing w:after="0"/>
              <w:rPr>
                <w:sz w:val="6"/>
                <w:szCs w:val="6"/>
                <w:color w:val="auto"/>
              </w:rPr>
            </w:pPr>
          </w:p>
        </w:tc>
        <w:tc>
          <w:tcPr>
            <w:tcW w:w="4720" w:type="dxa"/>
            <w:vAlign w:val="bottom"/>
            <w:tcBorders>
              <w:bottom w:val="single" w:sz="8" w:color="auto"/>
              <w:right w:val="single" w:sz="8" w:color="auto"/>
            </w:tcBorders>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39"/>
        </w:trPr>
        <w:tc>
          <w:tcPr>
            <w:tcW w:w="2980" w:type="dxa"/>
            <w:vAlign w:val="bottom"/>
            <w:tcBorders>
              <w:left w:val="single" w:sz="8" w:color="auto"/>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5"/>
                <w:szCs w:val="15"/>
                <w:color w:val="auto"/>
                <w:w w:val="97"/>
              </w:rPr>
              <w:t>202293451</w:t>
            </w:r>
          </w:p>
        </w:tc>
        <w:tc>
          <w:tcPr>
            <w:tcW w:w="184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5"/>
                <w:szCs w:val="15"/>
                <w:color w:val="auto"/>
                <w:w w:val="96"/>
              </w:rPr>
              <w:t>Eurasian Patent Organization</w:t>
            </w:r>
          </w:p>
        </w:tc>
        <w:tc>
          <w:tcPr>
            <w:tcW w:w="174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5"/>
                <w:szCs w:val="15"/>
                <w:color w:val="auto"/>
                <w:w w:val="97"/>
              </w:rPr>
              <w:t>Pending</w:t>
            </w:r>
          </w:p>
        </w:tc>
        <w:tc>
          <w:tcPr>
            <w:tcW w:w="4720" w:type="dxa"/>
            <w:vAlign w:val="bottom"/>
            <w:tcBorders>
              <w:right w:val="single" w:sz="8" w:color="auto"/>
            </w:tcBorders>
          </w:tcPr>
          <w:p>
            <w:pPr>
              <w:jc w:val="center"/>
              <w:spacing w:after="0" w:line="139" w:lineRule="exact"/>
              <w:rPr>
                <w:sz w:val="20"/>
                <w:szCs w:val="20"/>
                <w:color w:val="auto"/>
              </w:rPr>
            </w:pPr>
            <w:r>
              <w:rPr>
                <w:rFonts w:ascii="Times New Roman" w:cs="Times New Roman" w:eastAsia="Times New Roman" w:hAnsi="Times New Roman"/>
                <w:sz w:val="15"/>
                <w:szCs w:val="15"/>
                <w:color w:val="auto"/>
                <w:w w:val="96"/>
              </w:rPr>
              <w:t>Therapeutic Compositions Comprising Deuterated or Partially Deuterated N,N-</w:t>
            </w:r>
          </w:p>
        </w:tc>
        <w:tc>
          <w:tcPr>
            <w:tcW w:w="0" w:type="dxa"/>
            <w:vAlign w:val="bottom"/>
          </w:tcPr>
          <w:p>
            <w:pPr>
              <w:spacing w:after="0"/>
              <w:rPr>
                <w:sz w:val="1"/>
                <w:szCs w:val="1"/>
                <w:color w:val="auto"/>
              </w:rPr>
            </w:pPr>
          </w:p>
        </w:tc>
      </w:tr>
      <w:tr>
        <w:trPr>
          <w:trHeight w:val="117"/>
        </w:trPr>
        <w:tc>
          <w:tcPr>
            <w:tcW w:w="2980" w:type="dxa"/>
            <w:vAlign w:val="bottom"/>
            <w:tcBorders>
              <w:left w:val="single" w:sz="8" w:color="auto"/>
              <w:right w:val="single" w:sz="8" w:color="auto"/>
            </w:tcBorders>
            <w:vMerge w:val="continue"/>
          </w:tcPr>
          <w:p>
            <w:pPr>
              <w:spacing w:after="0"/>
              <w:rPr>
                <w:sz w:val="10"/>
                <w:szCs w:val="10"/>
                <w:color w:val="auto"/>
              </w:rPr>
            </w:pPr>
          </w:p>
        </w:tc>
        <w:tc>
          <w:tcPr>
            <w:tcW w:w="1840" w:type="dxa"/>
            <w:vAlign w:val="bottom"/>
            <w:tcBorders>
              <w:right w:val="single" w:sz="8" w:color="auto"/>
            </w:tcBorders>
            <w:vMerge w:val="continue"/>
          </w:tcPr>
          <w:p>
            <w:pPr>
              <w:spacing w:after="0"/>
              <w:rPr>
                <w:sz w:val="10"/>
                <w:szCs w:val="10"/>
                <w:color w:val="auto"/>
              </w:rPr>
            </w:pPr>
          </w:p>
        </w:tc>
        <w:tc>
          <w:tcPr>
            <w:tcW w:w="1740" w:type="dxa"/>
            <w:vAlign w:val="bottom"/>
            <w:tcBorders>
              <w:right w:val="single" w:sz="8" w:color="auto"/>
            </w:tcBorders>
            <w:vMerge w:val="continue"/>
          </w:tcPr>
          <w:p>
            <w:pPr>
              <w:spacing w:after="0"/>
              <w:rPr>
                <w:sz w:val="10"/>
                <w:szCs w:val="10"/>
                <w:color w:val="auto"/>
              </w:rPr>
            </w:pPr>
          </w:p>
        </w:tc>
        <w:tc>
          <w:tcPr>
            <w:tcW w:w="472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5"/>
                <w:szCs w:val="15"/>
                <w:color w:val="auto"/>
                <w:w w:val="96"/>
              </w:rPr>
              <w:t>Dimethyltryptamine Compounds</w:t>
            </w:r>
          </w:p>
        </w:tc>
        <w:tc>
          <w:tcPr>
            <w:tcW w:w="0" w:type="dxa"/>
            <w:vAlign w:val="bottom"/>
          </w:tcPr>
          <w:p>
            <w:pPr>
              <w:spacing w:after="0"/>
              <w:rPr>
                <w:sz w:val="1"/>
                <w:szCs w:val="1"/>
                <w:color w:val="auto"/>
              </w:rPr>
            </w:pPr>
          </w:p>
        </w:tc>
      </w:tr>
      <w:tr>
        <w:trPr>
          <w:trHeight w:val="75"/>
        </w:trPr>
        <w:tc>
          <w:tcPr>
            <w:tcW w:w="2980" w:type="dxa"/>
            <w:vAlign w:val="bottom"/>
            <w:tcBorders>
              <w:left w:val="single" w:sz="8" w:color="auto"/>
              <w:bottom w:val="single" w:sz="8" w:color="auto"/>
              <w:right w:val="single" w:sz="8" w:color="auto"/>
            </w:tcBorders>
          </w:tcPr>
          <w:p>
            <w:pPr>
              <w:spacing w:after="0"/>
              <w:rPr>
                <w:sz w:val="6"/>
                <w:szCs w:val="6"/>
                <w:color w:val="auto"/>
              </w:rPr>
            </w:pPr>
          </w:p>
        </w:tc>
        <w:tc>
          <w:tcPr>
            <w:tcW w:w="1840" w:type="dxa"/>
            <w:vAlign w:val="bottom"/>
            <w:tcBorders>
              <w:bottom w:val="single" w:sz="8" w:color="auto"/>
              <w:right w:val="single" w:sz="8" w:color="auto"/>
            </w:tcBorders>
          </w:tcPr>
          <w:p>
            <w:pPr>
              <w:spacing w:after="0"/>
              <w:rPr>
                <w:sz w:val="6"/>
                <w:szCs w:val="6"/>
                <w:color w:val="auto"/>
              </w:rPr>
            </w:pPr>
          </w:p>
        </w:tc>
        <w:tc>
          <w:tcPr>
            <w:tcW w:w="1740" w:type="dxa"/>
            <w:vAlign w:val="bottom"/>
            <w:tcBorders>
              <w:bottom w:val="single" w:sz="8" w:color="auto"/>
              <w:right w:val="single" w:sz="8" w:color="auto"/>
            </w:tcBorders>
          </w:tcPr>
          <w:p>
            <w:pPr>
              <w:spacing w:after="0"/>
              <w:rPr>
                <w:sz w:val="6"/>
                <w:szCs w:val="6"/>
                <w:color w:val="auto"/>
              </w:rPr>
            </w:pPr>
          </w:p>
        </w:tc>
        <w:tc>
          <w:tcPr>
            <w:tcW w:w="4720" w:type="dxa"/>
            <w:vAlign w:val="bottom"/>
            <w:tcBorders>
              <w:bottom w:val="single" w:sz="8" w:color="auto"/>
              <w:right w:val="single" w:sz="8" w:color="auto"/>
            </w:tcBorders>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39"/>
        </w:trPr>
        <w:tc>
          <w:tcPr>
            <w:tcW w:w="2980" w:type="dxa"/>
            <w:vAlign w:val="bottom"/>
            <w:tcBorders>
              <w:left w:val="single" w:sz="8" w:color="auto"/>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5"/>
                <w:szCs w:val="15"/>
                <w:color w:val="auto"/>
                <w:w w:val="95"/>
              </w:rPr>
              <w:t>42023070531.1</w:t>
            </w:r>
          </w:p>
        </w:tc>
        <w:tc>
          <w:tcPr>
            <w:tcW w:w="184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5"/>
                <w:szCs w:val="15"/>
                <w:color w:val="auto"/>
                <w:w w:val="96"/>
              </w:rPr>
              <w:t>Hong Kong</w:t>
            </w:r>
          </w:p>
        </w:tc>
        <w:tc>
          <w:tcPr>
            <w:tcW w:w="174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5"/>
                <w:szCs w:val="15"/>
                <w:color w:val="auto"/>
                <w:w w:val="97"/>
              </w:rPr>
              <w:t>Pending</w:t>
            </w:r>
          </w:p>
        </w:tc>
        <w:tc>
          <w:tcPr>
            <w:tcW w:w="4720" w:type="dxa"/>
            <w:vAlign w:val="bottom"/>
            <w:tcBorders>
              <w:right w:val="single" w:sz="8" w:color="auto"/>
            </w:tcBorders>
          </w:tcPr>
          <w:p>
            <w:pPr>
              <w:jc w:val="center"/>
              <w:spacing w:after="0" w:line="139" w:lineRule="exact"/>
              <w:rPr>
                <w:sz w:val="20"/>
                <w:szCs w:val="20"/>
                <w:color w:val="auto"/>
              </w:rPr>
            </w:pPr>
            <w:r>
              <w:rPr>
                <w:rFonts w:ascii="Times New Roman" w:cs="Times New Roman" w:eastAsia="Times New Roman" w:hAnsi="Times New Roman"/>
                <w:sz w:val="15"/>
                <w:szCs w:val="15"/>
                <w:color w:val="auto"/>
                <w:w w:val="96"/>
              </w:rPr>
              <w:t>Therapeutic Compositions Comprising Deuterated or Partially Deuterated N,N-</w:t>
            </w:r>
          </w:p>
        </w:tc>
        <w:tc>
          <w:tcPr>
            <w:tcW w:w="0" w:type="dxa"/>
            <w:vAlign w:val="bottom"/>
          </w:tcPr>
          <w:p>
            <w:pPr>
              <w:spacing w:after="0"/>
              <w:rPr>
                <w:sz w:val="1"/>
                <w:szCs w:val="1"/>
                <w:color w:val="auto"/>
              </w:rPr>
            </w:pPr>
          </w:p>
        </w:tc>
      </w:tr>
      <w:tr>
        <w:trPr>
          <w:trHeight w:val="117"/>
        </w:trPr>
        <w:tc>
          <w:tcPr>
            <w:tcW w:w="2980" w:type="dxa"/>
            <w:vAlign w:val="bottom"/>
            <w:tcBorders>
              <w:left w:val="single" w:sz="8" w:color="auto"/>
              <w:right w:val="single" w:sz="8" w:color="auto"/>
            </w:tcBorders>
            <w:vMerge w:val="continue"/>
          </w:tcPr>
          <w:p>
            <w:pPr>
              <w:spacing w:after="0"/>
              <w:rPr>
                <w:sz w:val="10"/>
                <w:szCs w:val="10"/>
                <w:color w:val="auto"/>
              </w:rPr>
            </w:pPr>
          </w:p>
        </w:tc>
        <w:tc>
          <w:tcPr>
            <w:tcW w:w="1840" w:type="dxa"/>
            <w:vAlign w:val="bottom"/>
            <w:tcBorders>
              <w:right w:val="single" w:sz="8" w:color="auto"/>
            </w:tcBorders>
            <w:vMerge w:val="continue"/>
          </w:tcPr>
          <w:p>
            <w:pPr>
              <w:spacing w:after="0"/>
              <w:rPr>
                <w:sz w:val="10"/>
                <w:szCs w:val="10"/>
                <w:color w:val="auto"/>
              </w:rPr>
            </w:pPr>
          </w:p>
        </w:tc>
        <w:tc>
          <w:tcPr>
            <w:tcW w:w="1740" w:type="dxa"/>
            <w:vAlign w:val="bottom"/>
            <w:tcBorders>
              <w:right w:val="single" w:sz="8" w:color="auto"/>
            </w:tcBorders>
            <w:vMerge w:val="continue"/>
          </w:tcPr>
          <w:p>
            <w:pPr>
              <w:spacing w:after="0"/>
              <w:rPr>
                <w:sz w:val="10"/>
                <w:szCs w:val="10"/>
                <w:color w:val="auto"/>
              </w:rPr>
            </w:pPr>
          </w:p>
        </w:tc>
        <w:tc>
          <w:tcPr>
            <w:tcW w:w="472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5"/>
                <w:szCs w:val="15"/>
                <w:color w:val="auto"/>
                <w:w w:val="96"/>
              </w:rPr>
              <w:t>Dimethyltryptamine Compounds</w:t>
            </w:r>
          </w:p>
        </w:tc>
        <w:tc>
          <w:tcPr>
            <w:tcW w:w="0" w:type="dxa"/>
            <w:vAlign w:val="bottom"/>
          </w:tcPr>
          <w:p>
            <w:pPr>
              <w:spacing w:after="0"/>
              <w:rPr>
                <w:sz w:val="1"/>
                <w:szCs w:val="1"/>
                <w:color w:val="auto"/>
              </w:rPr>
            </w:pPr>
          </w:p>
        </w:tc>
      </w:tr>
      <w:tr>
        <w:trPr>
          <w:trHeight w:val="75"/>
        </w:trPr>
        <w:tc>
          <w:tcPr>
            <w:tcW w:w="2980" w:type="dxa"/>
            <w:vAlign w:val="bottom"/>
            <w:tcBorders>
              <w:left w:val="single" w:sz="8" w:color="auto"/>
              <w:bottom w:val="single" w:sz="8" w:color="auto"/>
              <w:right w:val="single" w:sz="8" w:color="auto"/>
            </w:tcBorders>
          </w:tcPr>
          <w:p>
            <w:pPr>
              <w:spacing w:after="0"/>
              <w:rPr>
                <w:sz w:val="6"/>
                <w:szCs w:val="6"/>
                <w:color w:val="auto"/>
              </w:rPr>
            </w:pPr>
          </w:p>
        </w:tc>
        <w:tc>
          <w:tcPr>
            <w:tcW w:w="1840" w:type="dxa"/>
            <w:vAlign w:val="bottom"/>
            <w:tcBorders>
              <w:bottom w:val="single" w:sz="8" w:color="auto"/>
              <w:right w:val="single" w:sz="8" w:color="auto"/>
            </w:tcBorders>
          </w:tcPr>
          <w:p>
            <w:pPr>
              <w:spacing w:after="0"/>
              <w:rPr>
                <w:sz w:val="6"/>
                <w:szCs w:val="6"/>
                <w:color w:val="auto"/>
              </w:rPr>
            </w:pPr>
          </w:p>
        </w:tc>
        <w:tc>
          <w:tcPr>
            <w:tcW w:w="1740" w:type="dxa"/>
            <w:vAlign w:val="bottom"/>
            <w:tcBorders>
              <w:bottom w:val="single" w:sz="8" w:color="auto"/>
              <w:right w:val="single" w:sz="8" w:color="auto"/>
            </w:tcBorders>
          </w:tcPr>
          <w:p>
            <w:pPr>
              <w:spacing w:after="0"/>
              <w:rPr>
                <w:sz w:val="6"/>
                <w:szCs w:val="6"/>
                <w:color w:val="auto"/>
              </w:rPr>
            </w:pPr>
          </w:p>
        </w:tc>
        <w:tc>
          <w:tcPr>
            <w:tcW w:w="4720" w:type="dxa"/>
            <w:vAlign w:val="bottom"/>
            <w:tcBorders>
              <w:bottom w:val="single" w:sz="8" w:color="auto"/>
              <w:right w:val="single" w:sz="8" w:color="auto"/>
            </w:tcBorders>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39"/>
        </w:trPr>
        <w:tc>
          <w:tcPr>
            <w:tcW w:w="2980" w:type="dxa"/>
            <w:vAlign w:val="bottom"/>
            <w:tcBorders>
              <w:left w:val="single" w:sz="8" w:color="auto"/>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5"/>
                <w:szCs w:val="15"/>
                <w:color w:val="auto"/>
                <w:w w:val="97"/>
              </w:rPr>
              <w:t>202217076779</w:t>
            </w:r>
          </w:p>
        </w:tc>
        <w:tc>
          <w:tcPr>
            <w:tcW w:w="184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5"/>
                <w:szCs w:val="15"/>
                <w:color w:val="auto"/>
                <w:w w:val="97"/>
              </w:rPr>
              <w:t>India</w:t>
            </w:r>
          </w:p>
        </w:tc>
        <w:tc>
          <w:tcPr>
            <w:tcW w:w="174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5"/>
                <w:szCs w:val="15"/>
                <w:color w:val="auto"/>
                <w:w w:val="97"/>
              </w:rPr>
              <w:t>Pending</w:t>
            </w:r>
          </w:p>
        </w:tc>
        <w:tc>
          <w:tcPr>
            <w:tcW w:w="4720" w:type="dxa"/>
            <w:vAlign w:val="bottom"/>
            <w:tcBorders>
              <w:right w:val="single" w:sz="8" w:color="auto"/>
            </w:tcBorders>
          </w:tcPr>
          <w:p>
            <w:pPr>
              <w:jc w:val="center"/>
              <w:spacing w:after="0" w:line="139" w:lineRule="exact"/>
              <w:rPr>
                <w:sz w:val="20"/>
                <w:szCs w:val="20"/>
                <w:color w:val="auto"/>
              </w:rPr>
            </w:pPr>
            <w:r>
              <w:rPr>
                <w:rFonts w:ascii="Times New Roman" w:cs="Times New Roman" w:eastAsia="Times New Roman" w:hAnsi="Times New Roman"/>
                <w:sz w:val="15"/>
                <w:szCs w:val="15"/>
                <w:color w:val="auto"/>
                <w:w w:val="96"/>
              </w:rPr>
              <w:t>Therapeutic Compositions Comprising Deuterated or Partially Deuterated N,N-</w:t>
            </w:r>
          </w:p>
        </w:tc>
        <w:tc>
          <w:tcPr>
            <w:tcW w:w="0" w:type="dxa"/>
            <w:vAlign w:val="bottom"/>
          </w:tcPr>
          <w:p>
            <w:pPr>
              <w:spacing w:after="0"/>
              <w:rPr>
                <w:sz w:val="1"/>
                <w:szCs w:val="1"/>
                <w:color w:val="auto"/>
              </w:rPr>
            </w:pPr>
          </w:p>
        </w:tc>
      </w:tr>
      <w:tr>
        <w:trPr>
          <w:trHeight w:val="117"/>
        </w:trPr>
        <w:tc>
          <w:tcPr>
            <w:tcW w:w="2980" w:type="dxa"/>
            <w:vAlign w:val="bottom"/>
            <w:tcBorders>
              <w:left w:val="single" w:sz="8" w:color="auto"/>
              <w:right w:val="single" w:sz="8" w:color="auto"/>
            </w:tcBorders>
            <w:vMerge w:val="continue"/>
          </w:tcPr>
          <w:p>
            <w:pPr>
              <w:spacing w:after="0"/>
              <w:rPr>
                <w:sz w:val="10"/>
                <w:szCs w:val="10"/>
                <w:color w:val="auto"/>
              </w:rPr>
            </w:pPr>
          </w:p>
        </w:tc>
        <w:tc>
          <w:tcPr>
            <w:tcW w:w="1840" w:type="dxa"/>
            <w:vAlign w:val="bottom"/>
            <w:tcBorders>
              <w:right w:val="single" w:sz="8" w:color="auto"/>
            </w:tcBorders>
            <w:vMerge w:val="continue"/>
          </w:tcPr>
          <w:p>
            <w:pPr>
              <w:spacing w:after="0"/>
              <w:rPr>
                <w:sz w:val="10"/>
                <w:szCs w:val="10"/>
                <w:color w:val="auto"/>
              </w:rPr>
            </w:pPr>
          </w:p>
        </w:tc>
        <w:tc>
          <w:tcPr>
            <w:tcW w:w="1740" w:type="dxa"/>
            <w:vAlign w:val="bottom"/>
            <w:tcBorders>
              <w:right w:val="single" w:sz="8" w:color="auto"/>
            </w:tcBorders>
            <w:vMerge w:val="continue"/>
          </w:tcPr>
          <w:p>
            <w:pPr>
              <w:spacing w:after="0"/>
              <w:rPr>
                <w:sz w:val="10"/>
                <w:szCs w:val="10"/>
                <w:color w:val="auto"/>
              </w:rPr>
            </w:pPr>
          </w:p>
        </w:tc>
        <w:tc>
          <w:tcPr>
            <w:tcW w:w="472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5"/>
                <w:szCs w:val="15"/>
                <w:color w:val="auto"/>
                <w:w w:val="96"/>
              </w:rPr>
              <w:t>Dimethyltryptamine Compounds</w:t>
            </w:r>
          </w:p>
        </w:tc>
        <w:tc>
          <w:tcPr>
            <w:tcW w:w="0" w:type="dxa"/>
            <w:vAlign w:val="bottom"/>
          </w:tcPr>
          <w:p>
            <w:pPr>
              <w:spacing w:after="0"/>
              <w:rPr>
                <w:sz w:val="1"/>
                <w:szCs w:val="1"/>
                <w:color w:val="auto"/>
              </w:rPr>
            </w:pPr>
          </w:p>
        </w:tc>
      </w:tr>
      <w:tr>
        <w:trPr>
          <w:trHeight w:val="75"/>
        </w:trPr>
        <w:tc>
          <w:tcPr>
            <w:tcW w:w="2980" w:type="dxa"/>
            <w:vAlign w:val="bottom"/>
            <w:tcBorders>
              <w:left w:val="single" w:sz="8" w:color="auto"/>
              <w:bottom w:val="single" w:sz="8" w:color="auto"/>
              <w:right w:val="single" w:sz="8" w:color="auto"/>
            </w:tcBorders>
          </w:tcPr>
          <w:p>
            <w:pPr>
              <w:spacing w:after="0"/>
              <w:rPr>
                <w:sz w:val="6"/>
                <w:szCs w:val="6"/>
                <w:color w:val="auto"/>
              </w:rPr>
            </w:pPr>
          </w:p>
        </w:tc>
        <w:tc>
          <w:tcPr>
            <w:tcW w:w="1840" w:type="dxa"/>
            <w:vAlign w:val="bottom"/>
            <w:tcBorders>
              <w:bottom w:val="single" w:sz="8" w:color="auto"/>
              <w:right w:val="single" w:sz="8" w:color="auto"/>
            </w:tcBorders>
          </w:tcPr>
          <w:p>
            <w:pPr>
              <w:spacing w:after="0"/>
              <w:rPr>
                <w:sz w:val="6"/>
                <w:szCs w:val="6"/>
                <w:color w:val="auto"/>
              </w:rPr>
            </w:pPr>
          </w:p>
        </w:tc>
        <w:tc>
          <w:tcPr>
            <w:tcW w:w="1740" w:type="dxa"/>
            <w:vAlign w:val="bottom"/>
            <w:tcBorders>
              <w:bottom w:val="single" w:sz="8" w:color="auto"/>
              <w:right w:val="single" w:sz="8" w:color="auto"/>
            </w:tcBorders>
          </w:tcPr>
          <w:p>
            <w:pPr>
              <w:spacing w:after="0"/>
              <w:rPr>
                <w:sz w:val="6"/>
                <w:szCs w:val="6"/>
                <w:color w:val="auto"/>
              </w:rPr>
            </w:pPr>
          </w:p>
        </w:tc>
        <w:tc>
          <w:tcPr>
            <w:tcW w:w="4720" w:type="dxa"/>
            <w:vAlign w:val="bottom"/>
            <w:tcBorders>
              <w:bottom w:val="single" w:sz="8" w:color="auto"/>
              <w:right w:val="single" w:sz="8" w:color="auto"/>
            </w:tcBorders>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39"/>
        </w:trPr>
        <w:tc>
          <w:tcPr>
            <w:tcW w:w="2980" w:type="dxa"/>
            <w:vAlign w:val="bottom"/>
            <w:tcBorders>
              <w:left w:val="single" w:sz="8" w:color="auto"/>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5"/>
                <w:szCs w:val="15"/>
                <w:color w:val="auto"/>
                <w:w w:val="97"/>
              </w:rPr>
              <w:t>298541</w:t>
            </w:r>
          </w:p>
        </w:tc>
        <w:tc>
          <w:tcPr>
            <w:tcW w:w="184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5"/>
                <w:szCs w:val="15"/>
                <w:color w:val="auto"/>
              </w:rPr>
              <w:t>Israel</w:t>
            </w:r>
          </w:p>
        </w:tc>
        <w:tc>
          <w:tcPr>
            <w:tcW w:w="174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5"/>
                <w:szCs w:val="15"/>
                <w:color w:val="auto"/>
                <w:w w:val="97"/>
              </w:rPr>
              <w:t>Pending</w:t>
            </w:r>
          </w:p>
        </w:tc>
        <w:tc>
          <w:tcPr>
            <w:tcW w:w="4720" w:type="dxa"/>
            <w:vAlign w:val="bottom"/>
            <w:tcBorders>
              <w:right w:val="single" w:sz="8" w:color="auto"/>
            </w:tcBorders>
          </w:tcPr>
          <w:p>
            <w:pPr>
              <w:jc w:val="center"/>
              <w:spacing w:after="0" w:line="139" w:lineRule="exact"/>
              <w:rPr>
                <w:sz w:val="20"/>
                <w:szCs w:val="20"/>
                <w:color w:val="auto"/>
              </w:rPr>
            </w:pPr>
            <w:r>
              <w:rPr>
                <w:rFonts w:ascii="Times New Roman" w:cs="Times New Roman" w:eastAsia="Times New Roman" w:hAnsi="Times New Roman"/>
                <w:sz w:val="15"/>
                <w:szCs w:val="15"/>
                <w:color w:val="auto"/>
                <w:w w:val="96"/>
              </w:rPr>
              <w:t>Therapeutic Compositions Comprising Deuterated or Partially Deuterated N,N-</w:t>
            </w:r>
          </w:p>
        </w:tc>
        <w:tc>
          <w:tcPr>
            <w:tcW w:w="0" w:type="dxa"/>
            <w:vAlign w:val="bottom"/>
          </w:tcPr>
          <w:p>
            <w:pPr>
              <w:spacing w:after="0"/>
              <w:rPr>
                <w:sz w:val="1"/>
                <w:szCs w:val="1"/>
                <w:color w:val="auto"/>
              </w:rPr>
            </w:pPr>
          </w:p>
        </w:tc>
      </w:tr>
      <w:tr>
        <w:trPr>
          <w:trHeight w:val="117"/>
        </w:trPr>
        <w:tc>
          <w:tcPr>
            <w:tcW w:w="2980" w:type="dxa"/>
            <w:vAlign w:val="bottom"/>
            <w:tcBorders>
              <w:left w:val="single" w:sz="8" w:color="auto"/>
              <w:right w:val="single" w:sz="8" w:color="auto"/>
            </w:tcBorders>
            <w:vMerge w:val="continue"/>
          </w:tcPr>
          <w:p>
            <w:pPr>
              <w:spacing w:after="0"/>
              <w:rPr>
                <w:sz w:val="10"/>
                <w:szCs w:val="10"/>
                <w:color w:val="auto"/>
              </w:rPr>
            </w:pPr>
          </w:p>
        </w:tc>
        <w:tc>
          <w:tcPr>
            <w:tcW w:w="1840" w:type="dxa"/>
            <w:vAlign w:val="bottom"/>
            <w:tcBorders>
              <w:right w:val="single" w:sz="8" w:color="auto"/>
            </w:tcBorders>
            <w:vMerge w:val="continue"/>
          </w:tcPr>
          <w:p>
            <w:pPr>
              <w:spacing w:after="0"/>
              <w:rPr>
                <w:sz w:val="10"/>
                <w:szCs w:val="10"/>
                <w:color w:val="auto"/>
              </w:rPr>
            </w:pPr>
          </w:p>
        </w:tc>
        <w:tc>
          <w:tcPr>
            <w:tcW w:w="1740" w:type="dxa"/>
            <w:vAlign w:val="bottom"/>
            <w:tcBorders>
              <w:right w:val="single" w:sz="8" w:color="auto"/>
            </w:tcBorders>
            <w:vMerge w:val="continue"/>
          </w:tcPr>
          <w:p>
            <w:pPr>
              <w:spacing w:after="0"/>
              <w:rPr>
                <w:sz w:val="10"/>
                <w:szCs w:val="10"/>
                <w:color w:val="auto"/>
              </w:rPr>
            </w:pPr>
          </w:p>
        </w:tc>
        <w:tc>
          <w:tcPr>
            <w:tcW w:w="472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5"/>
                <w:szCs w:val="15"/>
                <w:color w:val="auto"/>
                <w:w w:val="96"/>
              </w:rPr>
              <w:t>Dimethyltryptamine Compounds</w:t>
            </w:r>
          </w:p>
        </w:tc>
        <w:tc>
          <w:tcPr>
            <w:tcW w:w="0" w:type="dxa"/>
            <w:vAlign w:val="bottom"/>
          </w:tcPr>
          <w:p>
            <w:pPr>
              <w:spacing w:after="0"/>
              <w:rPr>
                <w:sz w:val="1"/>
                <w:szCs w:val="1"/>
                <w:color w:val="auto"/>
              </w:rPr>
            </w:pPr>
          </w:p>
        </w:tc>
      </w:tr>
      <w:tr>
        <w:trPr>
          <w:trHeight w:val="75"/>
        </w:trPr>
        <w:tc>
          <w:tcPr>
            <w:tcW w:w="2980" w:type="dxa"/>
            <w:vAlign w:val="bottom"/>
            <w:tcBorders>
              <w:left w:val="single" w:sz="8" w:color="auto"/>
              <w:bottom w:val="single" w:sz="8" w:color="auto"/>
              <w:right w:val="single" w:sz="8" w:color="auto"/>
            </w:tcBorders>
          </w:tcPr>
          <w:p>
            <w:pPr>
              <w:spacing w:after="0"/>
              <w:rPr>
                <w:sz w:val="6"/>
                <w:szCs w:val="6"/>
                <w:color w:val="auto"/>
              </w:rPr>
            </w:pPr>
          </w:p>
        </w:tc>
        <w:tc>
          <w:tcPr>
            <w:tcW w:w="1840" w:type="dxa"/>
            <w:vAlign w:val="bottom"/>
            <w:tcBorders>
              <w:bottom w:val="single" w:sz="8" w:color="auto"/>
              <w:right w:val="single" w:sz="8" w:color="auto"/>
            </w:tcBorders>
          </w:tcPr>
          <w:p>
            <w:pPr>
              <w:spacing w:after="0"/>
              <w:rPr>
                <w:sz w:val="6"/>
                <w:szCs w:val="6"/>
                <w:color w:val="auto"/>
              </w:rPr>
            </w:pPr>
          </w:p>
        </w:tc>
        <w:tc>
          <w:tcPr>
            <w:tcW w:w="1740" w:type="dxa"/>
            <w:vAlign w:val="bottom"/>
            <w:tcBorders>
              <w:bottom w:val="single" w:sz="8" w:color="auto"/>
              <w:right w:val="single" w:sz="8" w:color="auto"/>
            </w:tcBorders>
          </w:tcPr>
          <w:p>
            <w:pPr>
              <w:spacing w:after="0"/>
              <w:rPr>
                <w:sz w:val="6"/>
                <w:szCs w:val="6"/>
                <w:color w:val="auto"/>
              </w:rPr>
            </w:pPr>
          </w:p>
        </w:tc>
        <w:tc>
          <w:tcPr>
            <w:tcW w:w="4720" w:type="dxa"/>
            <w:vAlign w:val="bottom"/>
            <w:tcBorders>
              <w:bottom w:val="single" w:sz="8" w:color="auto"/>
              <w:right w:val="single" w:sz="8" w:color="auto"/>
            </w:tcBorders>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39"/>
        </w:trPr>
        <w:tc>
          <w:tcPr>
            <w:tcW w:w="2980" w:type="dxa"/>
            <w:vAlign w:val="bottom"/>
            <w:tcBorders>
              <w:left w:val="single" w:sz="8" w:color="auto"/>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5"/>
                <w:szCs w:val="15"/>
                <w:color w:val="auto"/>
                <w:w w:val="96"/>
              </w:rPr>
              <w:t>1120210243330</w:t>
            </w:r>
          </w:p>
        </w:tc>
        <w:tc>
          <w:tcPr>
            <w:tcW w:w="184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5"/>
                <w:szCs w:val="15"/>
                <w:color w:val="auto"/>
                <w:w w:val="92"/>
              </w:rPr>
              <w:t>Brazil</w:t>
            </w:r>
          </w:p>
        </w:tc>
        <w:tc>
          <w:tcPr>
            <w:tcW w:w="174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5"/>
                <w:szCs w:val="15"/>
                <w:color w:val="auto"/>
                <w:w w:val="97"/>
              </w:rPr>
              <w:t>Pending</w:t>
            </w:r>
          </w:p>
        </w:tc>
        <w:tc>
          <w:tcPr>
            <w:tcW w:w="4720" w:type="dxa"/>
            <w:vAlign w:val="bottom"/>
            <w:tcBorders>
              <w:right w:val="single" w:sz="8" w:color="auto"/>
            </w:tcBorders>
          </w:tcPr>
          <w:p>
            <w:pPr>
              <w:jc w:val="center"/>
              <w:spacing w:after="0" w:line="139" w:lineRule="exact"/>
              <w:rPr>
                <w:sz w:val="20"/>
                <w:szCs w:val="20"/>
                <w:color w:val="auto"/>
              </w:rPr>
            </w:pPr>
            <w:r>
              <w:rPr>
                <w:rFonts w:ascii="Times New Roman" w:cs="Times New Roman" w:eastAsia="Times New Roman" w:hAnsi="Times New Roman"/>
                <w:sz w:val="15"/>
                <w:szCs w:val="15"/>
                <w:color w:val="auto"/>
                <w:w w:val="96"/>
              </w:rPr>
              <w:t>Therapeutic Compositions Comprising Deuterated or Partially Deuterated N,N-</w:t>
            </w:r>
          </w:p>
        </w:tc>
        <w:tc>
          <w:tcPr>
            <w:tcW w:w="0" w:type="dxa"/>
            <w:vAlign w:val="bottom"/>
          </w:tcPr>
          <w:p>
            <w:pPr>
              <w:spacing w:after="0"/>
              <w:rPr>
                <w:sz w:val="1"/>
                <w:szCs w:val="1"/>
                <w:color w:val="auto"/>
              </w:rPr>
            </w:pPr>
          </w:p>
        </w:tc>
      </w:tr>
      <w:tr>
        <w:trPr>
          <w:trHeight w:val="117"/>
        </w:trPr>
        <w:tc>
          <w:tcPr>
            <w:tcW w:w="2980" w:type="dxa"/>
            <w:vAlign w:val="bottom"/>
            <w:tcBorders>
              <w:left w:val="single" w:sz="8" w:color="auto"/>
              <w:right w:val="single" w:sz="8" w:color="auto"/>
            </w:tcBorders>
            <w:vMerge w:val="continue"/>
          </w:tcPr>
          <w:p>
            <w:pPr>
              <w:spacing w:after="0"/>
              <w:rPr>
                <w:sz w:val="10"/>
                <w:szCs w:val="10"/>
                <w:color w:val="auto"/>
              </w:rPr>
            </w:pPr>
          </w:p>
        </w:tc>
        <w:tc>
          <w:tcPr>
            <w:tcW w:w="1840" w:type="dxa"/>
            <w:vAlign w:val="bottom"/>
            <w:tcBorders>
              <w:right w:val="single" w:sz="8" w:color="auto"/>
            </w:tcBorders>
            <w:vMerge w:val="continue"/>
          </w:tcPr>
          <w:p>
            <w:pPr>
              <w:spacing w:after="0"/>
              <w:rPr>
                <w:sz w:val="10"/>
                <w:szCs w:val="10"/>
                <w:color w:val="auto"/>
              </w:rPr>
            </w:pPr>
          </w:p>
        </w:tc>
        <w:tc>
          <w:tcPr>
            <w:tcW w:w="1740" w:type="dxa"/>
            <w:vAlign w:val="bottom"/>
            <w:tcBorders>
              <w:right w:val="single" w:sz="8" w:color="auto"/>
            </w:tcBorders>
            <w:vMerge w:val="continue"/>
          </w:tcPr>
          <w:p>
            <w:pPr>
              <w:spacing w:after="0"/>
              <w:rPr>
                <w:sz w:val="10"/>
                <w:szCs w:val="10"/>
                <w:color w:val="auto"/>
              </w:rPr>
            </w:pPr>
          </w:p>
        </w:tc>
        <w:tc>
          <w:tcPr>
            <w:tcW w:w="472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5"/>
                <w:szCs w:val="15"/>
                <w:color w:val="auto"/>
                <w:w w:val="96"/>
              </w:rPr>
              <w:t>Dimethyltryptamine Compounds</w:t>
            </w:r>
          </w:p>
        </w:tc>
        <w:tc>
          <w:tcPr>
            <w:tcW w:w="0" w:type="dxa"/>
            <w:vAlign w:val="bottom"/>
          </w:tcPr>
          <w:p>
            <w:pPr>
              <w:spacing w:after="0"/>
              <w:rPr>
                <w:sz w:val="1"/>
                <w:szCs w:val="1"/>
                <w:color w:val="auto"/>
              </w:rPr>
            </w:pPr>
          </w:p>
        </w:tc>
      </w:tr>
      <w:tr>
        <w:trPr>
          <w:trHeight w:val="75"/>
        </w:trPr>
        <w:tc>
          <w:tcPr>
            <w:tcW w:w="2980" w:type="dxa"/>
            <w:vAlign w:val="bottom"/>
            <w:tcBorders>
              <w:left w:val="single" w:sz="8" w:color="auto"/>
              <w:bottom w:val="single" w:sz="8" w:color="auto"/>
              <w:right w:val="single" w:sz="8" w:color="auto"/>
            </w:tcBorders>
          </w:tcPr>
          <w:p>
            <w:pPr>
              <w:spacing w:after="0"/>
              <w:rPr>
                <w:sz w:val="6"/>
                <w:szCs w:val="6"/>
                <w:color w:val="auto"/>
              </w:rPr>
            </w:pPr>
          </w:p>
        </w:tc>
        <w:tc>
          <w:tcPr>
            <w:tcW w:w="1840" w:type="dxa"/>
            <w:vAlign w:val="bottom"/>
            <w:tcBorders>
              <w:bottom w:val="single" w:sz="8" w:color="auto"/>
              <w:right w:val="single" w:sz="8" w:color="auto"/>
            </w:tcBorders>
          </w:tcPr>
          <w:p>
            <w:pPr>
              <w:spacing w:after="0"/>
              <w:rPr>
                <w:sz w:val="6"/>
                <w:szCs w:val="6"/>
                <w:color w:val="auto"/>
              </w:rPr>
            </w:pPr>
          </w:p>
        </w:tc>
        <w:tc>
          <w:tcPr>
            <w:tcW w:w="1740" w:type="dxa"/>
            <w:vAlign w:val="bottom"/>
            <w:tcBorders>
              <w:bottom w:val="single" w:sz="8" w:color="auto"/>
              <w:right w:val="single" w:sz="8" w:color="auto"/>
            </w:tcBorders>
          </w:tcPr>
          <w:p>
            <w:pPr>
              <w:spacing w:after="0"/>
              <w:rPr>
                <w:sz w:val="6"/>
                <w:szCs w:val="6"/>
                <w:color w:val="auto"/>
              </w:rPr>
            </w:pPr>
          </w:p>
        </w:tc>
        <w:tc>
          <w:tcPr>
            <w:tcW w:w="4720" w:type="dxa"/>
            <w:vAlign w:val="bottom"/>
            <w:tcBorders>
              <w:bottom w:val="single" w:sz="8" w:color="auto"/>
              <w:right w:val="single" w:sz="8" w:color="auto"/>
            </w:tcBorders>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39"/>
        </w:trPr>
        <w:tc>
          <w:tcPr>
            <w:tcW w:w="2980" w:type="dxa"/>
            <w:vAlign w:val="bottom"/>
            <w:tcBorders>
              <w:left w:val="single" w:sz="8" w:color="auto"/>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5"/>
                <w:szCs w:val="15"/>
                <w:color w:val="auto"/>
                <w:w w:val="98"/>
              </w:rPr>
              <w:t>3142290</w:t>
            </w:r>
          </w:p>
        </w:tc>
        <w:tc>
          <w:tcPr>
            <w:tcW w:w="184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5"/>
                <w:szCs w:val="15"/>
                <w:color w:val="auto"/>
                <w:w w:val="93"/>
              </w:rPr>
              <w:t>Canada</w:t>
            </w:r>
          </w:p>
        </w:tc>
        <w:tc>
          <w:tcPr>
            <w:tcW w:w="174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5"/>
                <w:szCs w:val="15"/>
                <w:color w:val="auto"/>
                <w:w w:val="97"/>
              </w:rPr>
              <w:t>Pending</w:t>
            </w:r>
          </w:p>
        </w:tc>
        <w:tc>
          <w:tcPr>
            <w:tcW w:w="4720" w:type="dxa"/>
            <w:vAlign w:val="bottom"/>
            <w:tcBorders>
              <w:right w:val="single" w:sz="8" w:color="auto"/>
            </w:tcBorders>
          </w:tcPr>
          <w:p>
            <w:pPr>
              <w:jc w:val="center"/>
              <w:spacing w:after="0" w:line="139" w:lineRule="exact"/>
              <w:rPr>
                <w:sz w:val="20"/>
                <w:szCs w:val="20"/>
                <w:color w:val="auto"/>
              </w:rPr>
            </w:pPr>
            <w:r>
              <w:rPr>
                <w:rFonts w:ascii="Times New Roman" w:cs="Times New Roman" w:eastAsia="Times New Roman" w:hAnsi="Times New Roman"/>
                <w:sz w:val="15"/>
                <w:szCs w:val="15"/>
                <w:color w:val="auto"/>
                <w:w w:val="96"/>
              </w:rPr>
              <w:t>Therapeutic Compositions Comprising Deuterated or Partially Deuterated N,N-</w:t>
            </w:r>
          </w:p>
        </w:tc>
        <w:tc>
          <w:tcPr>
            <w:tcW w:w="0" w:type="dxa"/>
            <w:vAlign w:val="bottom"/>
          </w:tcPr>
          <w:p>
            <w:pPr>
              <w:spacing w:after="0"/>
              <w:rPr>
                <w:sz w:val="1"/>
                <w:szCs w:val="1"/>
                <w:color w:val="auto"/>
              </w:rPr>
            </w:pPr>
          </w:p>
        </w:tc>
      </w:tr>
      <w:tr>
        <w:trPr>
          <w:trHeight w:val="117"/>
        </w:trPr>
        <w:tc>
          <w:tcPr>
            <w:tcW w:w="2980" w:type="dxa"/>
            <w:vAlign w:val="bottom"/>
            <w:tcBorders>
              <w:left w:val="single" w:sz="8" w:color="auto"/>
              <w:right w:val="single" w:sz="8" w:color="auto"/>
            </w:tcBorders>
            <w:vMerge w:val="continue"/>
          </w:tcPr>
          <w:p>
            <w:pPr>
              <w:spacing w:after="0"/>
              <w:rPr>
                <w:sz w:val="10"/>
                <w:szCs w:val="10"/>
                <w:color w:val="auto"/>
              </w:rPr>
            </w:pPr>
          </w:p>
        </w:tc>
        <w:tc>
          <w:tcPr>
            <w:tcW w:w="1840" w:type="dxa"/>
            <w:vAlign w:val="bottom"/>
            <w:tcBorders>
              <w:right w:val="single" w:sz="8" w:color="auto"/>
            </w:tcBorders>
            <w:vMerge w:val="continue"/>
          </w:tcPr>
          <w:p>
            <w:pPr>
              <w:spacing w:after="0"/>
              <w:rPr>
                <w:sz w:val="10"/>
                <w:szCs w:val="10"/>
                <w:color w:val="auto"/>
              </w:rPr>
            </w:pPr>
          </w:p>
        </w:tc>
        <w:tc>
          <w:tcPr>
            <w:tcW w:w="1740" w:type="dxa"/>
            <w:vAlign w:val="bottom"/>
            <w:tcBorders>
              <w:right w:val="single" w:sz="8" w:color="auto"/>
            </w:tcBorders>
            <w:vMerge w:val="continue"/>
          </w:tcPr>
          <w:p>
            <w:pPr>
              <w:spacing w:after="0"/>
              <w:rPr>
                <w:sz w:val="10"/>
                <w:szCs w:val="10"/>
                <w:color w:val="auto"/>
              </w:rPr>
            </w:pPr>
          </w:p>
        </w:tc>
        <w:tc>
          <w:tcPr>
            <w:tcW w:w="472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5"/>
                <w:szCs w:val="15"/>
                <w:color w:val="auto"/>
                <w:w w:val="96"/>
              </w:rPr>
              <w:t>Dimethyltryptamine Compounds</w:t>
            </w:r>
          </w:p>
        </w:tc>
        <w:tc>
          <w:tcPr>
            <w:tcW w:w="0" w:type="dxa"/>
            <w:vAlign w:val="bottom"/>
          </w:tcPr>
          <w:p>
            <w:pPr>
              <w:spacing w:after="0"/>
              <w:rPr>
                <w:sz w:val="1"/>
                <w:szCs w:val="1"/>
                <w:color w:val="auto"/>
              </w:rPr>
            </w:pPr>
          </w:p>
        </w:tc>
      </w:tr>
      <w:tr>
        <w:trPr>
          <w:trHeight w:val="75"/>
        </w:trPr>
        <w:tc>
          <w:tcPr>
            <w:tcW w:w="2980" w:type="dxa"/>
            <w:vAlign w:val="bottom"/>
            <w:tcBorders>
              <w:left w:val="single" w:sz="8" w:color="auto"/>
              <w:bottom w:val="single" w:sz="8" w:color="auto"/>
              <w:right w:val="single" w:sz="8" w:color="auto"/>
            </w:tcBorders>
          </w:tcPr>
          <w:p>
            <w:pPr>
              <w:spacing w:after="0"/>
              <w:rPr>
                <w:sz w:val="6"/>
                <w:szCs w:val="6"/>
                <w:color w:val="auto"/>
              </w:rPr>
            </w:pPr>
          </w:p>
        </w:tc>
        <w:tc>
          <w:tcPr>
            <w:tcW w:w="1840" w:type="dxa"/>
            <w:vAlign w:val="bottom"/>
            <w:tcBorders>
              <w:bottom w:val="single" w:sz="8" w:color="auto"/>
              <w:right w:val="single" w:sz="8" w:color="auto"/>
            </w:tcBorders>
          </w:tcPr>
          <w:p>
            <w:pPr>
              <w:spacing w:after="0"/>
              <w:rPr>
                <w:sz w:val="6"/>
                <w:szCs w:val="6"/>
                <w:color w:val="auto"/>
              </w:rPr>
            </w:pPr>
          </w:p>
        </w:tc>
        <w:tc>
          <w:tcPr>
            <w:tcW w:w="1740" w:type="dxa"/>
            <w:vAlign w:val="bottom"/>
            <w:tcBorders>
              <w:bottom w:val="single" w:sz="8" w:color="auto"/>
              <w:right w:val="single" w:sz="8" w:color="auto"/>
            </w:tcBorders>
          </w:tcPr>
          <w:p>
            <w:pPr>
              <w:spacing w:after="0"/>
              <w:rPr>
                <w:sz w:val="6"/>
                <w:szCs w:val="6"/>
                <w:color w:val="auto"/>
              </w:rPr>
            </w:pPr>
          </w:p>
        </w:tc>
        <w:tc>
          <w:tcPr>
            <w:tcW w:w="4720" w:type="dxa"/>
            <w:vAlign w:val="bottom"/>
            <w:tcBorders>
              <w:bottom w:val="single" w:sz="8" w:color="auto"/>
              <w:right w:val="single" w:sz="8" w:color="auto"/>
            </w:tcBorders>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39"/>
        </w:trPr>
        <w:tc>
          <w:tcPr>
            <w:tcW w:w="2980" w:type="dxa"/>
            <w:vAlign w:val="bottom"/>
            <w:tcBorders>
              <w:left w:val="single" w:sz="8" w:color="auto"/>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5"/>
                <w:szCs w:val="15"/>
                <w:color w:val="auto"/>
                <w:w w:val="96"/>
              </w:rPr>
              <w:t>202080050439.9</w:t>
            </w:r>
          </w:p>
        </w:tc>
        <w:tc>
          <w:tcPr>
            <w:tcW w:w="184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5"/>
                <w:szCs w:val="15"/>
                <w:color w:val="auto"/>
                <w:w w:val="94"/>
              </w:rPr>
              <w:t>China</w:t>
            </w:r>
          </w:p>
        </w:tc>
        <w:tc>
          <w:tcPr>
            <w:tcW w:w="174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5"/>
                <w:szCs w:val="15"/>
                <w:color w:val="auto"/>
                <w:w w:val="97"/>
              </w:rPr>
              <w:t>Pending</w:t>
            </w:r>
          </w:p>
        </w:tc>
        <w:tc>
          <w:tcPr>
            <w:tcW w:w="4720" w:type="dxa"/>
            <w:vAlign w:val="bottom"/>
            <w:tcBorders>
              <w:right w:val="single" w:sz="8" w:color="auto"/>
            </w:tcBorders>
          </w:tcPr>
          <w:p>
            <w:pPr>
              <w:jc w:val="center"/>
              <w:spacing w:after="0" w:line="139" w:lineRule="exact"/>
              <w:rPr>
                <w:sz w:val="20"/>
                <w:szCs w:val="20"/>
                <w:color w:val="auto"/>
              </w:rPr>
            </w:pPr>
            <w:r>
              <w:rPr>
                <w:rFonts w:ascii="Times New Roman" w:cs="Times New Roman" w:eastAsia="Times New Roman" w:hAnsi="Times New Roman"/>
                <w:sz w:val="15"/>
                <w:szCs w:val="15"/>
                <w:color w:val="auto"/>
                <w:w w:val="96"/>
              </w:rPr>
              <w:t>Therapeutic Compositions Comprising Deuterated or Partially Deuterated N,N-</w:t>
            </w:r>
          </w:p>
        </w:tc>
        <w:tc>
          <w:tcPr>
            <w:tcW w:w="0" w:type="dxa"/>
            <w:vAlign w:val="bottom"/>
          </w:tcPr>
          <w:p>
            <w:pPr>
              <w:spacing w:after="0"/>
              <w:rPr>
                <w:sz w:val="1"/>
                <w:szCs w:val="1"/>
                <w:color w:val="auto"/>
              </w:rPr>
            </w:pPr>
          </w:p>
        </w:tc>
      </w:tr>
      <w:tr>
        <w:trPr>
          <w:trHeight w:val="117"/>
        </w:trPr>
        <w:tc>
          <w:tcPr>
            <w:tcW w:w="2980" w:type="dxa"/>
            <w:vAlign w:val="bottom"/>
            <w:tcBorders>
              <w:left w:val="single" w:sz="8" w:color="auto"/>
              <w:right w:val="single" w:sz="8" w:color="auto"/>
            </w:tcBorders>
            <w:vMerge w:val="continue"/>
          </w:tcPr>
          <w:p>
            <w:pPr>
              <w:spacing w:after="0"/>
              <w:rPr>
                <w:sz w:val="10"/>
                <w:szCs w:val="10"/>
                <w:color w:val="auto"/>
              </w:rPr>
            </w:pPr>
          </w:p>
        </w:tc>
        <w:tc>
          <w:tcPr>
            <w:tcW w:w="1840" w:type="dxa"/>
            <w:vAlign w:val="bottom"/>
            <w:tcBorders>
              <w:right w:val="single" w:sz="8" w:color="auto"/>
            </w:tcBorders>
            <w:vMerge w:val="continue"/>
          </w:tcPr>
          <w:p>
            <w:pPr>
              <w:spacing w:after="0"/>
              <w:rPr>
                <w:sz w:val="10"/>
                <w:szCs w:val="10"/>
                <w:color w:val="auto"/>
              </w:rPr>
            </w:pPr>
          </w:p>
        </w:tc>
        <w:tc>
          <w:tcPr>
            <w:tcW w:w="1740" w:type="dxa"/>
            <w:vAlign w:val="bottom"/>
            <w:tcBorders>
              <w:right w:val="single" w:sz="8" w:color="auto"/>
            </w:tcBorders>
            <w:vMerge w:val="continue"/>
          </w:tcPr>
          <w:p>
            <w:pPr>
              <w:spacing w:after="0"/>
              <w:rPr>
                <w:sz w:val="10"/>
                <w:szCs w:val="10"/>
                <w:color w:val="auto"/>
              </w:rPr>
            </w:pPr>
          </w:p>
        </w:tc>
        <w:tc>
          <w:tcPr>
            <w:tcW w:w="472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5"/>
                <w:szCs w:val="15"/>
                <w:color w:val="auto"/>
                <w:w w:val="96"/>
              </w:rPr>
              <w:t>Dimethyltryptamine Compounds</w:t>
            </w:r>
          </w:p>
        </w:tc>
        <w:tc>
          <w:tcPr>
            <w:tcW w:w="0" w:type="dxa"/>
            <w:vAlign w:val="bottom"/>
          </w:tcPr>
          <w:p>
            <w:pPr>
              <w:spacing w:after="0"/>
              <w:rPr>
                <w:sz w:val="1"/>
                <w:szCs w:val="1"/>
                <w:color w:val="auto"/>
              </w:rPr>
            </w:pPr>
          </w:p>
        </w:tc>
      </w:tr>
      <w:tr>
        <w:trPr>
          <w:trHeight w:val="75"/>
        </w:trPr>
        <w:tc>
          <w:tcPr>
            <w:tcW w:w="2980" w:type="dxa"/>
            <w:vAlign w:val="bottom"/>
            <w:tcBorders>
              <w:left w:val="single" w:sz="8" w:color="auto"/>
              <w:bottom w:val="single" w:sz="8" w:color="auto"/>
              <w:right w:val="single" w:sz="8" w:color="auto"/>
            </w:tcBorders>
          </w:tcPr>
          <w:p>
            <w:pPr>
              <w:spacing w:after="0"/>
              <w:rPr>
                <w:sz w:val="6"/>
                <w:szCs w:val="6"/>
                <w:color w:val="auto"/>
              </w:rPr>
            </w:pPr>
          </w:p>
        </w:tc>
        <w:tc>
          <w:tcPr>
            <w:tcW w:w="1840" w:type="dxa"/>
            <w:vAlign w:val="bottom"/>
            <w:tcBorders>
              <w:bottom w:val="single" w:sz="8" w:color="auto"/>
              <w:right w:val="single" w:sz="8" w:color="auto"/>
            </w:tcBorders>
          </w:tcPr>
          <w:p>
            <w:pPr>
              <w:spacing w:after="0"/>
              <w:rPr>
                <w:sz w:val="6"/>
                <w:szCs w:val="6"/>
                <w:color w:val="auto"/>
              </w:rPr>
            </w:pPr>
          </w:p>
        </w:tc>
        <w:tc>
          <w:tcPr>
            <w:tcW w:w="1740" w:type="dxa"/>
            <w:vAlign w:val="bottom"/>
            <w:tcBorders>
              <w:bottom w:val="single" w:sz="8" w:color="auto"/>
              <w:right w:val="single" w:sz="8" w:color="auto"/>
            </w:tcBorders>
          </w:tcPr>
          <w:p>
            <w:pPr>
              <w:spacing w:after="0"/>
              <w:rPr>
                <w:sz w:val="6"/>
                <w:szCs w:val="6"/>
                <w:color w:val="auto"/>
              </w:rPr>
            </w:pPr>
          </w:p>
        </w:tc>
        <w:tc>
          <w:tcPr>
            <w:tcW w:w="4720" w:type="dxa"/>
            <w:vAlign w:val="bottom"/>
            <w:tcBorders>
              <w:bottom w:val="single" w:sz="8" w:color="auto"/>
              <w:right w:val="single" w:sz="8" w:color="auto"/>
            </w:tcBorders>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39"/>
        </w:trPr>
        <w:tc>
          <w:tcPr>
            <w:tcW w:w="2980" w:type="dxa"/>
            <w:vAlign w:val="bottom"/>
            <w:tcBorders>
              <w:left w:val="single" w:sz="8" w:color="auto"/>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5"/>
                <w:szCs w:val="15"/>
                <w:color w:val="auto"/>
                <w:w w:val="95"/>
              </w:rPr>
              <w:t>22173907.1</w:t>
            </w:r>
          </w:p>
        </w:tc>
        <w:tc>
          <w:tcPr>
            <w:tcW w:w="184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5"/>
                <w:szCs w:val="15"/>
                <w:color w:val="auto"/>
                <w:w w:val="96"/>
              </w:rPr>
              <w:t>European Patent Office</w:t>
            </w:r>
          </w:p>
        </w:tc>
        <w:tc>
          <w:tcPr>
            <w:tcW w:w="174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5"/>
                <w:szCs w:val="15"/>
                <w:color w:val="auto"/>
                <w:w w:val="97"/>
              </w:rPr>
              <w:t>Pending</w:t>
            </w:r>
          </w:p>
        </w:tc>
        <w:tc>
          <w:tcPr>
            <w:tcW w:w="4720" w:type="dxa"/>
            <w:vAlign w:val="bottom"/>
            <w:tcBorders>
              <w:right w:val="single" w:sz="8" w:color="auto"/>
            </w:tcBorders>
          </w:tcPr>
          <w:p>
            <w:pPr>
              <w:jc w:val="center"/>
              <w:spacing w:after="0" w:line="139" w:lineRule="exact"/>
              <w:rPr>
                <w:sz w:val="20"/>
                <w:szCs w:val="20"/>
                <w:color w:val="auto"/>
              </w:rPr>
            </w:pPr>
            <w:r>
              <w:rPr>
                <w:rFonts w:ascii="Times New Roman" w:cs="Times New Roman" w:eastAsia="Times New Roman" w:hAnsi="Times New Roman"/>
                <w:sz w:val="15"/>
                <w:szCs w:val="15"/>
                <w:color w:val="auto"/>
                <w:w w:val="96"/>
              </w:rPr>
              <w:t>Therapeutic Compositions Comprising Deuterated or Partially Deuterated N,N-</w:t>
            </w:r>
          </w:p>
        </w:tc>
        <w:tc>
          <w:tcPr>
            <w:tcW w:w="0" w:type="dxa"/>
            <w:vAlign w:val="bottom"/>
          </w:tcPr>
          <w:p>
            <w:pPr>
              <w:spacing w:after="0"/>
              <w:rPr>
                <w:sz w:val="1"/>
                <w:szCs w:val="1"/>
                <w:color w:val="auto"/>
              </w:rPr>
            </w:pPr>
          </w:p>
        </w:tc>
      </w:tr>
      <w:tr>
        <w:trPr>
          <w:trHeight w:val="117"/>
        </w:trPr>
        <w:tc>
          <w:tcPr>
            <w:tcW w:w="2980" w:type="dxa"/>
            <w:vAlign w:val="bottom"/>
            <w:tcBorders>
              <w:left w:val="single" w:sz="8" w:color="auto"/>
              <w:right w:val="single" w:sz="8" w:color="auto"/>
            </w:tcBorders>
            <w:vMerge w:val="continue"/>
          </w:tcPr>
          <w:p>
            <w:pPr>
              <w:spacing w:after="0"/>
              <w:rPr>
                <w:sz w:val="10"/>
                <w:szCs w:val="10"/>
                <w:color w:val="auto"/>
              </w:rPr>
            </w:pPr>
          </w:p>
        </w:tc>
        <w:tc>
          <w:tcPr>
            <w:tcW w:w="1840" w:type="dxa"/>
            <w:vAlign w:val="bottom"/>
            <w:tcBorders>
              <w:right w:val="single" w:sz="8" w:color="auto"/>
            </w:tcBorders>
            <w:vMerge w:val="continue"/>
          </w:tcPr>
          <w:p>
            <w:pPr>
              <w:spacing w:after="0"/>
              <w:rPr>
                <w:sz w:val="10"/>
                <w:szCs w:val="10"/>
                <w:color w:val="auto"/>
              </w:rPr>
            </w:pPr>
          </w:p>
        </w:tc>
        <w:tc>
          <w:tcPr>
            <w:tcW w:w="1740" w:type="dxa"/>
            <w:vAlign w:val="bottom"/>
            <w:tcBorders>
              <w:right w:val="single" w:sz="8" w:color="auto"/>
            </w:tcBorders>
            <w:vMerge w:val="continue"/>
          </w:tcPr>
          <w:p>
            <w:pPr>
              <w:spacing w:after="0"/>
              <w:rPr>
                <w:sz w:val="10"/>
                <w:szCs w:val="10"/>
                <w:color w:val="auto"/>
              </w:rPr>
            </w:pPr>
          </w:p>
        </w:tc>
        <w:tc>
          <w:tcPr>
            <w:tcW w:w="472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5"/>
                <w:szCs w:val="15"/>
                <w:color w:val="auto"/>
                <w:w w:val="96"/>
              </w:rPr>
              <w:t>Dimethyltryptamine Compounds</w:t>
            </w:r>
          </w:p>
        </w:tc>
        <w:tc>
          <w:tcPr>
            <w:tcW w:w="0" w:type="dxa"/>
            <w:vAlign w:val="bottom"/>
          </w:tcPr>
          <w:p>
            <w:pPr>
              <w:spacing w:after="0"/>
              <w:rPr>
                <w:sz w:val="1"/>
                <w:szCs w:val="1"/>
                <w:color w:val="auto"/>
              </w:rPr>
            </w:pPr>
          </w:p>
        </w:tc>
      </w:tr>
      <w:tr>
        <w:trPr>
          <w:trHeight w:val="75"/>
        </w:trPr>
        <w:tc>
          <w:tcPr>
            <w:tcW w:w="2980" w:type="dxa"/>
            <w:vAlign w:val="bottom"/>
            <w:tcBorders>
              <w:left w:val="single" w:sz="8" w:color="auto"/>
              <w:bottom w:val="single" w:sz="8" w:color="auto"/>
              <w:right w:val="single" w:sz="8" w:color="auto"/>
            </w:tcBorders>
          </w:tcPr>
          <w:p>
            <w:pPr>
              <w:spacing w:after="0"/>
              <w:rPr>
                <w:sz w:val="6"/>
                <w:szCs w:val="6"/>
                <w:color w:val="auto"/>
              </w:rPr>
            </w:pPr>
          </w:p>
        </w:tc>
        <w:tc>
          <w:tcPr>
            <w:tcW w:w="1840" w:type="dxa"/>
            <w:vAlign w:val="bottom"/>
            <w:tcBorders>
              <w:bottom w:val="single" w:sz="8" w:color="auto"/>
              <w:right w:val="single" w:sz="8" w:color="auto"/>
            </w:tcBorders>
          </w:tcPr>
          <w:p>
            <w:pPr>
              <w:spacing w:after="0"/>
              <w:rPr>
                <w:sz w:val="6"/>
                <w:szCs w:val="6"/>
                <w:color w:val="auto"/>
              </w:rPr>
            </w:pPr>
          </w:p>
        </w:tc>
        <w:tc>
          <w:tcPr>
            <w:tcW w:w="1740" w:type="dxa"/>
            <w:vAlign w:val="bottom"/>
            <w:tcBorders>
              <w:bottom w:val="single" w:sz="8" w:color="auto"/>
              <w:right w:val="single" w:sz="8" w:color="auto"/>
            </w:tcBorders>
          </w:tcPr>
          <w:p>
            <w:pPr>
              <w:spacing w:after="0"/>
              <w:rPr>
                <w:sz w:val="6"/>
                <w:szCs w:val="6"/>
                <w:color w:val="auto"/>
              </w:rPr>
            </w:pPr>
          </w:p>
        </w:tc>
        <w:tc>
          <w:tcPr>
            <w:tcW w:w="4720" w:type="dxa"/>
            <w:vAlign w:val="bottom"/>
            <w:tcBorders>
              <w:bottom w:val="single" w:sz="8" w:color="auto"/>
              <w:right w:val="single" w:sz="8" w:color="auto"/>
            </w:tcBorders>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39"/>
        </w:trPr>
        <w:tc>
          <w:tcPr>
            <w:tcW w:w="2980" w:type="dxa"/>
            <w:vAlign w:val="bottom"/>
            <w:tcBorders>
              <w:left w:val="single" w:sz="8" w:color="auto"/>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5"/>
                <w:szCs w:val="15"/>
                <w:color w:val="auto"/>
                <w:w w:val="97"/>
              </w:rPr>
              <w:t>288617</w:t>
            </w:r>
          </w:p>
        </w:tc>
        <w:tc>
          <w:tcPr>
            <w:tcW w:w="184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5"/>
                <w:szCs w:val="15"/>
                <w:color w:val="auto"/>
              </w:rPr>
              <w:t>Israel</w:t>
            </w:r>
          </w:p>
        </w:tc>
        <w:tc>
          <w:tcPr>
            <w:tcW w:w="174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5"/>
                <w:szCs w:val="15"/>
                <w:color w:val="auto"/>
                <w:w w:val="97"/>
              </w:rPr>
              <w:t>Pending</w:t>
            </w:r>
          </w:p>
        </w:tc>
        <w:tc>
          <w:tcPr>
            <w:tcW w:w="4720" w:type="dxa"/>
            <w:vAlign w:val="bottom"/>
            <w:tcBorders>
              <w:right w:val="single" w:sz="8" w:color="auto"/>
            </w:tcBorders>
          </w:tcPr>
          <w:p>
            <w:pPr>
              <w:jc w:val="center"/>
              <w:spacing w:after="0" w:line="139" w:lineRule="exact"/>
              <w:rPr>
                <w:sz w:val="20"/>
                <w:szCs w:val="20"/>
                <w:color w:val="auto"/>
              </w:rPr>
            </w:pPr>
            <w:r>
              <w:rPr>
                <w:rFonts w:ascii="Times New Roman" w:cs="Times New Roman" w:eastAsia="Times New Roman" w:hAnsi="Times New Roman"/>
                <w:sz w:val="15"/>
                <w:szCs w:val="15"/>
                <w:color w:val="auto"/>
                <w:w w:val="96"/>
              </w:rPr>
              <w:t>Therapeutic Compositions Comprising Deuterated or Partially Deuterated N,N-</w:t>
            </w:r>
          </w:p>
        </w:tc>
        <w:tc>
          <w:tcPr>
            <w:tcW w:w="0" w:type="dxa"/>
            <w:vAlign w:val="bottom"/>
          </w:tcPr>
          <w:p>
            <w:pPr>
              <w:spacing w:after="0"/>
              <w:rPr>
                <w:sz w:val="1"/>
                <w:szCs w:val="1"/>
                <w:color w:val="auto"/>
              </w:rPr>
            </w:pPr>
          </w:p>
        </w:tc>
      </w:tr>
      <w:tr>
        <w:trPr>
          <w:trHeight w:val="117"/>
        </w:trPr>
        <w:tc>
          <w:tcPr>
            <w:tcW w:w="2980" w:type="dxa"/>
            <w:vAlign w:val="bottom"/>
            <w:tcBorders>
              <w:left w:val="single" w:sz="8" w:color="auto"/>
              <w:right w:val="single" w:sz="8" w:color="auto"/>
            </w:tcBorders>
            <w:vMerge w:val="continue"/>
          </w:tcPr>
          <w:p>
            <w:pPr>
              <w:spacing w:after="0"/>
              <w:rPr>
                <w:sz w:val="10"/>
                <w:szCs w:val="10"/>
                <w:color w:val="auto"/>
              </w:rPr>
            </w:pPr>
          </w:p>
        </w:tc>
        <w:tc>
          <w:tcPr>
            <w:tcW w:w="1840" w:type="dxa"/>
            <w:vAlign w:val="bottom"/>
            <w:tcBorders>
              <w:right w:val="single" w:sz="8" w:color="auto"/>
            </w:tcBorders>
            <w:vMerge w:val="continue"/>
          </w:tcPr>
          <w:p>
            <w:pPr>
              <w:spacing w:after="0"/>
              <w:rPr>
                <w:sz w:val="10"/>
                <w:szCs w:val="10"/>
                <w:color w:val="auto"/>
              </w:rPr>
            </w:pPr>
          </w:p>
        </w:tc>
        <w:tc>
          <w:tcPr>
            <w:tcW w:w="1740" w:type="dxa"/>
            <w:vAlign w:val="bottom"/>
            <w:tcBorders>
              <w:right w:val="single" w:sz="8" w:color="auto"/>
            </w:tcBorders>
            <w:vMerge w:val="continue"/>
          </w:tcPr>
          <w:p>
            <w:pPr>
              <w:spacing w:after="0"/>
              <w:rPr>
                <w:sz w:val="10"/>
                <w:szCs w:val="10"/>
                <w:color w:val="auto"/>
              </w:rPr>
            </w:pPr>
          </w:p>
        </w:tc>
        <w:tc>
          <w:tcPr>
            <w:tcW w:w="472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5"/>
                <w:szCs w:val="15"/>
                <w:color w:val="auto"/>
                <w:w w:val="96"/>
              </w:rPr>
              <w:t>Dimethyltryptamine Compounds</w:t>
            </w:r>
          </w:p>
        </w:tc>
        <w:tc>
          <w:tcPr>
            <w:tcW w:w="0" w:type="dxa"/>
            <w:vAlign w:val="bottom"/>
          </w:tcPr>
          <w:p>
            <w:pPr>
              <w:spacing w:after="0"/>
              <w:rPr>
                <w:sz w:val="1"/>
                <w:szCs w:val="1"/>
                <w:color w:val="auto"/>
              </w:rPr>
            </w:pPr>
          </w:p>
        </w:tc>
      </w:tr>
      <w:tr>
        <w:trPr>
          <w:trHeight w:val="75"/>
        </w:trPr>
        <w:tc>
          <w:tcPr>
            <w:tcW w:w="2980" w:type="dxa"/>
            <w:vAlign w:val="bottom"/>
            <w:tcBorders>
              <w:left w:val="single" w:sz="8" w:color="auto"/>
              <w:bottom w:val="single" w:sz="8" w:color="auto"/>
              <w:right w:val="single" w:sz="8" w:color="auto"/>
            </w:tcBorders>
          </w:tcPr>
          <w:p>
            <w:pPr>
              <w:spacing w:after="0"/>
              <w:rPr>
                <w:sz w:val="6"/>
                <w:szCs w:val="6"/>
                <w:color w:val="auto"/>
              </w:rPr>
            </w:pPr>
          </w:p>
        </w:tc>
        <w:tc>
          <w:tcPr>
            <w:tcW w:w="1840" w:type="dxa"/>
            <w:vAlign w:val="bottom"/>
            <w:tcBorders>
              <w:bottom w:val="single" w:sz="8" w:color="auto"/>
              <w:right w:val="single" w:sz="8" w:color="auto"/>
            </w:tcBorders>
          </w:tcPr>
          <w:p>
            <w:pPr>
              <w:spacing w:after="0"/>
              <w:rPr>
                <w:sz w:val="6"/>
                <w:szCs w:val="6"/>
                <w:color w:val="auto"/>
              </w:rPr>
            </w:pPr>
          </w:p>
        </w:tc>
        <w:tc>
          <w:tcPr>
            <w:tcW w:w="1740" w:type="dxa"/>
            <w:vAlign w:val="bottom"/>
            <w:tcBorders>
              <w:bottom w:val="single" w:sz="8" w:color="auto"/>
              <w:right w:val="single" w:sz="8" w:color="auto"/>
            </w:tcBorders>
          </w:tcPr>
          <w:p>
            <w:pPr>
              <w:spacing w:after="0"/>
              <w:rPr>
                <w:sz w:val="6"/>
                <w:szCs w:val="6"/>
                <w:color w:val="auto"/>
              </w:rPr>
            </w:pPr>
          </w:p>
        </w:tc>
        <w:tc>
          <w:tcPr>
            <w:tcW w:w="4720" w:type="dxa"/>
            <w:vAlign w:val="bottom"/>
            <w:tcBorders>
              <w:bottom w:val="single" w:sz="8" w:color="auto"/>
              <w:right w:val="single" w:sz="8" w:color="auto"/>
            </w:tcBorders>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39"/>
        </w:trPr>
        <w:tc>
          <w:tcPr>
            <w:tcW w:w="2980" w:type="dxa"/>
            <w:vAlign w:val="bottom"/>
            <w:tcBorders>
              <w:left w:val="single" w:sz="8" w:color="auto"/>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5"/>
                <w:szCs w:val="15"/>
                <w:color w:val="auto"/>
                <w:w w:val="97"/>
              </w:rPr>
              <w:t>783166</w:t>
            </w:r>
          </w:p>
        </w:tc>
        <w:tc>
          <w:tcPr>
            <w:tcW w:w="184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5"/>
                <w:szCs w:val="15"/>
                <w:color w:val="auto"/>
                <w:w w:val="96"/>
              </w:rPr>
              <w:t>New Zealand</w:t>
            </w:r>
          </w:p>
        </w:tc>
        <w:tc>
          <w:tcPr>
            <w:tcW w:w="174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5"/>
                <w:szCs w:val="15"/>
                <w:color w:val="auto"/>
                <w:w w:val="97"/>
              </w:rPr>
              <w:t>Pending</w:t>
            </w:r>
          </w:p>
        </w:tc>
        <w:tc>
          <w:tcPr>
            <w:tcW w:w="4720" w:type="dxa"/>
            <w:vAlign w:val="bottom"/>
            <w:tcBorders>
              <w:right w:val="single" w:sz="8" w:color="auto"/>
            </w:tcBorders>
          </w:tcPr>
          <w:p>
            <w:pPr>
              <w:jc w:val="center"/>
              <w:spacing w:after="0" w:line="139" w:lineRule="exact"/>
              <w:rPr>
                <w:sz w:val="20"/>
                <w:szCs w:val="20"/>
                <w:color w:val="auto"/>
              </w:rPr>
            </w:pPr>
            <w:r>
              <w:rPr>
                <w:rFonts w:ascii="Times New Roman" w:cs="Times New Roman" w:eastAsia="Times New Roman" w:hAnsi="Times New Roman"/>
                <w:sz w:val="15"/>
                <w:szCs w:val="15"/>
                <w:color w:val="auto"/>
                <w:w w:val="96"/>
              </w:rPr>
              <w:t>Therapeutic Compositions Comprising Deuterated or Partially Deuterated N,N-</w:t>
            </w:r>
          </w:p>
        </w:tc>
        <w:tc>
          <w:tcPr>
            <w:tcW w:w="0" w:type="dxa"/>
            <w:vAlign w:val="bottom"/>
          </w:tcPr>
          <w:p>
            <w:pPr>
              <w:spacing w:after="0"/>
              <w:rPr>
                <w:sz w:val="1"/>
                <w:szCs w:val="1"/>
                <w:color w:val="auto"/>
              </w:rPr>
            </w:pPr>
          </w:p>
        </w:tc>
      </w:tr>
      <w:tr>
        <w:trPr>
          <w:trHeight w:val="117"/>
        </w:trPr>
        <w:tc>
          <w:tcPr>
            <w:tcW w:w="2980" w:type="dxa"/>
            <w:vAlign w:val="bottom"/>
            <w:tcBorders>
              <w:left w:val="single" w:sz="8" w:color="auto"/>
              <w:right w:val="single" w:sz="8" w:color="auto"/>
            </w:tcBorders>
            <w:vMerge w:val="continue"/>
          </w:tcPr>
          <w:p>
            <w:pPr>
              <w:spacing w:after="0"/>
              <w:rPr>
                <w:sz w:val="10"/>
                <w:szCs w:val="10"/>
                <w:color w:val="auto"/>
              </w:rPr>
            </w:pPr>
          </w:p>
        </w:tc>
        <w:tc>
          <w:tcPr>
            <w:tcW w:w="1840" w:type="dxa"/>
            <w:vAlign w:val="bottom"/>
            <w:tcBorders>
              <w:right w:val="single" w:sz="8" w:color="auto"/>
            </w:tcBorders>
            <w:vMerge w:val="continue"/>
          </w:tcPr>
          <w:p>
            <w:pPr>
              <w:spacing w:after="0"/>
              <w:rPr>
                <w:sz w:val="10"/>
                <w:szCs w:val="10"/>
                <w:color w:val="auto"/>
              </w:rPr>
            </w:pPr>
          </w:p>
        </w:tc>
        <w:tc>
          <w:tcPr>
            <w:tcW w:w="1740" w:type="dxa"/>
            <w:vAlign w:val="bottom"/>
            <w:tcBorders>
              <w:right w:val="single" w:sz="8" w:color="auto"/>
            </w:tcBorders>
            <w:vMerge w:val="continue"/>
          </w:tcPr>
          <w:p>
            <w:pPr>
              <w:spacing w:after="0"/>
              <w:rPr>
                <w:sz w:val="10"/>
                <w:szCs w:val="10"/>
                <w:color w:val="auto"/>
              </w:rPr>
            </w:pPr>
          </w:p>
        </w:tc>
        <w:tc>
          <w:tcPr>
            <w:tcW w:w="472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5"/>
                <w:szCs w:val="15"/>
                <w:color w:val="auto"/>
                <w:w w:val="96"/>
              </w:rPr>
              <w:t>Dimethyltryptamine Compounds</w:t>
            </w:r>
          </w:p>
        </w:tc>
        <w:tc>
          <w:tcPr>
            <w:tcW w:w="0" w:type="dxa"/>
            <w:vAlign w:val="bottom"/>
          </w:tcPr>
          <w:p>
            <w:pPr>
              <w:spacing w:after="0"/>
              <w:rPr>
                <w:sz w:val="1"/>
                <w:szCs w:val="1"/>
                <w:color w:val="auto"/>
              </w:rPr>
            </w:pPr>
          </w:p>
        </w:tc>
      </w:tr>
      <w:tr>
        <w:trPr>
          <w:trHeight w:val="75"/>
        </w:trPr>
        <w:tc>
          <w:tcPr>
            <w:tcW w:w="2980" w:type="dxa"/>
            <w:vAlign w:val="bottom"/>
            <w:tcBorders>
              <w:left w:val="single" w:sz="8" w:color="auto"/>
              <w:bottom w:val="single" w:sz="8" w:color="auto"/>
              <w:right w:val="single" w:sz="8" w:color="auto"/>
            </w:tcBorders>
          </w:tcPr>
          <w:p>
            <w:pPr>
              <w:spacing w:after="0"/>
              <w:rPr>
                <w:sz w:val="6"/>
                <w:szCs w:val="6"/>
                <w:color w:val="auto"/>
              </w:rPr>
            </w:pPr>
          </w:p>
        </w:tc>
        <w:tc>
          <w:tcPr>
            <w:tcW w:w="1840" w:type="dxa"/>
            <w:vAlign w:val="bottom"/>
            <w:tcBorders>
              <w:bottom w:val="single" w:sz="8" w:color="auto"/>
              <w:right w:val="single" w:sz="8" w:color="auto"/>
            </w:tcBorders>
          </w:tcPr>
          <w:p>
            <w:pPr>
              <w:spacing w:after="0"/>
              <w:rPr>
                <w:sz w:val="6"/>
                <w:szCs w:val="6"/>
                <w:color w:val="auto"/>
              </w:rPr>
            </w:pPr>
          </w:p>
        </w:tc>
        <w:tc>
          <w:tcPr>
            <w:tcW w:w="1740" w:type="dxa"/>
            <w:vAlign w:val="bottom"/>
            <w:tcBorders>
              <w:bottom w:val="single" w:sz="8" w:color="auto"/>
              <w:right w:val="single" w:sz="8" w:color="auto"/>
            </w:tcBorders>
          </w:tcPr>
          <w:p>
            <w:pPr>
              <w:spacing w:after="0"/>
              <w:rPr>
                <w:sz w:val="6"/>
                <w:szCs w:val="6"/>
                <w:color w:val="auto"/>
              </w:rPr>
            </w:pPr>
          </w:p>
        </w:tc>
        <w:tc>
          <w:tcPr>
            <w:tcW w:w="4720" w:type="dxa"/>
            <w:vAlign w:val="bottom"/>
            <w:tcBorders>
              <w:bottom w:val="single" w:sz="8" w:color="auto"/>
              <w:right w:val="single" w:sz="8" w:color="auto"/>
            </w:tcBorders>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39"/>
        </w:trPr>
        <w:tc>
          <w:tcPr>
            <w:tcW w:w="2980" w:type="dxa"/>
            <w:vAlign w:val="bottom"/>
            <w:tcBorders>
              <w:left w:val="single" w:sz="8" w:color="auto"/>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5"/>
                <w:szCs w:val="15"/>
                <w:color w:val="auto"/>
                <w:w w:val="96"/>
              </w:rPr>
              <w:t>10-2021-7043410</w:t>
            </w:r>
          </w:p>
        </w:tc>
        <w:tc>
          <w:tcPr>
            <w:tcW w:w="184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5"/>
                <w:szCs w:val="15"/>
                <w:color w:val="auto"/>
                <w:w w:val="95"/>
              </w:rPr>
              <w:t>Republic of Korea</w:t>
            </w:r>
          </w:p>
        </w:tc>
        <w:tc>
          <w:tcPr>
            <w:tcW w:w="174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5"/>
                <w:szCs w:val="15"/>
                <w:color w:val="auto"/>
                <w:w w:val="97"/>
              </w:rPr>
              <w:t>Pending</w:t>
            </w:r>
          </w:p>
        </w:tc>
        <w:tc>
          <w:tcPr>
            <w:tcW w:w="4720" w:type="dxa"/>
            <w:vAlign w:val="bottom"/>
            <w:tcBorders>
              <w:right w:val="single" w:sz="8" w:color="auto"/>
            </w:tcBorders>
          </w:tcPr>
          <w:p>
            <w:pPr>
              <w:jc w:val="center"/>
              <w:spacing w:after="0" w:line="139" w:lineRule="exact"/>
              <w:rPr>
                <w:sz w:val="20"/>
                <w:szCs w:val="20"/>
                <w:color w:val="auto"/>
              </w:rPr>
            </w:pPr>
            <w:r>
              <w:rPr>
                <w:rFonts w:ascii="Times New Roman" w:cs="Times New Roman" w:eastAsia="Times New Roman" w:hAnsi="Times New Roman"/>
                <w:sz w:val="15"/>
                <w:szCs w:val="15"/>
                <w:color w:val="auto"/>
                <w:w w:val="96"/>
              </w:rPr>
              <w:t>Therapeutic Compositions Comprising Deuterated or Partially Deuterated N,N-</w:t>
            </w:r>
          </w:p>
        </w:tc>
        <w:tc>
          <w:tcPr>
            <w:tcW w:w="0" w:type="dxa"/>
            <w:vAlign w:val="bottom"/>
          </w:tcPr>
          <w:p>
            <w:pPr>
              <w:spacing w:after="0"/>
              <w:rPr>
                <w:sz w:val="1"/>
                <w:szCs w:val="1"/>
                <w:color w:val="auto"/>
              </w:rPr>
            </w:pPr>
          </w:p>
        </w:tc>
      </w:tr>
      <w:tr>
        <w:trPr>
          <w:trHeight w:val="117"/>
        </w:trPr>
        <w:tc>
          <w:tcPr>
            <w:tcW w:w="2980" w:type="dxa"/>
            <w:vAlign w:val="bottom"/>
            <w:tcBorders>
              <w:left w:val="single" w:sz="8" w:color="auto"/>
              <w:right w:val="single" w:sz="8" w:color="auto"/>
            </w:tcBorders>
            <w:vMerge w:val="continue"/>
          </w:tcPr>
          <w:p>
            <w:pPr>
              <w:spacing w:after="0"/>
              <w:rPr>
                <w:sz w:val="10"/>
                <w:szCs w:val="10"/>
                <w:color w:val="auto"/>
              </w:rPr>
            </w:pPr>
          </w:p>
        </w:tc>
        <w:tc>
          <w:tcPr>
            <w:tcW w:w="1840" w:type="dxa"/>
            <w:vAlign w:val="bottom"/>
            <w:tcBorders>
              <w:right w:val="single" w:sz="8" w:color="auto"/>
            </w:tcBorders>
            <w:vMerge w:val="continue"/>
          </w:tcPr>
          <w:p>
            <w:pPr>
              <w:spacing w:after="0"/>
              <w:rPr>
                <w:sz w:val="10"/>
                <w:szCs w:val="10"/>
                <w:color w:val="auto"/>
              </w:rPr>
            </w:pPr>
          </w:p>
        </w:tc>
        <w:tc>
          <w:tcPr>
            <w:tcW w:w="1740" w:type="dxa"/>
            <w:vAlign w:val="bottom"/>
            <w:tcBorders>
              <w:right w:val="single" w:sz="8" w:color="auto"/>
            </w:tcBorders>
            <w:vMerge w:val="continue"/>
          </w:tcPr>
          <w:p>
            <w:pPr>
              <w:spacing w:after="0"/>
              <w:rPr>
                <w:sz w:val="10"/>
                <w:szCs w:val="10"/>
                <w:color w:val="auto"/>
              </w:rPr>
            </w:pPr>
          </w:p>
        </w:tc>
        <w:tc>
          <w:tcPr>
            <w:tcW w:w="472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5"/>
                <w:szCs w:val="15"/>
                <w:color w:val="auto"/>
                <w:w w:val="96"/>
              </w:rPr>
              <w:t>Dimethyltryptamine Compounds</w:t>
            </w:r>
          </w:p>
        </w:tc>
        <w:tc>
          <w:tcPr>
            <w:tcW w:w="0" w:type="dxa"/>
            <w:vAlign w:val="bottom"/>
          </w:tcPr>
          <w:p>
            <w:pPr>
              <w:spacing w:after="0"/>
              <w:rPr>
                <w:sz w:val="1"/>
                <w:szCs w:val="1"/>
                <w:color w:val="auto"/>
              </w:rPr>
            </w:pPr>
          </w:p>
        </w:tc>
      </w:tr>
      <w:tr>
        <w:trPr>
          <w:trHeight w:val="75"/>
        </w:trPr>
        <w:tc>
          <w:tcPr>
            <w:tcW w:w="2980" w:type="dxa"/>
            <w:vAlign w:val="bottom"/>
            <w:tcBorders>
              <w:left w:val="single" w:sz="8" w:color="auto"/>
              <w:bottom w:val="single" w:sz="8" w:color="auto"/>
              <w:right w:val="single" w:sz="8" w:color="auto"/>
            </w:tcBorders>
          </w:tcPr>
          <w:p>
            <w:pPr>
              <w:spacing w:after="0"/>
              <w:rPr>
                <w:sz w:val="6"/>
                <w:szCs w:val="6"/>
                <w:color w:val="auto"/>
              </w:rPr>
            </w:pPr>
          </w:p>
        </w:tc>
        <w:tc>
          <w:tcPr>
            <w:tcW w:w="1840" w:type="dxa"/>
            <w:vAlign w:val="bottom"/>
            <w:tcBorders>
              <w:bottom w:val="single" w:sz="8" w:color="auto"/>
              <w:right w:val="single" w:sz="8" w:color="auto"/>
            </w:tcBorders>
          </w:tcPr>
          <w:p>
            <w:pPr>
              <w:spacing w:after="0"/>
              <w:rPr>
                <w:sz w:val="6"/>
                <w:szCs w:val="6"/>
                <w:color w:val="auto"/>
              </w:rPr>
            </w:pPr>
          </w:p>
        </w:tc>
        <w:tc>
          <w:tcPr>
            <w:tcW w:w="1740" w:type="dxa"/>
            <w:vAlign w:val="bottom"/>
            <w:tcBorders>
              <w:bottom w:val="single" w:sz="8" w:color="auto"/>
              <w:right w:val="single" w:sz="8" w:color="auto"/>
            </w:tcBorders>
          </w:tcPr>
          <w:p>
            <w:pPr>
              <w:spacing w:after="0"/>
              <w:rPr>
                <w:sz w:val="6"/>
                <w:szCs w:val="6"/>
                <w:color w:val="auto"/>
              </w:rPr>
            </w:pPr>
          </w:p>
        </w:tc>
        <w:tc>
          <w:tcPr>
            <w:tcW w:w="4720" w:type="dxa"/>
            <w:vAlign w:val="bottom"/>
            <w:tcBorders>
              <w:bottom w:val="single" w:sz="8" w:color="auto"/>
              <w:right w:val="single" w:sz="8" w:color="auto"/>
            </w:tcBorders>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39"/>
        </w:trPr>
        <w:tc>
          <w:tcPr>
            <w:tcW w:w="2980" w:type="dxa"/>
            <w:vAlign w:val="bottom"/>
            <w:tcBorders>
              <w:left w:val="single" w:sz="8" w:color="auto"/>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5"/>
                <w:szCs w:val="15"/>
                <w:color w:val="auto"/>
                <w:w w:val="94"/>
              </w:rPr>
              <w:t>18/779,611</w:t>
            </w:r>
          </w:p>
        </w:tc>
        <w:tc>
          <w:tcPr>
            <w:tcW w:w="184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5"/>
                <w:szCs w:val="15"/>
                <w:color w:val="auto"/>
                <w:w w:val="95"/>
              </w:rPr>
              <w:t>United States of America</w:t>
            </w:r>
          </w:p>
        </w:tc>
        <w:tc>
          <w:tcPr>
            <w:tcW w:w="174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5"/>
                <w:szCs w:val="15"/>
                <w:color w:val="auto"/>
                <w:w w:val="97"/>
              </w:rPr>
              <w:t>Pending</w:t>
            </w:r>
          </w:p>
        </w:tc>
        <w:tc>
          <w:tcPr>
            <w:tcW w:w="4720" w:type="dxa"/>
            <w:vAlign w:val="bottom"/>
            <w:tcBorders>
              <w:right w:val="single" w:sz="8" w:color="auto"/>
            </w:tcBorders>
          </w:tcPr>
          <w:p>
            <w:pPr>
              <w:jc w:val="center"/>
              <w:spacing w:after="0" w:line="139" w:lineRule="exact"/>
              <w:rPr>
                <w:sz w:val="20"/>
                <w:szCs w:val="20"/>
                <w:color w:val="auto"/>
              </w:rPr>
            </w:pPr>
            <w:r>
              <w:rPr>
                <w:rFonts w:ascii="Times New Roman" w:cs="Times New Roman" w:eastAsia="Times New Roman" w:hAnsi="Times New Roman"/>
                <w:sz w:val="15"/>
                <w:szCs w:val="15"/>
                <w:color w:val="auto"/>
                <w:w w:val="96"/>
              </w:rPr>
              <w:t>Therapeutic Compositions Comprising Deuterated or Partially Deuterated N,N-</w:t>
            </w:r>
          </w:p>
        </w:tc>
        <w:tc>
          <w:tcPr>
            <w:tcW w:w="0" w:type="dxa"/>
            <w:vAlign w:val="bottom"/>
          </w:tcPr>
          <w:p>
            <w:pPr>
              <w:spacing w:after="0"/>
              <w:rPr>
                <w:sz w:val="1"/>
                <w:szCs w:val="1"/>
                <w:color w:val="auto"/>
              </w:rPr>
            </w:pPr>
          </w:p>
        </w:tc>
      </w:tr>
      <w:tr>
        <w:trPr>
          <w:trHeight w:val="117"/>
        </w:trPr>
        <w:tc>
          <w:tcPr>
            <w:tcW w:w="2980" w:type="dxa"/>
            <w:vAlign w:val="bottom"/>
            <w:tcBorders>
              <w:left w:val="single" w:sz="8" w:color="auto"/>
              <w:right w:val="single" w:sz="8" w:color="auto"/>
            </w:tcBorders>
            <w:vMerge w:val="continue"/>
          </w:tcPr>
          <w:p>
            <w:pPr>
              <w:spacing w:after="0"/>
              <w:rPr>
                <w:sz w:val="10"/>
                <w:szCs w:val="10"/>
                <w:color w:val="auto"/>
              </w:rPr>
            </w:pPr>
          </w:p>
        </w:tc>
        <w:tc>
          <w:tcPr>
            <w:tcW w:w="1840" w:type="dxa"/>
            <w:vAlign w:val="bottom"/>
            <w:tcBorders>
              <w:right w:val="single" w:sz="8" w:color="auto"/>
            </w:tcBorders>
            <w:vMerge w:val="continue"/>
          </w:tcPr>
          <w:p>
            <w:pPr>
              <w:spacing w:after="0"/>
              <w:rPr>
                <w:sz w:val="10"/>
                <w:szCs w:val="10"/>
                <w:color w:val="auto"/>
              </w:rPr>
            </w:pPr>
          </w:p>
        </w:tc>
        <w:tc>
          <w:tcPr>
            <w:tcW w:w="1740" w:type="dxa"/>
            <w:vAlign w:val="bottom"/>
            <w:tcBorders>
              <w:right w:val="single" w:sz="8" w:color="auto"/>
            </w:tcBorders>
            <w:vMerge w:val="continue"/>
          </w:tcPr>
          <w:p>
            <w:pPr>
              <w:spacing w:after="0"/>
              <w:rPr>
                <w:sz w:val="10"/>
                <w:szCs w:val="10"/>
                <w:color w:val="auto"/>
              </w:rPr>
            </w:pPr>
          </w:p>
        </w:tc>
        <w:tc>
          <w:tcPr>
            <w:tcW w:w="472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5"/>
                <w:szCs w:val="15"/>
                <w:color w:val="auto"/>
                <w:w w:val="96"/>
              </w:rPr>
              <w:t>Dimethyltryptamine Compounds</w:t>
            </w:r>
          </w:p>
        </w:tc>
        <w:tc>
          <w:tcPr>
            <w:tcW w:w="0" w:type="dxa"/>
            <w:vAlign w:val="bottom"/>
          </w:tcPr>
          <w:p>
            <w:pPr>
              <w:spacing w:after="0"/>
              <w:rPr>
                <w:sz w:val="1"/>
                <w:szCs w:val="1"/>
                <w:color w:val="auto"/>
              </w:rPr>
            </w:pPr>
          </w:p>
        </w:tc>
      </w:tr>
      <w:tr>
        <w:trPr>
          <w:trHeight w:val="75"/>
        </w:trPr>
        <w:tc>
          <w:tcPr>
            <w:tcW w:w="2980" w:type="dxa"/>
            <w:vAlign w:val="bottom"/>
            <w:tcBorders>
              <w:left w:val="single" w:sz="8" w:color="auto"/>
              <w:bottom w:val="single" w:sz="8" w:color="auto"/>
              <w:right w:val="single" w:sz="8" w:color="auto"/>
            </w:tcBorders>
          </w:tcPr>
          <w:p>
            <w:pPr>
              <w:spacing w:after="0"/>
              <w:rPr>
                <w:sz w:val="6"/>
                <w:szCs w:val="6"/>
                <w:color w:val="auto"/>
              </w:rPr>
            </w:pPr>
          </w:p>
        </w:tc>
        <w:tc>
          <w:tcPr>
            <w:tcW w:w="1840" w:type="dxa"/>
            <w:vAlign w:val="bottom"/>
            <w:tcBorders>
              <w:bottom w:val="single" w:sz="8" w:color="auto"/>
              <w:right w:val="single" w:sz="8" w:color="auto"/>
            </w:tcBorders>
          </w:tcPr>
          <w:p>
            <w:pPr>
              <w:spacing w:after="0"/>
              <w:rPr>
                <w:sz w:val="6"/>
                <w:szCs w:val="6"/>
                <w:color w:val="auto"/>
              </w:rPr>
            </w:pPr>
          </w:p>
        </w:tc>
        <w:tc>
          <w:tcPr>
            <w:tcW w:w="1740" w:type="dxa"/>
            <w:vAlign w:val="bottom"/>
            <w:tcBorders>
              <w:bottom w:val="single" w:sz="8" w:color="auto"/>
              <w:right w:val="single" w:sz="8" w:color="auto"/>
            </w:tcBorders>
          </w:tcPr>
          <w:p>
            <w:pPr>
              <w:spacing w:after="0"/>
              <w:rPr>
                <w:sz w:val="6"/>
                <w:szCs w:val="6"/>
                <w:color w:val="auto"/>
              </w:rPr>
            </w:pPr>
          </w:p>
        </w:tc>
        <w:tc>
          <w:tcPr>
            <w:tcW w:w="4720" w:type="dxa"/>
            <w:vAlign w:val="bottom"/>
            <w:tcBorders>
              <w:bottom w:val="single" w:sz="8" w:color="auto"/>
              <w:right w:val="single" w:sz="8" w:color="auto"/>
            </w:tcBorders>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6"/>
        </w:trPr>
        <w:tc>
          <w:tcPr>
            <w:tcW w:w="298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w w:val="95"/>
              </w:rPr>
              <w:t>2021284861</w:t>
            </w:r>
          </w:p>
        </w:tc>
        <w:tc>
          <w:tcPr>
            <w:tcW w:w="18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w w:val="98"/>
              </w:rPr>
              <w:t>Australia</w:t>
            </w:r>
          </w:p>
        </w:tc>
        <w:tc>
          <w:tcPr>
            <w:tcW w:w="17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w w:val="97"/>
              </w:rPr>
              <w:t>Pending</w:t>
            </w:r>
          </w:p>
        </w:tc>
        <w:tc>
          <w:tcPr>
            <w:tcW w:w="47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w w:val="95"/>
              </w:rPr>
              <w:t>Therapeutic Solid Dosage Form</w:t>
            </w:r>
          </w:p>
        </w:tc>
        <w:tc>
          <w:tcPr>
            <w:tcW w:w="0" w:type="dxa"/>
            <w:vAlign w:val="bottom"/>
          </w:tcPr>
          <w:p>
            <w:pPr>
              <w:spacing w:after="0"/>
              <w:rPr>
                <w:sz w:val="1"/>
                <w:szCs w:val="1"/>
                <w:color w:val="auto"/>
              </w:rPr>
            </w:pPr>
          </w:p>
        </w:tc>
      </w:tr>
      <w:tr>
        <w:trPr>
          <w:trHeight w:val="186"/>
        </w:trPr>
        <w:tc>
          <w:tcPr>
            <w:tcW w:w="298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w w:val="95"/>
              </w:rPr>
              <w:t>21725377.2</w:t>
            </w:r>
          </w:p>
        </w:tc>
        <w:tc>
          <w:tcPr>
            <w:tcW w:w="18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w w:val="96"/>
              </w:rPr>
              <w:t>European Patent Office</w:t>
            </w:r>
          </w:p>
        </w:tc>
        <w:tc>
          <w:tcPr>
            <w:tcW w:w="17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w w:val="97"/>
              </w:rPr>
              <w:t>Pending</w:t>
            </w:r>
          </w:p>
        </w:tc>
        <w:tc>
          <w:tcPr>
            <w:tcW w:w="47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w w:val="95"/>
              </w:rPr>
              <w:t>Therapeutic Solid Dosage Form</w:t>
            </w:r>
          </w:p>
        </w:tc>
        <w:tc>
          <w:tcPr>
            <w:tcW w:w="0" w:type="dxa"/>
            <w:vAlign w:val="bottom"/>
          </w:tcPr>
          <w:p>
            <w:pPr>
              <w:spacing w:after="0"/>
              <w:rPr>
                <w:sz w:val="1"/>
                <w:szCs w:val="1"/>
                <w:color w:val="auto"/>
              </w:rPr>
            </w:pPr>
          </w:p>
        </w:tc>
      </w:tr>
      <w:tr>
        <w:trPr>
          <w:trHeight w:val="186"/>
        </w:trPr>
        <w:tc>
          <w:tcPr>
            <w:tcW w:w="298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w w:val="97"/>
              </w:rPr>
              <w:t>202217076899</w:t>
            </w:r>
          </w:p>
        </w:tc>
        <w:tc>
          <w:tcPr>
            <w:tcW w:w="18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w w:val="97"/>
              </w:rPr>
              <w:t>India</w:t>
            </w:r>
          </w:p>
        </w:tc>
        <w:tc>
          <w:tcPr>
            <w:tcW w:w="17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w w:val="97"/>
              </w:rPr>
              <w:t>Pending</w:t>
            </w:r>
          </w:p>
        </w:tc>
        <w:tc>
          <w:tcPr>
            <w:tcW w:w="47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w w:val="95"/>
              </w:rPr>
              <w:t>Therapeutic Solid Dosage Form</w:t>
            </w:r>
          </w:p>
        </w:tc>
        <w:tc>
          <w:tcPr>
            <w:tcW w:w="0" w:type="dxa"/>
            <w:vAlign w:val="bottom"/>
          </w:tcPr>
          <w:p>
            <w:pPr>
              <w:spacing w:after="0"/>
              <w:rPr>
                <w:sz w:val="1"/>
                <w:szCs w:val="1"/>
                <w:color w:val="auto"/>
              </w:rPr>
            </w:pPr>
          </w:p>
        </w:tc>
      </w:tr>
      <w:tr>
        <w:trPr>
          <w:trHeight w:val="186"/>
        </w:trPr>
        <w:tc>
          <w:tcPr>
            <w:tcW w:w="298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w w:val="97"/>
              </w:rPr>
              <w:t>298542</w:t>
            </w:r>
          </w:p>
        </w:tc>
        <w:tc>
          <w:tcPr>
            <w:tcW w:w="18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rPr>
              <w:t>Israel</w:t>
            </w:r>
          </w:p>
        </w:tc>
        <w:tc>
          <w:tcPr>
            <w:tcW w:w="17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w w:val="97"/>
              </w:rPr>
              <w:t>Pending</w:t>
            </w:r>
          </w:p>
        </w:tc>
        <w:tc>
          <w:tcPr>
            <w:tcW w:w="47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w w:val="95"/>
              </w:rPr>
              <w:t>Therapeutic Solid Dosage Form</w:t>
            </w:r>
          </w:p>
        </w:tc>
        <w:tc>
          <w:tcPr>
            <w:tcW w:w="0" w:type="dxa"/>
            <w:vAlign w:val="bottom"/>
          </w:tcPr>
          <w:p>
            <w:pPr>
              <w:spacing w:after="0"/>
              <w:rPr>
                <w:sz w:val="1"/>
                <w:szCs w:val="1"/>
                <w:color w:val="auto"/>
              </w:rPr>
            </w:pPr>
          </w:p>
        </w:tc>
      </w:tr>
      <w:tr>
        <w:trPr>
          <w:trHeight w:val="186"/>
        </w:trPr>
        <w:tc>
          <w:tcPr>
            <w:tcW w:w="298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w w:val="97"/>
              </w:rPr>
              <w:t>2022-574098</w:t>
            </w:r>
          </w:p>
        </w:tc>
        <w:tc>
          <w:tcPr>
            <w:tcW w:w="18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w w:val="99"/>
              </w:rPr>
              <w:t>Japan</w:t>
            </w:r>
          </w:p>
        </w:tc>
        <w:tc>
          <w:tcPr>
            <w:tcW w:w="17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w w:val="97"/>
              </w:rPr>
              <w:t>Pending</w:t>
            </w:r>
          </w:p>
        </w:tc>
        <w:tc>
          <w:tcPr>
            <w:tcW w:w="47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w w:val="95"/>
              </w:rPr>
              <w:t>Therapeutic Solid Dosage Form</w:t>
            </w:r>
          </w:p>
        </w:tc>
        <w:tc>
          <w:tcPr>
            <w:tcW w:w="0" w:type="dxa"/>
            <w:vAlign w:val="bottom"/>
          </w:tcPr>
          <w:p>
            <w:pPr>
              <w:spacing w:after="0"/>
              <w:rPr>
                <w:sz w:val="1"/>
                <w:szCs w:val="1"/>
                <w:color w:val="auto"/>
              </w:rPr>
            </w:pPr>
          </w:p>
        </w:tc>
      </w:tr>
      <w:tr>
        <w:trPr>
          <w:trHeight w:val="186"/>
        </w:trPr>
        <w:tc>
          <w:tcPr>
            <w:tcW w:w="298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w w:val="97"/>
              </w:rPr>
              <w:t>794813</w:t>
            </w:r>
          </w:p>
        </w:tc>
        <w:tc>
          <w:tcPr>
            <w:tcW w:w="18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w w:val="96"/>
              </w:rPr>
              <w:t>New Zealand</w:t>
            </w:r>
          </w:p>
        </w:tc>
        <w:tc>
          <w:tcPr>
            <w:tcW w:w="17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w w:val="97"/>
              </w:rPr>
              <w:t>Pending</w:t>
            </w:r>
          </w:p>
        </w:tc>
        <w:tc>
          <w:tcPr>
            <w:tcW w:w="47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w w:val="95"/>
              </w:rPr>
              <w:t>Therapeutic Solid Dosage Form</w:t>
            </w:r>
          </w:p>
        </w:tc>
        <w:tc>
          <w:tcPr>
            <w:tcW w:w="0" w:type="dxa"/>
            <w:vAlign w:val="bottom"/>
          </w:tcPr>
          <w:p>
            <w:pPr>
              <w:spacing w:after="0"/>
              <w:rPr>
                <w:sz w:val="1"/>
                <w:szCs w:val="1"/>
                <w:color w:val="auto"/>
              </w:rPr>
            </w:pPr>
          </w:p>
        </w:tc>
      </w:tr>
      <w:tr>
        <w:trPr>
          <w:trHeight w:val="186"/>
        </w:trPr>
        <w:tc>
          <w:tcPr>
            <w:tcW w:w="298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w w:val="95"/>
              </w:rPr>
              <w:t>3118556</w:t>
            </w:r>
          </w:p>
        </w:tc>
        <w:tc>
          <w:tcPr>
            <w:tcW w:w="18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w w:val="93"/>
              </w:rPr>
              <w:t>Canada</w:t>
            </w:r>
          </w:p>
        </w:tc>
        <w:tc>
          <w:tcPr>
            <w:tcW w:w="17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w w:val="97"/>
              </w:rPr>
              <w:t>Pending</w:t>
            </w:r>
          </w:p>
        </w:tc>
        <w:tc>
          <w:tcPr>
            <w:tcW w:w="47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w w:val="96"/>
              </w:rPr>
              <w:t>Therapeutic Solid Dosage Forms</w:t>
            </w:r>
          </w:p>
        </w:tc>
        <w:tc>
          <w:tcPr>
            <w:tcW w:w="0" w:type="dxa"/>
            <w:vAlign w:val="bottom"/>
          </w:tcPr>
          <w:p>
            <w:pPr>
              <w:spacing w:after="0"/>
              <w:rPr>
                <w:sz w:val="1"/>
                <w:szCs w:val="1"/>
                <w:color w:val="auto"/>
              </w:rPr>
            </w:pPr>
          </w:p>
        </w:tc>
      </w:tr>
      <w:tr>
        <w:trPr>
          <w:trHeight w:val="186"/>
        </w:trPr>
        <w:tc>
          <w:tcPr>
            <w:tcW w:w="298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w w:val="96"/>
              </w:rPr>
              <w:t>202180046533.1</w:t>
            </w:r>
          </w:p>
        </w:tc>
        <w:tc>
          <w:tcPr>
            <w:tcW w:w="18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w w:val="94"/>
              </w:rPr>
              <w:t>China</w:t>
            </w:r>
          </w:p>
        </w:tc>
        <w:tc>
          <w:tcPr>
            <w:tcW w:w="17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w w:val="97"/>
              </w:rPr>
              <w:t>Pending</w:t>
            </w:r>
          </w:p>
        </w:tc>
        <w:tc>
          <w:tcPr>
            <w:tcW w:w="47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w w:val="96"/>
              </w:rPr>
              <w:t>Therapeutic Solid Dosage Forms</w:t>
            </w:r>
          </w:p>
        </w:tc>
        <w:tc>
          <w:tcPr>
            <w:tcW w:w="0" w:type="dxa"/>
            <w:vAlign w:val="bottom"/>
          </w:tcPr>
          <w:p>
            <w:pPr>
              <w:spacing w:after="0"/>
              <w:rPr>
                <w:sz w:val="1"/>
                <w:szCs w:val="1"/>
                <w:color w:val="auto"/>
              </w:rPr>
            </w:pPr>
          </w:p>
        </w:tc>
      </w:tr>
      <w:tr>
        <w:trPr>
          <w:trHeight w:val="186"/>
        </w:trPr>
        <w:tc>
          <w:tcPr>
            <w:tcW w:w="298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w w:val="97"/>
              </w:rPr>
              <w:t>18/748,483</w:t>
            </w:r>
          </w:p>
        </w:tc>
        <w:tc>
          <w:tcPr>
            <w:tcW w:w="18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w w:val="95"/>
              </w:rPr>
              <w:t>United States of America</w:t>
            </w:r>
          </w:p>
        </w:tc>
        <w:tc>
          <w:tcPr>
            <w:tcW w:w="17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w w:val="97"/>
              </w:rPr>
              <w:t>Pending</w:t>
            </w:r>
          </w:p>
        </w:tc>
        <w:tc>
          <w:tcPr>
            <w:tcW w:w="47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w w:val="96"/>
              </w:rPr>
              <w:t>Therapeutic Solid Dosage Forms</w:t>
            </w:r>
          </w:p>
        </w:tc>
        <w:tc>
          <w:tcPr>
            <w:tcW w:w="0" w:type="dxa"/>
            <w:vAlign w:val="bottom"/>
          </w:tcPr>
          <w:p>
            <w:pPr>
              <w:spacing w:after="0"/>
              <w:rPr>
                <w:sz w:val="1"/>
                <w:szCs w:val="1"/>
                <w:color w:val="auto"/>
              </w:rPr>
            </w:pPr>
          </w:p>
        </w:tc>
      </w:tr>
      <w:tr>
        <w:trPr>
          <w:trHeight w:val="186"/>
        </w:trPr>
        <w:tc>
          <w:tcPr>
            <w:tcW w:w="298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w w:val="97"/>
              </w:rPr>
              <w:t>63/699,449</w:t>
            </w:r>
          </w:p>
        </w:tc>
        <w:tc>
          <w:tcPr>
            <w:tcW w:w="18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w w:val="95"/>
              </w:rPr>
              <w:t>United States of America</w:t>
            </w:r>
          </w:p>
        </w:tc>
        <w:tc>
          <w:tcPr>
            <w:tcW w:w="17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w w:val="97"/>
              </w:rPr>
              <w:t>Pending</w:t>
            </w:r>
          </w:p>
        </w:tc>
        <w:tc>
          <w:tcPr>
            <w:tcW w:w="47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w w:val="96"/>
              </w:rPr>
              <w:t>Pharmaceutical Compositions Comprising Deuterated N,N-Dimethyltryptamine</w:t>
            </w:r>
          </w:p>
        </w:tc>
        <w:tc>
          <w:tcPr>
            <w:tcW w:w="0" w:type="dxa"/>
            <w:vAlign w:val="bottom"/>
          </w:tcPr>
          <w:p>
            <w:pPr>
              <w:spacing w:after="0"/>
              <w:rPr>
                <w:sz w:val="1"/>
                <w:szCs w:val="1"/>
                <w:color w:val="auto"/>
              </w:rPr>
            </w:pPr>
          </w:p>
        </w:tc>
      </w:tr>
    </w:tbl>
    <w:p>
      <w:pPr>
        <w:spacing w:after="0" w:line="185" w:lineRule="exact"/>
        <w:rPr>
          <w:sz w:val="20"/>
          <w:szCs w:val="20"/>
          <w:color w:val="auto"/>
        </w:rPr>
      </w:pPr>
    </w:p>
    <w:p>
      <w:pPr>
        <w:jc w:val="both"/>
        <w:ind w:right="20"/>
        <w:spacing w:after="0" w:line="309" w:lineRule="auto"/>
        <w:rPr>
          <w:sz w:val="20"/>
          <w:szCs w:val="20"/>
          <w:color w:val="auto"/>
        </w:rPr>
      </w:pPr>
      <w:r>
        <w:rPr>
          <w:rFonts w:ascii="Times New Roman" w:cs="Times New Roman" w:eastAsia="Times New Roman" w:hAnsi="Times New Roman"/>
          <w:sz w:val="18"/>
          <w:szCs w:val="18"/>
          <w:color w:val="auto"/>
        </w:rPr>
        <w:t>Cybin’s patent applications cover a wide range of novel psychedelic compounds from different classes, including those with targeted structural modifications for improved pharmacokinetic characteristics and safety profiles without altering their receptor binding. The patent applications also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35</w:t>
      </w:r>
    </w:p>
    <w:p>
      <w:pPr>
        <w:sectPr>
          <w:pgSz w:w="11900" w:h="16838" w:orient="portrait"/>
          <w:cols w:equalWidth="0" w:num="1">
            <w:col w:w="11260"/>
          </w:cols>
          <w:pgMar w:left="320" w:top="1304" w:right="319" w:bottom="1440" w:gutter="0" w:footer="0" w:header="0"/>
        </w:sectPr>
      </w:pPr>
    </w:p>
    <w:bookmarkStart w:id="61" w:name="page62"/>
    <w:bookmarkEnd w:id="61"/>
    <w:p>
      <w:pPr>
        <w:spacing w:after="0"/>
        <w:rPr>
          <w:sz w:val="20"/>
          <w:szCs w:val="20"/>
          <w:color w:val="auto"/>
        </w:rPr>
      </w:pPr>
      <w:r>
        <w:rPr>
          <w:rFonts w:ascii="Times New Roman" w:cs="Times New Roman" w:eastAsia="Times New Roman" w:hAnsi="Times New Roman"/>
          <w:sz w:val="18"/>
          <w:szCs w:val="18"/>
          <w:color w:val="auto"/>
        </w:rPr>
        <w:t>cover novel synthetic routes, pharmaceutical formulations, methods of use, and methods of administration.</w:t>
      </w:r>
    </w:p>
    <w:p>
      <w:pPr>
        <w:spacing w:after="0" w:line="264" w:lineRule="exact"/>
        <w:rPr>
          <w:sz w:val="20"/>
          <w:szCs w:val="20"/>
          <w:color w:val="auto"/>
        </w:rPr>
      </w:pPr>
    </w:p>
    <w:p>
      <w:pPr>
        <w:jc w:val="both"/>
        <w:spacing w:after="0" w:line="294" w:lineRule="auto"/>
        <w:rPr>
          <w:sz w:val="20"/>
          <w:szCs w:val="20"/>
          <w:color w:val="auto"/>
        </w:rPr>
      </w:pPr>
      <w:r>
        <w:rPr>
          <w:rFonts w:ascii="Times New Roman" w:cs="Times New Roman" w:eastAsia="Times New Roman" w:hAnsi="Times New Roman"/>
          <w:sz w:val="18"/>
          <w:szCs w:val="18"/>
          <w:color w:val="auto"/>
        </w:rPr>
        <w:t>Additionally, the Company has entered into multiple licensing agreements that provide the Company with additional access to IP, including the acquisition of an exclusive license to a targeted class of tryptamine-based molecules from Mindset. The licensing agreements collectively provide the Company with access to a broad range of preclinical molecule combinations for its library of psychedelic derivative drug development candidates.</w:t>
      </w:r>
    </w:p>
    <w:p>
      <w:pPr>
        <w:spacing w:after="0" w:line="194" w:lineRule="exact"/>
        <w:rPr>
          <w:sz w:val="20"/>
          <w:szCs w:val="20"/>
          <w:color w:val="auto"/>
        </w:rPr>
      </w:pPr>
    </w:p>
    <w:p>
      <w:pPr>
        <w:jc w:val="both"/>
        <w:spacing w:after="0" w:line="291" w:lineRule="auto"/>
        <w:rPr>
          <w:sz w:val="20"/>
          <w:szCs w:val="20"/>
          <w:color w:val="auto"/>
        </w:rPr>
      </w:pPr>
      <w:r>
        <w:rPr>
          <w:rFonts w:ascii="Times New Roman" w:cs="Times New Roman" w:eastAsia="Times New Roman" w:hAnsi="Times New Roman"/>
          <w:sz w:val="18"/>
          <w:szCs w:val="18"/>
          <w:color w:val="auto"/>
        </w:rPr>
        <w:t>The Company has also filed applications for registration of thirty-seven trademarks, including APPROACH, CHANGING MINDS®, CYBIN®, EMBARK®, EMBRACE, EXTEND, PSYCHEDELICS TO THERAPEUTICS®, CYB®, and SMALL PHARMA®. The Company has registered the CYBIN trademark in the EU (reg. 18495520), the UK (reg. UK00003656496), and the US (reg. 6,852,975) the mark PSYCHEDELICS TO THERAPEUTICS in the UK (reg. UK00003717706), the mark CHANGING MINDS in Canada (TMA1195700) and in the US (reg. 7,442,497), the mark EMBARK in Canada (TMA1196747) and the US (reg. 7,213,859), CYB® in US (reg. 7,393,810) and marks related to SMALL PHARMA are registered trademarks with the UK (reg. UK00003244617) and the EU (reg. 018396486).</w:t>
      </w:r>
    </w:p>
    <w:p>
      <w:pPr>
        <w:spacing w:after="0" w:line="187" w:lineRule="exact"/>
        <w:rPr>
          <w:sz w:val="20"/>
          <w:szCs w:val="20"/>
          <w:color w:val="auto"/>
        </w:rPr>
      </w:pPr>
    </w:p>
    <w:p>
      <w:pPr>
        <w:jc w:val="both"/>
        <w:ind w:right="20"/>
        <w:spacing w:after="0" w:line="299" w:lineRule="auto"/>
        <w:rPr>
          <w:sz w:val="20"/>
          <w:szCs w:val="20"/>
          <w:color w:val="auto"/>
        </w:rPr>
      </w:pPr>
      <w:r>
        <w:rPr>
          <w:rFonts w:ascii="Times New Roman" w:cs="Times New Roman" w:eastAsia="Times New Roman" w:hAnsi="Times New Roman"/>
          <w:sz w:val="18"/>
          <w:szCs w:val="18"/>
          <w:color w:val="auto"/>
        </w:rPr>
        <w:t>The Company’s mission to discover, develop and deploy psychedelic inspired medicines encompasses the research and development of potential new and improved psychedelic inspired medicines ranging from proprietary psychedelic compounds for use as API, specific formulations thereof, and specific uses for compounds and formulations. As the Company generates new data it will continue to file or acquire additional patent applications throughout the Company’s development program.</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Regulatory Framework and Licensing Regime</w:t>
      </w:r>
    </w:p>
    <w:p>
      <w:pPr>
        <w:spacing w:after="0" w:line="2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Canada</w:t>
      </w:r>
    </w:p>
    <w:p>
      <w:pPr>
        <w:spacing w:after="0" w:line="268" w:lineRule="exact"/>
        <w:rPr>
          <w:sz w:val="20"/>
          <w:szCs w:val="20"/>
          <w:color w:val="auto"/>
        </w:rPr>
      </w:pPr>
    </w:p>
    <w:p>
      <w:pPr>
        <w:jc w:val="both"/>
        <w:ind w:right="20"/>
        <w:spacing w:after="0" w:line="291" w:lineRule="auto"/>
        <w:rPr>
          <w:sz w:val="20"/>
          <w:szCs w:val="20"/>
          <w:color w:val="auto"/>
        </w:rPr>
      </w:pPr>
      <w:r>
        <w:rPr>
          <w:rFonts w:ascii="Times New Roman" w:cs="Times New Roman" w:eastAsia="Times New Roman" w:hAnsi="Times New Roman"/>
          <w:sz w:val="18"/>
          <w:szCs w:val="18"/>
          <w:color w:val="auto"/>
        </w:rPr>
        <w:t>In Canada, oversight of healthcare is divided between the federal and provincial governments. The federal government is responsible for regulating, among other things, the approval, import, sale, and marketing of drugs such as psilocin and other psychedelic substances, whether natural or novel. The provincial/territorial level of government has authority over the delivery of health care services, including regulating health facilities, administering health insurance plans such as the Ontario Health Insurance Plan, distributing prescription drugs within the province, and regulating health professionals such as doctors, psychologists, psychotherapists and nurse practitioners. Regulation is generally overseen by various colleges formed for that purpose, such as the College of Physicians and Surgeons of Ontario.</w:t>
      </w:r>
    </w:p>
    <w:p>
      <w:pPr>
        <w:spacing w:after="0" w:line="160" w:lineRule="exact"/>
        <w:rPr>
          <w:sz w:val="20"/>
          <w:szCs w:val="20"/>
          <w:color w:val="auto"/>
        </w:rPr>
      </w:pPr>
    </w:p>
    <w:p>
      <w:pPr>
        <w:jc w:val="both"/>
        <w:ind w:right="20"/>
        <w:spacing w:after="0" w:line="302" w:lineRule="auto"/>
        <w:rPr>
          <w:sz w:val="20"/>
          <w:szCs w:val="20"/>
          <w:color w:val="auto"/>
        </w:rPr>
      </w:pPr>
      <w:r>
        <w:rPr>
          <w:rFonts w:ascii="Times New Roman" w:cs="Times New Roman" w:eastAsia="Times New Roman" w:hAnsi="Times New Roman"/>
          <w:sz w:val="18"/>
          <w:szCs w:val="18"/>
          <w:color w:val="auto"/>
        </w:rPr>
        <w:t xml:space="preserve">Certain psychoactive compounds, such as psilocin, are considered controlled substances under Schedule III of the </w:t>
      </w:r>
      <w:r>
        <w:rPr>
          <w:rFonts w:ascii="Times New Roman" w:cs="Times New Roman" w:eastAsia="Times New Roman" w:hAnsi="Times New Roman"/>
          <w:sz w:val="18"/>
          <w:szCs w:val="18"/>
          <w:i w:val="1"/>
          <w:iCs w:val="1"/>
          <w:color w:val="auto"/>
        </w:rPr>
        <w:t>Controlled Drugs and Substances Act</w:t>
      </w:r>
      <w:r>
        <w:rPr>
          <w:rFonts w:ascii="Times New Roman" w:cs="Times New Roman" w:eastAsia="Times New Roman" w:hAnsi="Times New Roman"/>
          <w:sz w:val="18"/>
          <w:szCs w:val="18"/>
          <w:color w:val="auto"/>
        </w:rPr>
        <w:t xml:space="preserve"> (Canada) (the “</w:t>
      </w:r>
      <w:r>
        <w:rPr>
          <w:rFonts w:ascii="Times New Roman" w:cs="Times New Roman" w:eastAsia="Times New Roman" w:hAnsi="Times New Roman"/>
          <w:sz w:val="18"/>
          <w:szCs w:val="18"/>
          <w:b w:val="1"/>
          <w:bCs w:val="1"/>
          <w:color w:val="auto"/>
        </w:rPr>
        <w:t>CDSA</w:t>
      </w:r>
      <w:r>
        <w:rPr>
          <w:rFonts w:ascii="Times New Roman" w:cs="Times New Roman" w:eastAsia="Times New Roman" w:hAnsi="Times New Roman"/>
          <w:sz w:val="18"/>
          <w:szCs w:val="18"/>
          <w:color w:val="auto"/>
        </w:rPr>
        <w:t>”). In order to conduct any scientific research, including preclinical and clinical trials, using psychoactive compounds listed as controlled substances under the CDSA, an exemption under Section 56 of the CDSA (“</w:t>
      </w:r>
      <w:r>
        <w:rPr>
          <w:rFonts w:ascii="Times New Roman" w:cs="Times New Roman" w:eastAsia="Times New Roman" w:hAnsi="Times New Roman"/>
          <w:sz w:val="18"/>
          <w:szCs w:val="18"/>
          <w:b w:val="1"/>
          <w:bCs w:val="1"/>
          <w:color w:val="auto"/>
        </w:rPr>
        <w:t>Section 56 Exemption</w:t>
      </w:r>
      <w:r>
        <w:rPr>
          <w:rFonts w:ascii="Times New Roman" w:cs="Times New Roman" w:eastAsia="Times New Roman" w:hAnsi="Times New Roman"/>
          <w:sz w:val="18"/>
          <w:szCs w:val="18"/>
          <w:color w:val="auto"/>
        </w:rPr>
        <w:t>”) is required.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36</w:t>
      </w:r>
    </w:p>
    <w:p>
      <w:pPr>
        <w:sectPr>
          <w:pgSz w:w="11900" w:h="16838" w:orient="portrait"/>
          <w:cols w:equalWidth="0" w:num="1">
            <w:col w:w="11260"/>
          </w:cols>
          <w:pgMar w:left="320" w:top="1400" w:right="319" w:bottom="1440" w:gutter="0" w:footer="0" w:header="0"/>
        </w:sectPr>
      </w:pPr>
    </w:p>
    <w:bookmarkStart w:id="62" w:name="page63"/>
    <w:bookmarkEnd w:id="62"/>
    <w:p>
      <w:pPr>
        <w:jc w:val="both"/>
        <w:ind w:right="20"/>
        <w:spacing w:after="0" w:line="272" w:lineRule="auto"/>
        <w:rPr>
          <w:sz w:val="20"/>
          <w:szCs w:val="20"/>
          <w:color w:val="auto"/>
        </w:rPr>
      </w:pPr>
      <w:r>
        <w:rPr>
          <w:rFonts w:ascii="Times New Roman" w:cs="Times New Roman" w:eastAsia="Times New Roman" w:hAnsi="Times New Roman"/>
          <w:sz w:val="18"/>
          <w:szCs w:val="18"/>
          <w:color w:val="auto"/>
        </w:rPr>
        <w:t>Health Canada has not approved psilocin as a drug for any indication. However, there are legal routes through which psilocin may be accessed for medical or scientific purposes. The Canadian Minister of Health can grant exemptions under section 56 of the CDSA to use controlled substances if it is deemed to be necessary for a medical or scientific purpose or is otherwise in the public interest. The Company has not applied for a Section 56 Exemption from Health Canada. Health Canada’s Special Access Program (“</w:t>
      </w:r>
      <w:r>
        <w:rPr>
          <w:rFonts w:ascii="Times New Roman" w:cs="Times New Roman" w:eastAsia="Times New Roman" w:hAnsi="Times New Roman"/>
          <w:sz w:val="18"/>
          <w:szCs w:val="18"/>
          <w:b w:val="1"/>
          <w:bCs w:val="1"/>
          <w:color w:val="auto"/>
        </w:rPr>
        <w:t>SAP</w:t>
      </w:r>
      <w:r>
        <w:rPr>
          <w:rFonts w:ascii="Times New Roman" w:cs="Times New Roman" w:eastAsia="Times New Roman" w:hAnsi="Times New Roman"/>
          <w:sz w:val="18"/>
          <w:szCs w:val="18"/>
          <w:color w:val="auto"/>
        </w:rPr>
        <w:t>”) was designed to provide Canadians to access certain restricted drugs before they are formally approved for use in Canada. In January 2022, certain amendments to the SAP came into force to permit medical practitioners treating patients with serious or life-threatening conditions to request access to restricted drugs that have not yet been approved for sale in Canada when conventional therapies have failed, are unsuitable, or unavailable in Canada. Such amendments create a means of legally accessing psilocin through the SAP. The Company has not applied for access under the SAP.</w:t>
      </w:r>
    </w:p>
    <w:p>
      <w:pPr>
        <w:spacing w:after="0" w:line="191" w:lineRule="exact"/>
        <w:rPr>
          <w:sz w:val="20"/>
          <w:szCs w:val="20"/>
          <w:color w:val="auto"/>
        </w:rPr>
      </w:pPr>
    </w:p>
    <w:p>
      <w:pPr>
        <w:jc w:val="both"/>
        <w:spacing w:after="0" w:line="269" w:lineRule="auto"/>
        <w:rPr>
          <w:sz w:val="20"/>
          <w:szCs w:val="20"/>
          <w:color w:val="auto"/>
        </w:rPr>
      </w:pPr>
      <w:r>
        <w:rPr>
          <w:rFonts w:ascii="Times New Roman" w:cs="Times New Roman" w:eastAsia="Times New Roman" w:hAnsi="Times New Roman"/>
          <w:sz w:val="18"/>
          <w:szCs w:val="18"/>
          <w:color w:val="auto"/>
        </w:rPr>
        <w:t>The possession, sale or distribution of controlled substances is prohibited unless specifically permitted by the government. A party may seek government approval for a Section 56 Exemption to allow for the possession, transport or production of a controlled substance for medical or scientific purposes. Products that contain a controlled substance such as psilocin cannot be made, transported or sold without proper authorization from the government. A party can apply for a Dealer’s Licence under the Food and Drug Regulations (Part J). In order to qualify as a licensed dealer, a party must meet all regulatory requirements mandated by the regulations including having compliant facilities, compliant materials and staff that meet the qualifications under the regulations of a senior person in charge and a qualified person in charge. Assuming compliance with all relevant laws (Controlled Drugs and Substances Act, Food and Drugs Regulations) and subject to any restrictions placed on the licence by Health Canada, an entity with a Dealer’s Licence may produce, assemble, sell, provide, transport, send, deliver, import or export a restricted drug (as listed in Part J in the Food and Drugs Regulations – which includes psilocybin and psilocin) (see s. J.01.009 (1) of the Food and Drug Regulations).</w:t>
      </w:r>
    </w:p>
    <w:p>
      <w:pPr>
        <w:spacing w:after="0" w:line="209" w:lineRule="exact"/>
        <w:rPr>
          <w:sz w:val="20"/>
          <w:szCs w:val="20"/>
          <w:color w:val="auto"/>
        </w:rPr>
      </w:pPr>
    </w:p>
    <w:p>
      <w:pPr>
        <w:jc w:val="both"/>
        <w:ind w:right="20"/>
        <w:spacing w:after="0" w:line="323" w:lineRule="auto"/>
        <w:rPr>
          <w:sz w:val="20"/>
          <w:szCs w:val="20"/>
          <w:color w:val="auto"/>
        </w:rPr>
      </w:pPr>
      <w:r>
        <w:rPr>
          <w:rFonts w:ascii="Times New Roman" w:cs="Times New Roman" w:eastAsia="Times New Roman" w:hAnsi="Times New Roman"/>
          <w:sz w:val="18"/>
          <w:szCs w:val="18"/>
          <w:color w:val="auto"/>
        </w:rPr>
        <w:t>The Company intends to sponsor and work with licensed third parties to conduct any clinical trials and research and does not handle controlled substances. If the Company were to conduct this work without the reliance on third parties, it would need to obtain additional licences and approvals described above.</w:t>
      </w:r>
    </w:p>
    <w:p>
      <w:pPr>
        <w:spacing w:after="0" w:line="12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United States</w:t>
      </w:r>
    </w:p>
    <w:p>
      <w:pPr>
        <w:spacing w:after="0" w:line="232" w:lineRule="exact"/>
        <w:rPr>
          <w:sz w:val="20"/>
          <w:szCs w:val="20"/>
          <w:color w:val="auto"/>
        </w:rPr>
      </w:pPr>
    </w:p>
    <w:p>
      <w:pPr>
        <w:jc w:val="both"/>
        <w:ind w:right="20"/>
        <w:spacing w:after="0" w:line="292" w:lineRule="auto"/>
        <w:rPr>
          <w:sz w:val="20"/>
          <w:szCs w:val="20"/>
          <w:color w:val="auto"/>
        </w:rPr>
      </w:pPr>
      <w:r>
        <w:rPr>
          <w:rFonts w:ascii="Times New Roman" w:cs="Times New Roman" w:eastAsia="Times New Roman" w:hAnsi="Times New Roman"/>
          <w:sz w:val="18"/>
          <w:szCs w:val="18"/>
          <w:color w:val="auto"/>
        </w:rPr>
        <w:t>The FDA and other federal, state, local and foreign regulatory agencies impose substantial requirements upon the clinical development, clinical testing, approval, labeling, manufacture, marketing and distribution of drug products. These agencies regulate, among other things, research and development activities and the testing, approval, manufacture, quality control, safety, effectiveness, labeling, storage, record keeping, advertising and promotion of any prescription drug product candidates or commercial products. The regulatory approval process is generally lengthy and expensive, with no guarantee of a positive result. Moreover, failure to comply with applicable FDA or other requirements may result in civil or criminal penalties, recall or seizure of products, injunctive relief including partial or total suspension of production, or withdrawal of a product from the market. Anticipated timelines related to regulatory filings are based on reasonable assumptions informed by current knowledge and information available to the Company.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37</w:t>
      </w:r>
    </w:p>
    <w:p>
      <w:pPr>
        <w:sectPr>
          <w:pgSz w:w="11900" w:h="16838" w:orient="portrait"/>
          <w:cols w:equalWidth="0" w:num="1">
            <w:col w:w="11260"/>
          </w:cols>
          <w:pgMar w:left="320" w:top="1291" w:right="319" w:bottom="1440" w:gutter="0" w:footer="0" w:header="0"/>
        </w:sectPr>
      </w:pPr>
    </w:p>
    <w:bookmarkStart w:id="63" w:name="page64"/>
    <w:bookmarkEnd w:id="63"/>
    <w:p>
      <w:pPr>
        <w:jc w:val="both"/>
        <w:spacing w:after="0" w:line="290" w:lineRule="auto"/>
        <w:rPr>
          <w:sz w:val="20"/>
          <w:szCs w:val="20"/>
          <w:color w:val="auto"/>
        </w:rPr>
      </w:pPr>
      <w:r>
        <w:rPr>
          <w:rFonts w:ascii="Times New Roman" w:cs="Times New Roman" w:eastAsia="Times New Roman" w:hAnsi="Times New Roman"/>
          <w:sz w:val="18"/>
          <w:szCs w:val="18"/>
          <w:color w:val="auto"/>
        </w:rPr>
        <w:t>Psilocybin, psilocin, DMT, and 5-Methoxy-DMT are strictly controlled under the federal Controlled Substances Act, 21 U.S.C. §801, et. seq. (“</w:t>
      </w:r>
      <w:r>
        <w:rPr>
          <w:rFonts w:ascii="Times New Roman" w:cs="Times New Roman" w:eastAsia="Times New Roman" w:hAnsi="Times New Roman"/>
          <w:sz w:val="18"/>
          <w:szCs w:val="18"/>
          <w:b w:val="1"/>
          <w:bCs w:val="1"/>
          <w:color w:val="auto"/>
        </w:rPr>
        <w:t>CSA</w:t>
      </w:r>
      <w:r>
        <w:rPr>
          <w:rFonts w:ascii="Times New Roman" w:cs="Times New Roman" w:eastAsia="Times New Roman" w:hAnsi="Times New Roman"/>
          <w:sz w:val="18"/>
          <w:szCs w:val="18"/>
          <w:color w:val="auto"/>
        </w:rPr>
        <w:t>”) as Schedule I substances. Schedule I substances by definition have no currently accepted medical use in the United States, a lack of accepted safety for use under medical supervision, and a high potential for abuse. Schedule I and II drugs are subject to the strictest controls under the CSA, including manufacturing and procurement quotas, security requirements and criteria for importation. Anyone wishing to conduct research on substances listed in Schedule I under the CSA must register with the DEA and obtain DEA approval of the research proposal. A majority of state laws in the United States also classify psilocin as Schedule I controlled substances. For any product containing psilocin or any Schedule I substance to be available for commercial marketing in the United States, such substance must be rescheduled, or the product itself must be scheduled, by the DEA to Schedule II, III, IV or V. Scheduling determinations by the DEA are dependent on FDA approval of a substance or a specific formulation of a substance.</w:t>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Europe/Netherlands</w:t>
      </w:r>
    </w:p>
    <w:p>
      <w:pPr>
        <w:spacing w:after="0" w:line="230" w:lineRule="exact"/>
        <w:rPr>
          <w:sz w:val="20"/>
          <w:szCs w:val="20"/>
          <w:color w:val="auto"/>
        </w:rPr>
      </w:pPr>
    </w:p>
    <w:p>
      <w:pPr>
        <w:jc w:val="both"/>
        <w:ind w:right="20"/>
        <w:spacing w:after="0" w:line="291" w:lineRule="auto"/>
        <w:rPr>
          <w:sz w:val="20"/>
          <w:szCs w:val="20"/>
          <w:color w:val="auto"/>
        </w:rPr>
      </w:pPr>
      <w:r>
        <w:rPr>
          <w:rFonts w:ascii="Times New Roman" w:cs="Times New Roman" w:eastAsia="Times New Roman" w:hAnsi="Times New Roman"/>
          <w:sz w:val="18"/>
          <w:szCs w:val="18"/>
          <w:color w:val="auto"/>
        </w:rPr>
        <w:t>The International Narcotics Control Board (“</w:t>
      </w:r>
      <w:r>
        <w:rPr>
          <w:rFonts w:ascii="Times New Roman" w:cs="Times New Roman" w:eastAsia="Times New Roman" w:hAnsi="Times New Roman"/>
          <w:sz w:val="18"/>
          <w:szCs w:val="18"/>
          <w:b w:val="1"/>
          <w:bCs w:val="1"/>
          <w:color w:val="auto"/>
        </w:rPr>
        <w:t>INCB</w:t>
      </w:r>
      <w:r>
        <w:rPr>
          <w:rFonts w:ascii="Times New Roman" w:cs="Times New Roman" w:eastAsia="Times New Roman" w:hAnsi="Times New Roman"/>
          <w:sz w:val="18"/>
          <w:szCs w:val="18"/>
          <w:color w:val="auto"/>
        </w:rPr>
        <w:t>”), a United Nations (“</w:t>
      </w:r>
      <w:r>
        <w:rPr>
          <w:rFonts w:ascii="Times New Roman" w:cs="Times New Roman" w:eastAsia="Times New Roman" w:hAnsi="Times New Roman"/>
          <w:sz w:val="18"/>
          <w:szCs w:val="18"/>
          <w:b w:val="1"/>
          <w:bCs w:val="1"/>
          <w:color w:val="auto"/>
        </w:rPr>
        <w:t>UN</w:t>
      </w:r>
      <w:r>
        <w:rPr>
          <w:rFonts w:ascii="Times New Roman" w:cs="Times New Roman" w:eastAsia="Times New Roman" w:hAnsi="Times New Roman"/>
          <w:sz w:val="18"/>
          <w:szCs w:val="18"/>
          <w:color w:val="auto"/>
        </w:rPr>
        <w:t>”) entity, monitors enforcement of restrictions on controlled substances. The INCB’s authority is defined by three international UN treaties – the UN Single Convention on Narcotic Drugs of 1961, the UN Psychotropic Convention of 1971 (referred to herein as the UN71), and the UN Convention Against Illicit Traffic in Narcotic Drugs and Psychotropic Substances of 1988, which contains provisions related to the control of controlled substance precursors. EU Member States, including the Netherlands, that have agreed to abide by the provisions of these treaties, each create responsible agencies and enact laws or regulations to implement the requirements of these conventions.</w:t>
      </w:r>
    </w:p>
    <w:p>
      <w:pPr>
        <w:spacing w:after="0" w:line="198" w:lineRule="exact"/>
        <w:rPr>
          <w:sz w:val="20"/>
          <w:szCs w:val="20"/>
          <w:color w:val="auto"/>
        </w:rPr>
      </w:pPr>
    </w:p>
    <w:p>
      <w:pPr>
        <w:jc w:val="both"/>
        <w:ind w:right="20"/>
        <w:spacing w:after="0" w:line="291" w:lineRule="auto"/>
        <w:rPr>
          <w:sz w:val="20"/>
          <w:szCs w:val="20"/>
          <w:color w:val="auto"/>
        </w:rPr>
      </w:pPr>
      <w:r>
        <w:rPr>
          <w:rFonts w:ascii="Times New Roman" w:cs="Times New Roman" w:eastAsia="Times New Roman" w:hAnsi="Times New Roman"/>
          <w:sz w:val="18"/>
          <w:szCs w:val="18"/>
          <w:color w:val="auto"/>
        </w:rPr>
        <w:t>Specific EU legislation establishing different classes of controlled substances is limited to EU regulations that define classes of precursors, or substances used in the illicit manufacture of controlled substances, including Regulation (EC) No. 273/2004 of the European Parliament and the Council of February 11, 2004 and the Council Regulation (EC) No. 111/2005 of December 22, 2004. While EU legislation does not establish different classes of narcotic drugs or psychotropic substances, the Council Decision 2005/387/JHA of May 10, 2005 can provoke a Council Decision requiring EU member states to put a drug under national controls equivalent to those of the INCB. DMT is currently classified as a Schedule I substance under the UN71; the EU member states that are party to the UN71, including the Netherlands, have agreed to the following in respect of Schedule I substances:</w:t>
      </w:r>
    </w:p>
    <w:p>
      <w:pPr>
        <w:spacing w:after="0" w:line="187" w:lineRule="exact"/>
        <w:rPr>
          <w:sz w:val="20"/>
          <w:szCs w:val="20"/>
          <w:color w:val="auto"/>
        </w:rPr>
      </w:pPr>
    </w:p>
    <w:p>
      <w:pPr>
        <w:ind w:left="580" w:right="20" w:hanging="296"/>
        <w:spacing w:after="0" w:line="292" w:lineRule="auto"/>
        <w:tabs>
          <w:tab w:leader="none" w:pos="576" w:val="left"/>
        </w:tabs>
        <w:numPr>
          <w:ilvl w:val="0"/>
          <w:numId w:val="35"/>
        </w:numPr>
        <w:rPr>
          <w:rFonts w:ascii="Calibri" w:cs="Calibri" w:eastAsia="Calibri" w:hAnsi="Calibri"/>
          <w:sz w:val="18"/>
          <w:szCs w:val="18"/>
          <w:color w:val="auto"/>
        </w:rPr>
      </w:pPr>
      <w:r>
        <w:rPr>
          <w:rFonts w:ascii="Times New Roman" w:cs="Times New Roman" w:eastAsia="Times New Roman" w:hAnsi="Times New Roman"/>
          <w:sz w:val="18"/>
          <w:szCs w:val="18"/>
          <w:color w:val="auto"/>
        </w:rPr>
        <w:t>prohibit all use except for scientific and very limited medical purposes by duly authorized persons, in medical or scientific establishments which are directly under the control of their Governments or specifically approved by them;</w:t>
      </w:r>
    </w:p>
    <w:p>
      <w:pPr>
        <w:ind w:left="560" w:hanging="276"/>
        <w:spacing w:after="0"/>
        <w:tabs>
          <w:tab w:leader="none" w:pos="560" w:val="left"/>
        </w:tabs>
        <w:numPr>
          <w:ilvl w:val="0"/>
          <w:numId w:val="35"/>
        </w:numPr>
        <w:rPr>
          <w:rFonts w:ascii="Calibri" w:cs="Calibri" w:eastAsia="Calibri" w:hAnsi="Calibri"/>
          <w:sz w:val="18"/>
          <w:szCs w:val="18"/>
          <w:color w:val="auto"/>
        </w:rPr>
      </w:pPr>
      <w:r>
        <w:rPr>
          <w:rFonts w:ascii="Times New Roman" w:cs="Times New Roman" w:eastAsia="Times New Roman" w:hAnsi="Times New Roman"/>
          <w:sz w:val="18"/>
          <w:szCs w:val="18"/>
          <w:color w:val="auto"/>
        </w:rPr>
        <w:t>require that manufacture, trade, distribution and possession be under a special licence or prior authorization;</w:t>
      </w:r>
    </w:p>
    <w:p>
      <w:pPr>
        <w:spacing w:after="0" w:line="58" w:lineRule="exact"/>
        <w:rPr>
          <w:rFonts w:ascii="Calibri" w:cs="Calibri" w:eastAsia="Calibri" w:hAnsi="Calibri"/>
          <w:sz w:val="18"/>
          <w:szCs w:val="18"/>
          <w:color w:val="auto"/>
        </w:rPr>
      </w:pPr>
    </w:p>
    <w:p>
      <w:pPr>
        <w:ind w:left="560" w:hanging="276"/>
        <w:spacing w:after="0"/>
        <w:tabs>
          <w:tab w:leader="none" w:pos="560" w:val="left"/>
        </w:tabs>
        <w:numPr>
          <w:ilvl w:val="0"/>
          <w:numId w:val="35"/>
        </w:numPr>
        <w:rPr>
          <w:rFonts w:ascii="Calibri" w:cs="Calibri" w:eastAsia="Calibri" w:hAnsi="Calibri"/>
          <w:sz w:val="18"/>
          <w:szCs w:val="18"/>
          <w:color w:val="auto"/>
        </w:rPr>
      </w:pPr>
      <w:r>
        <w:rPr>
          <w:rFonts w:ascii="Times New Roman" w:cs="Times New Roman" w:eastAsia="Times New Roman" w:hAnsi="Times New Roman"/>
          <w:sz w:val="18"/>
          <w:szCs w:val="18"/>
          <w:color w:val="auto"/>
        </w:rPr>
        <w:t>provide for close supervision of the activities and acts mentioned in paragraphs (a) and (b);</w:t>
      </w:r>
    </w:p>
    <w:p>
      <w:pPr>
        <w:spacing w:after="0" w:line="46" w:lineRule="exact"/>
        <w:rPr>
          <w:rFonts w:ascii="Calibri" w:cs="Calibri" w:eastAsia="Calibri" w:hAnsi="Calibri"/>
          <w:sz w:val="18"/>
          <w:szCs w:val="18"/>
          <w:color w:val="auto"/>
        </w:rPr>
      </w:pPr>
    </w:p>
    <w:p>
      <w:pPr>
        <w:ind w:left="560" w:hanging="276"/>
        <w:spacing w:after="0"/>
        <w:tabs>
          <w:tab w:leader="none" w:pos="560" w:val="left"/>
        </w:tabs>
        <w:numPr>
          <w:ilvl w:val="0"/>
          <w:numId w:val="35"/>
        </w:numPr>
        <w:rPr>
          <w:rFonts w:ascii="Calibri" w:cs="Calibri" w:eastAsia="Calibri" w:hAnsi="Calibri"/>
          <w:sz w:val="18"/>
          <w:szCs w:val="18"/>
          <w:color w:val="auto"/>
        </w:rPr>
      </w:pPr>
      <w:r>
        <w:rPr>
          <w:rFonts w:ascii="Times New Roman" w:cs="Times New Roman" w:eastAsia="Times New Roman" w:hAnsi="Times New Roman"/>
          <w:sz w:val="18"/>
          <w:szCs w:val="18"/>
          <w:color w:val="auto"/>
        </w:rPr>
        <w:t>restrict the amount supplied to a duly authorized person to the quantity required for his authorized purpose;</w:t>
      </w:r>
    </w:p>
    <w:p>
      <w:pPr>
        <w:spacing w:after="0" w:line="46" w:lineRule="exact"/>
        <w:rPr>
          <w:rFonts w:ascii="Calibri" w:cs="Calibri" w:eastAsia="Calibri" w:hAnsi="Calibri"/>
          <w:sz w:val="18"/>
          <w:szCs w:val="18"/>
          <w:color w:val="auto"/>
        </w:rPr>
      </w:pPr>
    </w:p>
    <w:p>
      <w:pPr>
        <w:ind w:left="580" w:right="20" w:hanging="296"/>
        <w:spacing w:after="0" w:line="336" w:lineRule="auto"/>
        <w:tabs>
          <w:tab w:leader="none" w:pos="576" w:val="left"/>
        </w:tabs>
        <w:numPr>
          <w:ilvl w:val="0"/>
          <w:numId w:val="35"/>
        </w:numPr>
        <w:rPr>
          <w:rFonts w:ascii="Calibri" w:cs="Calibri" w:eastAsia="Calibri" w:hAnsi="Calibri"/>
          <w:sz w:val="18"/>
          <w:szCs w:val="18"/>
          <w:color w:val="auto"/>
        </w:rPr>
      </w:pPr>
      <w:r>
        <w:rPr>
          <w:rFonts w:ascii="Times New Roman" w:cs="Times New Roman" w:eastAsia="Times New Roman" w:hAnsi="Times New Roman"/>
          <w:sz w:val="18"/>
          <w:szCs w:val="18"/>
          <w:color w:val="auto"/>
        </w:rPr>
        <w:t>require that persons performing medical or scientific functions keep records concerning the acquisition of the substances and the details of their use, such records to be preserved for at least two years after the last use recorded therein; 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38</w:t>
      </w:r>
    </w:p>
    <w:p>
      <w:pPr>
        <w:sectPr>
          <w:pgSz w:w="11900" w:h="16838" w:orient="portrait"/>
          <w:cols w:equalWidth="0" w:num="1">
            <w:col w:w="11260"/>
          </w:cols>
          <w:pgMar w:left="320" w:top="1301" w:right="319" w:bottom="1440" w:gutter="0" w:footer="0" w:header="0"/>
        </w:sectPr>
      </w:pPr>
    </w:p>
    <w:bookmarkStart w:id="64" w:name="page65"/>
    <w:bookmarkEnd w:id="64"/>
    <w:p>
      <w:pPr>
        <w:ind w:left="560" w:hanging="276"/>
        <w:spacing w:after="0"/>
        <w:tabs>
          <w:tab w:leader="none" w:pos="560" w:val="left"/>
        </w:tabs>
        <w:numPr>
          <w:ilvl w:val="0"/>
          <w:numId w:val="36"/>
        </w:numPr>
        <w:rPr>
          <w:rFonts w:ascii="Calibri" w:cs="Calibri" w:eastAsia="Calibri" w:hAnsi="Calibri"/>
          <w:sz w:val="18"/>
          <w:szCs w:val="18"/>
          <w:color w:val="auto"/>
        </w:rPr>
      </w:pPr>
      <w:r>
        <w:rPr>
          <w:rFonts w:ascii="Times New Roman" w:cs="Times New Roman" w:eastAsia="Times New Roman" w:hAnsi="Times New Roman"/>
          <w:sz w:val="18"/>
          <w:szCs w:val="18"/>
          <w:color w:val="auto"/>
        </w:rPr>
        <w:t>prohibit export and import except when both the exporter and importer are the competent authorities or agencies of the exporting and importing</w:t>
      </w:r>
    </w:p>
    <w:p>
      <w:pPr>
        <w:spacing w:after="0" w:line="58" w:lineRule="exact"/>
        <w:rPr>
          <w:rFonts w:ascii="Calibri" w:cs="Calibri" w:eastAsia="Calibri" w:hAnsi="Calibri"/>
          <w:sz w:val="18"/>
          <w:szCs w:val="18"/>
          <w:color w:val="auto"/>
        </w:rPr>
      </w:pPr>
    </w:p>
    <w:p>
      <w:pPr>
        <w:ind w:left="580"/>
        <w:spacing w:after="0" w:line="309" w:lineRule="auto"/>
        <w:rPr>
          <w:rFonts w:ascii="Calibri" w:cs="Calibri" w:eastAsia="Calibri" w:hAnsi="Calibri"/>
          <w:sz w:val="18"/>
          <w:szCs w:val="18"/>
          <w:color w:val="auto"/>
        </w:rPr>
      </w:pPr>
      <w:r>
        <w:rPr>
          <w:rFonts w:ascii="Times New Roman" w:cs="Times New Roman" w:eastAsia="Times New Roman" w:hAnsi="Times New Roman"/>
          <w:sz w:val="18"/>
          <w:szCs w:val="18"/>
          <w:color w:val="auto"/>
        </w:rPr>
        <w:t>country or region, respectively, or other persons or enterprises which are specifically authorized by the competent authorities of their country or region for the purpose.</w:t>
      </w:r>
    </w:p>
    <w:p>
      <w:pPr>
        <w:spacing w:after="0" w:line="168" w:lineRule="exact"/>
        <w:rPr>
          <w:sz w:val="20"/>
          <w:szCs w:val="20"/>
          <w:color w:val="auto"/>
        </w:rPr>
      </w:pPr>
    </w:p>
    <w:p>
      <w:pPr>
        <w:jc w:val="both"/>
        <w:spacing w:after="0" w:line="291" w:lineRule="auto"/>
        <w:rPr>
          <w:sz w:val="20"/>
          <w:szCs w:val="20"/>
          <w:color w:val="auto"/>
        </w:rPr>
      </w:pPr>
      <w:r>
        <w:rPr>
          <w:rFonts w:ascii="Times New Roman" w:cs="Times New Roman" w:eastAsia="Times New Roman" w:hAnsi="Times New Roman"/>
          <w:sz w:val="18"/>
          <w:szCs w:val="18"/>
          <w:color w:val="auto"/>
        </w:rPr>
        <w:t>As classification of controlled substances may vary among different EU member states, sponsors must be aware of the prevailing legislation in each country where a clinical trial may be conducted. Prior to operating or conducting any preclinical or clinical studies in any other EU member state, Cybin will investigate the specific regulatory requirements of such EU member state. As referenced above, a licence is required for individuals and entities who wish to produce, dispense, import, or export Schedule I substances (including DMT), but the specific requirements vary from country to country. Currently, DMT is classified in the Netherlands as a List 1 Drug under the Dutch Opium Act (Opiumwet) (the “</w:t>
      </w:r>
      <w:r>
        <w:rPr>
          <w:rFonts w:ascii="Times New Roman" w:cs="Times New Roman" w:eastAsia="Times New Roman" w:hAnsi="Times New Roman"/>
          <w:sz w:val="18"/>
          <w:szCs w:val="18"/>
          <w:b w:val="1"/>
          <w:bCs w:val="1"/>
          <w:color w:val="auto"/>
        </w:rPr>
        <w:t>Dutch Opium Act</w:t>
      </w:r>
      <w:r>
        <w:rPr>
          <w:rFonts w:ascii="Times New Roman" w:cs="Times New Roman" w:eastAsia="Times New Roman" w:hAnsi="Times New Roman"/>
          <w:sz w:val="18"/>
          <w:szCs w:val="18"/>
          <w:color w:val="auto"/>
        </w:rPr>
        <w:t>”) and as such, subject to express authorization being obtained, the production, trade and possession of DMT are prohibited.</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addition to the Dutch Opium Act, two other Dutch Acts may be relevant when it comes to drugs: the Medicines Act and the Commodities Act.</w:t>
      </w:r>
    </w:p>
    <w:p>
      <w:pPr>
        <w:spacing w:after="0" w:line="252" w:lineRule="exact"/>
        <w:rPr>
          <w:sz w:val="20"/>
          <w:szCs w:val="20"/>
          <w:color w:val="auto"/>
        </w:rPr>
      </w:pPr>
    </w:p>
    <w:p>
      <w:pPr>
        <w:jc w:val="both"/>
        <w:ind w:right="20"/>
        <w:spacing w:after="0" w:line="291" w:lineRule="auto"/>
        <w:rPr>
          <w:sz w:val="20"/>
          <w:szCs w:val="20"/>
          <w:color w:val="auto"/>
        </w:rPr>
      </w:pPr>
      <w:r>
        <w:rPr>
          <w:rFonts w:ascii="Times New Roman" w:cs="Times New Roman" w:eastAsia="Times New Roman" w:hAnsi="Times New Roman"/>
          <w:sz w:val="18"/>
          <w:szCs w:val="18"/>
          <w:color w:val="auto"/>
        </w:rPr>
        <w:t>The specific regulatory processes and approvals required may vary among different EU member states and are set forth in the respective legislation of each country. For The Netherlands, there are specific regulatory requirements for the approval of clinical trials that need to be met. Firstly, a CTA (Clinical Trial Application) dossier containing the preclinical and any clinical information along with the proposed clinical trial design must be submitted to an accredited Ethics Committee and to the Central Commission on Research in Humans (the “</w:t>
      </w:r>
      <w:r>
        <w:rPr>
          <w:rFonts w:ascii="Times New Roman" w:cs="Times New Roman" w:eastAsia="Times New Roman" w:hAnsi="Times New Roman"/>
          <w:sz w:val="18"/>
          <w:szCs w:val="18"/>
          <w:b w:val="1"/>
          <w:bCs w:val="1"/>
          <w:color w:val="auto"/>
        </w:rPr>
        <w:t>CCMO</w:t>
      </w:r>
      <w:r>
        <w:rPr>
          <w:rFonts w:ascii="Times New Roman" w:cs="Times New Roman" w:eastAsia="Times New Roman" w:hAnsi="Times New Roman"/>
          <w:sz w:val="18"/>
          <w:szCs w:val="18"/>
          <w:color w:val="auto"/>
        </w:rPr>
        <w:t>”), which is also known as the Competent Authority in The Netherlands. In Dutch, the CCMO is called the ‘</w:t>
      </w:r>
      <w:r>
        <w:rPr>
          <w:rFonts w:ascii="Times New Roman" w:cs="Times New Roman" w:eastAsia="Times New Roman" w:hAnsi="Times New Roman"/>
          <w:sz w:val="18"/>
          <w:szCs w:val="18"/>
          <w:i w:val="1"/>
          <w:iCs w:val="1"/>
          <w:color w:val="auto"/>
        </w:rPr>
        <w:t>Centrale Commissie Mensgebonden Onderzoek</w:t>
      </w:r>
      <w:r>
        <w:rPr>
          <w:rFonts w:ascii="Times New Roman" w:cs="Times New Roman" w:eastAsia="Times New Roman" w:hAnsi="Times New Roman"/>
          <w:sz w:val="18"/>
          <w:szCs w:val="18"/>
          <w:color w:val="auto"/>
        </w:rPr>
        <w:t>’. In cases where the study involves a substance subject to the Dutch Opium Act (such as DMT), an official exemption by Farmatec is needed, which needs to be included in the CTA.</w:t>
      </w:r>
    </w:p>
    <w:p>
      <w:pPr>
        <w:spacing w:after="0" w:line="187" w:lineRule="exact"/>
        <w:rPr>
          <w:sz w:val="20"/>
          <w:szCs w:val="20"/>
          <w:color w:val="auto"/>
        </w:rPr>
      </w:pPr>
    </w:p>
    <w:p>
      <w:pPr>
        <w:jc w:val="both"/>
        <w:ind w:right="20"/>
        <w:spacing w:after="0" w:line="301" w:lineRule="auto"/>
        <w:rPr>
          <w:sz w:val="20"/>
          <w:szCs w:val="20"/>
          <w:color w:val="auto"/>
        </w:rPr>
      </w:pPr>
      <w:r>
        <w:rPr>
          <w:rFonts w:ascii="Times New Roman" w:cs="Times New Roman" w:eastAsia="Times New Roman" w:hAnsi="Times New Roman"/>
          <w:sz w:val="18"/>
          <w:szCs w:val="18"/>
          <w:color w:val="auto"/>
        </w:rPr>
        <w:t>Specific rules for the submission, assessment and conduct of clinical trials with medicinal products are set out in, among others, the EU Clinical Trial Regulation 536/2014 (CTR), which is applicable in the EU as of January 31, 2022 and the Medical Research (Human Subjects) Act (Wet medisch-wetenschappelijk onderzoek met mensen).</w:t>
      </w:r>
    </w:p>
    <w:p>
      <w:pPr>
        <w:spacing w:after="0" w:line="176" w:lineRule="exact"/>
        <w:rPr>
          <w:sz w:val="20"/>
          <w:szCs w:val="20"/>
          <w:color w:val="auto"/>
        </w:rPr>
      </w:pPr>
    </w:p>
    <w:p>
      <w:pPr>
        <w:jc w:val="both"/>
        <w:spacing w:after="0" w:line="294" w:lineRule="auto"/>
        <w:rPr>
          <w:sz w:val="20"/>
          <w:szCs w:val="20"/>
          <w:color w:val="auto"/>
        </w:rPr>
      </w:pPr>
      <w:r>
        <w:rPr>
          <w:rFonts w:ascii="Times New Roman" w:cs="Times New Roman" w:eastAsia="Times New Roman" w:hAnsi="Times New Roman"/>
          <w:sz w:val="18"/>
          <w:szCs w:val="18"/>
          <w:color w:val="auto"/>
        </w:rPr>
        <w:t>On April 26, 2023, the European Commission introduced a comprehensive “pharmaceutical package” aimed at revising the EU’s pharmaceutical legislation. This package includes proposals for a new directive and regulation designed to enhance the availability, accessibility, and affordability of medicines. Additionally, it seeks to boost the competitiveness and attractiveness of the EU pharmaceutical industry while imposing higher environmental standards. The European Parliament has recently looked at these proposals to renovate the EU pharmaceutical legislation, and a newly elected Parliament will take up the proposal following the European elections of June 6-9, 2024.</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United Kingdom</w:t>
      </w:r>
    </w:p>
    <w:p>
      <w:pPr>
        <w:spacing w:after="0" w:line="244" w:lineRule="exact"/>
        <w:rPr>
          <w:sz w:val="20"/>
          <w:szCs w:val="20"/>
          <w:color w:val="auto"/>
        </w:rPr>
      </w:pPr>
    </w:p>
    <w:p>
      <w:pPr>
        <w:jc w:val="both"/>
        <w:spacing w:after="0" w:line="309" w:lineRule="auto"/>
        <w:rPr>
          <w:sz w:val="20"/>
          <w:szCs w:val="20"/>
          <w:color w:val="auto"/>
        </w:rPr>
      </w:pPr>
      <w:r>
        <w:rPr>
          <w:rFonts w:ascii="Times New Roman" w:cs="Times New Roman" w:eastAsia="Times New Roman" w:hAnsi="Times New Roman"/>
          <w:sz w:val="18"/>
          <w:szCs w:val="18"/>
          <w:color w:val="auto"/>
        </w:rPr>
        <w:t>In the UK, there are two main “layers” of regulation with which products containing controlled substances must comply. These are: (i) controlled drugs legislation, which applies to all products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39</w:t>
      </w:r>
    </w:p>
    <w:p>
      <w:pPr>
        <w:sectPr>
          <w:pgSz w:w="11900" w:h="16838" w:orient="portrait"/>
          <w:cols w:equalWidth="0" w:num="1">
            <w:col w:w="11260"/>
          </w:cols>
          <w:pgMar w:left="320" w:top="1303" w:right="319" w:bottom="1440" w:gutter="0" w:footer="0" w:header="0"/>
        </w:sectPr>
      </w:pPr>
    </w:p>
    <w:bookmarkStart w:id="65" w:name="page66"/>
    <w:bookmarkEnd w:id="65"/>
    <w:p>
      <w:pPr>
        <w:jc w:val="both"/>
        <w:ind w:left="3" w:right="20"/>
        <w:spacing w:after="0" w:line="323" w:lineRule="auto"/>
        <w:rPr>
          <w:sz w:val="20"/>
          <w:szCs w:val="20"/>
          <w:color w:val="auto"/>
        </w:rPr>
      </w:pPr>
      <w:r>
        <w:rPr>
          <w:rFonts w:ascii="Times New Roman" w:cs="Times New Roman" w:eastAsia="Times New Roman" w:hAnsi="Times New Roman"/>
          <w:sz w:val="18"/>
          <w:szCs w:val="18"/>
          <w:color w:val="auto"/>
        </w:rPr>
        <w:t>irrespective of the type of product, and (ii) the regulatory frameworks applicable to a specific category of products, in this case, pharmaceuticals and food/food supplements.</w:t>
      </w:r>
    </w:p>
    <w:p>
      <w:pPr>
        <w:spacing w:after="0" w:line="130" w:lineRule="exact"/>
        <w:rPr>
          <w:sz w:val="20"/>
          <w:szCs w:val="20"/>
          <w:color w:val="auto"/>
        </w:rPr>
      </w:pPr>
    </w:p>
    <w:p>
      <w:pPr>
        <w:jc w:val="both"/>
        <w:ind w:left="3" w:right="20"/>
        <w:spacing w:after="0" w:line="302" w:lineRule="auto"/>
        <w:rPr>
          <w:sz w:val="20"/>
          <w:szCs w:val="20"/>
          <w:color w:val="auto"/>
        </w:rPr>
      </w:pPr>
      <w:r>
        <w:rPr>
          <w:rFonts w:ascii="Times New Roman" w:cs="Times New Roman" w:eastAsia="Times New Roman" w:hAnsi="Times New Roman"/>
          <w:sz w:val="18"/>
          <w:szCs w:val="18"/>
          <w:color w:val="auto"/>
        </w:rPr>
        <w:t>The main UK controlled drugs legislation is the Misuse of Drugs Act 1971 (the “</w:t>
      </w:r>
      <w:r>
        <w:rPr>
          <w:rFonts w:ascii="Times New Roman" w:cs="Times New Roman" w:eastAsia="Times New Roman" w:hAnsi="Times New Roman"/>
          <w:sz w:val="18"/>
          <w:szCs w:val="18"/>
          <w:b w:val="1"/>
          <w:bCs w:val="1"/>
          <w:color w:val="auto"/>
        </w:rPr>
        <w:t>MDA</w:t>
      </w:r>
      <w:r>
        <w:rPr>
          <w:rFonts w:ascii="Times New Roman" w:cs="Times New Roman" w:eastAsia="Times New Roman" w:hAnsi="Times New Roman"/>
          <w:sz w:val="18"/>
          <w:szCs w:val="18"/>
          <w:color w:val="auto"/>
        </w:rPr>
        <w:t>”) and the Misuse of Drugs Regulations 2001 (the “</w:t>
      </w:r>
      <w:r>
        <w:rPr>
          <w:rFonts w:ascii="Times New Roman" w:cs="Times New Roman" w:eastAsia="Times New Roman" w:hAnsi="Times New Roman"/>
          <w:sz w:val="18"/>
          <w:szCs w:val="18"/>
          <w:b w:val="1"/>
          <w:bCs w:val="1"/>
          <w:color w:val="auto"/>
        </w:rPr>
        <w:t>MDR</w:t>
      </w:r>
      <w:r>
        <w:rPr>
          <w:rFonts w:ascii="Times New Roman" w:cs="Times New Roman" w:eastAsia="Times New Roman" w:hAnsi="Times New Roman"/>
          <w:sz w:val="18"/>
          <w:szCs w:val="18"/>
          <w:color w:val="auto"/>
        </w:rPr>
        <w:t>”), each as amended. The MDA sets out the penalties for unlawful production, possession and supply of controlled drugs based on three classes of risk (A, B and C). The MDR sets out the permitted uses of controlled drugs based on which Schedule (1 to 5) they fall within.</w:t>
      </w:r>
    </w:p>
    <w:p>
      <w:pPr>
        <w:spacing w:after="0" w:line="151" w:lineRule="exact"/>
        <w:rPr>
          <w:sz w:val="20"/>
          <w:szCs w:val="20"/>
          <w:color w:val="auto"/>
        </w:rPr>
      </w:pPr>
    </w:p>
    <w:p>
      <w:pPr>
        <w:jc w:val="both"/>
        <w:ind w:left="3" w:right="20"/>
        <w:spacing w:after="0" w:line="309" w:lineRule="auto"/>
        <w:rPr>
          <w:sz w:val="20"/>
          <w:szCs w:val="20"/>
          <w:color w:val="auto"/>
        </w:rPr>
      </w:pPr>
      <w:r>
        <w:rPr>
          <w:rFonts w:ascii="Times New Roman" w:cs="Times New Roman" w:eastAsia="Times New Roman" w:hAnsi="Times New Roman"/>
          <w:sz w:val="18"/>
          <w:szCs w:val="18"/>
          <w:color w:val="auto"/>
        </w:rPr>
        <w:t>In the United Kingdom, “Fungus (of any kind) which contains psilocin or an ester of psilocin” is controlled as a Class A drug under the MDA and Schedule 1 drug under the MDR.</w:t>
      </w:r>
    </w:p>
    <w:p>
      <w:pPr>
        <w:spacing w:after="0" w:line="156" w:lineRule="exact"/>
        <w:rPr>
          <w:sz w:val="20"/>
          <w:szCs w:val="20"/>
          <w:color w:val="auto"/>
        </w:rPr>
      </w:pPr>
    </w:p>
    <w:p>
      <w:pPr>
        <w:jc w:val="both"/>
        <w:ind w:left="3"/>
        <w:spacing w:after="0" w:line="294" w:lineRule="auto"/>
        <w:rPr>
          <w:sz w:val="20"/>
          <w:szCs w:val="20"/>
          <w:color w:val="auto"/>
        </w:rPr>
      </w:pPr>
      <w:r>
        <w:rPr>
          <w:rFonts w:ascii="Times New Roman" w:cs="Times New Roman" w:eastAsia="Times New Roman" w:hAnsi="Times New Roman"/>
          <w:sz w:val="18"/>
          <w:szCs w:val="18"/>
          <w:color w:val="auto"/>
        </w:rPr>
        <w:t>In the United Kingdom, Class A drugs are deemed to be the most dangerous, and so carry the harshest punishments for unlawful manufacture, production, possession and supply. Schedule 1 drugs can only be lawfully manufactured, produced, possessed and supplied under a controlled drugs domestic licence issued by the UK Home Office. While exemptions do exist, none are applicable to the API.DMT is also considered a Class A drug under the MDA and as a Schedule I drug under the MDR.</w:t>
      </w:r>
    </w:p>
    <w:p>
      <w:pPr>
        <w:spacing w:after="0" w:line="158" w:lineRule="exact"/>
        <w:rPr>
          <w:sz w:val="20"/>
          <w:szCs w:val="20"/>
          <w:color w:val="auto"/>
        </w:rPr>
      </w:pPr>
    </w:p>
    <w:p>
      <w:pPr>
        <w:jc w:val="both"/>
        <w:ind w:left="3" w:right="20"/>
        <w:spacing w:after="0" w:line="298" w:lineRule="auto"/>
        <w:rPr>
          <w:sz w:val="20"/>
          <w:szCs w:val="20"/>
          <w:color w:val="auto"/>
        </w:rPr>
      </w:pPr>
      <w:r>
        <w:rPr>
          <w:rFonts w:ascii="Times New Roman" w:cs="Times New Roman" w:eastAsia="Times New Roman" w:hAnsi="Times New Roman"/>
          <w:sz w:val="18"/>
          <w:szCs w:val="18"/>
          <w:color w:val="auto"/>
        </w:rPr>
        <w:t>The Company previously mentioned that it intended to file a clinical trial application with the U.K. Medicines and Healthcare products Regulatory Agency (the “</w:t>
      </w:r>
      <w:r>
        <w:rPr>
          <w:rFonts w:ascii="Times New Roman" w:cs="Times New Roman" w:eastAsia="Times New Roman" w:hAnsi="Times New Roman"/>
          <w:sz w:val="18"/>
          <w:szCs w:val="18"/>
          <w:b w:val="1"/>
          <w:bCs w:val="1"/>
          <w:color w:val="auto"/>
        </w:rPr>
        <w:t>MHRA</w:t>
      </w:r>
      <w:r>
        <w:rPr>
          <w:rFonts w:ascii="Times New Roman" w:cs="Times New Roman" w:eastAsia="Times New Roman" w:hAnsi="Times New Roman"/>
          <w:sz w:val="18"/>
          <w:szCs w:val="18"/>
          <w:color w:val="auto"/>
        </w:rPr>
        <w:t>”) related to the Deuterated Psilocin Program upon completion of its pre-clinical studies and CMC development. The Company has since decided that it will first proceed in the U.S. and will reevaluate other applications at a later date. Anticipated timelines related to regulatory filings are based on reasonable assumptions informed by current knowledge and information available to the Company. Small Pharma has a controlled drug licence in respect of the offices at 50 Featherstone St, reference number 1355388, issued on July 24, 2023, expiring July 23, 2024.</w:t>
      </w:r>
    </w:p>
    <w:p>
      <w:pPr>
        <w:spacing w:after="0" w:line="190" w:lineRule="exact"/>
        <w:rPr>
          <w:sz w:val="20"/>
          <w:szCs w:val="20"/>
          <w:color w:val="auto"/>
        </w:rPr>
      </w:pPr>
    </w:p>
    <w:p>
      <w:pPr>
        <w:ind w:left="3"/>
        <w:spacing w:after="0"/>
        <w:rPr>
          <w:sz w:val="20"/>
          <w:szCs w:val="20"/>
          <w:color w:val="auto"/>
        </w:rPr>
      </w:pPr>
      <w:r>
        <w:rPr>
          <w:rFonts w:ascii="Times New Roman" w:cs="Times New Roman" w:eastAsia="Times New Roman" w:hAnsi="Times New Roman"/>
          <w:sz w:val="18"/>
          <w:szCs w:val="18"/>
          <w:u w:val="single" w:color="auto"/>
          <w:color w:val="auto"/>
        </w:rPr>
        <w:t>Licensing Requirements</w:t>
      </w:r>
    </w:p>
    <w:p>
      <w:pPr>
        <w:spacing w:after="0" w:line="216" w:lineRule="exact"/>
        <w:rPr>
          <w:sz w:val="20"/>
          <w:szCs w:val="20"/>
          <w:color w:val="auto"/>
        </w:rPr>
      </w:pPr>
    </w:p>
    <w:p>
      <w:pPr>
        <w:jc w:val="both"/>
        <w:ind w:left="3"/>
        <w:spacing w:after="0" w:line="311" w:lineRule="auto"/>
        <w:rPr>
          <w:sz w:val="20"/>
          <w:szCs w:val="20"/>
          <w:color w:val="auto"/>
        </w:rPr>
      </w:pPr>
      <w:r>
        <w:rPr>
          <w:rFonts w:ascii="Times New Roman" w:cs="Times New Roman" w:eastAsia="Times New Roman" w:hAnsi="Times New Roman"/>
          <w:sz w:val="17"/>
          <w:szCs w:val="17"/>
          <w:color w:val="auto"/>
        </w:rPr>
        <w:t>The Company obtains CYB003 API from a pharmaceutical ingredient provider who is FDA-registered and based in the United States. The API itself has been manufactured and packaged in FDA-registered facilities in the United States. The API is expected to be sent directly to the Company’s partners for research and development purposes in the United States, Canada and the UK and to its clinical trial site in the U.S. As a part of the Asset Acquisition, the Company also acquired API. The CYB004-E API was manufactured in the Netherlands by a pharmaceutical ingredient provider that is US FDA-inspected.</w:t>
      </w:r>
      <w:r>
        <w:rPr>
          <w:rFonts w:ascii="Times New Roman" w:cs="Times New Roman" w:eastAsia="Times New Roman" w:hAnsi="Times New Roman"/>
          <w:sz w:val="22"/>
          <w:szCs w:val="22"/>
          <w:color w:val="auto"/>
          <w:vertAlign w:val="superscript"/>
        </w:rPr>
        <w:t>24</w:t>
      </w:r>
    </w:p>
    <w:p>
      <w:pPr>
        <w:spacing w:after="0" w:line="109" w:lineRule="exact"/>
        <w:rPr>
          <w:sz w:val="20"/>
          <w:szCs w:val="20"/>
          <w:color w:val="auto"/>
        </w:rPr>
      </w:pPr>
    </w:p>
    <w:p>
      <w:pPr>
        <w:jc w:val="both"/>
        <w:ind w:left="3" w:right="20"/>
        <w:spacing w:after="0" w:line="294" w:lineRule="auto"/>
        <w:rPr>
          <w:sz w:val="20"/>
          <w:szCs w:val="20"/>
          <w:color w:val="auto"/>
        </w:rPr>
      </w:pPr>
      <w:r>
        <w:rPr>
          <w:rFonts w:ascii="Times New Roman" w:cs="Times New Roman" w:eastAsia="Times New Roman" w:hAnsi="Times New Roman"/>
          <w:sz w:val="18"/>
          <w:szCs w:val="18"/>
          <w:color w:val="auto"/>
        </w:rPr>
        <w:t>Although the facilities in the UK are currently FDA-registered, this would not be sufficient to ensure the existence of valid marketing activities at this site. As mentioned above, in order to produce, possess and supply the API, the UK-based facility must also hold a domestic licence issued by the Home Office covering the manufacture, production, possession and supply of a controlled substance, as well as an export licence for each API shipment. The export application must include details of the importer and any import licence required by the local authorities in the United States. Moreover, as set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106045</wp:posOffset>
            </wp:positionV>
            <wp:extent cx="1535430" cy="762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1535430" cy="7620"/>
                    </a:xfrm>
                    <a:prstGeom prst="rect">
                      <a:avLst/>
                    </a:prstGeom>
                    <a:noFill/>
                  </pic:spPr>
                </pic:pic>
              </a:graphicData>
            </a:graphic>
          </wp:anchor>
        </w:drawing>
      </w:r>
    </w:p>
    <w:p>
      <w:pPr>
        <w:spacing w:after="0" w:line="280" w:lineRule="exact"/>
        <w:rPr>
          <w:sz w:val="20"/>
          <w:szCs w:val="20"/>
          <w:color w:val="auto"/>
        </w:rPr>
      </w:pPr>
    </w:p>
    <w:p>
      <w:pPr>
        <w:jc w:val="both"/>
        <w:ind w:left="3" w:hanging="3"/>
        <w:spacing w:after="0" w:line="235" w:lineRule="auto"/>
        <w:tabs>
          <w:tab w:leader="none" w:pos="146" w:val="left"/>
        </w:tabs>
        <w:numPr>
          <w:ilvl w:val="0"/>
          <w:numId w:val="37"/>
        </w:numPr>
        <w:rPr>
          <w:rFonts w:ascii="Times New Roman" w:cs="Times New Roman" w:eastAsia="Times New Roman" w:hAnsi="Times New Roman"/>
          <w:sz w:val="19"/>
          <w:szCs w:val="19"/>
          <w:color w:val="auto"/>
          <w:vertAlign w:val="superscript"/>
        </w:rPr>
      </w:pPr>
      <w:r>
        <w:rPr>
          <w:rFonts w:ascii="Times New Roman" w:cs="Times New Roman" w:eastAsia="Times New Roman" w:hAnsi="Times New Roman"/>
          <w:sz w:val="15"/>
          <w:szCs w:val="15"/>
          <w:color w:val="auto"/>
        </w:rPr>
        <w:t>As a result of the Asset Acquisition, including the existing API, the Company did not direct the manufacturing of the API for CYB004-E and proceeded in reliance upon the representations of Entheon and the Company's acquisition diligence. While the Company believes the CYB004-E API meets all required specifications, the Company did not oversee or direct the manufacture of the DMT API being used in CYB004-E.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jc w:val="center"/>
        <w:ind w:right="-2"/>
        <w:spacing w:after="0"/>
        <w:rPr>
          <w:sz w:val="20"/>
          <w:szCs w:val="20"/>
          <w:color w:val="auto"/>
        </w:rPr>
      </w:pPr>
      <w:r>
        <w:rPr>
          <w:rFonts w:ascii="Times New Roman" w:cs="Times New Roman" w:eastAsia="Times New Roman" w:hAnsi="Times New Roman"/>
          <w:sz w:val="18"/>
          <w:szCs w:val="18"/>
          <w:color w:val="auto"/>
        </w:rPr>
        <w:t>40</w:t>
      </w:r>
    </w:p>
    <w:p>
      <w:pPr>
        <w:sectPr>
          <w:pgSz w:w="11900" w:h="16838" w:orient="portrait"/>
          <w:cols w:equalWidth="0" w:num="1">
            <w:col w:w="11263"/>
          </w:cols>
          <w:pgMar w:left="317" w:top="1303" w:right="319" w:bottom="1440" w:gutter="0" w:footer="0" w:header="0"/>
        </w:sectPr>
      </w:pPr>
    </w:p>
    <w:bookmarkStart w:id="66" w:name="page67"/>
    <w:bookmarkEnd w:id="66"/>
    <w:p>
      <w:pPr>
        <w:jc w:val="both"/>
        <w:ind w:left="3" w:right="80"/>
        <w:spacing w:after="0" w:line="323" w:lineRule="auto"/>
        <w:rPr>
          <w:sz w:val="20"/>
          <w:szCs w:val="20"/>
          <w:color w:val="auto"/>
        </w:rPr>
      </w:pPr>
      <w:r>
        <w:rPr>
          <w:rFonts w:ascii="Times New Roman" w:cs="Times New Roman" w:eastAsia="Times New Roman" w:hAnsi="Times New Roman"/>
          <w:sz w:val="18"/>
          <w:szCs w:val="18"/>
          <w:color w:val="auto"/>
        </w:rPr>
        <w:t>out below in more detail under the heading “Pharmaceutical Products”, depending on how the API is developed, certain authorizations and licences from the MHRA may be required to authorize some of the activities carried on at the UK-based facilities in relation to the API.</w:t>
      </w:r>
    </w:p>
    <w:p>
      <w:pPr>
        <w:spacing w:after="0" w:line="120" w:lineRule="exact"/>
        <w:rPr>
          <w:sz w:val="20"/>
          <w:szCs w:val="20"/>
          <w:color w:val="auto"/>
        </w:rPr>
      </w:pPr>
    </w:p>
    <w:p>
      <w:pPr>
        <w:jc w:val="both"/>
        <w:ind w:left="3" w:right="100"/>
        <w:spacing w:after="0" w:line="297" w:lineRule="auto"/>
        <w:rPr>
          <w:sz w:val="20"/>
          <w:szCs w:val="20"/>
          <w:color w:val="auto"/>
        </w:rPr>
      </w:pPr>
      <w:r>
        <w:rPr>
          <w:rFonts w:ascii="Times New Roman" w:cs="Times New Roman" w:eastAsia="Times New Roman" w:hAnsi="Times New Roman"/>
          <w:sz w:val="18"/>
          <w:szCs w:val="18"/>
          <w:color w:val="auto"/>
        </w:rPr>
        <w:t>All premises that are licensed, or are intending to be licensed, in connection with the possession, and/or supply and/or production of controlled drugs should consider certain security measures.</w:t>
      </w:r>
      <w:r>
        <w:rPr>
          <w:rFonts w:ascii="Times New Roman" w:cs="Times New Roman" w:eastAsia="Times New Roman" w:hAnsi="Times New Roman"/>
          <w:sz w:val="23"/>
          <w:szCs w:val="23"/>
          <w:color w:val="auto"/>
          <w:vertAlign w:val="superscript"/>
        </w:rPr>
        <w:t>25</w:t>
      </w:r>
    </w:p>
    <w:p>
      <w:pPr>
        <w:spacing w:after="0" w:line="106" w:lineRule="exact"/>
        <w:rPr>
          <w:sz w:val="20"/>
          <w:szCs w:val="20"/>
          <w:color w:val="auto"/>
        </w:rPr>
      </w:pPr>
    </w:p>
    <w:p>
      <w:pPr>
        <w:jc w:val="both"/>
        <w:ind w:left="3" w:right="100"/>
        <w:spacing w:after="0" w:line="292" w:lineRule="auto"/>
        <w:rPr>
          <w:sz w:val="20"/>
          <w:szCs w:val="20"/>
          <w:color w:val="auto"/>
        </w:rPr>
      </w:pPr>
      <w:r>
        <w:rPr>
          <w:rFonts w:ascii="Times New Roman" w:cs="Times New Roman" w:eastAsia="Times New Roman" w:hAnsi="Times New Roman"/>
          <w:sz w:val="18"/>
          <w:szCs w:val="18"/>
          <w:color w:val="auto"/>
        </w:rPr>
        <w:t>Typically, when controlled drugs are being transported between licensees, responsibility for their security remains with the owner and does not transfer to either the courier or the customer until the drugs arrive at their destination and are signed for. However, where a third party is involved in the transit and/or storage of controlled drugs, even if they are not the legal owners, this party also carries responsibility for their security by virtue of being ‘in possession’ of them. Under the Home Office guidance, each organization involved in the movement of controlled drugs should have a standard operating procedure covering their responsibilities, record keeping, reconciliation and reporting of thefts/losses.</w:t>
      </w:r>
      <w:r>
        <w:rPr>
          <w:rFonts w:ascii="Times New Roman" w:cs="Times New Roman" w:eastAsia="Times New Roman" w:hAnsi="Times New Roman"/>
          <w:sz w:val="23"/>
          <w:szCs w:val="23"/>
          <w:color w:val="auto"/>
          <w:vertAlign w:val="superscript"/>
        </w:rPr>
        <w:t>26</w:t>
      </w:r>
    </w:p>
    <w:p>
      <w:pPr>
        <w:spacing w:after="0" w:line="97" w:lineRule="exact"/>
        <w:rPr>
          <w:sz w:val="20"/>
          <w:szCs w:val="20"/>
          <w:color w:val="auto"/>
        </w:rPr>
      </w:pPr>
    </w:p>
    <w:p>
      <w:pPr>
        <w:ind w:left="3"/>
        <w:spacing w:after="0"/>
        <w:rPr>
          <w:sz w:val="20"/>
          <w:szCs w:val="20"/>
          <w:color w:val="auto"/>
        </w:rPr>
      </w:pPr>
      <w:r>
        <w:rPr>
          <w:rFonts w:ascii="Times New Roman" w:cs="Times New Roman" w:eastAsia="Times New Roman" w:hAnsi="Times New Roman"/>
          <w:sz w:val="18"/>
          <w:szCs w:val="18"/>
          <w:color w:val="auto"/>
        </w:rPr>
        <w:t>Small Pharma holds the appropriate UK Home Office licence required to sponsor clinical trials using Schedule I compounds.</w:t>
      </w:r>
    </w:p>
    <w:p>
      <w:pPr>
        <w:spacing w:after="0" w:line="252" w:lineRule="exact"/>
        <w:rPr>
          <w:sz w:val="20"/>
          <w:szCs w:val="20"/>
          <w:color w:val="auto"/>
        </w:rPr>
      </w:pPr>
    </w:p>
    <w:p>
      <w:pPr>
        <w:ind w:left="3"/>
        <w:spacing w:after="0"/>
        <w:rPr>
          <w:sz w:val="20"/>
          <w:szCs w:val="20"/>
          <w:color w:val="auto"/>
        </w:rPr>
      </w:pPr>
      <w:r>
        <w:rPr>
          <w:rFonts w:ascii="Times New Roman" w:cs="Times New Roman" w:eastAsia="Times New Roman" w:hAnsi="Times New Roman"/>
          <w:sz w:val="18"/>
          <w:szCs w:val="18"/>
          <w:u w:val="single" w:color="auto"/>
          <w:color w:val="auto"/>
        </w:rPr>
        <w:t>Pharmaceutical Products</w:t>
      </w:r>
    </w:p>
    <w:p>
      <w:pPr>
        <w:spacing w:after="0" w:line="240" w:lineRule="exact"/>
        <w:rPr>
          <w:sz w:val="20"/>
          <w:szCs w:val="20"/>
          <w:color w:val="auto"/>
        </w:rPr>
      </w:pPr>
    </w:p>
    <w:p>
      <w:pPr>
        <w:jc w:val="both"/>
        <w:ind w:left="3" w:right="100"/>
        <w:spacing w:after="0" w:line="294" w:lineRule="auto"/>
        <w:rPr>
          <w:sz w:val="20"/>
          <w:szCs w:val="20"/>
          <w:color w:val="auto"/>
        </w:rPr>
      </w:pPr>
      <w:r>
        <w:rPr>
          <w:rFonts w:ascii="Times New Roman" w:cs="Times New Roman" w:eastAsia="Times New Roman" w:hAnsi="Times New Roman"/>
          <w:sz w:val="18"/>
          <w:szCs w:val="18"/>
          <w:color w:val="auto"/>
        </w:rPr>
        <w:t>A product is regulated as a “medicinal product” under UK legislation (the Human Medicines Regulations 2012) if (i) it is a substance or combination of substances presented as having properties of preventing or treating disease in human beings (e.g., in marketing claims) or (ii) it is a substance or combination of substances that may be used by or administered to human beings with a view to (a) restoring, correcting or modifying a physiological function by exerting a pharmacological, immunological or metabolic action, or (b) making a medical diagnosis.</w:t>
      </w:r>
    </w:p>
    <w:p>
      <w:pPr>
        <w:spacing w:after="0" w:line="183" w:lineRule="exact"/>
        <w:rPr>
          <w:sz w:val="20"/>
          <w:szCs w:val="20"/>
          <w:color w:val="auto"/>
        </w:rPr>
      </w:pPr>
    </w:p>
    <w:p>
      <w:pPr>
        <w:jc w:val="both"/>
        <w:ind w:left="3" w:right="100"/>
        <w:spacing w:after="0" w:line="301" w:lineRule="auto"/>
        <w:rPr>
          <w:sz w:val="20"/>
          <w:szCs w:val="20"/>
          <w:color w:val="auto"/>
        </w:rPr>
      </w:pPr>
      <w:r>
        <w:rPr>
          <w:rFonts w:ascii="Times New Roman" w:cs="Times New Roman" w:eastAsia="Times New Roman" w:hAnsi="Times New Roman"/>
          <w:sz w:val="18"/>
          <w:szCs w:val="18"/>
          <w:color w:val="auto"/>
        </w:rPr>
        <w:t>In respect of psilocybin/psilocin and DMT, whether a specific product restores, corrects or modifies a physiological function by exerting a pharmacological, immunological or metabolic action will depend on factors such as the concentration of the psilocybin/psilocin or DMT (as applicable) and the mode of action of any psilocybin/psilocin or DMT (as applicable) absorbed in the body.</w:t>
      </w:r>
    </w:p>
    <w:p>
      <w:pPr>
        <w:spacing w:after="0" w:line="188" w:lineRule="exact"/>
        <w:rPr>
          <w:sz w:val="20"/>
          <w:szCs w:val="20"/>
          <w:color w:val="auto"/>
        </w:rPr>
      </w:pPr>
    </w:p>
    <w:p>
      <w:pPr>
        <w:jc w:val="both"/>
        <w:ind w:left="3" w:right="80"/>
        <w:spacing w:after="0" w:line="288" w:lineRule="auto"/>
        <w:rPr>
          <w:sz w:val="20"/>
          <w:szCs w:val="20"/>
          <w:color w:val="auto"/>
        </w:rPr>
      </w:pPr>
      <w:r>
        <w:rPr>
          <w:rFonts w:ascii="Times New Roman" w:cs="Times New Roman" w:eastAsia="Times New Roman" w:hAnsi="Times New Roman"/>
          <w:sz w:val="18"/>
          <w:szCs w:val="18"/>
          <w:color w:val="auto"/>
        </w:rPr>
        <w:t>If a product is a medicinal product, a marketing authorization for the product is required before the product can be placed on the market in the UK. Up to (and including) 31 December 2024, there are separate licensing routes for products licensed: (i) in Great Britain only; (ii) in Northern Ireland only; and (iii) across the UK. From 1 January 2025, the MHRA will license products across the whole of the UK through UK-wide authorizations, removing the separate routes for Great Britain and Northern Ireland. The process for obtaining a marketing authorization involves submitting preclinical and clinical data as well as quality and manufacturing information in the form of a common technical document. In addition to a marketing authorization for the product itself, companies carrying out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87630</wp:posOffset>
            </wp:positionV>
            <wp:extent cx="1535430" cy="762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1535430" cy="7620"/>
                    </a:xfrm>
                    <a:prstGeom prst="rect">
                      <a:avLst/>
                    </a:prstGeom>
                    <a:noFill/>
                  </pic:spPr>
                </pic:pic>
              </a:graphicData>
            </a:graphic>
          </wp:anchor>
        </w:drawing>
      </w:r>
    </w:p>
    <w:p>
      <w:pPr>
        <w:spacing w:after="0" w:line="203" w:lineRule="exact"/>
        <w:rPr>
          <w:sz w:val="20"/>
          <w:szCs w:val="20"/>
          <w:color w:val="auto"/>
        </w:rPr>
      </w:pPr>
    </w:p>
    <w:p>
      <w:pPr>
        <w:ind w:left="3" w:hanging="3"/>
        <w:spacing w:after="0" w:line="239" w:lineRule="auto"/>
        <w:tabs>
          <w:tab w:leader="none" w:pos="134" w:val="left"/>
        </w:tabs>
        <w:numPr>
          <w:ilvl w:val="0"/>
          <w:numId w:val="38"/>
        </w:numPr>
        <w:rPr>
          <w:rFonts w:ascii="Times New Roman" w:cs="Times New Roman" w:eastAsia="Times New Roman" w:hAnsi="Times New Roman"/>
          <w:sz w:val="18"/>
          <w:szCs w:val="18"/>
          <w:color w:val="auto"/>
          <w:vertAlign w:val="superscript"/>
        </w:rPr>
      </w:pPr>
      <w:r>
        <w:rPr>
          <w:rFonts w:ascii="Times New Roman" w:cs="Times New Roman" w:eastAsia="Times New Roman" w:hAnsi="Times New Roman"/>
          <w:sz w:val="14"/>
          <w:szCs w:val="14"/>
          <w:color w:val="auto"/>
        </w:rPr>
        <w:t>Home Office guidance; Security guidance for all existing or prospective Home Office Controlled Drug Licensees and/or Precursor Chemical Licensees or Registrants; 2022; https://assets.publishing.service.gov.uk/government/uploads/system/uploads/attachment_data/file/1125889/Security_Guidance_for_all_Businesses_and_Other_Organisations_v1.5_Nov_2022.pdf.</w:t>
      </w:r>
    </w:p>
    <w:p>
      <w:pPr>
        <w:ind w:left="123" w:hanging="123"/>
        <w:spacing w:after="0" w:line="200" w:lineRule="auto"/>
        <w:tabs>
          <w:tab w:leader="none" w:pos="123" w:val="left"/>
        </w:tabs>
        <w:numPr>
          <w:ilvl w:val="0"/>
          <w:numId w:val="38"/>
        </w:numPr>
        <w:rPr>
          <w:rFonts w:ascii="Times New Roman" w:cs="Times New Roman" w:eastAsia="Times New Roman" w:hAnsi="Times New Roman"/>
          <w:sz w:val="18"/>
          <w:szCs w:val="18"/>
          <w:color w:val="auto"/>
          <w:vertAlign w:val="superscript"/>
        </w:rPr>
      </w:pPr>
      <w:r>
        <w:rPr>
          <w:rFonts w:ascii="Times New Roman" w:cs="Times New Roman" w:eastAsia="Times New Roman" w:hAnsi="Times New Roman"/>
          <w:sz w:val="14"/>
          <w:szCs w:val="14"/>
          <w:color w:val="auto"/>
        </w:rPr>
        <w:t>Home Office guidance; Guidelines for Standard Operating Procedures (SOPs);</w:t>
      </w:r>
    </w:p>
    <w:p>
      <w:pPr>
        <w:spacing w:after="0" w:line="9" w:lineRule="exact"/>
        <w:rPr>
          <w:sz w:val="20"/>
          <w:szCs w:val="20"/>
          <w:color w:val="auto"/>
        </w:rPr>
      </w:pPr>
    </w:p>
    <w:p>
      <w:pPr>
        <w:ind w:left="3"/>
        <w:spacing w:after="0"/>
        <w:rPr>
          <w:sz w:val="20"/>
          <w:szCs w:val="20"/>
          <w:color w:val="auto"/>
        </w:rPr>
      </w:pPr>
      <w:r>
        <w:rPr>
          <w:rFonts w:ascii="Times New Roman" w:cs="Times New Roman" w:eastAsia="Times New Roman" w:hAnsi="Times New Roman"/>
          <w:sz w:val="15"/>
          <w:szCs w:val="15"/>
          <w:color w:val="auto"/>
        </w:rPr>
        <w:t>https://assets.publishing.service.gov.uk/government/uploads/system/uploads/attachment_data/file/480572/StandardOpProcedure.pdf.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jc w:val="center"/>
        <w:ind w:right="77"/>
        <w:spacing w:after="0"/>
        <w:rPr>
          <w:sz w:val="20"/>
          <w:szCs w:val="20"/>
          <w:color w:val="auto"/>
        </w:rPr>
      </w:pPr>
      <w:r>
        <w:rPr>
          <w:rFonts w:ascii="Times New Roman" w:cs="Times New Roman" w:eastAsia="Times New Roman" w:hAnsi="Times New Roman"/>
          <w:sz w:val="18"/>
          <w:szCs w:val="18"/>
          <w:color w:val="auto"/>
        </w:rPr>
        <w:t>41</w:t>
      </w:r>
    </w:p>
    <w:p>
      <w:pPr>
        <w:sectPr>
          <w:pgSz w:w="11900" w:h="16838" w:orient="portrait"/>
          <w:cols w:equalWidth="0" w:num="1">
            <w:col w:w="11343"/>
          </w:cols>
          <w:pgMar w:left="317" w:top="1303" w:right="239" w:bottom="1440" w:gutter="0" w:footer="0" w:header="0"/>
        </w:sectPr>
      </w:pPr>
    </w:p>
    <w:bookmarkStart w:id="67" w:name="page68"/>
    <w:bookmarkEnd w:id="67"/>
    <w:p>
      <w:pPr>
        <w:ind w:right="20"/>
        <w:spacing w:after="0" w:line="323" w:lineRule="auto"/>
        <w:rPr>
          <w:sz w:val="20"/>
          <w:szCs w:val="20"/>
          <w:color w:val="auto"/>
        </w:rPr>
      </w:pPr>
      <w:r>
        <w:rPr>
          <w:rFonts w:ascii="Times New Roman" w:cs="Times New Roman" w:eastAsia="Times New Roman" w:hAnsi="Times New Roman"/>
          <w:sz w:val="18"/>
          <w:szCs w:val="18"/>
          <w:color w:val="auto"/>
        </w:rPr>
        <w:t>activities involving medicinal products, such as manufacturing, distribution and wholesaling, need to meet defined standards (Good Manufacturing Practices (“</w:t>
      </w:r>
      <w:r>
        <w:rPr>
          <w:rFonts w:ascii="Times New Roman" w:cs="Times New Roman" w:eastAsia="Times New Roman" w:hAnsi="Times New Roman"/>
          <w:sz w:val="18"/>
          <w:szCs w:val="18"/>
          <w:b w:val="1"/>
          <w:bCs w:val="1"/>
          <w:color w:val="auto"/>
        </w:rPr>
        <w:t>GMP</w:t>
      </w:r>
      <w:r>
        <w:rPr>
          <w:rFonts w:ascii="Times New Roman" w:cs="Times New Roman" w:eastAsia="Times New Roman" w:hAnsi="Times New Roman"/>
          <w:sz w:val="18"/>
          <w:szCs w:val="18"/>
          <w:color w:val="auto"/>
        </w:rPr>
        <w:t>”)) and/or Good Distribution Practice (“</w:t>
      </w:r>
      <w:r>
        <w:rPr>
          <w:rFonts w:ascii="Times New Roman" w:cs="Times New Roman" w:eastAsia="Times New Roman" w:hAnsi="Times New Roman"/>
          <w:sz w:val="18"/>
          <w:szCs w:val="18"/>
          <w:b w:val="1"/>
          <w:bCs w:val="1"/>
          <w:color w:val="auto"/>
        </w:rPr>
        <w:t>GDP</w:t>
      </w:r>
      <w:r>
        <w:rPr>
          <w:rFonts w:ascii="Times New Roman" w:cs="Times New Roman" w:eastAsia="Times New Roman" w:hAnsi="Times New Roman"/>
          <w:sz w:val="18"/>
          <w:szCs w:val="18"/>
          <w:color w:val="auto"/>
        </w:rPr>
        <w:t>”) and to hold a related licence from the MHRA.</w:t>
      </w:r>
    </w:p>
    <w:p>
      <w:pPr>
        <w:spacing w:after="0" w:line="1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How the API is subsequently processed will determine the licences that the UK-based facility must hold. In particular:</w:t>
      </w:r>
    </w:p>
    <w:p>
      <w:pPr>
        <w:spacing w:after="0" w:line="226" w:lineRule="exact"/>
        <w:rPr>
          <w:sz w:val="20"/>
          <w:szCs w:val="20"/>
          <w:color w:val="auto"/>
        </w:rPr>
      </w:pPr>
    </w:p>
    <w:p>
      <w:pPr>
        <w:ind w:left="560" w:hanging="276"/>
        <w:spacing w:after="0"/>
        <w:tabs>
          <w:tab w:leader="none" w:pos="560" w:val="left"/>
        </w:tabs>
        <w:numPr>
          <w:ilvl w:val="0"/>
          <w:numId w:val="39"/>
        </w:numPr>
        <w:rPr>
          <w:rFonts w:ascii="Calibri" w:cs="Calibri" w:eastAsia="Calibri" w:hAnsi="Calibri"/>
          <w:sz w:val="18"/>
          <w:szCs w:val="18"/>
          <w:color w:val="auto"/>
        </w:rPr>
      </w:pPr>
      <w:r>
        <w:rPr>
          <w:rFonts w:ascii="Times New Roman" w:cs="Times New Roman" w:eastAsia="Times New Roman" w:hAnsi="Times New Roman"/>
          <w:sz w:val="18"/>
          <w:szCs w:val="18"/>
          <w:color w:val="auto"/>
        </w:rPr>
        <w:t>if the API is just one ‘ingredient’ of the investigational medicinal product (the “</w:t>
      </w:r>
      <w:r>
        <w:rPr>
          <w:rFonts w:ascii="Times New Roman" w:cs="Times New Roman" w:eastAsia="Times New Roman" w:hAnsi="Times New Roman"/>
          <w:sz w:val="18"/>
          <w:szCs w:val="18"/>
          <w:b w:val="1"/>
          <w:bCs w:val="1"/>
          <w:color w:val="auto"/>
        </w:rPr>
        <w:t>IMP</w:t>
      </w:r>
      <w:r>
        <w:rPr>
          <w:rFonts w:ascii="Times New Roman" w:cs="Times New Roman" w:eastAsia="Times New Roman" w:hAnsi="Times New Roman"/>
          <w:sz w:val="18"/>
          <w:szCs w:val="18"/>
          <w:color w:val="auto"/>
        </w:rPr>
        <w:t>”) which is used in the clinical trial then the UK-based facility</w:t>
      </w:r>
    </w:p>
    <w:p>
      <w:pPr>
        <w:spacing w:after="0" w:line="60" w:lineRule="exact"/>
        <w:rPr>
          <w:rFonts w:ascii="Calibri" w:cs="Calibri" w:eastAsia="Calibri" w:hAnsi="Calibri"/>
          <w:sz w:val="18"/>
          <w:szCs w:val="18"/>
          <w:color w:val="auto"/>
        </w:rPr>
      </w:pPr>
    </w:p>
    <w:p>
      <w:pPr>
        <w:ind w:left="580" w:right="20"/>
        <w:spacing w:after="0" w:line="280" w:lineRule="auto"/>
        <w:rPr>
          <w:rFonts w:ascii="Calibri" w:cs="Calibri" w:eastAsia="Calibri" w:hAnsi="Calibri"/>
          <w:sz w:val="18"/>
          <w:szCs w:val="18"/>
          <w:color w:val="auto"/>
        </w:rPr>
      </w:pPr>
      <w:r>
        <w:rPr>
          <w:rFonts w:ascii="Times New Roman" w:cs="Times New Roman" w:eastAsia="Times New Roman" w:hAnsi="Times New Roman"/>
          <w:sz w:val="18"/>
          <w:szCs w:val="18"/>
          <w:color w:val="auto"/>
        </w:rPr>
        <w:t>must register with the MHRA and provide the MHRA with 60 days’ notice of the intended start of manufacture/distribution of the API, and comply with GMP and GDP for active substances; and</w:t>
      </w:r>
    </w:p>
    <w:p>
      <w:pPr>
        <w:ind w:left="560" w:hanging="276"/>
        <w:spacing w:after="0"/>
        <w:tabs>
          <w:tab w:leader="none" w:pos="560" w:val="left"/>
        </w:tabs>
        <w:numPr>
          <w:ilvl w:val="0"/>
          <w:numId w:val="39"/>
        </w:numPr>
        <w:rPr>
          <w:rFonts w:ascii="Calibri" w:cs="Calibri" w:eastAsia="Calibri" w:hAnsi="Calibri"/>
          <w:sz w:val="18"/>
          <w:szCs w:val="18"/>
          <w:color w:val="auto"/>
        </w:rPr>
      </w:pPr>
      <w:r>
        <w:rPr>
          <w:rFonts w:ascii="Times New Roman" w:cs="Times New Roman" w:eastAsia="Times New Roman" w:hAnsi="Times New Roman"/>
          <w:sz w:val="18"/>
          <w:szCs w:val="18"/>
          <w:color w:val="auto"/>
        </w:rPr>
        <w:t>conversely, if the API will itself constitute the IMP, the manufacturer must, except in certain limited circumstances, hold a Manufacturer’s</w:t>
      </w:r>
    </w:p>
    <w:p>
      <w:pPr>
        <w:spacing w:after="0" w:line="56" w:lineRule="exact"/>
        <w:rPr>
          <w:rFonts w:ascii="Calibri" w:cs="Calibri" w:eastAsia="Calibri" w:hAnsi="Calibri"/>
          <w:sz w:val="18"/>
          <w:szCs w:val="18"/>
          <w:color w:val="auto"/>
        </w:rPr>
      </w:pPr>
    </w:p>
    <w:p>
      <w:pPr>
        <w:ind w:left="580" w:right="20"/>
        <w:spacing w:after="0" w:line="311" w:lineRule="auto"/>
        <w:rPr>
          <w:rFonts w:ascii="Calibri" w:cs="Calibri" w:eastAsia="Calibri" w:hAnsi="Calibri"/>
          <w:sz w:val="18"/>
          <w:szCs w:val="18"/>
          <w:color w:val="auto"/>
        </w:rPr>
      </w:pPr>
      <w:r>
        <w:rPr>
          <w:rFonts w:ascii="Times New Roman" w:cs="Times New Roman" w:eastAsia="Times New Roman" w:hAnsi="Times New Roman"/>
          <w:sz w:val="18"/>
          <w:szCs w:val="18"/>
          <w:color w:val="auto"/>
        </w:rPr>
        <w:t>Authorizations for IMPs licence (“</w:t>
      </w:r>
      <w:r>
        <w:rPr>
          <w:rFonts w:ascii="Times New Roman" w:cs="Times New Roman" w:eastAsia="Times New Roman" w:hAnsi="Times New Roman"/>
          <w:sz w:val="18"/>
          <w:szCs w:val="18"/>
          <w:b w:val="1"/>
          <w:bCs w:val="1"/>
          <w:color w:val="auto"/>
        </w:rPr>
        <w:t>MIA(IMP</w:t>
      </w:r>
      <w:r>
        <w:rPr>
          <w:rFonts w:ascii="Times New Roman" w:cs="Times New Roman" w:eastAsia="Times New Roman" w:hAnsi="Times New Roman"/>
          <w:sz w:val="18"/>
          <w:szCs w:val="18"/>
          <w:color w:val="auto"/>
        </w:rPr>
        <w:t>)”). In this scenario, an MIA(IMP) would be required regardless of whether the IMP is for use in the UK, an EEA Member State or a third country (such as the United States or Canada).</w:t>
      </w:r>
    </w:p>
    <w:p>
      <w:pPr>
        <w:spacing w:after="0" w:line="179" w:lineRule="exact"/>
        <w:rPr>
          <w:sz w:val="20"/>
          <w:szCs w:val="20"/>
          <w:color w:val="auto"/>
        </w:rPr>
      </w:pPr>
    </w:p>
    <w:p>
      <w:pPr>
        <w:jc w:val="both"/>
        <w:ind w:right="20"/>
        <w:spacing w:after="0" w:line="319" w:lineRule="auto"/>
        <w:rPr>
          <w:sz w:val="20"/>
          <w:szCs w:val="20"/>
          <w:color w:val="auto"/>
        </w:rPr>
      </w:pPr>
      <w:r>
        <w:rPr>
          <w:rFonts w:ascii="Times New Roman" w:cs="Times New Roman" w:eastAsia="Times New Roman" w:hAnsi="Times New Roman"/>
          <w:sz w:val="17"/>
          <w:szCs w:val="17"/>
          <w:color w:val="auto"/>
        </w:rPr>
        <w:t>Some products fall on the borderline between medicines and another category such as medical devices, cosmetics or food supplements. The regulatory status of the product will be determined by i) the actual effect of the product on the body; and ii) any claims made about the effect of the product. Where a product is potentially both a medicinal product and another category of product, the legal position in the UK and EU is that it will be regulated as a medicinal product.</w:t>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Research and Development</w:t>
      </w:r>
    </w:p>
    <w:p>
      <w:pPr>
        <w:spacing w:after="0" w:line="230" w:lineRule="exact"/>
        <w:rPr>
          <w:sz w:val="20"/>
          <w:szCs w:val="20"/>
          <w:color w:val="auto"/>
        </w:rPr>
      </w:pPr>
    </w:p>
    <w:p>
      <w:pPr>
        <w:jc w:val="both"/>
        <w:ind w:right="20"/>
        <w:spacing w:after="0" w:line="291" w:lineRule="auto"/>
        <w:rPr>
          <w:sz w:val="20"/>
          <w:szCs w:val="20"/>
          <w:color w:val="auto"/>
        </w:rPr>
      </w:pPr>
      <w:r>
        <w:rPr>
          <w:rFonts w:ascii="Times New Roman" w:cs="Times New Roman" w:eastAsia="Times New Roman" w:hAnsi="Times New Roman"/>
          <w:sz w:val="18"/>
          <w:szCs w:val="18"/>
          <w:color w:val="auto"/>
        </w:rPr>
        <w:t>The Company is focused on development of psychedelic medicines and other products, through research and development of novel chemical compounds and delivery mechanisms and study of such compounds in clinical environments around the world. The Company anticipates growing its pipeline of psychedelic pharmaceutical products inspired medicines through its internal research, development, proprietary discovery programs, mergers and acquisitions, joint ventures and collaborative development agreements. For the time being, the Company maintains intellectual property generated by its R&amp;D programs through patent filings and as trade secrets. The Company anticipates that as these programs mature more patent applications will be filed and more details about these programs will be disclosed at such time.</w:t>
      </w:r>
    </w:p>
    <w:p>
      <w:pPr>
        <w:spacing w:after="0" w:line="162" w:lineRule="exact"/>
        <w:rPr>
          <w:sz w:val="20"/>
          <w:szCs w:val="20"/>
          <w:color w:val="auto"/>
        </w:rPr>
      </w:pPr>
    </w:p>
    <w:p>
      <w:pPr>
        <w:jc w:val="both"/>
        <w:spacing w:after="0" w:line="294" w:lineRule="auto"/>
        <w:rPr>
          <w:sz w:val="20"/>
          <w:szCs w:val="20"/>
          <w:color w:val="auto"/>
        </w:rPr>
      </w:pPr>
      <w:r>
        <w:rPr>
          <w:rFonts w:ascii="Times New Roman" w:cs="Times New Roman" w:eastAsia="Times New Roman" w:hAnsi="Times New Roman"/>
          <w:sz w:val="18"/>
          <w:szCs w:val="18"/>
          <w:color w:val="auto"/>
        </w:rPr>
        <w:t xml:space="preserve">Psychedelics are a class of drug whose primary action is to trigger psychedelic experiences by way of serotonin receptor agonism, causing thought, visual and auditory changes, and altered state of consciousness. Major psychedelic drugs include mescaline, LSD, psilocin, and DMT. Psilocybin is a naturally occurring psychedelic prodrug compound produced by more than 200 species of mushrooms, collectively known as psilocybin mushrooms. The most potent are members of the genus </w:t>
      </w:r>
      <w:r>
        <w:rPr>
          <w:rFonts w:ascii="Times New Roman" w:cs="Times New Roman" w:eastAsia="Times New Roman" w:hAnsi="Times New Roman"/>
          <w:sz w:val="18"/>
          <w:szCs w:val="18"/>
          <w:i w:val="1"/>
          <w:iCs w:val="1"/>
          <w:color w:val="auto"/>
        </w:rPr>
        <w:t>Psilocybe</w:t>
      </w:r>
      <w:r>
        <w:rPr>
          <w:rFonts w:ascii="Times New Roman" w:cs="Times New Roman" w:eastAsia="Times New Roman" w:hAnsi="Times New Roman"/>
          <w:sz w:val="18"/>
          <w:szCs w:val="18"/>
          <w:color w:val="auto"/>
        </w:rPr>
        <w:t xml:space="preserve">, such as </w:t>
      </w:r>
      <w:r>
        <w:rPr>
          <w:rFonts w:ascii="Times New Roman" w:cs="Times New Roman" w:eastAsia="Times New Roman" w:hAnsi="Times New Roman"/>
          <w:sz w:val="18"/>
          <w:szCs w:val="18"/>
          <w:i w:val="1"/>
          <w:iCs w:val="1"/>
          <w:color w:val="auto"/>
        </w:rPr>
        <w:t>P. azurescens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P. semilanceata</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i w:val="1"/>
          <w:iCs w:val="1"/>
          <w:color w:val="auto"/>
        </w:rPr>
        <w:t>P. cyanescens</w:t>
      </w:r>
      <w:r>
        <w:rPr>
          <w:rFonts w:ascii="Times New Roman" w:cs="Times New Roman" w:eastAsia="Times New Roman" w:hAnsi="Times New Roman"/>
          <w:sz w:val="18"/>
          <w:szCs w:val="18"/>
          <w:color w:val="auto"/>
        </w:rPr>
        <w:t>, but psilocybin has also been isolated from about a dozen other genera. As a prodrug, psilocybin is quickly converted by the body to psilocin, which has mind-altering effects.</w:t>
      </w:r>
    </w:p>
    <w:p>
      <w:pPr>
        <w:spacing w:after="0" w:line="159" w:lineRule="exact"/>
        <w:rPr>
          <w:sz w:val="20"/>
          <w:szCs w:val="20"/>
          <w:color w:val="auto"/>
        </w:rPr>
      </w:pPr>
    </w:p>
    <w:p>
      <w:pPr>
        <w:jc w:val="both"/>
        <w:ind w:right="20"/>
        <w:spacing w:after="0" w:line="323" w:lineRule="auto"/>
        <w:rPr>
          <w:sz w:val="20"/>
          <w:szCs w:val="20"/>
          <w:color w:val="auto"/>
        </w:rPr>
      </w:pPr>
      <w:r>
        <w:rPr>
          <w:rFonts w:ascii="Times New Roman" w:cs="Times New Roman" w:eastAsia="Times New Roman" w:hAnsi="Times New Roman"/>
          <w:sz w:val="18"/>
          <w:szCs w:val="18"/>
          <w:color w:val="auto"/>
        </w:rPr>
        <w:t>The pharmacokinetics, pharmacology and human metabolism of psilocyin are well known and well characterized. In conjunction with psychotherapy, psilocin has been utilized broadly in phase II clinical trials.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42</w:t>
      </w:r>
    </w:p>
    <w:p>
      <w:pPr>
        <w:sectPr>
          <w:pgSz w:w="11900" w:h="16838" w:orient="portrait"/>
          <w:cols w:equalWidth="0" w:num="1">
            <w:col w:w="11260"/>
          </w:cols>
          <w:pgMar w:left="320" w:top="1303" w:right="319" w:bottom="1440" w:gutter="0" w:footer="0" w:header="0"/>
        </w:sectPr>
      </w:pPr>
    </w:p>
    <w:bookmarkStart w:id="68" w:name="page69"/>
    <w:bookmarkEnd w:id="68"/>
    <w:p>
      <w:pPr>
        <w:jc w:val="both"/>
        <w:ind w:right="20"/>
        <w:spacing w:after="0" w:line="323" w:lineRule="auto"/>
        <w:rPr>
          <w:sz w:val="20"/>
          <w:szCs w:val="20"/>
          <w:color w:val="auto"/>
        </w:rPr>
      </w:pPr>
      <w:r>
        <w:rPr>
          <w:rFonts w:ascii="Times New Roman" w:cs="Times New Roman" w:eastAsia="Times New Roman" w:hAnsi="Times New Roman"/>
          <w:sz w:val="18"/>
          <w:szCs w:val="18"/>
          <w:color w:val="auto"/>
        </w:rPr>
        <w:t>Psilocybin found in certain species of mushrooms is a non-habit forming naturally occurring psychedelic compound. Once ingested, psilocybin is rapidly metabolized to psilocin, which then acts on serotonin receptors in the brain.</w:t>
      </w:r>
    </w:p>
    <w:p>
      <w:pPr>
        <w:spacing w:after="0" w:line="120" w:lineRule="exact"/>
        <w:rPr>
          <w:sz w:val="20"/>
          <w:szCs w:val="20"/>
          <w:color w:val="auto"/>
        </w:rPr>
      </w:pPr>
    </w:p>
    <w:p>
      <w:pPr>
        <w:jc w:val="both"/>
        <w:ind w:right="20"/>
        <w:spacing w:after="0" w:line="281" w:lineRule="auto"/>
        <w:rPr>
          <w:sz w:val="20"/>
          <w:szCs w:val="20"/>
          <w:color w:val="auto"/>
        </w:rPr>
      </w:pPr>
      <w:r>
        <w:rPr>
          <w:rFonts w:ascii="Times New Roman" w:cs="Times New Roman" w:eastAsia="Times New Roman" w:hAnsi="Times New Roman"/>
          <w:sz w:val="18"/>
          <w:szCs w:val="18"/>
          <w:color w:val="auto"/>
        </w:rPr>
        <w:t>Cybin has commenced research and development on the delivery of synthetic psilocyin and other psychedelics through mechanisms such as sublingual film delivery, IV, and by way of inhalation.</w:t>
      </w:r>
    </w:p>
    <w:p>
      <w:pPr>
        <w:spacing w:after="0" w:line="180" w:lineRule="exact"/>
        <w:rPr>
          <w:sz w:val="20"/>
          <w:szCs w:val="20"/>
          <w:color w:val="auto"/>
        </w:rPr>
      </w:pPr>
    </w:p>
    <w:p>
      <w:pPr>
        <w:jc w:val="both"/>
        <w:ind w:right="20"/>
        <w:spacing w:after="0" w:line="323" w:lineRule="auto"/>
        <w:rPr>
          <w:sz w:val="20"/>
          <w:szCs w:val="20"/>
          <w:color w:val="auto"/>
        </w:rPr>
      </w:pPr>
      <w:r>
        <w:rPr>
          <w:rFonts w:ascii="Times New Roman" w:cs="Times New Roman" w:eastAsia="Times New Roman" w:hAnsi="Times New Roman"/>
          <w:sz w:val="18"/>
          <w:szCs w:val="18"/>
          <w:color w:val="auto"/>
        </w:rPr>
        <w:t>Research and development is led by the Company’s North American Chief Scientific Officer, Alex Nivorozhkin Ph.D., a seasoned medicinal chemist, drug delivery expert and founder of multiple biotech companies.</w:t>
      </w:r>
    </w:p>
    <w:p>
      <w:pPr>
        <w:spacing w:after="0" w:line="132" w:lineRule="exact"/>
        <w:rPr>
          <w:sz w:val="20"/>
          <w:szCs w:val="20"/>
          <w:color w:val="auto"/>
        </w:rPr>
      </w:pPr>
    </w:p>
    <w:p>
      <w:pPr>
        <w:jc w:val="both"/>
        <w:ind w:right="20"/>
        <w:spacing w:after="0" w:line="294" w:lineRule="auto"/>
        <w:rPr>
          <w:sz w:val="20"/>
          <w:szCs w:val="20"/>
          <w:color w:val="auto"/>
        </w:rPr>
      </w:pPr>
      <w:r>
        <w:rPr>
          <w:rFonts w:ascii="Times New Roman" w:cs="Times New Roman" w:eastAsia="Times New Roman" w:hAnsi="Times New Roman"/>
          <w:sz w:val="18"/>
          <w:szCs w:val="18"/>
          <w:color w:val="auto"/>
        </w:rPr>
        <w:t>The Company’s research and development must be conducted in strict compliance with the regulations of federal, state, local and regulatory agencies in Canada, the United States, and the UK, and the equivalent regulatory agencies in the other jurisdictions in which the Company operates. These regulatory authorities regulate, among other things, the research, manufacture, promotion and distribution of drugs in specific jurisdictions under applicable laws and regulations.</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Canada</w:t>
      </w:r>
    </w:p>
    <w:p>
      <w:pPr>
        <w:spacing w:after="0" w:line="23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process required before a prescription drug product candidate may be marketed in Canada generally involves:</w:t>
      </w:r>
    </w:p>
    <w:p>
      <w:pPr>
        <w:spacing w:after="0" w:line="226" w:lineRule="exact"/>
        <w:rPr>
          <w:sz w:val="20"/>
          <w:szCs w:val="20"/>
          <w:color w:val="auto"/>
        </w:rPr>
      </w:pPr>
    </w:p>
    <w:p>
      <w:pPr>
        <w:ind w:left="580" w:right="20" w:hanging="296"/>
        <w:spacing w:after="0" w:line="338" w:lineRule="auto"/>
        <w:tabs>
          <w:tab w:leader="none" w:pos="576" w:val="left"/>
        </w:tabs>
        <w:numPr>
          <w:ilvl w:val="0"/>
          <w:numId w:val="40"/>
        </w:numPr>
        <w:rPr>
          <w:rFonts w:ascii="Calibri" w:cs="Calibri" w:eastAsia="Calibri" w:hAnsi="Calibri"/>
          <w:sz w:val="18"/>
          <w:szCs w:val="18"/>
          <w:color w:val="auto"/>
        </w:rPr>
      </w:pPr>
      <w:r>
        <w:rPr>
          <w:rFonts w:ascii="Times New Roman" w:cs="Times New Roman" w:eastAsia="Times New Roman" w:hAnsi="Times New Roman"/>
          <w:sz w:val="18"/>
          <w:szCs w:val="18"/>
          <w:i w:val="1"/>
          <w:iCs w:val="1"/>
          <w:color w:val="auto"/>
        </w:rPr>
        <w:t xml:space="preserve">Chemical and Biological Research – </w:t>
      </w:r>
      <w:r>
        <w:rPr>
          <w:rFonts w:ascii="Times New Roman" w:cs="Times New Roman" w:eastAsia="Times New Roman" w:hAnsi="Times New Roman"/>
          <w:sz w:val="18"/>
          <w:szCs w:val="18"/>
          <w:color w:val="auto"/>
        </w:rPr>
        <w:t>Laboratory tests are carried out on tissue cultures and with a variety of small animals to determine the effects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drug. If the results are promising, the manufacturer will proceed to the next step of development.</w:t>
      </w:r>
    </w:p>
    <w:p>
      <w:pPr>
        <w:spacing w:after="0" w:line="136" w:lineRule="exact"/>
        <w:rPr>
          <w:rFonts w:ascii="Calibri" w:cs="Calibri" w:eastAsia="Calibri" w:hAnsi="Calibri"/>
          <w:sz w:val="18"/>
          <w:szCs w:val="18"/>
          <w:color w:val="auto"/>
        </w:rPr>
      </w:pPr>
    </w:p>
    <w:p>
      <w:pPr>
        <w:ind w:left="580" w:hanging="296"/>
        <w:spacing w:after="0" w:line="324" w:lineRule="auto"/>
        <w:tabs>
          <w:tab w:leader="none" w:pos="576" w:val="left"/>
        </w:tabs>
        <w:numPr>
          <w:ilvl w:val="0"/>
          <w:numId w:val="40"/>
        </w:numPr>
        <w:rPr>
          <w:rFonts w:ascii="Calibri" w:cs="Calibri" w:eastAsia="Calibri" w:hAnsi="Calibri"/>
          <w:sz w:val="18"/>
          <w:szCs w:val="18"/>
          <w:color w:val="auto"/>
        </w:rPr>
      </w:pPr>
      <w:r>
        <w:rPr>
          <w:rFonts w:ascii="Times New Roman" w:cs="Times New Roman" w:eastAsia="Times New Roman" w:hAnsi="Times New Roman"/>
          <w:sz w:val="18"/>
          <w:szCs w:val="18"/>
          <w:i w:val="1"/>
          <w:iCs w:val="1"/>
          <w:color w:val="auto"/>
        </w:rPr>
        <w:t xml:space="preserve">Preclinical Development – </w:t>
      </w:r>
      <w:r>
        <w:rPr>
          <w:rFonts w:ascii="Times New Roman" w:cs="Times New Roman" w:eastAsia="Times New Roman" w:hAnsi="Times New Roman"/>
          <w:sz w:val="18"/>
          <w:szCs w:val="18"/>
          <w:color w:val="auto"/>
        </w:rPr>
        <w:t>Animals are given the drug in varying amounts over differing periods of time. If it can be shown that the drug causes no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serious or unexpected harm at the doses required to have an effect, the manufacturer will proceed to clinical trials.</w:t>
      </w:r>
    </w:p>
    <w:p>
      <w:pPr>
        <w:spacing w:after="0" w:line="161" w:lineRule="exact"/>
        <w:rPr>
          <w:rFonts w:ascii="Calibri" w:cs="Calibri" w:eastAsia="Calibri" w:hAnsi="Calibri"/>
          <w:sz w:val="18"/>
          <w:szCs w:val="18"/>
          <w:color w:val="auto"/>
        </w:rPr>
      </w:pPr>
    </w:p>
    <w:p>
      <w:pPr>
        <w:jc w:val="both"/>
        <w:ind w:left="580" w:hanging="296"/>
        <w:spacing w:after="0" w:line="293" w:lineRule="auto"/>
        <w:tabs>
          <w:tab w:leader="none" w:pos="576" w:val="left"/>
        </w:tabs>
        <w:numPr>
          <w:ilvl w:val="0"/>
          <w:numId w:val="40"/>
        </w:numPr>
        <w:rPr>
          <w:rFonts w:ascii="Calibri" w:cs="Calibri" w:eastAsia="Calibri" w:hAnsi="Calibri"/>
          <w:sz w:val="18"/>
          <w:szCs w:val="18"/>
          <w:color w:val="auto"/>
        </w:rPr>
      </w:pPr>
      <w:r>
        <w:rPr>
          <w:rFonts w:ascii="Times New Roman" w:cs="Times New Roman" w:eastAsia="Times New Roman" w:hAnsi="Times New Roman"/>
          <w:sz w:val="18"/>
          <w:szCs w:val="18"/>
          <w:i w:val="1"/>
          <w:iCs w:val="1"/>
          <w:color w:val="auto"/>
        </w:rPr>
        <w:t xml:space="preserve">Clinical Trials – Phase 1 - </w:t>
      </w:r>
      <w:r>
        <w:rPr>
          <w:rFonts w:ascii="Times New Roman" w:cs="Times New Roman" w:eastAsia="Times New Roman" w:hAnsi="Times New Roman"/>
          <w:sz w:val="18"/>
          <w:szCs w:val="18"/>
          <w:color w:val="auto"/>
        </w:rPr>
        <w:t>The first administration in humans is to test if people can tolerate the drug. If this testing is to take place in Canada,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manufacturer must prepare a clinical trial application for the Therapeutic Products Directorate of Health Canada (the “</w:t>
      </w:r>
      <w:r>
        <w:rPr>
          <w:rFonts w:ascii="Times New Roman" w:cs="Times New Roman" w:eastAsia="Times New Roman" w:hAnsi="Times New Roman"/>
          <w:sz w:val="18"/>
          <w:szCs w:val="18"/>
          <w:b w:val="1"/>
          <w:bCs w:val="1"/>
          <w:color w:val="auto"/>
        </w:rPr>
        <w:t>TPD</w:t>
      </w:r>
      <w:r>
        <w:rPr>
          <w:rFonts w:ascii="Times New Roman" w:cs="Times New Roman" w:eastAsia="Times New Roman" w:hAnsi="Times New Roman"/>
          <w:sz w:val="18"/>
          <w:szCs w:val="18"/>
          <w:color w:val="auto"/>
        </w:rPr>
        <w:t>”). This includes the</w:t>
      </w:r>
    </w:p>
    <w:p>
      <w:pPr>
        <w:ind w:left="580"/>
        <w:spacing w:after="0" w:line="309" w:lineRule="auto"/>
        <w:rPr>
          <w:rFonts w:ascii="Calibri" w:cs="Calibri" w:eastAsia="Calibri" w:hAnsi="Calibri"/>
          <w:sz w:val="18"/>
          <w:szCs w:val="18"/>
          <w:color w:val="auto"/>
        </w:rPr>
      </w:pPr>
      <w:r>
        <w:rPr>
          <w:rFonts w:ascii="Times New Roman" w:cs="Times New Roman" w:eastAsia="Times New Roman" w:hAnsi="Times New Roman"/>
          <w:sz w:val="18"/>
          <w:szCs w:val="18"/>
          <w:color w:val="auto"/>
        </w:rPr>
        <w:t>results of the first two steps and a proposal for testing in humans. If the information is sufficient, the Health Products and Food Branch of Health Canada (the “</w:t>
      </w:r>
      <w:r>
        <w:rPr>
          <w:rFonts w:ascii="Times New Roman" w:cs="Times New Roman" w:eastAsia="Times New Roman" w:hAnsi="Times New Roman"/>
          <w:sz w:val="18"/>
          <w:szCs w:val="18"/>
          <w:b w:val="1"/>
          <w:bCs w:val="1"/>
          <w:color w:val="auto"/>
        </w:rPr>
        <w:t>HPFB</w:t>
      </w:r>
      <w:r>
        <w:rPr>
          <w:rFonts w:ascii="Times New Roman" w:cs="Times New Roman" w:eastAsia="Times New Roman" w:hAnsi="Times New Roman"/>
          <w:sz w:val="18"/>
          <w:szCs w:val="18"/>
          <w:color w:val="auto"/>
        </w:rPr>
        <w:t>”) grants permission to start testing the drug, generally first on healthy volunteers.</w:t>
      </w:r>
    </w:p>
    <w:p>
      <w:pPr>
        <w:spacing w:after="0" w:line="166" w:lineRule="exact"/>
        <w:rPr>
          <w:rFonts w:ascii="Calibri" w:cs="Calibri" w:eastAsia="Calibri" w:hAnsi="Calibri"/>
          <w:sz w:val="18"/>
          <w:szCs w:val="18"/>
          <w:color w:val="auto"/>
        </w:rPr>
      </w:pPr>
    </w:p>
    <w:p>
      <w:pPr>
        <w:ind w:left="560" w:hanging="276"/>
        <w:spacing w:after="0"/>
        <w:tabs>
          <w:tab w:leader="none" w:pos="560" w:val="left"/>
        </w:tabs>
        <w:numPr>
          <w:ilvl w:val="0"/>
          <w:numId w:val="40"/>
        </w:numPr>
        <w:rPr>
          <w:rFonts w:ascii="Calibri" w:cs="Calibri" w:eastAsia="Calibri" w:hAnsi="Calibri"/>
          <w:sz w:val="17"/>
          <w:szCs w:val="17"/>
          <w:color w:val="auto"/>
        </w:rPr>
      </w:pPr>
      <w:r>
        <w:rPr>
          <w:rFonts w:ascii="Times New Roman" w:cs="Times New Roman" w:eastAsia="Times New Roman" w:hAnsi="Times New Roman"/>
          <w:sz w:val="17"/>
          <w:szCs w:val="17"/>
          <w:i w:val="1"/>
          <w:iCs w:val="1"/>
          <w:color w:val="auto"/>
        </w:rPr>
        <w:t xml:space="preserve">Clinical Trials – Phase 2 - Phase 2 </w:t>
      </w:r>
      <w:r>
        <w:rPr>
          <w:rFonts w:ascii="Times New Roman" w:cs="Times New Roman" w:eastAsia="Times New Roman" w:hAnsi="Times New Roman"/>
          <w:sz w:val="17"/>
          <w:szCs w:val="17"/>
          <w:color w:val="auto"/>
        </w:rPr>
        <w:t>trials are carried out on people with the target condition, who are usually otherwise healthy, with no other medical</w:t>
      </w:r>
    </w:p>
    <w:p>
      <w:pPr>
        <w:spacing w:after="0" w:line="72" w:lineRule="exact"/>
        <w:rPr>
          <w:rFonts w:ascii="Calibri" w:cs="Calibri" w:eastAsia="Calibri" w:hAnsi="Calibri"/>
          <w:sz w:val="17"/>
          <w:szCs w:val="17"/>
          <w:color w:val="auto"/>
        </w:rPr>
      </w:pPr>
    </w:p>
    <w:p>
      <w:pPr>
        <w:ind w:left="580" w:right="20"/>
        <w:spacing w:after="0" w:line="309" w:lineRule="auto"/>
        <w:rPr>
          <w:rFonts w:ascii="Calibri" w:cs="Calibri" w:eastAsia="Calibri" w:hAnsi="Calibri"/>
          <w:sz w:val="17"/>
          <w:szCs w:val="17"/>
          <w:color w:val="auto"/>
        </w:rPr>
      </w:pPr>
      <w:r>
        <w:rPr>
          <w:rFonts w:ascii="Times New Roman" w:cs="Times New Roman" w:eastAsia="Times New Roman" w:hAnsi="Times New Roman"/>
          <w:sz w:val="18"/>
          <w:szCs w:val="18"/>
          <w:color w:val="auto"/>
        </w:rPr>
        <w:t>condition. Trials carried out in Canada must be approved by the TPD. In phase II, the objective of the trials is to continue to gather information on the safety of the drug and begin to determine its effectiveness.</w:t>
      </w:r>
    </w:p>
    <w:p>
      <w:pPr>
        <w:spacing w:after="0" w:line="166" w:lineRule="exact"/>
        <w:rPr>
          <w:rFonts w:ascii="Calibri" w:cs="Calibri" w:eastAsia="Calibri" w:hAnsi="Calibri"/>
          <w:sz w:val="17"/>
          <w:szCs w:val="17"/>
          <w:color w:val="auto"/>
        </w:rPr>
      </w:pPr>
    </w:p>
    <w:p>
      <w:pPr>
        <w:ind w:left="560" w:hanging="276"/>
        <w:spacing w:after="0"/>
        <w:tabs>
          <w:tab w:leader="none" w:pos="560" w:val="left"/>
        </w:tabs>
        <w:numPr>
          <w:ilvl w:val="0"/>
          <w:numId w:val="40"/>
        </w:numPr>
        <w:rPr>
          <w:rFonts w:ascii="Calibri" w:cs="Calibri" w:eastAsia="Calibri" w:hAnsi="Calibri"/>
          <w:sz w:val="18"/>
          <w:szCs w:val="18"/>
          <w:color w:val="auto"/>
        </w:rPr>
      </w:pPr>
      <w:r>
        <w:rPr>
          <w:rFonts w:ascii="Times New Roman" w:cs="Times New Roman" w:eastAsia="Times New Roman" w:hAnsi="Times New Roman"/>
          <w:sz w:val="18"/>
          <w:szCs w:val="18"/>
          <w:i w:val="1"/>
          <w:iCs w:val="1"/>
          <w:color w:val="auto"/>
        </w:rPr>
        <w:t xml:space="preserve">Clinical Trials – Phase 3 - </w:t>
      </w:r>
      <w:r>
        <w:rPr>
          <w:rFonts w:ascii="Times New Roman" w:cs="Times New Roman" w:eastAsia="Times New Roman" w:hAnsi="Times New Roman"/>
          <w:sz w:val="18"/>
          <w:szCs w:val="18"/>
          <w:color w:val="auto"/>
        </w:rPr>
        <w:t>If the results from phase II show promise, the manufacturer provides an updated clinical trial application to the TPD for</w:t>
      </w:r>
    </w:p>
    <w:p>
      <w:pPr>
        <w:spacing w:after="0" w:line="60" w:lineRule="exact"/>
        <w:rPr>
          <w:rFonts w:ascii="Calibri" w:cs="Calibri" w:eastAsia="Calibri" w:hAnsi="Calibri"/>
          <w:sz w:val="18"/>
          <w:szCs w:val="18"/>
          <w:color w:val="auto"/>
        </w:rPr>
      </w:pPr>
    </w:p>
    <w:p>
      <w:pPr>
        <w:ind w:left="580" w:right="20"/>
        <w:spacing w:after="0" w:line="309" w:lineRule="auto"/>
        <w:rPr>
          <w:rFonts w:ascii="Calibri" w:cs="Calibri" w:eastAsia="Calibri" w:hAnsi="Calibri"/>
          <w:sz w:val="18"/>
          <w:szCs w:val="18"/>
          <w:color w:val="auto"/>
        </w:rPr>
      </w:pPr>
      <w:r>
        <w:rPr>
          <w:rFonts w:ascii="Times New Roman" w:cs="Times New Roman" w:eastAsia="Times New Roman" w:hAnsi="Times New Roman"/>
          <w:sz w:val="18"/>
          <w:szCs w:val="18"/>
          <w:color w:val="auto"/>
        </w:rPr>
        <w:t>phase III trials. The objectives of phase III include determining whether the drug can be shown to be effective, and have an acceptable side effect profile, in people who better represent the general population. Further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43</w:t>
      </w:r>
    </w:p>
    <w:p>
      <w:pPr>
        <w:sectPr>
          <w:pgSz w:w="11900" w:h="16838" w:orient="portrait"/>
          <w:cols w:equalWidth="0" w:num="1">
            <w:col w:w="11260"/>
          </w:cols>
          <w:pgMar w:left="320" w:top="1304" w:right="319" w:bottom="1440" w:gutter="0" w:footer="0" w:header="0"/>
        </w:sectPr>
      </w:pPr>
    </w:p>
    <w:bookmarkStart w:id="69" w:name="page70"/>
    <w:bookmarkEnd w:id="69"/>
    <w:p>
      <w:pPr>
        <w:ind w:left="580"/>
        <w:spacing w:after="0"/>
        <w:rPr>
          <w:sz w:val="20"/>
          <w:szCs w:val="20"/>
          <w:color w:val="auto"/>
        </w:rPr>
      </w:pPr>
      <w:r>
        <w:rPr>
          <w:rFonts w:ascii="Times New Roman" w:cs="Times New Roman" w:eastAsia="Times New Roman" w:hAnsi="Times New Roman"/>
          <w:sz w:val="18"/>
          <w:szCs w:val="18"/>
          <w:color w:val="auto"/>
        </w:rPr>
        <w:t>information will also be obtained on how the drug should be used, the optimal dosage regimen and the possible side effects.</w:t>
      </w:r>
    </w:p>
    <w:p>
      <w:pPr>
        <w:spacing w:after="0" w:line="262" w:lineRule="exact"/>
        <w:rPr>
          <w:sz w:val="20"/>
          <w:szCs w:val="20"/>
          <w:color w:val="auto"/>
        </w:rPr>
      </w:pPr>
    </w:p>
    <w:p>
      <w:pPr>
        <w:ind w:left="560" w:hanging="276"/>
        <w:spacing w:after="0"/>
        <w:tabs>
          <w:tab w:leader="none" w:pos="560" w:val="left"/>
        </w:tabs>
        <w:numPr>
          <w:ilvl w:val="0"/>
          <w:numId w:val="41"/>
        </w:numPr>
        <w:rPr>
          <w:rFonts w:ascii="Calibri" w:cs="Calibri" w:eastAsia="Calibri" w:hAnsi="Calibri"/>
          <w:sz w:val="17"/>
          <w:szCs w:val="17"/>
          <w:color w:val="auto"/>
        </w:rPr>
      </w:pPr>
      <w:r>
        <w:rPr>
          <w:rFonts w:ascii="Times New Roman" w:cs="Times New Roman" w:eastAsia="Times New Roman" w:hAnsi="Times New Roman"/>
          <w:sz w:val="17"/>
          <w:szCs w:val="17"/>
          <w:i w:val="1"/>
          <w:iCs w:val="1"/>
          <w:color w:val="auto"/>
        </w:rPr>
        <w:t xml:space="preserve">New Drug Submission – </w:t>
      </w:r>
      <w:r>
        <w:rPr>
          <w:rFonts w:ascii="Times New Roman" w:cs="Times New Roman" w:eastAsia="Times New Roman" w:hAnsi="Times New Roman"/>
          <w:sz w:val="17"/>
          <w:szCs w:val="17"/>
          <w:color w:val="auto"/>
        </w:rPr>
        <w:t>If the results from phase III continue to be favourable, the drug manufacturer can submit a new drug submission (“</w:t>
      </w:r>
      <w:r>
        <w:rPr>
          <w:rFonts w:ascii="Times New Roman" w:cs="Times New Roman" w:eastAsia="Times New Roman" w:hAnsi="Times New Roman"/>
          <w:sz w:val="17"/>
          <w:szCs w:val="17"/>
          <w:b w:val="1"/>
          <w:bCs w:val="1"/>
          <w:color w:val="auto"/>
        </w:rPr>
        <w:t>NDS</w:t>
      </w:r>
      <w:r>
        <w:rPr>
          <w:rFonts w:ascii="Times New Roman" w:cs="Times New Roman" w:eastAsia="Times New Roman" w:hAnsi="Times New Roman"/>
          <w:sz w:val="17"/>
          <w:szCs w:val="17"/>
          <w:color w:val="auto"/>
        </w:rPr>
        <w:t>”) to</w:t>
      </w:r>
    </w:p>
    <w:p>
      <w:pPr>
        <w:spacing w:after="0" w:line="60" w:lineRule="exact"/>
        <w:rPr>
          <w:rFonts w:ascii="Calibri" w:cs="Calibri" w:eastAsia="Calibri" w:hAnsi="Calibri"/>
          <w:sz w:val="17"/>
          <w:szCs w:val="17"/>
          <w:color w:val="auto"/>
        </w:rPr>
      </w:pPr>
    </w:p>
    <w:p>
      <w:pPr>
        <w:jc w:val="both"/>
        <w:ind w:left="580"/>
        <w:spacing w:after="0" w:line="287" w:lineRule="auto"/>
        <w:rPr>
          <w:rFonts w:ascii="Calibri" w:cs="Calibri" w:eastAsia="Calibri" w:hAnsi="Calibri"/>
          <w:sz w:val="17"/>
          <w:szCs w:val="17"/>
          <w:color w:val="auto"/>
        </w:rPr>
      </w:pPr>
      <w:r>
        <w:rPr>
          <w:rFonts w:ascii="Times New Roman" w:cs="Times New Roman" w:eastAsia="Times New Roman" w:hAnsi="Times New Roman"/>
          <w:sz w:val="18"/>
          <w:szCs w:val="18"/>
          <w:color w:val="auto"/>
        </w:rPr>
        <w:t>the TPD. A drug manufacturer can submit an NDS regardless of whether the clinical trials were carried out in Canada. The TPD reviews all the information gathered during the development of the drug and assesses the risks and benefits of the drug. If it is judged that, for a specific patient</w:t>
      </w:r>
    </w:p>
    <w:p>
      <w:pPr>
        <w:ind w:left="580" w:right="20"/>
        <w:spacing w:after="0" w:line="309" w:lineRule="auto"/>
        <w:rPr>
          <w:rFonts w:ascii="Calibri" w:cs="Calibri" w:eastAsia="Calibri" w:hAnsi="Calibri"/>
          <w:sz w:val="17"/>
          <w:szCs w:val="17"/>
          <w:color w:val="auto"/>
        </w:rPr>
      </w:pPr>
      <w:r>
        <w:rPr>
          <w:rFonts w:ascii="Times New Roman" w:cs="Times New Roman" w:eastAsia="Times New Roman" w:hAnsi="Times New Roman"/>
          <w:sz w:val="18"/>
          <w:szCs w:val="18"/>
          <w:color w:val="auto"/>
        </w:rPr>
        <w:t>population and specific conditions of use, the benefits of the drug outweigh the known risks, the HPFB will approve the drug by issuing a notice of compliance.</w:t>
      </w:r>
    </w:p>
    <w:p>
      <w:pPr>
        <w:spacing w:after="0" w:line="1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United States</w:t>
      </w:r>
    </w:p>
    <w:p>
      <w:pPr>
        <w:spacing w:after="0" w:line="172" w:lineRule="exact"/>
        <w:rPr>
          <w:sz w:val="20"/>
          <w:szCs w:val="20"/>
          <w:color w:val="auto"/>
        </w:rPr>
      </w:pPr>
    </w:p>
    <w:p>
      <w:pPr>
        <w:jc w:val="both"/>
        <w:spacing w:after="0" w:line="280" w:lineRule="auto"/>
        <w:rPr>
          <w:sz w:val="20"/>
          <w:szCs w:val="20"/>
          <w:color w:val="auto"/>
        </w:rPr>
      </w:pPr>
      <w:r>
        <w:rPr>
          <w:rFonts w:ascii="Times New Roman" w:cs="Times New Roman" w:eastAsia="Times New Roman" w:hAnsi="Times New Roman"/>
          <w:sz w:val="18"/>
          <w:szCs w:val="18"/>
          <w:color w:val="auto"/>
        </w:rPr>
        <w:t>Because psilocybin, psilocin, DMT, and 5-Methoxy-DMT are listed as Schedule I substances under the CSA, for any product containing psilocin or any Schedule I substance to be available for commercial marketing in the United States, such substance must be rescheduled, or the product itself must be scheduled, by the DEA to Schedule II, III, IV or V.</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process required before a prescription drug product candidate may be marketed in the United States generally involves:</w:t>
      </w:r>
    </w:p>
    <w:p>
      <w:pPr>
        <w:spacing w:after="0" w:line="252" w:lineRule="exact"/>
        <w:rPr>
          <w:sz w:val="20"/>
          <w:szCs w:val="20"/>
          <w:color w:val="auto"/>
        </w:rPr>
      </w:pPr>
    </w:p>
    <w:p>
      <w:pPr>
        <w:ind w:left="580" w:hanging="296"/>
        <w:spacing w:after="0" w:line="292" w:lineRule="auto"/>
        <w:tabs>
          <w:tab w:leader="none" w:pos="576" w:val="left"/>
        </w:tabs>
        <w:numPr>
          <w:ilvl w:val="0"/>
          <w:numId w:val="42"/>
        </w:numPr>
        <w:rPr>
          <w:rFonts w:ascii="Calibri" w:cs="Calibri" w:eastAsia="Calibri" w:hAnsi="Calibri"/>
          <w:sz w:val="18"/>
          <w:szCs w:val="18"/>
          <w:color w:val="auto"/>
        </w:rPr>
      </w:pPr>
      <w:r>
        <w:rPr>
          <w:rFonts w:ascii="Times New Roman" w:cs="Times New Roman" w:eastAsia="Times New Roman" w:hAnsi="Times New Roman"/>
          <w:sz w:val="18"/>
          <w:szCs w:val="18"/>
          <w:color w:val="auto"/>
        </w:rPr>
        <w:t>completion of extensive non-clinical laboratory tests, animal studies and formulation studies, all performed in accordance with the FDA’s Good Laboratory, Good Clinical and/or Good Manufacturing Practice regulations;</w:t>
      </w:r>
    </w:p>
    <w:p>
      <w:pPr>
        <w:ind w:left="560" w:hanging="276"/>
        <w:spacing w:after="0"/>
        <w:tabs>
          <w:tab w:leader="none" w:pos="560" w:val="left"/>
        </w:tabs>
        <w:numPr>
          <w:ilvl w:val="0"/>
          <w:numId w:val="42"/>
        </w:numPr>
        <w:rPr>
          <w:rFonts w:ascii="Calibri" w:cs="Calibri" w:eastAsia="Calibri" w:hAnsi="Calibri"/>
          <w:sz w:val="18"/>
          <w:szCs w:val="18"/>
          <w:color w:val="auto"/>
        </w:rPr>
      </w:pPr>
      <w:r>
        <w:rPr>
          <w:rFonts w:ascii="Times New Roman" w:cs="Times New Roman" w:eastAsia="Times New Roman" w:hAnsi="Times New Roman"/>
          <w:sz w:val="18"/>
          <w:szCs w:val="18"/>
          <w:color w:val="auto"/>
        </w:rPr>
        <w:t>submission to the FDA of an IND Application, which the FDA must approve before human clinical trials may begin;</w:t>
      </w:r>
    </w:p>
    <w:p>
      <w:pPr>
        <w:spacing w:after="0" w:line="46" w:lineRule="exact"/>
        <w:rPr>
          <w:rFonts w:ascii="Calibri" w:cs="Calibri" w:eastAsia="Calibri" w:hAnsi="Calibri"/>
          <w:sz w:val="18"/>
          <w:szCs w:val="18"/>
          <w:color w:val="auto"/>
        </w:rPr>
      </w:pPr>
    </w:p>
    <w:p>
      <w:pPr>
        <w:ind w:left="560" w:hanging="276"/>
        <w:spacing w:after="0"/>
        <w:tabs>
          <w:tab w:leader="none" w:pos="560" w:val="left"/>
        </w:tabs>
        <w:numPr>
          <w:ilvl w:val="0"/>
          <w:numId w:val="42"/>
        </w:numPr>
        <w:rPr>
          <w:rFonts w:ascii="Calibri" w:cs="Calibri" w:eastAsia="Calibri" w:hAnsi="Calibri"/>
          <w:sz w:val="18"/>
          <w:szCs w:val="18"/>
          <w:color w:val="auto"/>
        </w:rPr>
      </w:pPr>
      <w:r>
        <w:rPr>
          <w:rFonts w:ascii="Times New Roman" w:cs="Times New Roman" w:eastAsia="Times New Roman" w:hAnsi="Times New Roman"/>
          <w:sz w:val="18"/>
          <w:szCs w:val="18"/>
          <w:color w:val="auto"/>
        </w:rPr>
        <w:t>approval by an IRB or independent ethics committee at each clinical trial site before each trial may be initiated;</w:t>
      </w:r>
    </w:p>
    <w:p>
      <w:pPr>
        <w:spacing w:after="0" w:line="58" w:lineRule="exact"/>
        <w:rPr>
          <w:rFonts w:ascii="Calibri" w:cs="Calibri" w:eastAsia="Calibri" w:hAnsi="Calibri"/>
          <w:sz w:val="18"/>
          <w:szCs w:val="18"/>
          <w:color w:val="auto"/>
        </w:rPr>
      </w:pPr>
    </w:p>
    <w:p>
      <w:pPr>
        <w:ind w:left="560" w:hanging="276"/>
        <w:spacing w:after="0"/>
        <w:tabs>
          <w:tab w:leader="none" w:pos="560" w:val="left"/>
        </w:tabs>
        <w:numPr>
          <w:ilvl w:val="0"/>
          <w:numId w:val="42"/>
        </w:numPr>
        <w:rPr>
          <w:rFonts w:ascii="Calibri" w:cs="Calibri" w:eastAsia="Calibri" w:hAnsi="Calibri"/>
          <w:sz w:val="18"/>
          <w:szCs w:val="18"/>
          <w:color w:val="auto"/>
        </w:rPr>
      </w:pPr>
      <w:r>
        <w:rPr>
          <w:rFonts w:ascii="Times New Roman" w:cs="Times New Roman" w:eastAsia="Times New Roman" w:hAnsi="Times New Roman"/>
          <w:sz w:val="18"/>
          <w:szCs w:val="18"/>
          <w:color w:val="auto"/>
        </w:rPr>
        <w:t>for nearly all new pharmaceutical products, performance of adequate and well-controlled human clinical trials in accordance with the FDA’s</w:t>
      </w:r>
    </w:p>
    <w:p>
      <w:pPr>
        <w:spacing w:after="0" w:line="46" w:lineRule="exact"/>
        <w:rPr>
          <w:rFonts w:ascii="Calibri" w:cs="Calibri" w:eastAsia="Calibri" w:hAnsi="Calibri"/>
          <w:sz w:val="18"/>
          <w:szCs w:val="18"/>
          <w:color w:val="auto"/>
        </w:rPr>
      </w:pPr>
    </w:p>
    <w:p>
      <w:pPr>
        <w:ind w:left="580" w:right="20"/>
        <w:spacing w:after="0" w:line="286" w:lineRule="auto"/>
        <w:rPr>
          <w:rFonts w:ascii="Calibri" w:cs="Calibri" w:eastAsia="Calibri" w:hAnsi="Calibri"/>
          <w:sz w:val="18"/>
          <w:szCs w:val="18"/>
          <w:color w:val="auto"/>
        </w:rPr>
      </w:pPr>
      <w:r>
        <w:rPr>
          <w:rFonts w:ascii="Times New Roman" w:cs="Times New Roman" w:eastAsia="Times New Roman" w:hAnsi="Times New Roman"/>
          <w:sz w:val="18"/>
          <w:szCs w:val="18"/>
          <w:color w:val="auto"/>
        </w:rPr>
        <w:t>regulations, including Good Clinical Practices, to establish the safety and efficacy of the prescription drug product candidate for each proposed indication;</w:t>
      </w:r>
    </w:p>
    <w:p>
      <w:pPr>
        <w:ind w:left="560" w:hanging="276"/>
        <w:spacing w:after="0"/>
        <w:tabs>
          <w:tab w:leader="none" w:pos="560" w:val="left"/>
        </w:tabs>
        <w:numPr>
          <w:ilvl w:val="0"/>
          <w:numId w:val="42"/>
        </w:numPr>
        <w:rPr>
          <w:rFonts w:ascii="Calibri" w:cs="Calibri" w:eastAsia="Calibri" w:hAnsi="Calibri"/>
          <w:sz w:val="18"/>
          <w:szCs w:val="18"/>
          <w:color w:val="auto"/>
        </w:rPr>
      </w:pPr>
      <w:r>
        <w:rPr>
          <w:rFonts w:ascii="Times New Roman" w:cs="Times New Roman" w:eastAsia="Times New Roman" w:hAnsi="Times New Roman"/>
          <w:sz w:val="18"/>
          <w:szCs w:val="18"/>
          <w:color w:val="auto"/>
        </w:rPr>
        <w:t>submission to the FDA of a New Drug Application (“</w:t>
      </w:r>
      <w:r>
        <w:rPr>
          <w:rFonts w:ascii="Times New Roman" w:cs="Times New Roman" w:eastAsia="Times New Roman" w:hAnsi="Times New Roman"/>
          <w:sz w:val="18"/>
          <w:szCs w:val="18"/>
          <w:b w:val="1"/>
          <w:bCs w:val="1"/>
          <w:color w:val="auto"/>
        </w:rPr>
        <w:t>NDA</w:t>
      </w:r>
      <w:r>
        <w:rPr>
          <w:rFonts w:ascii="Times New Roman" w:cs="Times New Roman" w:eastAsia="Times New Roman" w:hAnsi="Times New Roman"/>
          <w:sz w:val="18"/>
          <w:szCs w:val="18"/>
          <w:color w:val="auto"/>
        </w:rPr>
        <w:t>”);</w:t>
      </w:r>
    </w:p>
    <w:p>
      <w:pPr>
        <w:spacing w:after="0" w:line="48" w:lineRule="exact"/>
        <w:rPr>
          <w:rFonts w:ascii="Calibri" w:cs="Calibri" w:eastAsia="Calibri" w:hAnsi="Calibri"/>
          <w:sz w:val="18"/>
          <w:szCs w:val="18"/>
          <w:color w:val="auto"/>
        </w:rPr>
      </w:pPr>
    </w:p>
    <w:p>
      <w:pPr>
        <w:ind w:left="560" w:hanging="276"/>
        <w:spacing w:after="0"/>
        <w:tabs>
          <w:tab w:leader="none" w:pos="560" w:val="left"/>
        </w:tabs>
        <w:numPr>
          <w:ilvl w:val="0"/>
          <w:numId w:val="42"/>
        </w:numPr>
        <w:rPr>
          <w:rFonts w:ascii="Calibri" w:cs="Calibri" w:eastAsia="Calibri" w:hAnsi="Calibri"/>
          <w:sz w:val="18"/>
          <w:szCs w:val="18"/>
          <w:color w:val="auto"/>
        </w:rPr>
      </w:pPr>
      <w:r>
        <w:rPr>
          <w:rFonts w:ascii="Times New Roman" w:cs="Times New Roman" w:eastAsia="Times New Roman" w:hAnsi="Times New Roman"/>
          <w:sz w:val="18"/>
          <w:szCs w:val="18"/>
          <w:color w:val="auto"/>
        </w:rPr>
        <w:t>satisfactory completion of one or more FDA pre-approval inspections of the manufacturing facility or facilities where the drug will be produced to</w:t>
      </w:r>
    </w:p>
    <w:p>
      <w:pPr>
        <w:spacing w:after="0" w:line="58" w:lineRule="exact"/>
        <w:rPr>
          <w:rFonts w:ascii="Calibri" w:cs="Calibri" w:eastAsia="Calibri" w:hAnsi="Calibri"/>
          <w:sz w:val="18"/>
          <w:szCs w:val="18"/>
          <w:color w:val="auto"/>
        </w:rPr>
      </w:pPr>
    </w:p>
    <w:p>
      <w:pPr>
        <w:ind w:left="580" w:right="20"/>
        <w:spacing w:after="0" w:line="280" w:lineRule="auto"/>
        <w:rPr>
          <w:rFonts w:ascii="Calibri" w:cs="Calibri" w:eastAsia="Calibri" w:hAnsi="Calibri"/>
          <w:sz w:val="18"/>
          <w:szCs w:val="18"/>
          <w:color w:val="auto"/>
        </w:rPr>
      </w:pPr>
      <w:r>
        <w:rPr>
          <w:rFonts w:ascii="Times New Roman" w:cs="Times New Roman" w:eastAsia="Times New Roman" w:hAnsi="Times New Roman"/>
          <w:sz w:val="18"/>
          <w:szCs w:val="18"/>
          <w:color w:val="auto"/>
        </w:rPr>
        <w:t>assess compliance with cGMP requirements to assure that the facilities, methods and controls are adequate to preserve the drug’s identity, strength, quality, and purity; and</w:t>
      </w:r>
    </w:p>
    <w:p>
      <w:pPr>
        <w:ind w:left="560" w:hanging="276"/>
        <w:spacing w:after="0"/>
        <w:tabs>
          <w:tab w:leader="none" w:pos="560" w:val="left"/>
        </w:tabs>
        <w:numPr>
          <w:ilvl w:val="0"/>
          <w:numId w:val="42"/>
        </w:numPr>
        <w:rPr>
          <w:rFonts w:ascii="Calibri" w:cs="Calibri" w:eastAsia="Calibri" w:hAnsi="Calibri"/>
          <w:sz w:val="18"/>
          <w:szCs w:val="18"/>
          <w:color w:val="auto"/>
        </w:rPr>
      </w:pPr>
      <w:r>
        <w:rPr>
          <w:rFonts w:ascii="Times New Roman" w:cs="Times New Roman" w:eastAsia="Times New Roman" w:hAnsi="Times New Roman"/>
          <w:sz w:val="18"/>
          <w:szCs w:val="18"/>
          <w:color w:val="auto"/>
        </w:rPr>
        <w:t>FDA review and approval of the NDA prior to any commercial marketing, sale or shipment of the drug.</w:t>
      </w:r>
    </w:p>
    <w:p>
      <w:pPr>
        <w:spacing w:after="0" w:line="276" w:lineRule="exact"/>
        <w:rPr>
          <w:sz w:val="20"/>
          <w:szCs w:val="20"/>
          <w:color w:val="auto"/>
        </w:rPr>
      </w:pPr>
    </w:p>
    <w:p>
      <w:pPr>
        <w:jc w:val="both"/>
        <w:spacing w:after="0" w:line="294" w:lineRule="auto"/>
        <w:rPr>
          <w:sz w:val="20"/>
          <w:szCs w:val="20"/>
          <w:color w:val="auto"/>
        </w:rPr>
      </w:pPr>
      <w:r>
        <w:rPr>
          <w:rFonts w:ascii="Times New Roman" w:cs="Times New Roman" w:eastAsia="Times New Roman" w:hAnsi="Times New Roman"/>
          <w:sz w:val="18"/>
          <w:szCs w:val="18"/>
          <w:color w:val="auto"/>
        </w:rPr>
        <w:t>The testing and approval process requires substantial time, effort and financial resources, and the Company cannot be certain that the DEA will schedule or reschedule any Schedule I substance or product candidate to Schedule II, III, IV, or V, or that approvals for its prescription drug product candidates will be granted on a timely basis, if at all.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44</w:t>
      </w:r>
    </w:p>
    <w:p>
      <w:pPr>
        <w:sectPr>
          <w:pgSz w:w="11900" w:h="16838" w:orient="portrait"/>
          <w:cols w:equalWidth="0" w:num="1">
            <w:col w:w="11260"/>
          </w:cols>
          <w:pgMar w:left="320" w:top="1303" w:right="319" w:bottom="1440" w:gutter="0" w:footer="0" w:header="0"/>
        </w:sectPr>
      </w:pPr>
    </w:p>
    <w:bookmarkStart w:id="70" w:name="page71"/>
    <w:bookmarkEnd w:id="70"/>
    <w:p>
      <w:pPr>
        <w:jc w:val="both"/>
        <w:spacing w:after="0" w:line="289" w:lineRule="auto"/>
        <w:rPr>
          <w:sz w:val="20"/>
          <w:szCs w:val="20"/>
          <w:color w:val="auto"/>
        </w:rPr>
      </w:pPr>
      <w:r>
        <w:rPr>
          <w:rFonts w:ascii="Times New Roman" w:cs="Times New Roman" w:eastAsia="Times New Roman" w:hAnsi="Times New Roman"/>
          <w:sz w:val="18"/>
          <w:szCs w:val="18"/>
          <w:color w:val="auto"/>
        </w:rPr>
        <w:t>Non-clinical tests include laboratory evaluations of product chemistry, formulation and stability, as well as studies to evaluate toxicity in animals and other animal studies. The results of non-clinical tests, together with manufacturing information and analytical data, are submitted as part of an IND to the FDA. Some non-clinical testing may continue even after an IND is submitted. The IND also includes one or more protocols for the initial clinical trial or trials and an investigator’s brochure. An IND automatically becomes effective 30 days after receipt by the FDA, unless the FDA, within the 30-day time period, raises concerns or questions relating to the proposed clinical trials as outlined in the IND and places the clinical trial on a clinical hold. In such cases, the IND sponsor and the FDA must resolve any outstanding concerns or questions before any clinical trials can begin. Clinical trial holds also may be imposed at any time before or during studies due to safety concerns or non-compliance with regulatory requirements.</w:t>
      </w:r>
    </w:p>
    <w:p>
      <w:pPr>
        <w:spacing w:after="0" w:line="177" w:lineRule="exact"/>
        <w:rPr>
          <w:sz w:val="20"/>
          <w:szCs w:val="20"/>
          <w:color w:val="auto"/>
        </w:rPr>
      </w:pPr>
    </w:p>
    <w:p>
      <w:pPr>
        <w:jc w:val="both"/>
        <w:spacing w:after="0" w:line="291" w:lineRule="auto"/>
        <w:rPr>
          <w:sz w:val="20"/>
          <w:szCs w:val="20"/>
          <w:color w:val="auto"/>
        </w:rPr>
      </w:pPr>
      <w:r>
        <w:rPr>
          <w:rFonts w:ascii="Times New Roman" w:cs="Times New Roman" w:eastAsia="Times New Roman" w:hAnsi="Times New Roman"/>
          <w:sz w:val="18"/>
          <w:szCs w:val="18"/>
          <w:color w:val="auto"/>
        </w:rPr>
        <w:t>An IRB board, at each of the clinical centers proposing to conduct the clinical trial, must review and approve the plan for any clinical trial before it commences at that center. An IRB board considers, among other things, whether the risks to individuals participating in the trials are minimized and are reasonable in relation to anticipated benefits. The IRB board also approves the consent form signed by the trial participants and must monitor the study until completed. The FDA, the independent IRB, or the sponsor may suspend or discontinue a clinical trial at any time on various grounds, including a finding that the subjects are being exposed to an unacceptable health risk. There also are requirements governing the reporting of ongoing clinical trials and completed clinical trials to public registries.</w:t>
      </w:r>
    </w:p>
    <w:p>
      <w:pPr>
        <w:spacing w:after="0" w:line="162" w:lineRule="exact"/>
        <w:rPr>
          <w:sz w:val="20"/>
          <w:szCs w:val="20"/>
          <w:color w:val="auto"/>
        </w:rPr>
      </w:pPr>
    </w:p>
    <w:p>
      <w:pPr>
        <w:jc w:val="both"/>
        <w:spacing w:after="0" w:line="294" w:lineRule="auto"/>
        <w:rPr>
          <w:sz w:val="20"/>
          <w:szCs w:val="20"/>
          <w:color w:val="auto"/>
        </w:rPr>
      </w:pPr>
      <w:r>
        <w:rPr>
          <w:rFonts w:ascii="Times New Roman" w:cs="Times New Roman" w:eastAsia="Times New Roman" w:hAnsi="Times New Roman"/>
          <w:sz w:val="18"/>
          <w:szCs w:val="18"/>
          <w:color w:val="auto"/>
        </w:rPr>
        <w:t>The FDA offers a number of regulatory mechanisms that provide expedited or accelerated approval procedures for selected drugs and indications which are designed to address unmet medical needs in the treatment of serious or life-threatening diseases or conditions. These include programs such as BTDs, Fast Track designations, Priority Review and Accelerated Approval, which the Company may need to rely upon in order to receive timely approval or to be competitive.</w:t>
      </w:r>
    </w:p>
    <w:p>
      <w:pPr>
        <w:spacing w:after="0" w:line="170"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8"/>
          <w:szCs w:val="18"/>
          <w:color w:val="auto"/>
        </w:rPr>
        <w:t>The Company may plan to seek orphan drug designation for certain indications qualified for such designation. The U.S., E.U. and other jurisdictions may grant orphan drug designation to drugs intended to treat a “rare disease or condition,” which, in the U.S., is generally a disease or condition that affects fewer than 200,000 individuals in the United States, or 200,000 or more individuals in the United States and for which there is no reasonable expectation that the cost of developing and making a drug available in the United States for this type of disease or condition will be recovered from sales of the product. In the E.U., orphan drug designation can be granted if: the disease is life threatening or chronically debilitating and affects no more than 50 in 100,000 persons in the E.U.; without incentive it is unlikely that the drug would generate sufficient return to justify the necessary investment; and no satisfactory method of treatment for the condition exists or, if it does, the new drug will provide a significant benefit to those affected by the condition. Orphan drug designation must be requested before submitting an NDA. If a product that has an orphan drug designation subsequently receives the first regulatory approval for the indication for which it has such designation, the product is entitled to orphan exclusivity, meaning that the applicable regulatory authority may not approve any other applications to market the same drug for the same indication, except in very limited circumstances, for a period of seven years in the U.S. and 10 years in the E.U. Orphan drug designation does not prevent competitors from developing or marketing different drugs for the same indication or the same drug for different indications. After orphan drug designation is granted, the identity of the therapeutic agent and its potential orphan use are publicly disclosed. Orphan drug designation does not convey an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45</w:t>
      </w:r>
    </w:p>
    <w:p>
      <w:pPr>
        <w:sectPr>
          <w:pgSz w:w="11900" w:h="16838" w:orient="portrait"/>
          <w:cols w:equalWidth="0" w:num="1">
            <w:col w:w="11260"/>
          </w:cols>
          <w:pgMar w:left="320" w:top="1303" w:right="319" w:bottom="1440" w:gutter="0" w:footer="0" w:header="0"/>
        </w:sectPr>
      </w:pPr>
    </w:p>
    <w:bookmarkStart w:id="71" w:name="page72"/>
    <w:bookmarkEnd w:id="71"/>
    <w:p>
      <w:pPr>
        <w:jc w:val="both"/>
        <w:ind w:right="20"/>
        <w:spacing w:after="0" w:line="323" w:lineRule="auto"/>
        <w:rPr>
          <w:sz w:val="20"/>
          <w:szCs w:val="20"/>
          <w:color w:val="auto"/>
        </w:rPr>
      </w:pPr>
      <w:r>
        <w:rPr>
          <w:rFonts w:ascii="Times New Roman" w:cs="Times New Roman" w:eastAsia="Times New Roman" w:hAnsi="Times New Roman"/>
          <w:sz w:val="18"/>
          <w:szCs w:val="18"/>
          <w:color w:val="auto"/>
        </w:rPr>
        <w:t>advantage in, or shorten the duration of, the development, review and approval process. However, this designation provides an exemption from marketing and authorization fees.</w:t>
      </w:r>
    </w:p>
    <w:p>
      <w:pPr>
        <w:spacing w:after="0" w:line="132" w:lineRule="exact"/>
        <w:rPr>
          <w:sz w:val="20"/>
          <w:szCs w:val="20"/>
          <w:color w:val="auto"/>
        </w:rPr>
      </w:pPr>
    </w:p>
    <w:p>
      <w:pPr>
        <w:jc w:val="both"/>
        <w:ind w:right="20"/>
        <w:spacing w:after="0" w:line="288" w:lineRule="auto"/>
        <w:rPr>
          <w:sz w:val="20"/>
          <w:szCs w:val="20"/>
          <w:color w:val="auto"/>
        </w:rPr>
      </w:pPr>
      <w:r>
        <w:rPr>
          <w:rFonts w:ascii="Times New Roman" w:cs="Times New Roman" w:eastAsia="Times New Roman" w:hAnsi="Times New Roman"/>
          <w:sz w:val="18"/>
          <w:szCs w:val="18"/>
          <w:color w:val="auto"/>
        </w:rPr>
        <w:t>Drugs manufactured or distributed pursuant to FDA approvals are subject to continuing regulation by the FDA, including, among other things, requirements relating to recordkeeping, periodic reporting, product sampling and distribution, reporting of adverse experiences with the product, and complying with promotion and advertising requirements. The FDA may impose a number of post-approval requirements as a condition of approval of an NDA. For example, the FDA may require post-market testing, including phase IV clinical trials, and surveillance to further assess and monitor the product’s safety and effectiveness after commercialization. In addition, drug manufacturers and their subcontractors involved in the manufacture and distribution of approved drugs are required to register their establishments with the FDA and certain state agencies and are subject to periodic unannounced inspections by the FDA and certain state agencies for compliance with ongoing regulatory requirements, including current Good Manufacturing Practices, which impose certain procedural and documentation requirements. Failure to comply with statutory and regulatory requirements may subject a manufacturer to legal or regulatory action, such as warning letters, suspension of manufacturing, product seizures, injunctions, civil penalties or criminal prosecution. There is also a continuing, annual prescription drug product program user fee.</w:t>
      </w:r>
    </w:p>
    <w:p>
      <w:pPr>
        <w:spacing w:after="0" w:line="176" w:lineRule="exact"/>
        <w:rPr>
          <w:sz w:val="20"/>
          <w:szCs w:val="20"/>
          <w:color w:val="auto"/>
        </w:rPr>
      </w:pPr>
    </w:p>
    <w:p>
      <w:pPr>
        <w:jc w:val="both"/>
        <w:ind w:right="20"/>
        <w:spacing w:after="0" w:line="291" w:lineRule="auto"/>
        <w:rPr>
          <w:sz w:val="20"/>
          <w:szCs w:val="20"/>
          <w:color w:val="auto"/>
        </w:rPr>
      </w:pPr>
      <w:r>
        <w:rPr>
          <w:rFonts w:ascii="Times New Roman" w:cs="Times New Roman" w:eastAsia="Times New Roman" w:hAnsi="Times New Roman"/>
          <w:sz w:val="18"/>
          <w:szCs w:val="18"/>
          <w:color w:val="auto"/>
        </w:rPr>
        <w:t>The FDA may withdraw approval if compliance with regulatory requirements and standards is not maintained or if problems occur after the product reaches the market. Later discovery of previously unknown problems with a product, including adverse events of unanticipated severity or frequency, or with manufacturing processes, or failure to comply with regulatory requirements, may result in revisions to the approved labeling to add new safety information, requirements for post-market studies or clinical trials to assess new safety risks, or imposition of distribution or other restrictions under a risk evaluation and mitigation strategy.</w:t>
      </w:r>
    </w:p>
    <w:p>
      <w:pPr>
        <w:spacing w:after="0" w:line="172" w:lineRule="exact"/>
        <w:rPr>
          <w:sz w:val="20"/>
          <w:szCs w:val="20"/>
          <w:color w:val="auto"/>
        </w:rPr>
      </w:pPr>
    </w:p>
    <w:p>
      <w:pPr>
        <w:jc w:val="both"/>
        <w:spacing w:after="0" w:line="291" w:lineRule="auto"/>
        <w:rPr>
          <w:sz w:val="20"/>
          <w:szCs w:val="20"/>
          <w:color w:val="auto"/>
        </w:rPr>
      </w:pPr>
      <w:r>
        <w:rPr>
          <w:rFonts w:ascii="Times New Roman" w:cs="Times New Roman" w:eastAsia="Times New Roman" w:hAnsi="Times New Roman"/>
          <w:sz w:val="18"/>
          <w:szCs w:val="18"/>
          <w:color w:val="auto"/>
        </w:rPr>
        <w:t xml:space="preserve">In the United States, pharmaceutical manufacturers are subject to complex laws and regulations pertaining to healthcare “fraud and abuse,” including, but not limited to, the Anti-Kickback Statute, the federal </w:t>
      </w:r>
      <w:r>
        <w:rPr>
          <w:rFonts w:ascii="Times New Roman" w:cs="Times New Roman" w:eastAsia="Times New Roman" w:hAnsi="Times New Roman"/>
          <w:sz w:val="18"/>
          <w:szCs w:val="18"/>
          <w:i w:val="1"/>
          <w:iCs w:val="1"/>
          <w:color w:val="auto"/>
        </w:rPr>
        <w:t>False Claims Act</w:t>
      </w:r>
      <w:r>
        <w:rPr>
          <w:rFonts w:ascii="Times New Roman" w:cs="Times New Roman" w:eastAsia="Times New Roman" w:hAnsi="Times New Roman"/>
          <w:sz w:val="18"/>
          <w:szCs w:val="18"/>
          <w:color w:val="auto"/>
        </w:rPr>
        <w:t xml:space="preserve"> (the “</w:t>
      </w:r>
      <w:r>
        <w:rPr>
          <w:rFonts w:ascii="Times New Roman" w:cs="Times New Roman" w:eastAsia="Times New Roman" w:hAnsi="Times New Roman"/>
          <w:sz w:val="18"/>
          <w:szCs w:val="18"/>
          <w:b w:val="1"/>
          <w:bCs w:val="1"/>
          <w:color w:val="auto"/>
        </w:rPr>
        <w:t>FCA</w:t>
      </w:r>
      <w:r>
        <w:rPr>
          <w:rFonts w:ascii="Times New Roman" w:cs="Times New Roman" w:eastAsia="Times New Roman" w:hAnsi="Times New Roman"/>
          <w:sz w:val="18"/>
          <w:szCs w:val="18"/>
          <w:color w:val="auto"/>
        </w:rPr>
        <w:t>”), and other state and federal laws and regulations. The Anti-Kickback Statute makes it illegal for any person, including a prescription drug manufacturer (or a party acting on its behalf) to knowingly and willfully solicit, receive, offer, or pay any remuneration that is intended to induce the referral of business, including the purchase, order, or prescription of a particular drug, for which payment may be made under a federal healthcare program, such as Medicare or Medicaid.</w:t>
      </w:r>
    </w:p>
    <w:p>
      <w:pPr>
        <w:spacing w:after="0" w:line="184" w:lineRule="exact"/>
        <w:rPr>
          <w:sz w:val="20"/>
          <w:szCs w:val="20"/>
          <w:color w:val="auto"/>
        </w:rPr>
      </w:pPr>
    </w:p>
    <w:p>
      <w:pPr>
        <w:jc w:val="both"/>
        <w:spacing w:after="0" w:line="294" w:lineRule="auto"/>
        <w:rPr>
          <w:sz w:val="20"/>
          <w:szCs w:val="20"/>
          <w:color w:val="auto"/>
        </w:rPr>
      </w:pPr>
      <w:r>
        <w:rPr>
          <w:rFonts w:ascii="Times New Roman" w:cs="Times New Roman" w:eastAsia="Times New Roman" w:hAnsi="Times New Roman"/>
          <w:sz w:val="18"/>
          <w:szCs w:val="18"/>
          <w:color w:val="auto"/>
        </w:rPr>
        <w:t>The FCA prohibits, among other things, any person or entity from knowingly presenting, or causing to be presented, a false or fraudulent claim for payment to or approval by the federal government or knowingly making, using, or causing to be made or used a false record or statement material to a false or fraudulent claim to the federal government. A claim includes “any request or demand” for money or property presented to the U.S. government. Violations of the FCA can result in very significant monetary penalties and treble damages. The federal government is using the FCA, and the accompanying threat of significant liability, in its investigation and prosecution of pharmaceutical companies throughout the country, for example, in connection with the promotion of products for unapproved uses and other sales and marketing practices. The government has obtained multi-million and multi-billion dollar settlements under the FCA in addition to individual criminal convictions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46</w:t>
      </w:r>
    </w:p>
    <w:p>
      <w:pPr>
        <w:sectPr>
          <w:pgSz w:w="11900" w:h="16838" w:orient="portrait"/>
          <w:cols w:equalWidth="0" w:num="1">
            <w:col w:w="11260"/>
          </w:cols>
          <w:pgMar w:left="320" w:top="1303" w:right="319" w:bottom="1440" w:gutter="0" w:footer="0" w:header="0"/>
        </w:sectPr>
      </w:pPr>
    </w:p>
    <w:bookmarkStart w:id="72" w:name="page73"/>
    <w:bookmarkEnd w:id="72"/>
    <w:p>
      <w:pPr>
        <w:jc w:val="both"/>
        <w:ind w:right="20"/>
        <w:spacing w:after="0" w:line="298" w:lineRule="auto"/>
        <w:rPr>
          <w:sz w:val="20"/>
          <w:szCs w:val="20"/>
          <w:color w:val="auto"/>
        </w:rPr>
      </w:pPr>
      <w:r>
        <w:rPr>
          <w:rFonts w:ascii="Times New Roman" w:cs="Times New Roman" w:eastAsia="Times New Roman" w:hAnsi="Times New Roman"/>
          <w:sz w:val="18"/>
          <w:szCs w:val="18"/>
          <w:color w:val="auto"/>
        </w:rPr>
        <w:t>under applicable criminal statutes. In addition, the federal civil monetary penalties statute imposes penalties against any person or entity that, among other things, is determined to have presented or caused to be presented a claim to a federal health program that the person knows or should know is for an item or service that was not provided as claimed or is false or fraudulent. Given the significant size of actual and potential settlements, it is expected that the government will continue to devote substantial resources to investigating healthcare providers’ and manufacturers’ compliance with applicable fraud and abuse laws.</w:t>
      </w:r>
    </w:p>
    <w:p>
      <w:pPr>
        <w:spacing w:after="0" w:line="202" w:lineRule="exact"/>
        <w:rPr>
          <w:sz w:val="20"/>
          <w:szCs w:val="20"/>
          <w:color w:val="auto"/>
        </w:rPr>
      </w:pPr>
    </w:p>
    <w:p>
      <w:pPr>
        <w:jc w:val="both"/>
        <w:ind w:right="20"/>
        <w:spacing w:after="0" w:line="294" w:lineRule="auto"/>
        <w:rPr>
          <w:sz w:val="20"/>
          <w:szCs w:val="20"/>
          <w:color w:val="auto"/>
        </w:rPr>
      </w:pPr>
      <w:r>
        <w:rPr>
          <w:rFonts w:ascii="Times New Roman" w:cs="Times New Roman" w:eastAsia="Times New Roman" w:hAnsi="Times New Roman"/>
          <w:sz w:val="18"/>
          <w:szCs w:val="18"/>
          <w:color w:val="auto"/>
        </w:rPr>
        <w:t>There are also an increasing number of state laws that require manufacturers to make reports to states on pricing and marketing information. In addition, a similar federal requirement Section 6002 of the Patient Protection and Affordable Care Act, as amended by the Health Care and Education Affordability Reconciliation Act, or the Affordable Care Act, commonly referred to as the “Physician Payments Sunshine Act” requires applicable manufacturers to track and report to the federal government certain payments and “transfers of value” made to physicians and teaching hospitals, as well as ownership and investment interests held by physicians and their immediate family members, made in the previous calendar year. There are a number of states that have various types of additional reporting requirements.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Controlled Substances</w:t>
      </w:r>
    </w:p>
    <w:p>
      <w:pPr>
        <w:spacing w:after="0" w:line="264" w:lineRule="exact"/>
        <w:rPr>
          <w:sz w:val="20"/>
          <w:szCs w:val="20"/>
          <w:color w:val="auto"/>
        </w:rPr>
      </w:pPr>
    </w:p>
    <w:p>
      <w:pPr>
        <w:jc w:val="both"/>
        <w:ind w:right="20"/>
        <w:spacing w:after="0" w:line="294" w:lineRule="auto"/>
        <w:rPr>
          <w:sz w:val="20"/>
          <w:szCs w:val="20"/>
          <w:color w:val="auto"/>
        </w:rPr>
      </w:pPr>
      <w:r>
        <w:rPr>
          <w:rFonts w:ascii="Times New Roman" w:cs="Times New Roman" w:eastAsia="Times New Roman" w:hAnsi="Times New Roman"/>
          <w:sz w:val="18"/>
          <w:szCs w:val="18"/>
          <w:color w:val="auto"/>
        </w:rPr>
        <w:t>The CSA and its implementing regulations establish a “closed system” of regulations for controlled substances. The CSA imposes registration, security, recordkeeping and reporting, storage, manufacturing, distribution, importation and other requirements under the oversight of the DEA. The DEA is responsible for regulating controlled substances, and requires those individuals or entities that manufacture, import, export, distribute, research, or dispense controlled substances to comply with the regulatory requirements in order to prevent the diversion of controlled substances to illicit channels of commerce.</w:t>
      </w:r>
    </w:p>
    <w:p>
      <w:pPr>
        <w:spacing w:after="0" w:line="158" w:lineRule="exact"/>
        <w:rPr>
          <w:sz w:val="20"/>
          <w:szCs w:val="20"/>
          <w:color w:val="auto"/>
        </w:rPr>
      </w:pPr>
    </w:p>
    <w:p>
      <w:pPr>
        <w:jc w:val="both"/>
        <w:spacing w:after="0" w:line="294" w:lineRule="auto"/>
        <w:rPr>
          <w:sz w:val="20"/>
          <w:szCs w:val="20"/>
          <w:color w:val="auto"/>
        </w:rPr>
      </w:pPr>
      <w:r>
        <w:rPr>
          <w:rFonts w:ascii="Times New Roman" w:cs="Times New Roman" w:eastAsia="Times New Roman" w:hAnsi="Times New Roman"/>
          <w:sz w:val="18"/>
          <w:szCs w:val="18"/>
          <w:color w:val="auto"/>
        </w:rPr>
        <w:t>The DEA categorizes controlled substances into one of five schedules — Schedule I, II, III, IV or V — with varying qualifications for listing in each schedule. Schedule I substances by definition have a high potential for abuse, have no currently accepted medical use in treatment in the United States and lack accepted safety for use under medical supervision. For any product containing a Schedule I substance, such as psilocin, to be available for commercial marketing in the United States, such substance must be rescheduled, or the product itself must be scheduled, by the DEA to Schedule II, III, IV or V. Scheduling determinations by the DEA are dependent on FDA approval of a substance or a specific formulation of a substance.</w:t>
      </w:r>
    </w:p>
    <w:p>
      <w:pPr>
        <w:spacing w:after="0" w:line="183" w:lineRule="exact"/>
        <w:rPr>
          <w:sz w:val="20"/>
          <w:szCs w:val="20"/>
          <w:color w:val="auto"/>
        </w:rPr>
      </w:pPr>
    </w:p>
    <w:p>
      <w:pPr>
        <w:jc w:val="both"/>
        <w:ind w:right="20"/>
        <w:spacing w:after="0" w:line="301" w:lineRule="auto"/>
        <w:rPr>
          <w:sz w:val="20"/>
          <w:szCs w:val="20"/>
          <w:color w:val="auto"/>
        </w:rPr>
      </w:pPr>
      <w:r>
        <w:rPr>
          <w:rFonts w:ascii="Times New Roman" w:cs="Times New Roman" w:eastAsia="Times New Roman" w:hAnsi="Times New Roman"/>
          <w:sz w:val="18"/>
          <w:szCs w:val="18"/>
          <w:color w:val="auto"/>
        </w:rPr>
        <w:t>Facilities that research, manufacture, distribute, import or export any controlled substance must register annually with the DEA. The DEA registration is specific to the particular location, activity(ies) and controlled substance schedule(s). For example, separate registrations are needed for import and manufacturing, and each registration will specify which schedules of controlled substances are authorized.</w:t>
      </w:r>
    </w:p>
    <w:p>
      <w:pPr>
        <w:spacing w:after="0" w:line="176" w:lineRule="exact"/>
        <w:rPr>
          <w:sz w:val="20"/>
          <w:szCs w:val="20"/>
          <w:color w:val="auto"/>
        </w:rPr>
      </w:pPr>
    </w:p>
    <w:p>
      <w:pPr>
        <w:jc w:val="both"/>
        <w:ind w:right="20"/>
        <w:spacing w:after="0" w:line="323" w:lineRule="auto"/>
        <w:rPr>
          <w:sz w:val="20"/>
          <w:szCs w:val="20"/>
          <w:color w:val="auto"/>
        </w:rPr>
      </w:pPr>
      <w:r>
        <w:rPr>
          <w:rFonts w:ascii="Times New Roman" w:cs="Times New Roman" w:eastAsia="Times New Roman" w:hAnsi="Times New Roman"/>
          <w:sz w:val="18"/>
          <w:szCs w:val="18"/>
          <w:color w:val="auto"/>
        </w:rPr>
        <w:t>The DEA may inspect all research and manufacturing facilities to review security, recordkeeping, reporting and handling prior to issuing a controlled substance registration and periodically to ensure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47</w:t>
      </w:r>
    </w:p>
    <w:p>
      <w:pPr>
        <w:sectPr>
          <w:pgSz w:w="11900" w:h="16838" w:orient="portrait"/>
          <w:cols w:equalWidth="0" w:num="1">
            <w:col w:w="11260"/>
          </w:cols>
          <w:pgMar w:left="320" w:top="1303" w:right="319" w:bottom="1440" w:gutter="0" w:footer="0" w:header="0"/>
        </w:sectPr>
      </w:pPr>
    </w:p>
    <w:bookmarkStart w:id="73" w:name="page74"/>
    <w:bookmarkEnd w:id="73"/>
    <w:p>
      <w:pPr>
        <w:jc w:val="both"/>
        <w:spacing w:after="0" w:line="289" w:lineRule="auto"/>
        <w:rPr>
          <w:sz w:val="20"/>
          <w:szCs w:val="20"/>
          <w:color w:val="auto"/>
        </w:rPr>
      </w:pPr>
      <w:r>
        <w:rPr>
          <w:rFonts w:ascii="Times New Roman" w:cs="Times New Roman" w:eastAsia="Times New Roman" w:hAnsi="Times New Roman"/>
          <w:sz w:val="18"/>
          <w:szCs w:val="18"/>
          <w:color w:val="auto"/>
        </w:rPr>
        <w:t>continued compliance. The specific security requirements vary by the type of business activity and the schedule and quantity of controlled substances handled. The most stringent requirements apply to researchers and manufacturers of Schedule I and Schedule II substances. Required security measures commonly include background checks on employees and physical control of controlled substances through storage in approved vaults, safes and cages, and through use of alarm systems and surveillance cameras. Once registered, manufacturing facilities must maintain records documenting the manufacture, receipt and distribution of all controlled substances. Manufacturers must submit periodic reports to the DEA of the distribution of Schedule I and II controlled substances, Schedule III narcotic substances, and other designated substances. Registrants must also report any controlled substance thefts or significant losses, and must obtain authorization to destroy or dispose of controlled substances. Imports of Schedule I and II controlled substances for commercial purposes are generally restricted to substances not already available from a domestic supplier or where there is not adequate competition among domestic suppliers. In addition to an importer or exporter registration, importers and exporters must obtain a permit for every import or export of a Schedule I and II substance or Schedule III, IV and V narcotic, and submit import or export declarations for Schedule III, IV and V non-narcotics.</w:t>
      </w:r>
    </w:p>
    <w:p>
      <w:pPr>
        <w:spacing w:after="0" w:line="191" w:lineRule="exact"/>
        <w:rPr>
          <w:sz w:val="20"/>
          <w:szCs w:val="20"/>
          <w:color w:val="auto"/>
        </w:rPr>
      </w:pPr>
    </w:p>
    <w:p>
      <w:pPr>
        <w:jc w:val="both"/>
        <w:spacing w:after="0" w:line="294" w:lineRule="auto"/>
        <w:rPr>
          <w:sz w:val="20"/>
          <w:szCs w:val="20"/>
          <w:color w:val="auto"/>
        </w:rPr>
      </w:pPr>
      <w:r>
        <w:rPr>
          <w:rFonts w:ascii="Times New Roman" w:cs="Times New Roman" w:eastAsia="Times New Roman" w:hAnsi="Times New Roman"/>
          <w:sz w:val="18"/>
          <w:szCs w:val="18"/>
          <w:color w:val="auto"/>
        </w:rPr>
        <w:t>For drugs manufactured in the United States, the DEA establishes annually an aggregate quota for the amount of substances within Schedules I and II that may be manufactured or produced in the United States based on the DEA’s estimate of the quantity needed to meet legitimate medical, scientific, research and industrial needs. The quotas apply equally to the manufacturing of the active pharmaceutical ingredient and production of dosage forms. The DEA may adjust aggregate production quotas a few times per year, and individual manufacturing or procurement quotas from time to time during the year, although the DEA has substantial discretion in whether or not to make such adjustments for individual companies.</w:t>
      </w:r>
    </w:p>
    <w:p>
      <w:pPr>
        <w:spacing w:after="0" w:line="183" w:lineRule="exact"/>
        <w:rPr>
          <w:sz w:val="20"/>
          <w:szCs w:val="20"/>
          <w:color w:val="auto"/>
        </w:rPr>
      </w:pPr>
    </w:p>
    <w:p>
      <w:pPr>
        <w:jc w:val="both"/>
        <w:spacing w:after="0" w:line="292" w:lineRule="auto"/>
        <w:rPr>
          <w:sz w:val="20"/>
          <w:szCs w:val="20"/>
          <w:color w:val="auto"/>
        </w:rPr>
      </w:pPr>
      <w:r>
        <w:rPr>
          <w:rFonts w:ascii="Times New Roman" w:cs="Times New Roman" w:eastAsia="Times New Roman" w:hAnsi="Times New Roman"/>
          <w:sz w:val="18"/>
          <w:szCs w:val="18"/>
          <w:color w:val="auto"/>
        </w:rPr>
        <w:t>Individual U.S. states also establish and maintain separate controlled substance laws and regulations, including licensing, recordkeeping, security, distribution, and dispensing requirements. A majority of state laws in the United States classify psilocybin and psilocin as Schedule I controlled substances. State authorities, including boards of pharmacy, regulate use of controlled substances in each state, including state specific controlled substance registration requirements. Failure to obtain applicable registrations or maintain compliance with applicable requirements, particularly as manifested in the loss or diversion of controlled substances, can result in enforcement action that could have a material adverse effect on the Company’s business, operations and financial condition. The DEA and/or state regulatory agencies may seek civil penalties, refuse to renew necessary registrations, or initiate proceedings to revoke those registrations. In certain circumstances, violations could lead to criminal prosecution.</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Europe/Netherlands</w:t>
      </w:r>
    </w:p>
    <w:p>
      <w:pPr>
        <w:spacing w:after="0" w:line="242" w:lineRule="exact"/>
        <w:rPr>
          <w:sz w:val="20"/>
          <w:szCs w:val="20"/>
          <w:color w:val="auto"/>
        </w:rPr>
      </w:pPr>
    </w:p>
    <w:p>
      <w:pPr>
        <w:jc w:val="both"/>
        <w:spacing w:after="0" w:line="281" w:lineRule="auto"/>
        <w:rPr>
          <w:sz w:val="20"/>
          <w:szCs w:val="20"/>
          <w:color w:val="auto"/>
        </w:rPr>
      </w:pPr>
      <w:r>
        <w:rPr>
          <w:rFonts w:ascii="Times New Roman" w:cs="Times New Roman" w:eastAsia="Times New Roman" w:hAnsi="Times New Roman"/>
          <w:sz w:val="18"/>
          <w:szCs w:val="18"/>
          <w:color w:val="auto"/>
        </w:rPr>
        <w:t>Regulation (EU) No 536/2014 on Clinical Trials on Medicinal Products for Human Use ( the “</w:t>
      </w:r>
      <w:r>
        <w:rPr>
          <w:rFonts w:ascii="Times New Roman" w:cs="Times New Roman" w:eastAsia="Times New Roman" w:hAnsi="Times New Roman"/>
          <w:sz w:val="18"/>
          <w:szCs w:val="18"/>
          <w:b w:val="1"/>
          <w:bCs w:val="1"/>
          <w:color w:val="auto"/>
        </w:rPr>
        <w:t>CTR</w:t>
      </w:r>
      <w:r>
        <w:rPr>
          <w:rFonts w:ascii="Times New Roman" w:cs="Times New Roman" w:eastAsia="Times New Roman" w:hAnsi="Times New Roman"/>
          <w:sz w:val="18"/>
          <w:szCs w:val="18"/>
          <w:color w:val="auto"/>
        </w:rPr>
        <w:t>”) is applicable as of January 31, 2022, harmonizing the laws, regulations and administrative provisions of the EU Member States relating to the implementation of Good Clinical Practice in the conduct of clinical trials on medicinal products for human use. EU Member States have transformed the requirements outlined in the Clinical Trials Directive into the respective national laws. Pursuant to the CTR, as of January 31, 2023 sponsors are obliged to use the Clinical Trials Information System</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48</w:t>
      </w:r>
    </w:p>
    <w:p>
      <w:pPr>
        <w:sectPr>
          <w:pgSz w:w="11900" w:h="16838" w:orient="portrait"/>
          <w:cols w:equalWidth="0" w:num="1">
            <w:col w:w="11240"/>
          </w:cols>
          <w:pgMar w:left="320" w:top="1303" w:right="339" w:bottom="1440" w:gutter="0" w:footer="0" w:header="0"/>
        </w:sectPr>
      </w:pPr>
    </w:p>
    <w:bookmarkStart w:id="74" w:name="page75"/>
    <w:bookmarkEnd w:id="74"/>
    <w:p>
      <w:pPr>
        <w:jc w:val="both"/>
        <w:spacing w:after="0" w:line="27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CTSI</w:t>
      </w:r>
      <w:r>
        <w:rPr>
          <w:rFonts w:ascii="Times New Roman" w:cs="Times New Roman" w:eastAsia="Times New Roman" w:hAnsi="Times New Roman"/>
          <w:sz w:val="18"/>
          <w:szCs w:val="18"/>
          <w:color w:val="auto"/>
        </w:rPr>
        <w:t>”) for regularity submission, authorization and supervision of clinical trials in the EU and the EEA. CTIS will thus serve as the single-entry point for submissions by sponsors and for regulatory assessment. In addition to this obligation, sponsors must transfer any ongoing (approved) trials under the CTR to CTIS by January 2025. Further, EMA adopted on October 5, 2023, the “Revised CTIS Transparency Rules” on publishing information about clinical trials submitted through CTIS. To increase transparency, EMA removed the deferral mechanism which allowed sponsors to delay certain data and document publication for up to seven years after the end of their trial. Annex I of the revised rules outlines the timing of information publication for each category of clinical trial and patient population. These new rules became applicable on June 18, 2024, the same day of the launch of the new CTIS portal. In order to smoothen the process of transitioning clinical trials from the Clinical Trial Directive to the CTR, a non-binding guide named “Guidance for the Transition of clinical trials from the Clinical Trials Directive to the Clinical Trials Regulation” (version 4) dated May 2024 is published.</w:t>
      </w:r>
    </w:p>
    <w:p>
      <w:pPr>
        <w:spacing w:after="0" w:line="205" w:lineRule="exact"/>
        <w:rPr>
          <w:sz w:val="20"/>
          <w:szCs w:val="20"/>
          <w:color w:val="auto"/>
        </w:rPr>
      </w:pPr>
    </w:p>
    <w:p>
      <w:pPr>
        <w:jc w:val="both"/>
        <w:spacing w:after="0" w:line="291" w:lineRule="auto"/>
        <w:rPr>
          <w:sz w:val="20"/>
          <w:szCs w:val="20"/>
          <w:color w:val="auto"/>
        </w:rPr>
      </w:pPr>
      <w:r>
        <w:rPr>
          <w:rFonts w:ascii="Times New Roman" w:cs="Times New Roman" w:eastAsia="Times New Roman" w:hAnsi="Times New Roman"/>
          <w:sz w:val="18"/>
          <w:szCs w:val="18"/>
          <w:color w:val="auto"/>
        </w:rPr>
        <w:t>CTIS and the practical aspects thereof are also discussed and explained (among other relevant topics relating to clinical trials) in a quick guide on the rules and procedures of the EU Clinical Trials Regulation called “Clinical Trials Regulation (EU) 536/2014 in practice”, which is published by the Clinical Trials Coordination and Advisory Group (“</w:t>
      </w:r>
      <w:r>
        <w:rPr>
          <w:rFonts w:ascii="Times New Roman" w:cs="Times New Roman" w:eastAsia="Times New Roman" w:hAnsi="Times New Roman"/>
          <w:sz w:val="18"/>
          <w:szCs w:val="18"/>
          <w:b w:val="1"/>
          <w:bCs w:val="1"/>
          <w:color w:val="auto"/>
        </w:rPr>
        <w:t>CTAG</w:t>
      </w:r>
      <w:r>
        <w:rPr>
          <w:rFonts w:ascii="Times New Roman" w:cs="Times New Roman" w:eastAsia="Times New Roman" w:hAnsi="Times New Roman"/>
          <w:sz w:val="18"/>
          <w:szCs w:val="18"/>
          <w:color w:val="auto"/>
        </w:rPr>
        <w:t>”) on December 8, 2023. The objective of the rules is to provide sponsors and investigators a quick guide on the rules and procedures of the CTR with a view to facilitating implementation. In addition to the quick guide, CTAG also published a non-binding Questions &amp; Answers (Version 6.7) that should be read in conjunction with the quick guide and with the “Clinical Trials Information System (CTIS): online training modules” in order to gain a better understanding of the legislative changes that are effected by the CTR.</w:t>
      </w:r>
    </w:p>
    <w:p>
      <w:pPr>
        <w:spacing w:after="0" w:line="185" w:lineRule="exact"/>
        <w:rPr>
          <w:sz w:val="20"/>
          <w:szCs w:val="20"/>
          <w:color w:val="auto"/>
        </w:rPr>
      </w:pPr>
    </w:p>
    <w:p>
      <w:pPr>
        <w:jc w:val="both"/>
        <w:spacing w:after="0" w:line="291" w:lineRule="auto"/>
        <w:rPr>
          <w:sz w:val="20"/>
          <w:szCs w:val="20"/>
          <w:color w:val="auto"/>
        </w:rPr>
      </w:pPr>
      <w:r>
        <w:rPr>
          <w:rFonts w:ascii="Times New Roman" w:cs="Times New Roman" w:eastAsia="Times New Roman" w:hAnsi="Times New Roman"/>
          <w:sz w:val="18"/>
          <w:szCs w:val="18"/>
          <w:color w:val="auto"/>
        </w:rPr>
        <w:t>The Investigational Medical Product Dossier (“</w:t>
      </w:r>
      <w:r>
        <w:rPr>
          <w:rFonts w:ascii="Times New Roman" w:cs="Times New Roman" w:eastAsia="Times New Roman" w:hAnsi="Times New Roman"/>
          <w:sz w:val="18"/>
          <w:szCs w:val="18"/>
          <w:b w:val="1"/>
          <w:bCs w:val="1"/>
          <w:color w:val="auto"/>
        </w:rPr>
        <w:t>IMPD</w:t>
      </w:r>
      <w:r>
        <w:rPr>
          <w:rFonts w:ascii="Times New Roman" w:cs="Times New Roman" w:eastAsia="Times New Roman" w:hAnsi="Times New Roman"/>
          <w:sz w:val="18"/>
          <w:szCs w:val="18"/>
          <w:color w:val="auto"/>
        </w:rPr>
        <w:t>”) is one of several regulatory documents required for conducting a clinical trial of a pharmacologically API intended for one or more EU Member States. The IMPD includes summaries of information related to the quality, manufacture and control of any IMP (including reference product and placebo), and data from non-clinical and clinical studies. Guidance concerning IMPDs is based on the CTR and on the approximation of laws, regulations and administrative provisions of the Member States relating to the implementation of good clinical practice in the conduct of clinical trials on medicinal products for human use (also commonly referred to as the “</w:t>
      </w:r>
      <w:r>
        <w:rPr>
          <w:rFonts w:ascii="Times New Roman" w:cs="Times New Roman" w:eastAsia="Times New Roman" w:hAnsi="Times New Roman"/>
          <w:sz w:val="18"/>
          <w:szCs w:val="18"/>
          <w:b w:val="1"/>
          <w:bCs w:val="1"/>
          <w:color w:val="auto"/>
        </w:rPr>
        <w:t>Clinical Trials Directive</w:t>
      </w:r>
      <w:r>
        <w:rPr>
          <w:rFonts w:ascii="Times New Roman" w:cs="Times New Roman" w:eastAsia="Times New Roman" w:hAnsi="Times New Roman"/>
          <w:sz w:val="18"/>
          <w:szCs w:val="18"/>
          <w:color w:val="auto"/>
        </w:rPr>
        <w:t>”).</w:t>
      </w:r>
    </w:p>
    <w:p>
      <w:pPr>
        <w:spacing w:after="0" w:line="198" w:lineRule="exact"/>
        <w:rPr>
          <w:sz w:val="20"/>
          <w:szCs w:val="20"/>
          <w:color w:val="auto"/>
        </w:rPr>
      </w:pPr>
    </w:p>
    <w:p>
      <w:pPr>
        <w:jc w:val="both"/>
        <w:spacing w:after="0" w:line="289" w:lineRule="auto"/>
        <w:rPr>
          <w:sz w:val="20"/>
          <w:szCs w:val="20"/>
          <w:color w:val="auto"/>
        </w:rPr>
      </w:pPr>
      <w:r>
        <w:rPr>
          <w:rFonts w:ascii="Times New Roman" w:cs="Times New Roman" w:eastAsia="Times New Roman" w:hAnsi="Times New Roman"/>
          <w:sz w:val="18"/>
          <w:szCs w:val="18"/>
          <w:color w:val="auto"/>
        </w:rPr>
        <w:t>The content of the IMPD may be adapted to the existing level of knowledge and the product’s phase of development. When applying for a clinical trial authorization, a full IMPD is required when little or no information about an API has been previously submitted to competent authorities, when it is not possible to cross-refer to data submitted by another sponsor and/or when there is no authorization for sale in the EU. However, a simplified IMPD may be submitted if information has been assessed previously as part of a Marketing Authorization or a clinical trial to that competent authority. Although the format is not obligatory, the components of an IMPD are largely equivalent to clinical trial applications in Canada and the United States. The IMPD need not be a large document as the amount of information to be contained in the dossier is dependent on various factors such as product type, indication, development phase etc.</w:t>
      </w:r>
    </w:p>
    <w:p>
      <w:pPr>
        <w:spacing w:after="0" w:line="189" w:lineRule="exact"/>
        <w:rPr>
          <w:sz w:val="20"/>
          <w:szCs w:val="20"/>
          <w:color w:val="auto"/>
        </w:rPr>
      </w:pPr>
    </w:p>
    <w:p>
      <w:pPr>
        <w:jc w:val="both"/>
        <w:ind w:right="20"/>
        <w:spacing w:after="0" w:line="323" w:lineRule="auto"/>
        <w:rPr>
          <w:sz w:val="20"/>
          <w:szCs w:val="20"/>
          <w:color w:val="auto"/>
        </w:rPr>
      </w:pPr>
      <w:r>
        <w:rPr>
          <w:rFonts w:ascii="Times New Roman" w:cs="Times New Roman" w:eastAsia="Times New Roman" w:hAnsi="Times New Roman"/>
          <w:sz w:val="18"/>
          <w:szCs w:val="18"/>
          <w:color w:val="auto"/>
        </w:rPr>
        <w:t>The assessment of an IMPD is focused on patient safety and any risks associated with the IMP. Whenever any potential new risks are identified the IMPD must be amended to reflect the changes.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49</w:t>
      </w:r>
    </w:p>
    <w:p>
      <w:pPr>
        <w:sectPr>
          <w:pgSz w:w="11900" w:h="16838" w:orient="portrait"/>
          <w:cols w:equalWidth="0" w:num="1">
            <w:col w:w="11260"/>
          </w:cols>
          <w:pgMar w:left="320" w:top="1289" w:right="319" w:bottom="1440" w:gutter="0" w:footer="0" w:header="0"/>
        </w:sectPr>
      </w:pPr>
    </w:p>
    <w:bookmarkStart w:id="75" w:name="page76"/>
    <w:bookmarkEnd w:id="75"/>
    <w:p>
      <w:pPr>
        <w:jc w:val="both"/>
        <w:ind w:right="20"/>
        <w:spacing w:after="0" w:line="301" w:lineRule="auto"/>
        <w:rPr>
          <w:sz w:val="20"/>
          <w:szCs w:val="20"/>
          <w:color w:val="auto"/>
        </w:rPr>
      </w:pPr>
      <w:r>
        <w:rPr>
          <w:rFonts w:ascii="Times New Roman" w:cs="Times New Roman" w:eastAsia="Times New Roman" w:hAnsi="Times New Roman"/>
          <w:sz w:val="18"/>
          <w:szCs w:val="18"/>
          <w:color w:val="auto"/>
        </w:rPr>
        <w:t>Certain amendments are considered substantial in which case the competent authority must be informed of the substantial amendment. This may be the case for changes in IMP impurities, microbial contamination, viral safety, transmissible spongiform encephalopathies (e.g. mad cow disease) and in some particular cases to stability when toxic degradation products may be generated.</w:t>
      </w:r>
    </w:p>
    <w:p>
      <w:pPr>
        <w:spacing w:after="0" w:line="176" w:lineRule="exact"/>
        <w:rPr>
          <w:sz w:val="20"/>
          <w:szCs w:val="20"/>
          <w:color w:val="auto"/>
        </w:rPr>
      </w:pPr>
    </w:p>
    <w:p>
      <w:pPr>
        <w:jc w:val="both"/>
        <w:ind w:right="20"/>
        <w:spacing w:after="0" w:line="292" w:lineRule="auto"/>
        <w:rPr>
          <w:sz w:val="20"/>
          <w:szCs w:val="20"/>
          <w:color w:val="auto"/>
        </w:rPr>
      </w:pPr>
      <w:r>
        <w:rPr>
          <w:rFonts w:ascii="Times New Roman" w:cs="Times New Roman" w:eastAsia="Times New Roman" w:hAnsi="Times New Roman"/>
          <w:sz w:val="18"/>
          <w:szCs w:val="18"/>
          <w:color w:val="auto"/>
        </w:rPr>
        <w:t>With the completion of the Asset Acquisition, the Company has an ongoing phase I study to obtain preliminary evidence of the safety and efficacy of infused DMT. Prior to the Asset Acquisition, an investigator’s brochure (including prior safety, preclinical and clinical data), and an IMPD document that includes CMC information and a clinical study protocol and supporting information had been prepared. Approval by the Dutch ethics committee of the Phase 1 Study, planned to be conducted by CHDR will be based on the vast amount of published human and animal studies of DMT. Prior to the Asset Acquisition, preclinical data was not provided as part of the application package; however, limited additional in vivo and in vitro data to support the rationale for human dosing and safety had been included. CHDR and its partner GMP-licensed pharmacy that will be involved in the Phase 1 Study, the Leiden University Medical Center, have all the required approvals to possess and handle DMT for the Phase 1 Study.</w:t>
      </w:r>
    </w:p>
    <w:p>
      <w:pPr>
        <w:spacing w:after="0" w:line="183" w:lineRule="exact"/>
        <w:rPr>
          <w:sz w:val="20"/>
          <w:szCs w:val="20"/>
          <w:color w:val="auto"/>
        </w:rPr>
      </w:pPr>
    </w:p>
    <w:p>
      <w:pPr>
        <w:jc w:val="both"/>
        <w:spacing w:after="0" w:line="289" w:lineRule="auto"/>
        <w:rPr>
          <w:sz w:val="20"/>
          <w:szCs w:val="20"/>
          <w:color w:val="auto"/>
        </w:rPr>
      </w:pPr>
      <w:r>
        <w:rPr>
          <w:rFonts w:ascii="Times New Roman" w:cs="Times New Roman" w:eastAsia="Times New Roman" w:hAnsi="Times New Roman"/>
          <w:sz w:val="18"/>
          <w:szCs w:val="18"/>
          <w:color w:val="auto"/>
        </w:rPr>
        <w:t>Failure of the Company to receive the necessary regulatory approvals required to conduct the Phase 1 Study would have an adverse impact on its business plans and financial condition for a number of reasons including, without limitation: (i) it would cause delays in the Company’s research and development plans; (ii) it may require the Company to expend additional financial and human resources on revising its application package or creating a new one; or (iii) it may require the Company to approach an entirely different regulatory authority in a new jurisdiction, in which case the Company would have to expend a substantial amount of capital and other resources on engaging the appropriate research and development partners and creating an application package that complies with the regulations of that new jurisdiction. Additionally, the Company would be required to spend capital on transferring the DMT materials to the new jurisdiction. All of the foregoing would likely have a negative impact on the Company’s business and financial condition.</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Pharmaceutical Products</w:t>
      </w:r>
    </w:p>
    <w:p>
      <w:pPr>
        <w:spacing w:after="0" w:line="2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accordance with the Dutch Medicines Act (</w:t>
      </w:r>
      <w:r>
        <w:rPr>
          <w:rFonts w:ascii="Times New Roman" w:cs="Times New Roman" w:eastAsia="Times New Roman" w:hAnsi="Times New Roman"/>
          <w:sz w:val="18"/>
          <w:szCs w:val="18"/>
          <w:i w:val="1"/>
          <w:iCs w:val="1"/>
          <w:color w:val="auto"/>
        </w:rPr>
        <w:t>Geneesmiddelenwet</w:t>
      </w:r>
      <w:r>
        <w:rPr>
          <w:rFonts w:ascii="Times New Roman" w:cs="Times New Roman" w:eastAsia="Times New Roman" w:hAnsi="Times New Roman"/>
          <w:sz w:val="18"/>
          <w:szCs w:val="18"/>
          <w:color w:val="auto"/>
        </w:rPr>
        <w:t>), “medicinal products” are defined as: a substance or a combination of substances that is</w:t>
      </w:r>
    </w:p>
    <w:p>
      <w:pPr>
        <w:spacing w:after="0" w:line="37" w:lineRule="exact"/>
        <w:rPr>
          <w:sz w:val="20"/>
          <w:szCs w:val="20"/>
          <w:color w:val="auto"/>
        </w:rPr>
      </w:pPr>
    </w:p>
    <w:p>
      <w:pPr>
        <w:jc w:val="both"/>
        <w:ind w:right="20"/>
        <w:spacing w:after="0" w:line="301" w:lineRule="auto"/>
        <w:rPr>
          <w:sz w:val="20"/>
          <w:szCs w:val="20"/>
          <w:color w:val="auto"/>
        </w:rPr>
      </w:pPr>
      <w:r>
        <w:rPr>
          <w:rFonts w:ascii="Times New Roman" w:cs="Times New Roman" w:eastAsia="Times New Roman" w:hAnsi="Times New Roman"/>
          <w:sz w:val="18"/>
          <w:szCs w:val="18"/>
          <w:color w:val="auto"/>
        </w:rPr>
        <w:t>intended to be administered or used for, or is presented in any way as being suitable for, use: (i) the cure or prevention of any disease, defect, wound or pain in human beings, (ii) the making of a medical diagnosis in human beings, or (iii) restoring, improving or otherwise modifying physiological functions in humans by exerting a pharmacological, immunological or metabolic effect.</w:t>
      </w:r>
    </w:p>
    <w:p>
      <w:pPr>
        <w:spacing w:after="0" w:line="164" w:lineRule="exact"/>
        <w:rPr>
          <w:sz w:val="20"/>
          <w:szCs w:val="20"/>
          <w:color w:val="auto"/>
        </w:rPr>
      </w:pPr>
    </w:p>
    <w:p>
      <w:pPr>
        <w:jc w:val="both"/>
        <w:spacing w:after="0" w:line="274" w:lineRule="auto"/>
        <w:rPr>
          <w:sz w:val="20"/>
          <w:szCs w:val="20"/>
          <w:color w:val="auto"/>
        </w:rPr>
      </w:pPr>
      <w:r>
        <w:rPr>
          <w:rFonts w:ascii="Times New Roman" w:cs="Times New Roman" w:eastAsia="Times New Roman" w:hAnsi="Times New Roman"/>
          <w:sz w:val="18"/>
          <w:szCs w:val="18"/>
          <w:color w:val="auto"/>
        </w:rPr>
        <w:t>If a product constitutes a medicinal product, a marketing authorization for the product is required before the product may be placed on the market in the Netherlands. In the EU, marketing authorizations may be obtained through the Centralized procedure, the Decentralized procedure and/or the national procedure. The Centralized procedure is compulsory for medicines intended to treat i.e. cancer, AIDS, neurodegenerative diseases and diabetes and optional (only) for medicines comprising of new active substances not previously approved for the EEA. When applying for a marketing authorization through the Centralized procedure, applications are submitted with the European Medicines Agency (the “</w:t>
      </w:r>
      <w:r>
        <w:rPr>
          <w:rFonts w:ascii="Times New Roman" w:cs="Times New Roman" w:eastAsia="Times New Roman" w:hAnsi="Times New Roman"/>
          <w:sz w:val="18"/>
          <w:szCs w:val="18"/>
          <w:b w:val="1"/>
          <w:bCs w:val="1"/>
          <w:color w:val="auto"/>
        </w:rPr>
        <w:t>EMA</w:t>
      </w:r>
      <w:r>
        <w:rPr>
          <w:rFonts w:ascii="Times New Roman" w:cs="Times New Roman" w:eastAsia="Times New Roman" w:hAnsi="Times New Roman"/>
          <w:sz w:val="18"/>
          <w:szCs w:val="18"/>
          <w:color w:val="auto"/>
        </w:rPr>
        <w:t>”). Where the Centralized procedure is not available but a medicinal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50</w:t>
      </w:r>
    </w:p>
    <w:p>
      <w:pPr>
        <w:sectPr>
          <w:pgSz w:w="11900" w:h="16838" w:orient="portrait"/>
          <w:cols w:equalWidth="0" w:num="1">
            <w:col w:w="11260"/>
          </w:cols>
          <w:pgMar w:left="320" w:top="1303" w:right="319" w:bottom="1440" w:gutter="0" w:footer="0" w:header="0"/>
        </w:sectPr>
      </w:pPr>
    </w:p>
    <w:bookmarkStart w:id="76" w:name="page77"/>
    <w:bookmarkEnd w:id="76"/>
    <w:p>
      <w:pPr>
        <w:jc w:val="both"/>
        <w:spacing w:after="0" w:line="273" w:lineRule="auto"/>
        <w:rPr>
          <w:sz w:val="20"/>
          <w:szCs w:val="20"/>
          <w:color w:val="auto"/>
        </w:rPr>
      </w:pPr>
      <w:r>
        <w:rPr>
          <w:rFonts w:ascii="Times New Roman" w:cs="Times New Roman" w:eastAsia="Times New Roman" w:hAnsi="Times New Roman"/>
          <w:sz w:val="18"/>
          <w:szCs w:val="18"/>
          <w:color w:val="auto"/>
        </w:rPr>
        <w:t>product is intended for several EU/EEA Member States, an application for a marketing authorization may be submitted with the competent authority of a single EU/EEA Member State in accordance with the Decentralized procedure. When the assessment of the application results in a decision to grant the marketing authorization, this decision will be mutually recognized by the competent authorities of the other Member States for which the marketing authorization is applied. Finally, should a medicinal product be intended for the Netherlands only, then the national procedure may be followed as well by submitting an application with the Dutch Medicines Evaluation Board. It may be remarked that the national procedure is unavailable in case the Centralized procedure is compulsory or in case an applicant has already submitted an application for and/or obtained a marketing authorization in another Member State. In that case, applications must follow the mutual recognition procedure instead.</w:t>
      </w:r>
    </w:p>
    <w:p>
      <w:pPr>
        <w:spacing w:after="0" w:line="201" w:lineRule="exact"/>
        <w:rPr>
          <w:sz w:val="20"/>
          <w:szCs w:val="20"/>
          <w:color w:val="auto"/>
        </w:rPr>
      </w:pPr>
    </w:p>
    <w:p>
      <w:pPr>
        <w:jc w:val="both"/>
        <w:spacing w:after="0" w:line="288" w:lineRule="auto"/>
        <w:rPr>
          <w:sz w:val="20"/>
          <w:szCs w:val="20"/>
          <w:color w:val="auto"/>
        </w:rPr>
      </w:pPr>
      <w:r>
        <w:rPr>
          <w:rFonts w:ascii="Times New Roman" w:cs="Times New Roman" w:eastAsia="Times New Roman" w:hAnsi="Times New Roman"/>
          <w:sz w:val="18"/>
          <w:szCs w:val="18"/>
          <w:color w:val="auto"/>
        </w:rPr>
        <w:t>Companies that manufacture or trade in medicinal products and/or active pharmaceutical ingredients in the Netherlands require a manufacturing authorization or a wholesale distribution authorization. A manufacturing authorization is required for the preparation, trading in, import and export of medicinal products and/or active substances. Here, ‘preparation’ means the total or partial manufacture of medicinal products and/or active substances or the packaging or labelling thereof. ‘Importing’ means the import of medicinal products or active substances from a country outside the EEA into the Dutch territory, while ‘exporting’ means the export of medicinal products or active substances from the Dutch territory to a country outside the EEA. A wholesale distribution authorization is required for one or more activities within the wholesale business, such as procuring, holding, supplying, delivering or exporting medicinal products or active substances which are prepared or imported by a third party. It may be noted that holders of wholesale distribution authorization, other than holders of marketing authorizations, are not authorized to import medicinal products from countries outside the EEA.</w:t>
      </w:r>
    </w:p>
    <w:p>
      <w:pPr>
        <w:spacing w:after="0" w:line="201" w:lineRule="exact"/>
        <w:rPr>
          <w:sz w:val="20"/>
          <w:szCs w:val="20"/>
          <w:color w:val="auto"/>
        </w:rPr>
      </w:pPr>
    </w:p>
    <w:p>
      <w:pPr>
        <w:jc w:val="both"/>
        <w:spacing w:after="0" w:line="319" w:lineRule="auto"/>
        <w:rPr>
          <w:sz w:val="20"/>
          <w:szCs w:val="20"/>
          <w:color w:val="auto"/>
        </w:rPr>
      </w:pPr>
      <w:r>
        <w:rPr>
          <w:rFonts w:ascii="Times New Roman" w:cs="Times New Roman" w:eastAsia="Times New Roman" w:hAnsi="Times New Roman"/>
          <w:sz w:val="17"/>
          <w:szCs w:val="17"/>
          <w:color w:val="auto"/>
        </w:rPr>
        <w:t>Only a natural or legal person established in the Netherlands may obtain either a Dutch marketing authorization or a wholesale distribution authorization. These authorizations concern national permits, meaning that these authorizations are not automatically valid in other EU Member States. Furthermore, in the Netherlands applicants of marketing authorizations and wholesale distributions authorizations must be registered with Farmatec and comply with GDP norms.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Market Authorization Regulatory Process</w:t>
      </w:r>
    </w:p>
    <w:p>
      <w:pPr>
        <w:spacing w:after="0" w:line="252" w:lineRule="exact"/>
        <w:rPr>
          <w:sz w:val="20"/>
          <w:szCs w:val="20"/>
          <w:color w:val="auto"/>
        </w:rPr>
      </w:pPr>
    </w:p>
    <w:p>
      <w:pPr>
        <w:jc w:val="both"/>
        <w:spacing w:after="0" w:line="289" w:lineRule="auto"/>
        <w:rPr>
          <w:sz w:val="20"/>
          <w:szCs w:val="20"/>
          <w:color w:val="auto"/>
        </w:rPr>
      </w:pPr>
      <w:r>
        <w:rPr>
          <w:rFonts w:ascii="Times New Roman" w:cs="Times New Roman" w:eastAsia="Times New Roman" w:hAnsi="Times New Roman"/>
          <w:sz w:val="18"/>
          <w:szCs w:val="18"/>
          <w:color w:val="auto"/>
        </w:rPr>
        <w:t>Under the Centralized procedure, pharmaceutical companies submit a single marketing authorization application to the EMA, which provides the basis of a legally binding recommendation that will be provided by the EMA to the European Commission, the authorizing body for all centrally authorized products. This allows the marketing-authorization holder to market the medicine and make it available to patients and healthcare professionals throughout the EU on the basis of a single marketing authorization. EMA’s Committee for Medicinal products for Human Use or Committee for Medicinal Products for Veterinary Use carry out a scientific assessment of the application and give a recommendation on whether the medicine should be marketed or not, under any particular dosing regime. Although, under EU law, the EMA has no authority to permit marketing in the different EU countries, the European Commission is the authorizing body for all centrally authorized products, who takes a legally binding decision based on EMA’s recommendation. Once granted by the European Commission, the centralized marketing authorization is valid in all EU Member States as well as in the European Economic Area countries Iceland, Liechtenstein and Norway. European Commission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51</w:t>
      </w:r>
    </w:p>
    <w:p>
      <w:pPr>
        <w:sectPr>
          <w:pgSz w:w="11900" w:h="16838" w:orient="portrait"/>
          <w:cols w:equalWidth="0" w:num="1">
            <w:col w:w="11240"/>
          </w:cols>
          <w:pgMar w:left="320" w:top="1291" w:right="339" w:bottom="1440" w:gutter="0" w:footer="0" w:header="0"/>
        </w:sectPr>
      </w:pPr>
    </w:p>
    <w:bookmarkStart w:id="77" w:name="page78"/>
    <w:bookmarkEnd w:id="77"/>
    <w:p>
      <w:pPr>
        <w:jc w:val="both"/>
        <w:ind w:right="20"/>
        <w:spacing w:after="0" w:line="288" w:lineRule="auto"/>
        <w:rPr>
          <w:sz w:val="20"/>
          <w:szCs w:val="20"/>
          <w:color w:val="auto"/>
        </w:rPr>
      </w:pPr>
      <w:r>
        <w:rPr>
          <w:rFonts w:ascii="Times New Roman" w:cs="Times New Roman" w:eastAsia="Times New Roman" w:hAnsi="Times New Roman"/>
          <w:sz w:val="18"/>
          <w:szCs w:val="18"/>
          <w:color w:val="auto"/>
        </w:rPr>
        <w:t>decisions are published in the Community Register of medicinal products for human use. Once a medicine has been authorized for use in the EU, the EMA and the EU Member States constantly monitor its safety and take action if new information indicates that the medicine is no longer as safe and effective as previously thought. The safety monitoring of medicines involves a number of routine activities ranging from: assessing the way risks associated with a medicine will be managed and monitored once it is authorized; continuously monitoring suspected side effects reported by patients and healthcare professionals, identified in new clinical studies or reported in scientific publications; regularly assessing reports submitted by the Company holding the marketing authorization on the benefit-risk balance of a medicine in real life; and assessing the design and results of post-authorization safety studies which were required at the time of authorization. The EMA can also carry out a review of a medicine or a class of medicines upon request of a Member State or the European Commission. These are called EU referral procedures; they are usually triggered by concerns in relation to a medicine’s safety, the effectiveness of risk minimization measures or the benefit-risk balance of the medicine. The EMA has a dedicated committee responsible for assessing and monitoring the safety of medicines, the Pharmacovigilance Risk Assessment Committee. This ensures that EMA and the EU Member States can move very quickly once an issue is detected and take any necessary action, such as amending the information available to patients and healthcare professionals, restricting use or suspending a medicine, in a timely manner in order to protect patients.</w:t>
      </w:r>
    </w:p>
    <w:p>
      <w:pPr>
        <w:spacing w:after="0" w:line="199"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8"/>
          <w:szCs w:val="18"/>
          <w:color w:val="auto"/>
        </w:rPr>
        <w:t>Besides the Centralized procedure, pharmaceutical companies may also submit marketing authorization applications through the Decentralized procedure with the competent authority of a Member State. As the Centralized procedure is compulsory for medicines intended to treat specified diseases i.e. cancer, AIDS, neurodegenerative diseases and diabetes and only optional for medicines comprising of new active substances not previously approved for the EU/EEA, in all other circumstances the Decentralized procedure should be used instead if a marketing authorization is to be obtained for several EU/EEA Member States. When following the Decentralized procedure, the applicant requests one country to be the Reference Member State (“</w:t>
      </w:r>
      <w:r>
        <w:rPr>
          <w:rFonts w:ascii="Times New Roman" w:cs="Times New Roman" w:eastAsia="Times New Roman" w:hAnsi="Times New Roman"/>
          <w:sz w:val="18"/>
          <w:szCs w:val="18"/>
          <w:b w:val="1"/>
          <w:bCs w:val="1"/>
          <w:color w:val="auto"/>
        </w:rPr>
        <w:t>RMS</w:t>
      </w:r>
      <w:r>
        <w:rPr>
          <w:rFonts w:ascii="Times New Roman" w:cs="Times New Roman" w:eastAsia="Times New Roman" w:hAnsi="Times New Roman"/>
          <w:sz w:val="18"/>
          <w:szCs w:val="18"/>
          <w:color w:val="auto"/>
        </w:rPr>
        <w:t>”) in the procedure. After having shared draft assessment reports to which both the applicant and the competent authorities of other Member States may respond, the to be granted marketing authorization will eventually go through the Mutual recognition procedure. In the Mutual recognition procedure other Member States generally adopt the RMS’s assessment, unless there are important objections on the grounds of a potentially serious risk to public health. In such situations, further discussions will also be held in the Co-ordination group for Mutual recognition and Decentralised procedures (“</w:t>
      </w:r>
      <w:r>
        <w:rPr>
          <w:rFonts w:ascii="Times New Roman" w:cs="Times New Roman" w:eastAsia="Times New Roman" w:hAnsi="Times New Roman"/>
          <w:sz w:val="18"/>
          <w:szCs w:val="18"/>
          <w:b w:val="1"/>
          <w:bCs w:val="1"/>
          <w:color w:val="auto"/>
        </w:rPr>
        <w:t>CMDh</w:t>
      </w:r>
      <w:r>
        <w:rPr>
          <w:rFonts w:ascii="Times New Roman" w:cs="Times New Roman" w:eastAsia="Times New Roman" w:hAnsi="Times New Roman"/>
          <w:sz w:val="18"/>
          <w:szCs w:val="18"/>
          <w:color w:val="auto"/>
        </w:rPr>
        <w:t>”). When all Member States involved decide on a positive opinion on products in the CMDh, Dutch translations of the summary of product characteristics, package leaflet, labelling texts and mock-ups are submitted and a national marketing authorization is issued.</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Ireland</w:t>
      </w:r>
    </w:p>
    <w:p>
      <w:pPr>
        <w:spacing w:after="0" w:line="266" w:lineRule="exact"/>
        <w:rPr>
          <w:sz w:val="20"/>
          <w:szCs w:val="20"/>
          <w:color w:val="auto"/>
        </w:rPr>
      </w:pPr>
    </w:p>
    <w:p>
      <w:pPr>
        <w:jc w:val="both"/>
        <w:spacing w:after="0" w:line="295" w:lineRule="auto"/>
        <w:rPr>
          <w:sz w:val="20"/>
          <w:szCs w:val="20"/>
          <w:color w:val="auto"/>
        </w:rPr>
      </w:pPr>
      <w:r>
        <w:rPr>
          <w:rFonts w:ascii="Times New Roman" w:cs="Times New Roman" w:eastAsia="Times New Roman" w:hAnsi="Times New Roman"/>
          <w:sz w:val="18"/>
          <w:szCs w:val="18"/>
          <w:color w:val="auto"/>
        </w:rPr>
        <w:t xml:space="preserve">In Ireland, psilocin is a controlled substance under the </w:t>
      </w:r>
      <w:r>
        <w:rPr>
          <w:rFonts w:ascii="Times New Roman" w:cs="Times New Roman" w:eastAsia="Times New Roman" w:hAnsi="Times New Roman"/>
          <w:sz w:val="18"/>
          <w:szCs w:val="18"/>
          <w:i w:val="1"/>
          <w:iCs w:val="1"/>
          <w:color w:val="auto"/>
        </w:rPr>
        <w:t>Misuse of Drugs Act, 1977, 1984 and 2015</w:t>
      </w:r>
      <w:r>
        <w:rPr>
          <w:rFonts w:ascii="Times New Roman" w:cs="Times New Roman" w:eastAsia="Times New Roman" w:hAnsi="Times New Roman"/>
          <w:sz w:val="18"/>
          <w:szCs w:val="18"/>
          <w:color w:val="auto"/>
        </w:rPr>
        <w:t xml:space="preserve"> (the “</w:t>
      </w:r>
      <w:r>
        <w:rPr>
          <w:rFonts w:ascii="Times New Roman" w:cs="Times New Roman" w:eastAsia="Times New Roman" w:hAnsi="Times New Roman"/>
          <w:sz w:val="18"/>
          <w:szCs w:val="18"/>
          <w:b w:val="1"/>
          <w:bCs w:val="1"/>
          <w:color w:val="auto"/>
        </w:rPr>
        <w:t>Ireland MDA</w:t>
      </w:r>
      <w:r>
        <w:rPr>
          <w:rFonts w:ascii="Times New Roman" w:cs="Times New Roman" w:eastAsia="Times New Roman" w:hAnsi="Times New Roman"/>
          <w:sz w:val="18"/>
          <w:szCs w:val="18"/>
          <w:color w:val="auto"/>
        </w:rPr>
        <w:t xml:space="preserve">”), the </w:t>
      </w:r>
      <w:r>
        <w:rPr>
          <w:rFonts w:ascii="Times New Roman" w:cs="Times New Roman" w:eastAsia="Times New Roman" w:hAnsi="Times New Roman"/>
          <w:sz w:val="18"/>
          <w:szCs w:val="18"/>
          <w:i w:val="1"/>
          <w:iCs w:val="1"/>
          <w:color w:val="auto"/>
        </w:rPr>
        <w:t>Misuse of Drugs Regulations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2017 </w:t>
      </w:r>
      <w:r>
        <w:rPr>
          <w:rFonts w:ascii="Times New Roman" w:cs="Times New Roman" w:eastAsia="Times New Roman" w:hAnsi="Times New Roman"/>
          <w:sz w:val="18"/>
          <w:szCs w:val="18"/>
          <w:color w:val="auto"/>
        </w:rPr>
        <w:t>(the “</w:t>
      </w:r>
      <w:r>
        <w:rPr>
          <w:rFonts w:ascii="Times New Roman" w:cs="Times New Roman" w:eastAsia="Times New Roman" w:hAnsi="Times New Roman"/>
          <w:sz w:val="18"/>
          <w:szCs w:val="18"/>
          <w:b w:val="1"/>
          <w:bCs w:val="1"/>
          <w:color w:val="auto"/>
        </w:rPr>
        <w:t>Ireland MDR</w:t>
      </w:r>
      <w:r>
        <w:rPr>
          <w:rFonts w:ascii="Times New Roman" w:cs="Times New Roman" w:eastAsia="Times New Roman" w:hAnsi="Times New Roman"/>
          <w:sz w:val="18"/>
          <w:szCs w:val="18"/>
          <w:color w:val="auto"/>
        </w:rPr>
        <w:t>”) and the</w:t>
      </w:r>
      <w:r>
        <w:rPr>
          <w:rFonts w:ascii="Times New Roman" w:cs="Times New Roman" w:eastAsia="Times New Roman" w:hAnsi="Times New Roman"/>
          <w:sz w:val="18"/>
          <w:szCs w:val="18"/>
          <w:i w:val="1"/>
          <w:iCs w:val="1"/>
          <w:color w:val="auto"/>
        </w:rPr>
        <w:t xml:space="preserve"> Criminal Justice (Psychoactive Substances) Act 2010</w:t>
      </w:r>
      <w:r>
        <w:rPr>
          <w:rFonts w:ascii="Times New Roman" w:cs="Times New Roman" w:eastAsia="Times New Roman" w:hAnsi="Times New Roman"/>
          <w:sz w:val="18"/>
          <w:szCs w:val="18"/>
          <w:color w:val="auto"/>
        </w:rPr>
        <w:t>. These are the primary legislative instruments which govern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controlled substances in Ireland. This legislation regulates the use, possession, supply, licensing, and administration of listed scheduled substances and establishes the offences and penalties for anything done contrary to the legislation.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52</w:t>
      </w:r>
    </w:p>
    <w:p>
      <w:pPr>
        <w:sectPr>
          <w:pgSz w:w="11900" w:h="16838" w:orient="portrait"/>
          <w:cols w:equalWidth="0" w:num="1">
            <w:col w:w="11260"/>
          </w:cols>
          <w:pgMar w:left="320" w:top="1303" w:right="319" w:bottom="1440" w:gutter="0" w:footer="0" w:header="0"/>
        </w:sectPr>
      </w:pPr>
    </w:p>
    <w:bookmarkStart w:id="78" w:name="page79"/>
    <w:bookmarkEnd w:id="78"/>
    <w:p>
      <w:pPr>
        <w:spacing w:after="0" w:line="81" w:lineRule="exact"/>
        <w:rPr>
          <w:sz w:val="20"/>
          <w:szCs w:val="20"/>
          <w:color w:val="auto"/>
        </w:rPr>
      </w:pPr>
    </w:p>
    <w:p>
      <w:pPr>
        <w:jc w:val="both"/>
        <w:spacing w:after="0" w:line="294" w:lineRule="auto"/>
        <w:rPr>
          <w:sz w:val="20"/>
          <w:szCs w:val="20"/>
          <w:color w:val="auto"/>
        </w:rPr>
      </w:pPr>
      <w:r>
        <w:rPr>
          <w:rFonts w:ascii="Times New Roman" w:cs="Times New Roman" w:eastAsia="Times New Roman" w:hAnsi="Times New Roman"/>
          <w:sz w:val="18"/>
          <w:szCs w:val="18"/>
          <w:color w:val="auto"/>
        </w:rPr>
        <w:t>Any substance, product or preparation (whether natural or otherwise) including a fungus of any kind or description, which contains psilocin or an ester of psilocin is controlled as a Schedule 1 controlled substance under the Ireland MDA and the Ireland MDR. The Ireland MDR includes “any substance, product or preparation including fungi of any kind or description, containing psilocin or an ester of psilocin (which are commonly described as ‘magic mushrooms’)” within the strict regime of control that applies to those substances in Schedule 1 of the Ireland MDR. Accordingly, psilocin will qualify as a Schedule 1 controlled substance and is subject to the strict regime of control that applies.</w:t>
      </w:r>
    </w:p>
    <w:p>
      <w:pPr>
        <w:spacing w:after="0" w:line="183" w:lineRule="exact"/>
        <w:rPr>
          <w:sz w:val="20"/>
          <w:szCs w:val="20"/>
          <w:color w:val="auto"/>
        </w:rPr>
      </w:pPr>
    </w:p>
    <w:p>
      <w:pPr>
        <w:jc w:val="both"/>
        <w:ind w:right="20"/>
        <w:spacing w:after="0" w:line="341" w:lineRule="auto"/>
        <w:rPr>
          <w:sz w:val="20"/>
          <w:szCs w:val="20"/>
          <w:color w:val="auto"/>
        </w:rPr>
      </w:pPr>
      <w:r>
        <w:rPr>
          <w:rFonts w:ascii="Times New Roman" w:cs="Times New Roman" w:eastAsia="Times New Roman" w:hAnsi="Times New Roman"/>
          <w:sz w:val="17"/>
          <w:szCs w:val="17"/>
          <w:color w:val="auto"/>
        </w:rPr>
        <w:t>As a Schedule 1 controlled substance under the Ireland MDA, unlawful manufacturing, production, preparation, importation, exportation, supply, or distribution of psilocin carries onerous obligations and harsh punishments for contravention; this include fines and/or terms of imprisonment of up to 14 years.</w:t>
      </w:r>
    </w:p>
    <w:p>
      <w:pPr>
        <w:spacing w:after="0" w:line="158" w:lineRule="exact"/>
        <w:rPr>
          <w:sz w:val="20"/>
          <w:szCs w:val="20"/>
          <w:color w:val="auto"/>
        </w:rPr>
      </w:pPr>
    </w:p>
    <w:p>
      <w:pPr>
        <w:jc w:val="both"/>
        <w:ind w:right="20"/>
        <w:spacing w:after="0" w:line="294" w:lineRule="auto"/>
        <w:rPr>
          <w:sz w:val="20"/>
          <w:szCs w:val="20"/>
          <w:color w:val="auto"/>
        </w:rPr>
      </w:pPr>
      <w:r>
        <w:rPr>
          <w:rFonts w:ascii="Times New Roman" w:cs="Times New Roman" w:eastAsia="Times New Roman" w:hAnsi="Times New Roman"/>
          <w:sz w:val="18"/>
          <w:szCs w:val="18"/>
          <w:color w:val="auto"/>
        </w:rPr>
        <w:t>Pursuant to the Ireland MDA, in certain circumstances, the Minister for Health “may grant licences or issue permits or authorizations for any of the purposes of this Act, attach conditions to any such licence, permit or authorization, vary such conditions and revoke any such licence, permit or authorization”. Where licences are granted, there are very strict conditions imposed on licence holders. For example, strict conditions can be placed regarding the security, storage and documenting controlled substances.</w:t>
      </w:r>
    </w:p>
    <w:p>
      <w:pPr>
        <w:spacing w:after="0" w:line="183" w:lineRule="exact"/>
        <w:rPr>
          <w:sz w:val="20"/>
          <w:szCs w:val="20"/>
          <w:color w:val="auto"/>
        </w:rPr>
      </w:pPr>
    </w:p>
    <w:p>
      <w:pPr>
        <w:jc w:val="both"/>
        <w:spacing w:after="0" w:line="301" w:lineRule="auto"/>
        <w:rPr>
          <w:sz w:val="20"/>
          <w:szCs w:val="20"/>
          <w:color w:val="auto"/>
        </w:rPr>
      </w:pPr>
      <w:r>
        <w:rPr>
          <w:rFonts w:ascii="Times New Roman" w:cs="Times New Roman" w:eastAsia="Times New Roman" w:hAnsi="Times New Roman"/>
          <w:sz w:val="18"/>
          <w:szCs w:val="18"/>
          <w:color w:val="auto"/>
        </w:rPr>
        <w:t>The Company does not currently engage in any activities in Ireland that are regulated by such laws. If the Company were to engage in such activities, it would need to obtain the appropriate licences and authorization to do so. The Company intends to constantly review its Irish operations to ensure compliance with all applicable laws as the operations evolve.</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Compliance with Applicable Laws</w:t>
      </w:r>
    </w:p>
    <w:p>
      <w:pPr>
        <w:spacing w:after="0" w:line="230" w:lineRule="exact"/>
        <w:rPr>
          <w:sz w:val="20"/>
          <w:szCs w:val="20"/>
          <w:color w:val="auto"/>
        </w:rPr>
      </w:pPr>
    </w:p>
    <w:p>
      <w:pPr>
        <w:jc w:val="both"/>
        <w:ind w:right="20"/>
        <w:spacing w:after="0" w:line="275" w:lineRule="auto"/>
        <w:rPr>
          <w:sz w:val="20"/>
          <w:szCs w:val="20"/>
          <w:color w:val="auto"/>
        </w:rPr>
      </w:pPr>
      <w:r>
        <w:rPr>
          <w:rFonts w:ascii="Times New Roman" w:cs="Times New Roman" w:eastAsia="Times New Roman" w:hAnsi="Times New Roman"/>
          <w:sz w:val="18"/>
          <w:szCs w:val="18"/>
          <w:color w:val="auto"/>
        </w:rPr>
        <w:t>The Company oversees and monitors compliance with applicable laws in each jurisdiction in which it operates. In addition to the Company’s senior executives and the employees responsible for overseeing compliance, the Company has local counsel engaged in every jurisdiction in which it operates and has received legal opinions or advice in each of these jurisdictions regarding (a) compliance with applicable regulatory frameworks, and (b) potential exposure to, and implications arising from, applicable laws in jurisdictions in which the Company has operations or intends to operate.</w:t>
      </w:r>
    </w:p>
    <w:p>
      <w:pPr>
        <w:spacing w:after="0" w:line="200" w:lineRule="exact"/>
        <w:rPr>
          <w:sz w:val="20"/>
          <w:szCs w:val="20"/>
          <w:color w:val="auto"/>
        </w:rPr>
      </w:pPr>
    </w:p>
    <w:p>
      <w:pPr>
        <w:jc w:val="both"/>
        <w:ind w:right="20"/>
        <w:spacing w:after="0" w:line="301" w:lineRule="auto"/>
        <w:rPr>
          <w:sz w:val="20"/>
          <w:szCs w:val="20"/>
          <w:color w:val="auto"/>
        </w:rPr>
      </w:pPr>
      <w:r>
        <w:rPr>
          <w:rFonts w:ascii="Times New Roman" w:cs="Times New Roman" w:eastAsia="Times New Roman" w:hAnsi="Times New Roman"/>
          <w:sz w:val="18"/>
          <w:szCs w:val="18"/>
          <w:color w:val="auto"/>
        </w:rPr>
        <w:t>The Company works with third parties who require regulatory licensing to handle scheduled drugs. The Company continuously updates its compliance and channel programs to maintain regulatory standards set for drug development. The Company also works with clinical research organizations who maintain batch records and data storage for the Company’s clinical programs.</w:t>
      </w:r>
    </w:p>
    <w:p>
      <w:pPr>
        <w:spacing w:after="0" w:line="152" w:lineRule="exact"/>
        <w:rPr>
          <w:sz w:val="20"/>
          <w:szCs w:val="20"/>
          <w:color w:val="auto"/>
        </w:rPr>
      </w:pPr>
    </w:p>
    <w:p>
      <w:pPr>
        <w:jc w:val="both"/>
        <w:ind w:right="20"/>
        <w:spacing w:after="0" w:line="356" w:lineRule="auto"/>
        <w:rPr>
          <w:sz w:val="20"/>
          <w:szCs w:val="20"/>
          <w:color w:val="auto"/>
        </w:rPr>
      </w:pPr>
      <w:r>
        <w:rPr>
          <w:rFonts w:ascii="Times New Roman" w:cs="Times New Roman" w:eastAsia="Times New Roman" w:hAnsi="Times New Roman"/>
          <w:sz w:val="17"/>
          <w:szCs w:val="17"/>
          <w:color w:val="auto"/>
        </w:rPr>
        <w:t>Additionally, the Company has established a Medical &amp; Clinical Advisory Team, a Research, Clinical and Regulatory Team and a Government Relations and Communications Team with cross-functional expertise in business, neuroscience, pharmaceuticals, mental health and psychedelics to advise management.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53</w:t>
      </w:r>
    </w:p>
    <w:p>
      <w:pPr>
        <w:sectPr>
          <w:pgSz w:w="11900" w:h="16838" w:orient="portrait"/>
          <w:cols w:equalWidth="0" w:num="1">
            <w:col w:w="11260"/>
          </w:cols>
          <w:pgMar w:left="320" w:top="1440" w:right="319" w:bottom="1440" w:gutter="0" w:footer="0" w:header="0"/>
        </w:sectPr>
      </w:pPr>
    </w:p>
    <w:bookmarkStart w:id="79" w:name="page80"/>
    <w:bookmarkEnd w:id="79"/>
    <w:p>
      <w:pPr>
        <w:jc w:val="both"/>
        <w:ind w:right="20"/>
        <w:spacing w:after="0" w:line="275" w:lineRule="auto"/>
        <w:rPr>
          <w:sz w:val="20"/>
          <w:szCs w:val="20"/>
          <w:color w:val="auto"/>
        </w:rPr>
      </w:pPr>
      <w:r>
        <w:rPr>
          <w:rFonts w:ascii="Times New Roman" w:cs="Times New Roman" w:eastAsia="Times New Roman" w:hAnsi="Times New Roman"/>
          <w:sz w:val="18"/>
          <w:szCs w:val="18"/>
          <w:color w:val="auto"/>
        </w:rPr>
        <w:t>In conjunction with the Company’s human resources and operations departments, the Company oversees and implements training on the Company’s protocols. The Company will continue to work closely with external counsel and other compliance experts, and is evaluating the engagement of one or more independent third party providers to further develop, enhance and improve its compliance and risk management and mitigation processes and procedures in furtherance of continued compliance with the laws of the jurisdictions in which the Company operates.</w:t>
      </w:r>
    </w:p>
    <w:p>
      <w:pPr>
        <w:spacing w:after="0" w:line="212" w:lineRule="exact"/>
        <w:rPr>
          <w:sz w:val="20"/>
          <w:szCs w:val="20"/>
          <w:color w:val="auto"/>
        </w:rPr>
      </w:pPr>
    </w:p>
    <w:p>
      <w:pPr>
        <w:jc w:val="both"/>
        <w:ind w:right="20"/>
        <w:spacing w:after="0" w:line="294" w:lineRule="auto"/>
        <w:rPr>
          <w:sz w:val="20"/>
          <w:szCs w:val="20"/>
          <w:color w:val="auto"/>
        </w:rPr>
      </w:pPr>
      <w:r>
        <w:rPr>
          <w:rFonts w:ascii="Times New Roman" w:cs="Times New Roman" w:eastAsia="Times New Roman" w:hAnsi="Times New Roman"/>
          <w:sz w:val="18"/>
          <w:szCs w:val="18"/>
          <w:color w:val="auto"/>
        </w:rPr>
        <w:t>The programs currently in place include monitoring by executives of the Company to ensure that operations conform to and comply with required laws, regulations and operating procedures. The Company is currently in compliance with the laws and regulations in all jurisdictions and the related licensing framework applicable to its business activities.</w:t>
      </w:r>
    </w:p>
    <w:p>
      <w:pPr>
        <w:spacing w:after="0" w:line="170" w:lineRule="exact"/>
        <w:rPr>
          <w:sz w:val="20"/>
          <w:szCs w:val="20"/>
          <w:color w:val="auto"/>
        </w:rPr>
      </w:pPr>
    </w:p>
    <w:p>
      <w:pPr>
        <w:jc w:val="both"/>
        <w:ind w:right="20"/>
        <w:spacing w:after="0" w:line="309" w:lineRule="auto"/>
        <w:rPr>
          <w:sz w:val="20"/>
          <w:szCs w:val="20"/>
          <w:color w:val="auto"/>
        </w:rPr>
      </w:pPr>
      <w:r>
        <w:rPr>
          <w:rFonts w:ascii="Times New Roman" w:cs="Times New Roman" w:eastAsia="Times New Roman" w:hAnsi="Times New Roman"/>
          <w:sz w:val="18"/>
          <w:szCs w:val="18"/>
          <w:color w:val="auto"/>
        </w:rPr>
        <w:t>The Company and, to its knowledge, each of its third-party researchers, suppliers and manufacturers have not received any non-compliance, citations or notices of violation which may have an impact on the Company’s licences, business activities or operations.</w:t>
      </w:r>
    </w:p>
    <w:p>
      <w:pPr>
        <w:spacing w:after="0" w:line="144" w:lineRule="exact"/>
        <w:rPr>
          <w:sz w:val="20"/>
          <w:szCs w:val="20"/>
          <w:color w:val="auto"/>
        </w:rPr>
      </w:pPr>
    </w:p>
    <w:p>
      <w:pPr>
        <w:jc w:val="both"/>
        <w:spacing w:after="0" w:line="299" w:lineRule="auto"/>
        <w:rPr>
          <w:sz w:val="20"/>
          <w:szCs w:val="20"/>
          <w:color w:val="auto"/>
        </w:rPr>
      </w:pPr>
      <w:r>
        <w:rPr>
          <w:rFonts w:ascii="Times New Roman" w:cs="Times New Roman" w:eastAsia="Times New Roman" w:hAnsi="Times New Roman"/>
          <w:sz w:val="18"/>
          <w:szCs w:val="18"/>
          <w:color w:val="auto"/>
        </w:rPr>
        <w:t>The Company conducts due diligence on third-party researchers, medical professionals, clinics, cultivators, processors and others as applicable, with whom it engages. Such due diligence includes but is not limited to the review of necessary licenses and the regulatory framework enacted in the jurisdiction of operation. Further, the Company generally obtains, under its contractual arrangements, representations and warranties from such third parties pertaining to compliance with applicable licensing requirements and the regulatory framework enacted in the jurisdiction of operation.</w:t>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Patent Cooperation Treaty</w:t>
      </w:r>
    </w:p>
    <w:p>
      <w:pPr>
        <w:spacing w:after="0" w:line="268" w:lineRule="exact"/>
        <w:rPr>
          <w:sz w:val="20"/>
          <w:szCs w:val="20"/>
          <w:color w:val="auto"/>
        </w:rPr>
      </w:pPr>
    </w:p>
    <w:p>
      <w:pPr>
        <w:jc w:val="both"/>
        <w:spacing w:after="0" w:line="309" w:lineRule="auto"/>
        <w:rPr>
          <w:sz w:val="20"/>
          <w:szCs w:val="20"/>
          <w:color w:val="auto"/>
        </w:rPr>
      </w:pPr>
      <w:r>
        <w:rPr>
          <w:rFonts w:ascii="Times New Roman" w:cs="Times New Roman" w:eastAsia="Times New Roman" w:hAnsi="Times New Roman"/>
          <w:sz w:val="18"/>
          <w:szCs w:val="18"/>
          <w:color w:val="auto"/>
        </w:rPr>
        <w:t>The PCT facilitates filing for patent recognition in multiple jurisdictions simultaneously using a single uniform patent application. 157 countries, including Canada and the United States have ratified the PCT.</w:t>
      </w:r>
    </w:p>
    <w:p>
      <w:pPr>
        <w:spacing w:after="0" w:line="144" w:lineRule="exact"/>
        <w:rPr>
          <w:sz w:val="20"/>
          <w:szCs w:val="20"/>
          <w:color w:val="auto"/>
        </w:rPr>
      </w:pPr>
    </w:p>
    <w:p>
      <w:pPr>
        <w:jc w:val="both"/>
        <w:ind w:right="20"/>
        <w:spacing w:after="0" w:line="323" w:lineRule="auto"/>
        <w:rPr>
          <w:sz w:val="20"/>
          <w:szCs w:val="20"/>
          <w:color w:val="auto"/>
        </w:rPr>
      </w:pPr>
      <w:r>
        <w:rPr>
          <w:rFonts w:ascii="Times New Roman" w:cs="Times New Roman" w:eastAsia="Times New Roman" w:hAnsi="Times New Roman"/>
          <w:sz w:val="18"/>
          <w:szCs w:val="18"/>
          <w:color w:val="auto"/>
        </w:rPr>
        <w:t>Ultimately, patents are still granted in each country individually. As such, the PCT procedure consists of two phases: filing of an international application, and national evaluation under the patent laws in force in each country where a patent is sought.</w:t>
      </w:r>
    </w:p>
    <w:p>
      <w:pPr>
        <w:spacing w:after="0" w:line="132" w:lineRule="exact"/>
        <w:rPr>
          <w:sz w:val="20"/>
          <w:szCs w:val="20"/>
          <w:color w:val="auto"/>
        </w:rPr>
      </w:pPr>
    </w:p>
    <w:p>
      <w:pPr>
        <w:jc w:val="both"/>
        <w:ind w:right="20"/>
        <w:spacing w:after="0" w:line="294" w:lineRule="auto"/>
        <w:rPr>
          <w:sz w:val="20"/>
          <w:szCs w:val="20"/>
          <w:color w:val="auto"/>
        </w:rPr>
      </w:pPr>
      <w:r>
        <w:rPr>
          <w:rFonts w:ascii="Times New Roman" w:cs="Times New Roman" w:eastAsia="Times New Roman" w:hAnsi="Times New Roman"/>
          <w:sz w:val="18"/>
          <w:szCs w:val="18"/>
          <w:color w:val="auto"/>
        </w:rPr>
        <w:t>Within 12 months of filing a provisional patent application at the USPTO, the Company may elect to file a regular utility patent application in the United States in tandem with filing a PCT application with the World Intellectual Property Office, in each case claiming priority to the provisional patent application. Within 30 months of the provisional filing date, deadlines begin for a PCT application to enter the national phase in desired jurisdictions globally, such as Canada (30 months) and Europe (31 months), in each case claiming priority to the provisional patent application.</w:t>
      </w:r>
    </w:p>
    <w:p>
      <w:pPr>
        <w:spacing w:after="0" w:line="170" w:lineRule="exact"/>
        <w:rPr>
          <w:sz w:val="20"/>
          <w:szCs w:val="20"/>
          <w:color w:val="auto"/>
        </w:rPr>
      </w:pPr>
    </w:p>
    <w:p>
      <w:pPr>
        <w:jc w:val="both"/>
        <w:ind w:right="20"/>
        <w:spacing w:after="0" w:line="291" w:lineRule="auto"/>
        <w:rPr>
          <w:sz w:val="20"/>
          <w:szCs w:val="20"/>
          <w:color w:val="auto"/>
        </w:rPr>
      </w:pPr>
      <w:r>
        <w:rPr>
          <w:rFonts w:ascii="Times New Roman" w:cs="Times New Roman" w:eastAsia="Times New Roman" w:hAnsi="Times New Roman"/>
          <w:sz w:val="18"/>
          <w:szCs w:val="18"/>
          <w:color w:val="auto"/>
        </w:rPr>
        <w:t>While the Company is focused on programs using psychedelic-inspired compounds, the Company does not have any direct or indirect involvement with the illegal selling, production or distribution of any substances in the jurisdictions in which it operates. The Company is exploring drug development within approved laboratory clinical trial settings conducted within approved regulatory frameworks. Though highly speculative, should any prescription drug product be developed by the Company (which, if it does occur, would not be for several years), such drug product will not be commercialized prior to receipt of applicable regulatory approval, which will only be granted if clinical evidence 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54</w:t>
      </w:r>
    </w:p>
    <w:p>
      <w:pPr>
        <w:sectPr>
          <w:pgSz w:w="11900" w:h="16838" w:orient="portrait"/>
          <w:cols w:equalWidth="0" w:num="1">
            <w:col w:w="11260"/>
          </w:cols>
          <w:pgMar w:left="320" w:top="1291" w:right="319" w:bottom="1440" w:gutter="0" w:footer="0" w:header="0"/>
        </w:sectPr>
      </w:pPr>
    </w:p>
    <w:bookmarkStart w:id="80" w:name="page81"/>
    <w:bookmarkEnd w:id="80"/>
    <w:p>
      <w:pPr>
        <w:spacing w:after="0"/>
        <w:rPr>
          <w:sz w:val="20"/>
          <w:szCs w:val="20"/>
          <w:color w:val="auto"/>
        </w:rPr>
      </w:pPr>
      <w:r>
        <w:rPr>
          <w:rFonts w:ascii="Times New Roman" w:cs="Times New Roman" w:eastAsia="Times New Roman" w:hAnsi="Times New Roman"/>
          <w:sz w:val="18"/>
          <w:szCs w:val="18"/>
          <w:color w:val="auto"/>
        </w:rPr>
        <w:t>safety and efficacy for the intended use(s) is successfully developed. The Company may also employ non-prescription drugs, where appropriate.</w:t>
      </w:r>
    </w:p>
    <w:p>
      <w:pPr>
        <w:spacing w:after="0" w:line="23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Selected Quarterly Information</w:t>
      </w:r>
    </w:p>
    <w:p>
      <w:pPr>
        <w:spacing w:after="0" w:line="250" w:lineRule="exact"/>
        <w:rPr>
          <w:sz w:val="20"/>
          <w:szCs w:val="20"/>
          <w:color w:val="auto"/>
        </w:rPr>
      </w:pPr>
    </w:p>
    <w:p>
      <w:pPr>
        <w:jc w:val="both"/>
        <w:ind w:right="20"/>
        <w:spacing w:after="0" w:line="328" w:lineRule="auto"/>
        <w:rPr>
          <w:sz w:val="20"/>
          <w:szCs w:val="20"/>
          <w:color w:val="auto"/>
        </w:rPr>
      </w:pPr>
      <w:r>
        <w:rPr>
          <w:rFonts w:ascii="Times New Roman" w:cs="Times New Roman" w:eastAsia="Times New Roman" w:hAnsi="Times New Roman"/>
          <w:sz w:val="18"/>
          <w:szCs w:val="18"/>
          <w:color w:val="auto"/>
        </w:rPr>
        <w:t xml:space="preserve">The following table sets forth selected consolidated financial information for the periods indicated that are derived </w:t>
      </w:r>
      <w:r>
        <w:rPr>
          <w:rFonts w:ascii="Times New Roman" w:cs="Times New Roman" w:eastAsia="Times New Roman" w:hAnsi="Times New Roman"/>
          <w:sz w:val="19"/>
          <w:szCs w:val="19"/>
          <w:color w:val="auto"/>
        </w:rPr>
        <w:t>f</w:t>
      </w:r>
      <w:r>
        <w:rPr>
          <w:rFonts w:ascii="Times New Roman" w:cs="Times New Roman" w:eastAsia="Times New Roman" w:hAnsi="Times New Roman"/>
          <w:sz w:val="18"/>
          <w:szCs w:val="18"/>
          <w:color w:val="auto"/>
        </w:rPr>
        <w:t>rom, and should be read in conjunction with, the Financial Statements and related notes thereto.</w:t>
      </w:r>
    </w:p>
    <w:p>
      <w:pPr>
        <w:spacing w:after="0" w:line="14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20" w:type="dxa"/>
            <w:vAlign w:val="bottom"/>
          </w:tcPr>
          <w:p>
            <w:pPr>
              <w:ind w:left="60"/>
              <w:spacing w:after="0"/>
              <w:rPr>
                <w:sz w:val="20"/>
                <w:szCs w:val="20"/>
                <w:color w:val="auto"/>
              </w:rPr>
            </w:pPr>
            <w:r>
              <w:rPr>
                <w:rFonts w:ascii="Times New Roman" w:cs="Times New Roman" w:eastAsia="Times New Roman" w:hAnsi="Times New Roman"/>
                <w:sz w:val="14"/>
                <w:szCs w:val="14"/>
                <w:i w:val="1"/>
                <w:iCs w:val="1"/>
                <w:color w:val="auto"/>
              </w:rPr>
              <w:t>(Canadian dollars in thousands,</w:t>
            </w:r>
          </w:p>
        </w:tc>
        <w:tc>
          <w:tcPr>
            <w:tcW w:w="1140" w:type="dxa"/>
            <w:vAlign w:val="bottom"/>
            <w:shd w:val="clear" w:color="auto" w:fill="DBDBDB"/>
          </w:tcPr>
          <w:p>
            <w:pPr>
              <w:jc w:val="right"/>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122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1140" w:type="dxa"/>
            <w:vAlign w:val="bottom"/>
          </w:tcPr>
          <w:p>
            <w:pPr>
              <w:jc w:val="right"/>
              <w:ind w:right="92"/>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1200" w:type="dxa"/>
            <w:vAlign w:val="bottom"/>
          </w:tcPr>
          <w:p>
            <w:pPr>
              <w:jc w:val="right"/>
              <w:ind w:right="151"/>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108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84"/>
        </w:trPr>
        <w:tc>
          <w:tcPr>
            <w:tcW w:w="202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4"/>
                <w:szCs w:val="14"/>
                <w:i w:val="1"/>
                <w:iCs w:val="1"/>
                <w:color w:val="auto"/>
                <w:w w:val="97"/>
              </w:rPr>
              <w:t>except per share and share figures)</w:t>
            </w:r>
          </w:p>
        </w:tc>
        <w:tc>
          <w:tcPr>
            <w:tcW w:w="1140" w:type="dxa"/>
            <w:vAlign w:val="bottom"/>
            <w:tcBorders>
              <w:bottom w:val="single" w:sz="8" w:color="auto"/>
            </w:tcBorders>
            <w:shd w:val="clear" w:color="auto" w:fill="DBDBDB"/>
          </w:tcPr>
          <w:p>
            <w:pPr>
              <w:jc w:val="right"/>
              <w:spacing w:after="0"/>
              <w:rPr>
                <w:sz w:val="20"/>
                <w:szCs w:val="20"/>
                <w:color w:val="auto"/>
              </w:rPr>
            </w:pPr>
            <w:r>
              <w:rPr>
                <w:rFonts w:ascii="Times New Roman" w:cs="Times New Roman" w:eastAsia="Times New Roman" w:hAnsi="Times New Roman"/>
                <w:sz w:val="14"/>
                <w:szCs w:val="14"/>
                <w:b w:val="1"/>
                <w:bCs w:val="1"/>
                <w:color w:val="auto"/>
              </w:rPr>
              <w:t>2024</w:t>
            </w:r>
          </w:p>
        </w:tc>
        <w:tc>
          <w:tcPr>
            <w:tcW w:w="1220" w:type="dxa"/>
            <w:vAlign w:val="bottom"/>
            <w:tcBorders>
              <w:bottom w:val="single" w:sz="8" w:color="auto"/>
            </w:tcBorders>
          </w:tcPr>
          <w:p>
            <w:pPr>
              <w:jc w:val="right"/>
              <w:ind w:right="72"/>
              <w:spacing w:after="0"/>
              <w:rPr>
                <w:sz w:val="20"/>
                <w:szCs w:val="20"/>
                <w:color w:val="auto"/>
              </w:rPr>
            </w:pPr>
            <w:r>
              <w:rPr>
                <w:rFonts w:ascii="Times New Roman" w:cs="Times New Roman" w:eastAsia="Times New Roman" w:hAnsi="Times New Roman"/>
                <w:sz w:val="14"/>
                <w:szCs w:val="14"/>
                <w:b w:val="1"/>
                <w:bCs w:val="1"/>
                <w:color w:val="auto"/>
              </w:rPr>
              <w:t>June 30, 2024</w:t>
            </w:r>
          </w:p>
        </w:tc>
        <w:tc>
          <w:tcPr>
            <w:tcW w:w="1220" w:type="dxa"/>
            <w:vAlign w:val="bottom"/>
            <w:tcBorders>
              <w:bottom w:val="single" w:sz="8" w:color="auto"/>
            </w:tcBorders>
          </w:tcPr>
          <w:p>
            <w:pPr>
              <w:jc w:val="right"/>
              <w:ind w:right="152"/>
              <w:spacing w:after="0"/>
              <w:rPr>
                <w:sz w:val="20"/>
                <w:szCs w:val="20"/>
                <w:color w:val="auto"/>
              </w:rPr>
            </w:pPr>
            <w:r>
              <w:rPr>
                <w:rFonts w:ascii="Times New Roman" w:cs="Times New Roman" w:eastAsia="Times New Roman" w:hAnsi="Times New Roman"/>
                <w:sz w:val="14"/>
                <w:szCs w:val="14"/>
                <w:b w:val="1"/>
                <w:bCs w:val="1"/>
                <w:color w:val="auto"/>
              </w:rPr>
              <w:t>March 31, 2024</w:t>
            </w:r>
          </w:p>
        </w:tc>
        <w:tc>
          <w:tcPr>
            <w:tcW w:w="1140" w:type="dxa"/>
            <w:vAlign w:val="bottom"/>
            <w:tcBorders>
              <w:bottom w:val="single" w:sz="8" w:color="auto"/>
            </w:tcBorders>
          </w:tcPr>
          <w:p>
            <w:pPr>
              <w:jc w:val="right"/>
              <w:ind w:right="92"/>
              <w:spacing w:after="0"/>
              <w:rPr>
                <w:sz w:val="20"/>
                <w:szCs w:val="20"/>
                <w:color w:val="auto"/>
              </w:rPr>
            </w:pPr>
            <w:r>
              <w:rPr>
                <w:rFonts w:ascii="Times New Roman" w:cs="Times New Roman" w:eastAsia="Times New Roman" w:hAnsi="Times New Roman"/>
                <w:sz w:val="14"/>
                <w:szCs w:val="14"/>
                <w:b w:val="1"/>
                <w:bCs w:val="1"/>
                <w:color w:val="auto"/>
              </w:rPr>
              <w:t>2023</w:t>
            </w:r>
          </w:p>
        </w:tc>
        <w:tc>
          <w:tcPr>
            <w:tcW w:w="1200" w:type="dxa"/>
            <w:vAlign w:val="bottom"/>
            <w:tcBorders>
              <w:bottom w:val="single" w:sz="8" w:color="auto"/>
            </w:tcBorders>
          </w:tcPr>
          <w:p>
            <w:pPr>
              <w:jc w:val="right"/>
              <w:ind w:right="151"/>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80" w:type="dxa"/>
            <w:vAlign w:val="bottom"/>
            <w:tcBorders>
              <w:bottom w:val="single" w:sz="8" w:color="auto"/>
            </w:tcBorders>
          </w:tcPr>
          <w:p>
            <w:pPr>
              <w:jc w:val="right"/>
              <w:ind w:right="31"/>
              <w:spacing w:after="0"/>
              <w:rPr>
                <w:sz w:val="20"/>
                <w:szCs w:val="20"/>
                <w:color w:val="auto"/>
              </w:rPr>
            </w:pPr>
            <w:r>
              <w:rPr>
                <w:rFonts w:ascii="Times New Roman" w:cs="Times New Roman" w:eastAsia="Times New Roman" w:hAnsi="Times New Roman"/>
                <w:sz w:val="14"/>
                <w:szCs w:val="14"/>
                <w:b w:val="1"/>
                <w:bCs w:val="1"/>
                <w:color w:val="auto"/>
              </w:rPr>
              <w:t>June 30, 2023</w:t>
            </w:r>
          </w:p>
        </w:tc>
        <w:tc>
          <w:tcPr>
            <w:tcW w:w="1200" w:type="dxa"/>
            <w:vAlign w:val="bottom"/>
            <w:tcBorders>
              <w:bottom w:val="single" w:sz="8" w:color="auto"/>
            </w:tcBorders>
          </w:tcPr>
          <w:p>
            <w:pPr>
              <w:jc w:val="right"/>
              <w:ind w:right="131"/>
              <w:spacing w:after="0"/>
              <w:rPr>
                <w:sz w:val="20"/>
                <w:szCs w:val="20"/>
                <w:color w:val="auto"/>
              </w:rPr>
            </w:pPr>
            <w:r>
              <w:rPr>
                <w:rFonts w:ascii="Times New Roman" w:cs="Times New Roman" w:eastAsia="Times New Roman" w:hAnsi="Times New Roman"/>
                <w:sz w:val="14"/>
                <w:szCs w:val="14"/>
                <w:b w:val="1"/>
                <w:bCs w:val="1"/>
                <w:color w:val="auto"/>
              </w:rPr>
              <w:t>March 31, 2023</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2022</w:t>
            </w:r>
          </w:p>
        </w:tc>
      </w:tr>
      <w:tr>
        <w:trPr>
          <w:trHeight w:val="176"/>
        </w:trPr>
        <w:tc>
          <w:tcPr>
            <w:tcW w:w="2020" w:type="dxa"/>
            <w:vAlign w:val="bottom"/>
          </w:tcPr>
          <w:p>
            <w:pPr>
              <w:ind w:left="60"/>
              <w:spacing w:after="0"/>
              <w:rPr>
                <w:sz w:val="20"/>
                <w:szCs w:val="20"/>
                <w:color w:val="auto"/>
              </w:rPr>
            </w:pPr>
            <w:r>
              <w:rPr>
                <w:rFonts w:ascii="Times New Roman" w:cs="Times New Roman" w:eastAsia="Times New Roman" w:hAnsi="Times New Roman"/>
                <w:sz w:val="14"/>
                <w:szCs w:val="14"/>
                <w:b w:val="1"/>
                <w:bCs w:val="1"/>
                <w:color w:val="auto"/>
              </w:rPr>
              <w:t>Revenues ($)</w:t>
            </w:r>
          </w:p>
        </w:tc>
        <w:tc>
          <w:tcPr>
            <w:tcW w:w="1140" w:type="dxa"/>
            <w:vAlign w:val="bottom"/>
            <w:shd w:val="clear" w:color="auto" w:fill="DBDBDB"/>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20" w:type="dxa"/>
            <w:vAlign w:val="bottom"/>
          </w:tcPr>
          <w:p>
            <w:pPr>
              <w:jc w:val="right"/>
              <w:ind w:right="72"/>
              <w:spacing w:after="0"/>
              <w:rPr>
                <w:sz w:val="20"/>
                <w:szCs w:val="20"/>
                <w:color w:val="auto"/>
              </w:rPr>
            </w:pPr>
            <w:r>
              <w:rPr>
                <w:rFonts w:ascii="Times New Roman" w:cs="Times New Roman" w:eastAsia="Times New Roman" w:hAnsi="Times New Roman"/>
                <w:sz w:val="14"/>
                <w:szCs w:val="14"/>
                <w:color w:val="auto"/>
              </w:rPr>
              <w:t>—</w:t>
            </w:r>
          </w:p>
        </w:tc>
        <w:tc>
          <w:tcPr>
            <w:tcW w:w="1220" w:type="dxa"/>
            <w:vAlign w:val="bottom"/>
          </w:tcPr>
          <w:p>
            <w:pPr>
              <w:jc w:val="right"/>
              <w:ind w:right="132"/>
              <w:spacing w:after="0"/>
              <w:rPr>
                <w:sz w:val="20"/>
                <w:szCs w:val="20"/>
                <w:color w:val="auto"/>
              </w:rPr>
            </w:pPr>
            <w:r>
              <w:rPr>
                <w:rFonts w:ascii="Times New Roman" w:cs="Times New Roman" w:eastAsia="Times New Roman" w:hAnsi="Times New Roman"/>
                <w:sz w:val="14"/>
                <w:szCs w:val="14"/>
                <w:b w:val="1"/>
                <w:bCs w:val="1"/>
                <w:color w:val="auto"/>
              </w:rPr>
              <w:t>—</w:t>
            </w:r>
          </w:p>
        </w:tc>
        <w:tc>
          <w:tcPr>
            <w:tcW w:w="1140" w:type="dxa"/>
            <w:vAlign w:val="bottom"/>
          </w:tcPr>
          <w:p>
            <w:pPr>
              <w:jc w:val="right"/>
              <w:ind w:right="132"/>
              <w:spacing w:after="0"/>
              <w:rPr>
                <w:sz w:val="20"/>
                <w:szCs w:val="20"/>
                <w:color w:val="auto"/>
              </w:rPr>
            </w:pPr>
            <w:r>
              <w:rPr>
                <w:rFonts w:ascii="Times New Roman" w:cs="Times New Roman" w:eastAsia="Times New Roman" w:hAnsi="Times New Roman"/>
                <w:sz w:val="14"/>
                <w:szCs w:val="14"/>
                <w:color w:val="auto"/>
              </w:rPr>
              <w:t>—</w:t>
            </w:r>
          </w:p>
        </w:tc>
        <w:tc>
          <w:tcPr>
            <w:tcW w:w="1200" w:type="dxa"/>
            <w:vAlign w:val="bottom"/>
          </w:tcPr>
          <w:p>
            <w:pPr>
              <w:jc w:val="right"/>
              <w:ind w:right="151"/>
              <w:spacing w:after="0"/>
              <w:rPr>
                <w:sz w:val="20"/>
                <w:szCs w:val="20"/>
                <w:color w:val="auto"/>
              </w:rPr>
            </w:pPr>
            <w:r>
              <w:rPr>
                <w:rFonts w:ascii="Times New Roman" w:cs="Times New Roman" w:eastAsia="Times New Roman" w:hAnsi="Times New Roman"/>
                <w:sz w:val="14"/>
                <w:szCs w:val="14"/>
                <w:color w:val="auto"/>
              </w:rPr>
              <w:t>—</w:t>
            </w:r>
          </w:p>
        </w:tc>
        <w:tc>
          <w:tcPr>
            <w:tcW w:w="1080" w:type="dxa"/>
            <w:vAlign w:val="bottom"/>
          </w:tcPr>
          <w:p>
            <w:pPr>
              <w:jc w:val="right"/>
              <w:ind w:right="71"/>
              <w:spacing w:after="0"/>
              <w:rPr>
                <w:sz w:val="20"/>
                <w:szCs w:val="20"/>
                <w:color w:val="auto"/>
              </w:rPr>
            </w:pPr>
            <w:r>
              <w:rPr>
                <w:rFonts w:ascii="Times New Roman" w:cs="Times New Roman" w:eastAsia="Times New Roman" w:hAnsi="Times New Roman"/>
                <w:sz w:val="14"/>
                <w:szCs w:val="14"/>
                <w:color w:val="auto"/>
              </w:rPr>
              <w:t>—</w:t>
            </w:r>
          </w:p>
        </w:tc>
        <w:tc>
          <w:tcPr>
            <w:tcW w:w="1200" w:type="dxa"/>
            <w:vAlign w:val="bottom"/>
          </w:tcPr>
          <w:p>
            <w:pPr>
              <w:jc w:val="right"/>
              <w:ind w:right="131"/>
              <w:spacing w:after="0"/>
              <w:rPr>
                <w:sz w:val="20"/>
                <w:szCs w:val="20"/>
                <w:color w:val="auto"/>
              </w:rPr>
            </w:pPr>
            <w:r>
              <w:rPr>
                <w:rFonts w:ascii="Times New Roman" w:cs="Times New Roman" w:eastAsia="Times New Roman" w:hAnsi="Times New Roman"/>
                <w:sz w:val="14"/>
                <w:szCs w:val="14"/>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176"/>
        </w:trPr>
        <w:tc>
          <w:tcPr>
            <w:tcW w:w="2020" w:type="dxa"/>
            <w:vAlign w:val="bottom"/>
          </w:tcPr>
          <w:p>
            <w:pPr>
              <w:ind w:left="60"/>
              <w:spacing w:after="0"/>
              <w:rPr>
                <w:sz w:val="20"/>
                <w:szCs w:val="20"/>
                <w:color w:val="auto"/>
              </w:rPr>
            </w:pPr>
            <w:r>
              <w:rPr>
                <w:rFonts w:ascii="Times New Roman" w:cs="Times New Roman" w:eastAsia="Times New Roman" w:hAnsi="Times New Roman"/>
                <w:sz w:val="14"/>
                <w:szCs w:val="14"/>
                <w:b w:val="1"/>
                <w:bCs w:val="1"/>
                <w:color w:val="auto"/>
              </w:rPr>
              <w:t>Operating Expenses ($)</w:t>
            </w:r>
          </w:p>
        </w:tc>
        <w:tc>
          <w:tcPr>
            <w:tcW w:w="1140" w:type="dxa"/>
            <w:vAlign w:val="bottom"/>
            <w:shd w:val="clear" w:color="auto" w:fill="DBDBDB"/>
          </w:tcPr>
          <w:p>
            <w:pPr>
              <w:jc w:val="right"/>
              <w:spacing w:after="0"/>
              <w:rPr>
                <w:sz w:val="20"/>
                <w:szCs w:val="20"/>
                <w:color w:val="auto"/>
              </w:rPr>
            </w:pPr>
            <w:r>
              <w:rPr>
                <w:rFonts w:ascii="Times New Roman" w:cs="Times New Roman" w:eastAsia="Times New Roman" w:hAnsi="Times New Roman"/>
                <w:sz w:val="14"/>
                <w:szCs w:val="14"/>
                <w:b w:val="1"/>
                <w:bCs w:val="1"/>
                <w:color w:val="auto"/>
              </w:rPr>
              <w:t>58,254</w:t>
            </w:r>
          </w:p>
        </w:tc>
        <w:tc>
          <w:tcPr>
            <w:tcW w:w="1220" w:type="dxa"/>
            <w:vAlign w:val="bottom"/>
          </w:tcPr>
          <w:p>
            <w:pPr>
              <w:jc w:val="right"/>
              <w:ind w:right="72"/>
              <w:spacing w:after="0"/>
              <w:rPr>
                <w:sz w:val="20"/>
                <w:szCs w:val="20"/>
                <w:color w:val="auto"/>
              </w:rPr>
            </w:pPr>
            <w:r>
              <w:rPr>
                <w:rFonts w:ascii="Times New Roman" w:cs="Times New Roman" w:eastAsia="Times New Roman" w:hAnsi="Times New Roman"/>
                <w:sz w:val="14"/>
                <w:szCs w:val="14"/>
                <w:color w:val="auto"/>
              </w:rPr>
              <w:t>20,317</w:t>
            </w:r>
          </w:p>
        </w:tc>
        <w:tc>
          <w:tcPr>
            <w:tcW w:w="1220" w:type="dxa"/>
            <w:vAlign w:val="bottom"/>
          </w:tcPr>
          <w:p>
            <w:pPr>
              <w:jc w:val="right"/>
              <w:ind w:right="132"/>
              <w:spacing w:after="0"/>
              <w:rPr>
                <w:sz w:val="20"/>
                <w:szCs w:val="20"/>
                <w:color w:val="auto"/>
              </w:rPr>
            </w:pPr>
            <w:r>
              <w:rPr>
                <w:rFonts w:ascii="Times New Roman" w:cs="Times New Roman" w:eastAsia="Times New Roman" w:hAnsi="Times New Roman"/>
                <w:sz w:val="14"/>
                <w:szCs w:val="14"/>
                <w:color w:val="auto"/>
              </w:rPr>
              <w:t>25,195</w:t>
            </w:r>
          </w:p>
        </w:tc>
        <w:tc>
          <w:tcPr>
            <w:tcW w:w="1140" w:type="dxa"/>
            <w:vAlign w:val="bottom"/>
          </w:tcPr>
          <w:p>
            <w:pPr>
              <w:jc w:val="right"/>
              <w:ind w:right="132"/>
              <w:spacing w:after="0"/>
              <w:rPr>
                <w:sz w:val="20"/>
                <w:szCs w:val="20"/>
                <w:color w:val="auto"/>
              </w:rPr>
            </w:pPr>
            <w:r>
              <w:rPr>
                <w:rFonts w:ascii="Times New Roman" w:cs="Times New Roman" w:eastAsia="Times New Roman" w:hAnsi="Times New Roman"/>
                <w:sz w:val="14"/>
                <w:szCs w:val="14"/>
                <w:color w:val="auto"/>
              </w:rPr>
              <w:t>27,024</w:t>
            </w:r>
          </w:p>
        </w:tc>
        <w:tc>
          <w:tcPr>
            <w:tcW w:w="1200" w:type="dxa"/>
            <w:vAlign w:val="bottom"/>
          </w:tcPr>
          <w:p>
            <w:pPr>
              <w:jc w:val="right"/>
              <w:ind w:right="151"/>
              <w:spacing w:after="0"/>
              <w:rPr>
                <w:sz w:val="20"/>
                <w:szCs w:val="20"/>
                <w:color w:val="auto"/>
              </w:rPr>
            </w:pPr>
            <w:r>
              <w:rPr>
                <w:rFonts w:ascii="Times New Roman" w:cs="Times New Roman" w:eastAsia="Times New Roman" w:hAnsi="Times New Roman"/>
                <w:sz w:val="14"/>
                <w:szCs w:val="14"/>
                <w:color w:val="auto"/>
              </w:rPr>
              <w:t>13,910</w:t>
            </w:r>
          </w:p>
        </w:tc>
        <w:tc>
          <w:tcPr>
            <w:tcW w:w="1080" w:type="dxa"/>
            <w:vAlign w:val="bottom"/>
          </w:tcPr>
          <w:p>
            <w:pPr>
              <w:jc w:val="right"/>
              <w:ind w:right="71"/>
              <w:spacing w:after="0"/>
              <w:rPr>
                <w:sz w:val="20"/>
                <w:szCs w:val="20"/>
                <w:color w:val="auto"/>
              </w:rPr>
            </w:pPr>
            <w:r>
              <w:rPr>
                <w:rFonts w:ascii="Times New Roman" w:cs="Times New Roman" w:eastAsia="Times New Roman" w:hAnsi="Times New Roman"/>
                <w:sz w:val="14"/>
                <w:szCs w:val="14"/>
                <w:color w:val="auto"/>
              </w:rPr>
              <w:t>12,707</w:t>
            </w:r>
          </w:p>
        </w:tc>
        <w:tc>
          <w:tcPr>
            <w:tcW w:w="1200" w:type="dxa"/>
            <w:vAlign w:val="bottom"/>
          </w:tcPr>
          <w:p>
            <w:pPr>
              <w:jc w:val="right"/>
              <w:ind w:right="131"/>
              <w:spacing w:after="0"/>
              <w:rPr>
                <w:sz w:val="20"/>
                <w:szCs w:val="20"/>
                <w:color w:val="auto"/>
              </w:rPr>
            </w:pPr>
            <w:r>
              <w:rPr>
                <w:rFonts w:ascii="Times New Roman" w:cs="Times New Roman" w:eastAsia="Times New Roman" w:hAnsi="Times New Roman"/>
                <w:sz w:val="14"/>
                <w:szCs w:val="14"/>
                <w:color w:val="auto"/>
              </w:rPr>
              <w:t>13,703</w:t>
            </w: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12,093</w:t>
            </w:r>
          </w:p>
        </w:tc>
      </w:tr>
      <w:tr>
        <w:trPr>
          <w:trHeight w:val="180"/>
        </w:trPr>
        <w:tc>
          <w:tcPr>
            <w:tcW w:w="2020" w:type="dxa"/>
            <w:vAlign w:val="bottom"/>
          </w:tcPr>
          <w:p>
            <w:pPr>
              <w:ind w:left="60"/>
              <w:spacing w:after="0"/>
              <w:rPr>
                <w:sz w:val="20"/>
                <w:szCs w:val="20"/>
                <w:color w:val="auto"/>
              </w:rPr>
            </w:pPr>
            <w:r>
              <w:rPr>
                <w:rFonts w:ascii="Times New Roman" w:cs="Times New Roman" w:eastAsia="Times New Roman" w:hAnsi="Times New Roman"/>
                <w:sz w:val="14"/>
                <w:szCs w:val="14"/>
                <w:b w:val="1"/>
                <w:bCs w:val="1"/>
                <w:color w:val="auto"/>
              </w:rPr>
              <w:t>Net loss ($)</w:t>
            </w:r>
          </w:p>
        </w:tc>
        <w:tc>
          <w:tcPr>
            <w:tcW w:w="1140" w:type="dxa"/>
            <w:vAlign w:val="bottom"/>
            <w:shd w:val="clear" w:color="auto" w:fill="DBDBDB"/>
          </w:tcPr>
          <w:p>
            <w:pPr>
              <w:jc w:val="right"/>
              <w:spacing w:after="0"/>
              <w:rPr>
                <w:sz w:val="20"/>
                <w:szCs w:val="20"/>
                <w:color w:val="auto"/>
              </w:rPr>
            </w:pPr>
            <w:r>
              <w:rPr>
                <w:rFonts w:ascii="Times New Roman" w:cs="Times New Roman" w:eastAsia="Times New Roman" w:hAnsi="Times New Roman"/>
                <w:sz w:val="14"/>
                <w:szCs w:val="14"/>
                <w:b w:val="1"/>
                <w:bCs w:val="1"/>
                <w:color w:val="auto"/>
              </w:rPr>
              <w:t>(57,192)</w:t>
            </w:r>
          </w:p>
        </w:tc>
        <w:tc>
          <w:tcPr>
            <w:tcW w:w="1220" w:type="dxa"/>
            <w:vAlign w:val="bottom"/>
          </w:tcPr>
          <w:p>
            <w:pPr>
              <w:jc w:val="right"/>
              <w:ind w:right="32"/>
              <w:spacing w:after="0"/>
              <w:rPr>
                <w:sz w:val="20"/>
                <w:szCs w:val="20"/>
                <w:color w:val="auto"/>
              </w:rPr>
            </w:pPr>
            <w:r>
              <w:rPr>
                <w:rFonts w:ascii="Times New Roman" w:cs="Times New Roman" w:eastAsia="Times New Roman" w:hAnsi="Times New Roman"/>
                <w:sz w:val="14"/>
                <w:szCs w:val="14"/>
                <w:color w:val="auto"/>
              </w:rPr>
              <w:t>(14,824)</w:t>
            </w:r>
          </w:p>
        </w:tc>
        <w:tc>
          <w:tcPr>
            <w:tcW w:w="1220" w:type="dxa"/>
            <w:vAlign w:val="bottom"/>
          </w:tcPr>
          <w:p>
            <w:pPr>
              <w:jc w:val="right"/>
              <w:ind w:right="112"/>
              <w:spacing w:after="0"/>
              <w:rPr>
                <w:sz w:val="20"/>
                <w:szCs w:val="20"/>
                <w:color w:val="auto"/>
              </w:rPr>
            </w:pPr>
            <w:r>
              <w:rPr>
                <w:rFonts w:ascii="Times New Roman" w:cs="Times New Roman" w:eastAsia="Times New Roman" w:hAnsi="Times New Roman"/>
                <w:sz w:val="14"/>
                <w:szCs w:val="14"/>
                <w:color w:val="auto"/>
              </w:rPr>
              <w:t>(21,346)</w:t>
            </w:r>
          </w:p>
        </w:tc>
        <w:tc>
          <w:tcPr>
            <w:tcW w:w="1140" w:type="dxa"/>
            <w:vAlign w:val="bottom"/>
          </w:tcPr>
          <w:p>
            <w:pPr>
              <w:jc w:val="right"/>
              <w:ind w:right="92"/>
              <w:spacing w:after="0"/>
              <w:rPr>
                <w:sz w:val="20"/>
                <w:szCs w:val="20"/>
                <w:color w:val="auto"/>
              </w:rPr>
            </w:pPr>
            <w:r>
              <w:rPr>
                <w:rFonts w:ascii="Times New Roman" w:cs="Times New Roman" w:eastAsia="Times New Roman" w:hAnsi="Times New Roman"/>
                <w:sz w:val="14"/>
                <w:szCs w:val="14"/>
                <w:color w:val="auto"/>
              </w:rPr>
              <w:t>(30,330)</w:t>
            </w:r>
          </w:p>
        </w:tc>
        <w:tc>
          <w:tcPr>
            <w:tcW w:w="1200" w:type="dxa"/>
            <w:vAlign w:val="bottom"/>
          </w:tcPr>
          <w:p>
            <w:pPr>
              <w:jc w:val="right"/>
              <w:ind w:right="111"/>
              <w:spacing w:after="0"/>
              <w:rPr>
                <w:sz w:val="20"/>
                <w:szCs w:val="20"/>
                <w:color w:val="auto"/>
              </w:rPr>
            </w:pPr>
            <w:r>
              <w:rPr>
                <w:rFonts w:ascii="Times New Roman" w:cs="Times New Roman" w:eastAsia="Times New Roman" w:hAnsi="Times New Roman"/>
                <w:sz w:val="14"/>
                <w:szCs w:val="14"/>
                <w:color w:val="auto"/>
              </w:rPr>
              <w:t>(11,890)</w:t>
            </w:r>
          </w:p>
        </w:tc>
        <w:tc>
          <w:tcPr>
            <w:tcW w:w="1080" w:type="dxa"/>
            <w:vAlign w:val="bottom"/>
          </w:tcPr>
          <w:p>
            <w:pPr>
              <w:jc w:val="right"/>
              <w:ind w:right="51"/>
              <w:spacing w:after="0"/>
              <w:rPr>
                <w:sz w:val="20"/>
                <w:szCs w:val="20"/>
                <w:color w:val="auto"/>
              </w:rPr>
            </w:pPr>
            <w:r>
              <w:rPr>
                <w:rFonts w:ascii="Times New Roman" w:cs="Times New Roman" w:eastAsia="Times New Roman" w:hAnsi="Times New Roman"/>
                <w:sz w:val="14"/>
                <w:szCs w:val="14"/>
                <w:color w:val="auto"/>
              </w:rPr>
              <w:t>(14,514)</w:t>
            </w:r>
          </w:p>
        </w:tc>
        <w:tc>
          <w:tcPr>
            <w:tcW w:w="1200" w:type="dxa"/>
            <w:vAlign w:val="bottom"/>
          </w:tcPr>
          <w:p>
            <w:pPr>
              <w:jc w:val="right"/>
              <w:ind w:right="91"/>
              <w:spacing w:after="0"/>
              <w:rPr>
                <w:sz w:val="20"/>
                <w:szCs w:val="20"/>
                <w:color w:val="auto"/>
              </w:rPr>
            </w:pPr>
            <w:r>
              <w:rPr>
                <w:rFonts w:ascii="Times New Roman" w:cs="Times New Roman" w:eastAsia="Times New Roman" w:hAnsi="Times New Roman"/>
                <w:sz w:val="14"/>
                <w:szCs w:val="14"/>
                <w:color w:val="auto"/>
              </w:rPr>
              <w:t>(13,720)</w:t>
            </w: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(10,742)</w:t>
            </w:r>
          </w:p>
        </w:tc>
      </w:tr>
      <w:tr>
        <w:trPr>
          <w:trHeight w:val="423"/>
        </w:trPr>
        <w:tc>
          <w:tcPr>
            <w:tcW w:w="2020" w:type="dxa"/>
            <w:vAlign w:val="bottom"/>
          </w:tcPr>
          <w:p>
            <w:pPr>
              <w:ind w:left="60"/>
              <w:spacing w:after="0"/>
              <w:rPr>
                <w:sz w:val="20"/>
                <w:szCs w:val="20"/>
                <w:color w:val="auto"/>
              </w:rPr>
            </w:pPr>
            <w:r>
              <w:rPr>
                <w:rFonts w:ascii="Times New Roman" w:cs="Times New Roman" w:eastAsia="Times New Roman" w:hAnsi="Times New Roman"/>
                <w:sz w:val="14"/>
                <w:szCs w:val="14"/>
                <w:b w:val="1"/>
                <w:bCs w:val="1"/>
                <w:color w:val="auto"/>
                <w:w w:val="97"/>
              </w:rPr>
              <w:t>Weighted Average Shares - Basic</w:t>
            </w:r>
          </w:p>
        </w:tc>
        <w:tc>
          <w:tcPr>
            <w:tcW w:w="1140" w:type="dxa"/>
            <w:vAlign w:val="bottom"/>
            <w:shd w:val="clear" w:color="auto" w:fill="DBDBDB"/>
          </w:tcPr>
          <w:p>
            <w:pPr>
              <w:jc w:val="right"/>
              <w:spacing w:after="0"/>
              <w:rPr>
                <w:sz w:val="20"/>
                <w:szCs w:val="20"/>
                <w:color w:val="auto"/>
              </w:rPr>
            </w:pPr>
            <w:r>
              <w:rPr>
                <w:rFonts w:ascii="Times New Roman" w:cs="Times New Roman" w:eastAsia="Times New Roman" w:hAnsi="Times New Roman"/>
                <w:sz w:val="14"/>
                <w:szCs w:val="14"/>
                <w:b w:val="1"/>
                <w:bCs w:val="1"/>
                <w:color w:val="auto"/>
              </w:rPr>
              <w:t>20,001,406</w:t>
            </w:r>
          </w:p>
        </w:tc>
        <w:tc>
          <w:tcPr>
            <w:tcW w:w="1220" w:type="dxa"/>
            <w:vAlign w:val="bottom"/>
          </w:tcPr>
          <w:p>
            <w:pPr>
              <w:jc w:val="right"/>
              <w:ind w:right="72"/>
              <w:spacing w:after="0"/>
              <w:rPr>
                <w:sz w:val="20"/>
                <w:szCs w:val="20"/>
                <w:color w:val="auto"/>
              </w:rPr>
            </w:pPr>
            <w:r>
              <w:rPr>
                <w:rFonts w:ascii="Times New Roman" w:cs="Times New Roman" w:eastAsia="Times New Roman" w:hAnsi="Times New Roman"/>
                <w:sz w:val="14"/>
                <w:szCs w:val="14"/>
                <w:color w:val="auto"/>
              </w:rPr>
              <w:t>20,001,406</w:t>
            </w:r>
          </w:p>
        </w:tc>
        <w:tc>
          <w:tcPr>
            <w:tcW w:w="1220" w:type="dxa"/>
            <w:vAlign w:val="bottom"/>
          </w:tcPr>
          <w:p>
            <w:pPr>
              <w:jc w:val="right"/>
              <w:ind w:right="132"/>
              <w:spacing w:after="0"/>
              <w:rPr>
                <w:sz w:val="20"/>
                <w:szCs w:val="20"/>
                <w:color w:val="auto"/>
              </w:rPr>
            </w:pPr>
            <w:r>
              <w:rPr>
                <w:rFonts w:ascii="Times New Roman" w:cs="Times New Roman" w:eastAsia="Times New Roman" w:hAnsi="Times New Roman"/>
                <w:sz w:val="14"/>
                <w:szCs w:val="14"/>
                <w:color w:val="auto"/>
              </w:rPr>
              <w:t>12,045,467</w:t>
            </w:r>
          </w:p>
        </w:tc>
        <w:tc>
          <w:tcPr>
            <w:tcW w:w="1140" w:type="dxa"/>
            <w:vAlign w:val="bottom"/>
          </w:tcPr>
          <w:p>
            <w:pPr>
              <w:jc w:val="right"/>
              <w:ind w:right="132"/>
              <w:spacing w:after="0"/>
              <w:rPr>
                <w:sz w:val="20"/>
                <w:szCs w:val="20"/>
                <w:color w:val="auto"/>
              </w:rPr>
            </w:pPr>
            <w:r>
              <w:rPr>
                <w:rFonts w:ascii="Times New Roman" w:cs="Times New Roman" w:eastAsia="Times New Roman" w:hAnsi="Times New Roman"/>
                <w:sz w:val="14"/>
                <w:szCs w:val="14"/>
                <w:color w:val="auto"/>
              </w:rPr>
              <w:t>8,781,041</w:t>
            </w:r>
          </w:p>
        </w:tc>
        <w:tc>
          <w:tcPr>
            <w:tcW w:w="1200" w:type="dxa"/>
            <w:vAlign w:val="bottom"/>
          </w:tcPr>
          <w:p>
            <w:pPr>
              <w:jc w:val="right"/>
              <w:ind w:right="151"/>
              <w:spacing w:after="0"/>
              <w:rPr>
                <w:sz w:val="20"/>
                <w:szCs w:val="20"/>
                <w:color w:val="auto"/>
              </w:rPr>
            </w:pPr>
            <w:r>
              <w:rPr>
                <w:rFonts w:ascii="Times New Roman" w:cs="Times New Roman" w:eastAsia="Times New Roman" w:hAnsi="Times New Roman"/>
                <w:sz w:val="14"/>
                <w:szCs w:val="14"/>
                <w:color w:val="auto"/>
              </w:rPr>
              <w:t>6,173,270</w:t>
            </w:r>
          </w:p>
        </w:tc>
        <w:tc>
          <w:tcPr>
            <w:tcW w:w="1080" w:type="dxa"/>
            <w:vAlign w:val="bottom"/>
          </w:tcPr>
          <w:p>
            <w:pPr>
              <w:jc w:val="right"/>
              <w:ind w:right="71"/>
              <w:spacing w:after="0"/>
              <w:rPr>
                <w:sz w:val="20"/>
                <w:szCs w:val="20"/>
                <w:color w:val="auto"/>
              </w:rPr>
            </w:pPr>
            <w:r>
              <w:rPr>
                <w:rFonts w:ascii="Times New Roman" w:cs="Times New Roman" w:eastAsia="Times New Roman" w:hAnsi="Times New Roman"/>
                <w:sz w:val="14"/>
                <w:szCs w:val="14"/>
                <w:color w:val="auto"/>
              </w:rPr>
              <w:t>5,425,205</w:t>
            </w:r>
          </w:p>
        </w:tc>
        <w:tc>
          <w:tcPr>
            <w:tcW w:w="1200" w:type="dxa"/>
            <w:vAlign w:val="bottom"/>
          </w:tcPr>
          <w:p>
            <w:pPr>
              <w:jc w:val="right"/>
              <w:ind w:right="131"/>
              <w:spacing w:after="0"/>
              <w:rPr>
                <w:sz w:val="20"/>
                <w:szCs w:val="20"/>
                <w:color w:val="auto"/>
              </w:rPr>
            </w:pPr>
            <w:r>
              <w:rPr>
                <w:rFonts w:ascii="Times New Roman" w:cs="Times New Roman" w:eastAsia="Times New Roman" w:hAnsi="Times New Roman"/>
                <w:sz w:val="14"/>
                <w:szCs w:val="14"/>
                <w:color w:val="auto"/>
              </w:rPr>
              <w:t>5,161,694</w:t>
            </w: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4,970,720</w:t>
            </w:r>
          </w:p>
        </w:tc>
      </w:tr>
      <w:tr>
        <w:trPr>
          <w:trHeight w:val="181"/>
        </w:trPr>
        <w:tc>
          <w:tcPr>
            <w:tcW w:w="2020" w:type="dxa"/>
            <w:vAlign w:val="bottom"/>
          </w:tcPr>
          <w:p>
            <w:pPr>
              <w:ind w:left="60"/>
              <w:spacing w:after="0"/>
              <w:rPr>
                <w:sz w:val="20"/>
                <w:szCs w:val="20"/>
                <w:color w:val="auto"/>
              </w:rPr>
            </w:pPr>
            <w:r>
              <w:rPr>
                <w:rFonts w:ascii="Times New Roman" w:cs="Times New Roman" w:eastAsia="Times New Roman" w:hAnsi="Times New Roman"/>
                <w:sz w:val="14"/>
                <w:szCs w:val="14"/>
                <w:b w:val="1"/>
                <w:bCs w:val="1"/>
                <w:color w:val="auto"/>
              </w:rPr>
              <w:t>Loss per share ($)</w:t>
            </w:r>
          </w:p>
        </w:tc>
        <w:tc>
          <w:tcPr>
            <w:tcW w:w="1140" w:type="dxa"/>
            <w:vAlign w:val="bottom"/>
            <w:shd w:val="clear" w:color="auto" w:fill="DBDBDB"/>
          </w:tcPr>
          <w:p>
            <w:pPr>
              <w:jc w:val="right"/>
              <w:spacing w:after="0"/>
              <w:rPr>
                <w:sz w:val="20"/>
                <w:szCs w:val="20"/>
                <w:color w:val="auto"/>
              </w:rPr>
            </w:pPr>
            <w:r>
              <w:rPr>
                <w:rFonts w:ascii="Times New Roman" w:cs="Times New Roman" w:eastAsia="Times New Roman" w:hAnsi="Times New Roman"/>
                <w:sz w:val="14"/>
                <w:szCs w:val="14"/>
                <w:b w:val="1"/>
                <w:bCs w:val="1"/>
                <w:color w:val="auto"/>
              </w:rPr>
              <w:t>(2.86)</w:t>
            </w:r>
          </w:p>
        </w:tc>
        <w:tc>
          <w:tcPr>
            <w:tcW w:w="1220" w:type="dxa"/>
            <w:vAlign w:val="bottom"/>
          </w:tcPr>
          <w:p>
            <w:pPr>
              <w:jc w:val="right"/>
              <w:ind w:right="32"/>
              <w:spacing w:after="0"/>
              <w:rPr>
                <w:sz w:val="20"/>
                <w:szCs w:val="20"/>
                <w:color w:val="auto"/>
              </w:rPr>
            </w:pPr>
            <w:r>
              <w:rPr>
                <w:rFonts w:ascii="Times New Roman" w:cs="Times New Roman" w:eastAsia="Times New Roman" w:hAnsi="Times New Roman"/>
                <w:sz w:val="14"/>
                <w:szCs w:val="14"/>
                <w:color w:val="auto"/>
              </w:rPr>
              <w:t>(0.74)</w:t>
            </w:r>
          </w:p>
        </w:tc>
        <w:tc>
          <w:tcPr>
            <w:tcW w:w="1220" w:type="dxa"/>
            <w:vAlign w:val="bottom"/>
          </w:tcPr>
          <w:p>
            <w:pPr>
              <w:jc w:val="right"/>
              <w:ind w:right="112"/>
              <w:spacing w:after="0"/>
              <w:rPr>
                <w:sz w:val="20"/>
                <w:szCs w:val="20"/>
                <w:color w:val="auto"/>
              </w:rPr>
            </w:pPr>
            <w:r>
              <w:rPr>
                <w:rFonts w:ascii="Times New Roman" w:cs="Times New Roman" w:eastAsia="Times New Roman" w:hAnsi="Times New Roman"/>
                <w:sz w:val="14"/>
                <w:szCs w:val="14"/>
                <w:color w:val="auto"/>
              </w:rPr>
              <w:t>(1.77)</w:t>
            </w:r>
          </w:p>
        </w:tc>
        <w:tc>
          <w:tcPr>
            <w:tcW w:w="1140" w:type="dxa"/>
            <w:vAlign w:val="bottom"/>
          </w:tcPr>
          <w:p>
            <w:pPr>
              <w:jc w:val="right"/>
              <w:ind w:right="92"/>
              <w:spacing w:after="0"/>
              <w:rPr>
                <w:sz w:val="20"/>
                <w:szCs w:val="20"/>
                <w:color w:val="auto"/>
              </w:rPr>
            </w:pPr>
            <w:r>
              <w:rPr>
                <w:rFonts w:ascii="Times New Roman" w:cs="Times New Roman" w:eastAsia="Times New Roman" w:hAnsi="Times New Roman"/>
                <w:sz w:val="14"/>
                <w:szCs w:val="14"/>
                <w:color w:val="auto"/>
              </w:rPr>
              <w:t>(3.45)</w:t>
            </w:r>
          </w:p>
        </w:tc>
        <w:tc>
          <w:tcPr>
            <w:tcW w:w="1200" w:type="dxa"/>
            <w:vAlign w:val="bottom"/>
          </w:tcPr>
          <w:p>
            <w:pPr>
              <w:jc w:val="right"/>
              <w:ind w:right="111"/>
              <w:spacing w:after="0"/>
              <w:rPr>
                <w:sz w:val="20"/>
                <w:szCs w:val="20"/>
                <w:color w:val="auto"/>
              </w:rPr>
            </w:pPr>
            <w:r>
              <w:rPr>
                <w:rFonts w:ascii="Times New Roman" w:cs="Times New Roman" w:eastAsia="Times New Roman" w:hAnsi="Times New Roman"/>
                <w:sz w:val="14"/>
                <w:szCs w:val="14"/>
                <w:color w:val="auto"/>
              </w:rPr>
              <w:t>(1.93)</w:t>
            </w:r>
          </w:p>
        </w:tc>
        <w:tc>
          <w:tcPr>
            <w:tcW w:w="1080" w:type="dxa"/>
            <w:vAlign w:val="bottom"/>
          </w:tcPr>
          <w:p>
            <w:pPr>
              <w:jc w:val="right"/>
              <w:ind w:right="51"/>
              <w:spacing w:after="0"/>
              <w:rPr>
                <w:sz w:val="20"/>
                <w:szCs w:val="20"/>
                <w:color w:val="auto"/>
              </w:rPr>
            </w:pPr>
            <w:r>
              <w:rPr>
                <w:rFonts w:ascii="Times New Roman" w:cs="Times New Roman" w:eastAsia="Times New Roman" w:hAnsi="Times New Roman"/>
                <w:sz w:val="14"/>
                <w:szCs w:val="14"/>
                <w:color w:val="auto"/>
              </w:rPr>
              <w:t>(2.68)</w:t>
            </w:r>
          </w:p>
        </w:tc>
        <w:tc>
          <w:tcPr>
            <w:tcW w:w="1200" w:type="dxa"/>
            <w:vAlign w:val="bottom"/>
          </w:tcPr>
          <w:p>
            <w:pPr>
              <w:jc w:val="right"/>
              <w:ind w:right="91"/>
              <w:spacing w:after="0"/>
              <w:rPr>
                <w:sz w:val="20"/>
                <w:szCs w:val="20"/>
                <w:color w:val="auto"/>
              </w:rPr>
            </w:pPr>
            <w:r>
              <w:rPr>
                <w:rFonts w:ascii="Times New Roman" w:cs="Times New Roman" w:eastAsia="Times New Roman" w:hAnsi="Times New Roman"/>
                <w:sz w:val="14"/>
                <w:szCs w:val="14"/>
                <w:color w:val="auto"/>
              </w:rPr>
              <w:t>(2.66)</w:t>
            </w: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(2.16)</w:t>
            </w:r>
          </w:p>
        </w:tc>
      </w:tr>
      <w:tr>
        <w:trPr>
          <w:trHeight w:val="388"/>
        </w:trPr>
        <w:tc>
          <w:tcPr>
            <w:tcW w:w="2020" w:type="dxa"/>
            <w:vAlign w:val="bottom"/>
          </w:tcPr>
          <w:p>
            <w:pPr>
              <w:ind w:left="60"/>
              <w:spacing w:after="0"/>
              <w:rPr>
                <w:sz w:val="20"/>
                <w:szCs w:val="20"/>
                <w:color w:val="auto"/>
              </w:rPr>
            </w:pPr>
            <w:r>
              <w:rPr>
                <w:rFonts w:ascii="Times New Roman" w:cs="Times New Roman" w:eastAsia="Times New Roman" w:hAnsi="Times New Roman"/>
                <w:sz w:val="14"/>
                <w:szCs w:val="14"/>
                <w:b w:val="1"/>
                <w:bCs w:val="1"/>
                <w:color w:val="auto"/>
              </w:rPr>
              <w:t>Weighted Average Shares -</w:t>
            </w:r>
          </w:p>
        </w:tc>
        <w:tc>
          <w:tcPr>
            <w:tcW w:w="1140" w:type="dxa"/>
            <w:vAlign w:val="bottom"/>
            <w:shd w:val="clear" w:color="auto" w:fill="DBDBDB"/>
          </w:tcPr>
          <w:p>
            <w:pPr>
              <w:spacing w:after="0"/>
              <w:rPr>
                <w:sz w:val="24"/>
                <w:szCs w:val="24"/>
                <w:color w:val="auto"/>
              </w:rPr>
            </w:pPr>
          </w:p>
        </w:tc>
        <w:tc>
          <w:tcPr>
            <w:tcW w:w="12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0" w:type="dxa"/>
            <w:vAlign w:val="bottom"/>
          </w:tcPr>
          <w:p>
            <w:pPr>
              <w:spacing w:after="0"/>
              <w:rPr>
                <w:sz w:val="24"/>
                <w:szCs w:val="24"/>
                <w:color w:val="auto"/>
              </w:rPr>
            </w:pPr>
          </w:p>
        </w:tc>
      </w:tr>
      <w:tr>
        <w:trPr>
          <w:trHeight w:val="180"/>
        </w:trPr>
        <w:tc>
          <w:tcPr>
            <w:tcW w:w="2020" w:type="dxa"/>
            <w:vAlign w:val="bottom"/>
          </w:tcPr>
          <w:p>
            <w:pPr>
              <w:ind w:left="60"/>
              <w:spacing w:after="0"/>
              <w:rPr>
                <w:sz w:val="20"/>
                <w:szCs w:val="20"/>
                <w:color w:val="auto"/>
              </w:rPr>
            </w:pPr>
            <w:r>
              <w:rPr>
                <w:rFonts w:ascii="Times New Roman" w:cs="Times New Roman" w:eastAsia="Times New Roman" w:hAnsi="Times New Roman"/>
                <w:sz w:val="14"/>
                <w:szCs w:val="14"/>
                <w:b w:val="1"/>
                <w:bCs w:val="1"/>
                <w:color w:val="auto"/>
              </w:rPr>
              <w:t>Diluted</w:t>
            </w:r>
          </w:p>
        </w:tc>
        <w:tc>
          <w:tcPr>
            <w:tcW w:w="1140" w:type="dxa"/>
            <w:vAlign w:val="bottom"/>
            <w:shd w:val="clear" w:color="auto" w:fill="DBDBDB"/>
          </w:tcPr>
          <w:p>
            <w:pPr>
              <w:jc w:val="right"/>
              <w:spacing w:after="0"/>
              <w:rPr>
                <w:sz w:val="20"/>
                <w:szCs w:val="20"/>
                <w:color w:val="auto"/>
              </w:rPr>
            </w:pPr>
            <w:r>
              <w:rPr>
                <w:rFonts w:ascii="Times New Roman" w:cs="Times New Roman" w:eastAsia="Times New Roman" w:hAnsi="Times New Roman"/>
                <w:sz w:val="14"/>
                <w:szCs w:val="14"/>
                <w:b w:val="1"/>
                <w:bCs w:val="1"/>
                <w:color w:val="auto"/>
              </w:rPr>
              <w:t>20,001,406</w:t>
            </w:r>
          </w:p>
        </w:tc>
        <w:tc>
          <w:tcPr>
            <w:tcW w:w="1220" w:type="dxa"/>
            <w:vAlign w:val="bottom"/>
          </w:tcPr>
          <w:p>
            <w:pPr>
              <w:jc w:val="right"/>
              <w:ind w:right="72"/>
              <w:spacing w:after="0"/>
              <w:rPr>
                <w:sz w:val="20"/>
                <w:szCs w:val="20"/>
                <w:color w:val="auto"/>
              </w:rPr>
            </w:pPr>
            <w:r>
              <w:rPr>
                <w:rFonts w:ascii="Times New Roman" w:cs="Times New Roman" w:eastAsia="Times New Roman" w:hAnsi="Times New Roman"/>
                <w:sz w:val="14"/>
                <w:szCs w:val="14"/>
                <w:color w:val="auto"/>
              </w:rPr>
              <w:t>20,001,406</w:t>
            </w:r>
          </w:p>
        </w:tc>
        <w:tc>
          <w:tcPr>
            <w:tcW w:w="1220" w:type="dxa"/>
            <w:vAlign w:val="bottom"/>
          </w:tcPr>
          <w:p>
            <w:pPr>
              <w:jc w:val="right"/>
              <w:ind w:right="132"/>
              <w:spacing w:after="0"/>
              <w:rPr>
                <w:sz w:val="20"/>
                <w:szCs w:val="20"/>
                <w:color w:val="auto"/>
              </w:rPr>
            </w:pPr>
            <w:r>
              <w:rPr>
                <w:rFonts w:ascii="Times New Roman" w:cs="Times New Roman" w:eastAsia="Times New Roman" w:hAnsi="Times New Roman"/>
                <w:sz w:val="14"/>
                <w:szCs w:val="14"/>
                <w:color w:val="auto"/>
              </w:rPr>
              <w:t>12,045,467</w:t>
            </w:r>
          </w:p>
        </w:tc>
        <w:tc>
          <w:tcPr>
            <w:tcW w:w="1140" w:type="dxa"/>
            <w:vAlign w:val="bottom"/>
          </w:tcPr>
          <w:p>
            <w:pPr>
              <w:jc w:val="right"/>
              <w:ind w:right="132"/>
              <w:spacing w:after="0"/>
              <w:rPr>
                <w:sz w:val="20"/>
                <w:szCs w:val="20"/>
                <w:color w:val="auto"/>
              </w:rPr>
            </w:pPr>
            <w:r>
              <w:rPr>
                <w:rFonts w:ascii="Times New Roman" w:cs="Times New Roman" w:eastAsia="Times New Roman" w:hAnsi="Times New Roman"/>
                <w:sz w:val="14"/>
                <w:szCs w:val="14"/>
                <w:color w:val="auto"/>
              </w:rPr>
              <w:t>8,781,041</w:t>
            </w:r>
          </w:p>
        </w:tc>
        <w:tc>
          <w:tcPr>
            <w:tcW w:w="1200" w:type="dxa"/>
            <w:vAlign w:val="bottom"/>
          </w:tcPr>
          <w:p>
            <w:pPr>
              <w:jc w:val="right"/>
              <w:ind w:right="151"/>
              <w:spacing w:after="0"/>
              <w:rPr>
                <w:sz w:val="20"/>
                <w:szCs w:val="20"/>
                <w:color w:val="auto"/>
              </w:rPr>
            </w:pPr>
            <w:r>
              <w:rPr>
                <w:rFonts w:ascii="Times New Roman" w:cs="Times New Roman" w:eastAsia="Times New Roman" w:hAnsi="Times New Roman"/>
                <w:sz w:val="14"/>
                <w:szCs w:val="14"/>
                <w:color w:val="auto"/>
              </w:rPr>
              <w:t>6,173,270</w:t>
            </w:r>
          </w:p>
        </w:tc>
        <w:tc>
          <w:tcPr>
            <w:tcW w:w="1080" w:type="dxa"/>
            <w:vAlign w:val="bottom"/>
          </w:tcPr>
          <w:p>
            <w:pPr>
              <w:jc w:val="right"/>
              <w:ind w:right="71"/>
              <w:spacing w:after="0"/>
              <w:rPr>
                <w:sz w:val="20"/>
                <w:szCs w:val="20"/>
                <w:color w:val="auto"/>
              </w:rPr>
            </w:pPr>
            <w:r>
              <w:rPr>
                <w:rFonts w:ascii="Times New Roman" w:cs="Times New Roman" w:eastAsia="Times New Roman" w:hAnsi="Times New Roman"/>
                <w:sz w:val="14"/>
                <w:szCs w:val="14"/>
                <w:color w:val="auto"/>
              </w:rPr>
              <w:t>5,425,205</w:t>
            </w:r>
          </w:p>
        </w:tc>
        <w:tc>
          <w:tcPr>
            <w:tcW w:w="1200" w:type="dxa"/>
            <w:vAlign w:val="bottom"/>
          </w:tcPr>
          <w:p>
            <w:pPr>
              <w:jc w:val="right"/>
              <w:ind w:right="131"/>
              <w:spacing w:after="0"/>
              <w:rPr>
                <w:sz w:val="20"/>
                <w:szCs w:val="20"/>
                <w:color w:val="auto"/>
              </w:rPr>
            </w:pPr>
            <w:r>
              <w:rPr>
                <w:rFonts w:ascii="Times New Roman" w:cs="Times New Roman" w:eastAsia="Times New Roman" w:hAnsi="Times New Roman"/>
                <w:sz w:val="14"/>
                <w:szCs w:val="14"/>
                <w:color w:val="auto"/>
              </w:rPr>
              <w:t>5,161,694</w:t>
            </w: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4,970,720</w:t>
            </w:r>
          </w:p>
        </w:tc>
      </w:tr>
      <w:tr>
        <w:trPr>
          <w:trHeight w:val="181"/>
        </w:trPr>
        <w:tc>
          <w:tcPr>
            <w:tcW w:w="2020" w:type="dxa"/>
            <w:vAlign w:val="bottom"/>
          </w:tcPr>
          <w:p>
            <w:pPr>
              <w:ind w:left="60"/>
              <w:spacing w:after="0"/>
              <w:rPr>
                <w:sz w:val="20"/>
                <w:szCs w:val="20"/>
                <w:color w:val="auto"/>
              </w:rPr>
            </w:pPr>
            <w:r>
              <w:rPr>
                <w:rFonts w:ascii="Times New Roman" w:cs="Times New Roman" w:eastAsia="Times New Roman" w:hAnsi="Times New Roman"/>
                <w:sz w:val="14"/>
                <w:szCs w:val="14"/>
                <w:b w:val="1"/>
                <w:bCs w:val="1"/>
                <w:color w:val="auto"/>
              </w:rPr>
              <w:t>Loss per share ($)</w:t>
            </w:r>
          </w:p>
        </w:tc>
        <w:tc>
          <w:tcPr>
            <w:tcW w:w="1140" w:type="dxa"/>
            <w:vAlign w:val="bottom"/>
            <w:shd w:val="clear" w:color="auto" w:fill="DBDBDB"/>
          </w:tcPr>
          <w:p>
            <w:pPr>
              <w:jc w:val="right"/>
              <w:spacing w:after="0"/>
              <w:rPr>
                <w:sz w:val="20"/>
                <w:szCs w:val="20"/>
                <w:color w:val="auto"/>
              </w:rPr>
            </w:pPr>
            <w:r>
              <w:rPr>
                <w:rFonts w:ascii="Times New Roman" w:cs="Times New Roman" w:eastAsia="Times New Roman" w:hAnsi="Times New Roman"/>
                <w:sz w:val="14"/>
                <w:szCs w:val="14"/>
                <w:b w:val="1"/>
                <w:bCs w:val="1"/>
                <w:color w:val="auto"/>
              </w:rPr>
              <w:t>(2.86)</w:t>
            </w:r>
          </w:p>
        </w:tc>
        <w:tc>
          <w:tcPr>
            <w:tcW w:w="1220" w:type="dxa"/>
            <w:vAlign w:val="bottom"/>
          </w:tcPr>
          <w:p>
            <w:pPr>
              <w:jc w:val="right"/>
              <w:ind w:right="32"/>
              <w:spacing w:after="0"/>
              <w:rPr>
                <w:sz w:val="20"/>
                <w:szCs w:val="20"/>
                <w:color w:val="auto"/>
              </w:rPr>
            </w:pPr>
            <w:r>
              <w:rPr>
                <w:rFonts w:ascii="Times New Roman" w:cs="Times New Roman" w:eastAsia="Times New Roman" w:hAnsi="Times New Roman"/>
                <w:sz w:val="14"/>
                <w:szCs w:val="14"/>
                <w:color w:val="auto"/>
              </w:rPr>
              <w:t>(0.74)</w:t>
            </w:r>
          </w:p>
        </w:tc>
        <w:tc>
          <w:tcPr>
            <w:tcW w:w="1220" w:type="dxa"/>
            <w:vAlign w:val="bottom"/>
          </w:tcPr>
          <w:p>
            <w:pPr>
              <w:jc w:val="right"/>
              <w:ind w:right="112"/>
              <w:spacing w:after="0"/>
              <w:rPr>
                <w:sz w:val="20"/>
                <w:szCs w:val="20"/>
                <w:color w:val="auto"/>
              </w:rPr>
            </w:pPr>
            <w:r>
              <w:rPr>
                <w:rFonts w:ascii="Times New Roman" w:cs="Times New Roman" w:eastAsia="Times New Roman" w:hAnsi="Times New Roman"/>
                <w:sz w:val="14"/>
                <w:szCs w:val="14"/>
                <w:color w:val="auto"/>
              </w:rPr>
              <w:t>(1.77)</w:t>
            </w:r>
          </w:p>
        </w:tc>
        <w:tc>
          <w:tcPr>
            <w:tcW w:w="1140" w:type="dxa"/>
            <w:vAlign w:val="bottom"/>
          </w:tcPr>
          <w:p>
            <w:pPr>
              <w:jc w:val="right"/>
              <w:ind w:right="92"/>
              <w:spacing w:after="0"/>
              <w:rPr>
                <w:sz w:val="20"/>
                <w:szCs w:val="20"/>
                <w:color w:val="auto"/>
              </w:rPr>
            </w:pPr>
            <w:r>
              <w:rPr>
                <w:rFonts w:ascii="Times New Roman" w:cs="Times New Roman" w:eastAsia="Times New Roman" w:hAnsi="Times New Roman"/>
                <w:sz w:val="14"/>
                <w:szCs w:val="14"/>
                <w:color w:val="auto"/>
              </w:rPr>
              <w:t>(3.45)</w:t>
            </w:r>
          </w:p>
        </w:tc>
        <w:tc>
          <w:tcPr>
            <w:tcW w:w="1200" w:type="dxa"/>
            <w:vAlign w:val="bottom"/>
          </w:tcPr>
          <w:p>
            <w:pPr>
              <w:jc w:val="right"/>
              <w:ind w:right="111"/>
              <w:spacing w:after="0"/>
              <w:rPr>
                <w:sz w:val="20"/>
                <w:szCs w:val="20"/>
                <w:color w:val="auto"/>
              </w:rPr>
            </w:pPr>
            <w:r>
              <w:rPr>
                <w:rFonts w:ascii="Times New Roman" w:cs="Times New Roman" w:eastAsia="Times New Roman" w:hAnsi="Times New Roman"/>
                <w:sz w:val="14"/>
                <w:szCs w:val="14"/>
                <w:color w:val="auto"/>
              </w:rPr>
              <w:t>(1.93)</w:t>
            </w:r>
          </w:p>
        </w:tc>
        <w:tc>
          <w:tcPr>
            <w:tcW w:w="1080" w:type="dxa"/>
            <w:vAlign w:val="bottom"/>
          </w:tcPr>
          <w:p>
            <w:pPr>
              <w:jc w:val="right"/>
              <w:ind w:right="51"/>
              <w:spacing w:after="0"/>
              <w:rPr>
                <w:sz w:val="20"/>
                <w:szCs w:val="20"/>
                <w:color w:val="auto"/>
              </w:rPr>
            </w:pPr>
            <w:r>
              <w:rPr>
                <w:rFonts w:ascii="Times New Roman" w:cs="Times New Roman" w:eastAsia="Times New Roman" w:hAnsi="Times New Roman"/>
                <w:sz w:val="14"/>
                <w:szCs w:val="14"/>
                <w:color w:val="auto"/>
              </w:rPr>
              <w:t>(2.68)</w:t>
            </w:r>
          </w:p>
        </w:tc>
        <w:tc>
          <w:tcPr>
            <w:tcW w:w="1200" w:type="dxa"/>
            <w:vAlign w:val="bottom"/>
          </w:tcPr>
          <w:p>
            <w:pPr>
              <w:jc w:val="right"/>
              <w:ind w:right="91"/>
              <w:spacing w:after="0"/>
              <w:rPr>
                <w:sz w:val="20"/>
                <w:szCs w:val="20"/>
                <w:color w:val="auto"/>
              </w:rPr>
            </w:pPr>
            <w:r>
              <w:rPr>
                <w:rFonts w:ascii="Times New Roman" w:cs="Times New Roman" w:eastAsia="Times New Roman" w:hAnsi="Times New Roman"/>
                <w:sz w:val="14"/>
                <w:szCs w:val="14"/>
                <w:color w:val="auto"/>
              </w:rPr>
              <w:t>(2.66)</w:t>
            </w: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(2.16)</w:t>
            </w:r>
          </w:p>
        </w:tc>
      </w:tr>
      <w:tr>
        <w:trPr>
          <w:trHeight w:val="423"/>
        </w:trPr>
        <w:tc>
          <w:tcPr>
            <w:tcW w:w="2020" w:type="dxa"/>
            <w:vAlign w:val="bottom"/>
          </w:tcPr>
          <w:p>
            <w:pPr>
              <w:ind w:left="60"/>
              <w:spacing w:after="0"/>
              <w:rPr>
                <w:sz w:val="20"/>
                <w:szCs w:val="20"/>
                <w:color w:val="auto"/>
              </w:rPr>
            </w:pPr>
            <w:r>
              <w:rPr>
                <w:rFonts w:ascii="Times New Roman" w:cs="Times New Roman" w:eastAsia="Times New Roman" w:hAnsi="Times New Roman"/>
                <w:sz w:val="14"/>
                <w:szCs w:val="14"/>
                <w:b w:val="1"/>
                <w:bCs w:val="1"/>
                <w:color w:val="auto"/>
              </w:rPr>
              <w:t>Cash and cash equivalents</w:t>
            </w:r>
          </w:p>
        </w:tc>
        <w:tc>
          <w:tcPr>
            <w:tcW w:w="1140" w:type="dxa"/>
            <w:vAlign w:val="bottom"/>
            <w:shd w:val="clear" w:color="auto" w:fill="DBDBDB"/>
          </w:tcPr>
          <w:p>
            <w:pPr>
              <w:jc w:val="right"/>
              <w:spacing w:after="0"/>
              <w:rPr>
                <w:sz w:val="20"/>
                <w:szCs w:val="20"/>
                <w:color w:val="auto"/>
              </w:rPr>
            </w:pPr>
            <w:r>
              <w:rPr>
                <w:rFonts w:ascii="Times New Roman" w:cs="Times New Roman" w:eastAsia="Times New Roman" w:hAnsi="Times New Roman"/>
                <w:sz w:val="14"/>
                <w:szCs w:val="14"/>
                <w:b w:val="1"/>
                <w:bCs w:val="1"/>
                <w:color w:val="auto"/>
              </w:rPr>
              <w:t>154,318</w:t>
            </w:r>
          </w:p>
        </w:tc>
        <w:tc>
          <w:tcPr>
            <w:tcW w:w="1220" w:type="dxa"/>
            <w:vAlign w:val="bottom"/>
          </w:tcPr>
          <w:p>
            <w:pPr>
              <w:jc w:val="right"/>
              <w:ind w:right="72"/>
              <w:spacing w:after="0"/>
              <w:rPr>
                <w:sz w:val="20"/>
                <w:szCs w:val="20"/>
                <w:color w:val="auto"/>
              </w:rPr>
            </w:pPr>
            <w:r>
              <w:rPr>
                <w:rFonts w:ascii="Times New Roman" w:cs="Times New Roman" w:eastAsia="Times New Roman" w:hAnsi="Times New Roman"/>
                <w:sz w:val="14"/>
                <w:szCs w:val="14"/>
                <w:color w:val="auto"/>
              </w:rPr>
              <w:t>183,275</w:t>
            </w:r>
          </w:p>
        </w:tc>
        <w:tc>
          <w:tcPr>
            <w:tcW w:w="1220" w:type="dxa"/>
            <w:vAlign w:val="bottom"/>
          </w:tcPr>
          <w:p>
            <w:pPr>
              <w:jc w:val="right"/>
              <w:ind w:right="132"/>
              <w:spacing w:after="0"/>
              <w:rPr>
                <w:sz w:val="20"/>
                <w:szCs w:val="20"/>
                <w:color w:val="auto"/>
              </w:rPr>
            </w:pPr>
            <w:r>
              <w:rPr>
                <w:rFonts w:ascii="Times New Roman" w:cs="Times New Roman" w:eastAsia="Times New Roman" w:hAnsi="Times New Roman"/>
                <w:sz w:val="14"/>
                <w:szCs w:val="14"/>
                <w:color w:val="auto"/>
              </w:rPr>
              <w:t>208,992</w:t>
            </w:r>
          </w:p>
        </w:tc>
        <w:tc>
          <w:tcPr>
            <w:tcW w:w="1140" w:type="dxa"/>
            <w:vAlign w:val="bottom"/>
          </w:tcPr>
          <w:p>
            <w:pPr>
              <w:jc w:val="right"/>
              <w:ind w:right="132"/>
              <w:spacing w:after="0"/>
              <w:rPr>
                <w:sz w:val="20"/>
                <w:szCs w:val="20"/>
                <w:color w:val="auto"/>
              </w:rPr>
            </w:pPr>
            <w:r>
              <w:rPr>
                <w:rFonts w:ascii="Times New Roman" w:cs="Times New Roman" w:eastAsia="Times New Roman" w:hAnsi="Times New Roman"/>
                <w:sz w:val="14"/>
                <w:szCs w:val="14"/>
                <w:color w:val="auto"/>
              </w:rPr>
              <w:t>38,999</w:t>
            </w:r>
          </w:p>
        </w:tc>
        <w:tc>
          <w:tcPr>
            <w:tcW w:w="1200" w:type="dxa"/>
            <w:vAlign w:val="bottom"/>
          </w:tcPr>
          <w:p>
            <w:pPr>
              <w:jc w:val="right"/>
              <w:ind w:right="151"/>
              <w:spacing w:after="0"/>
              <w:rPr>
                <w:sz w:val="20"/>
                <w:szCs w:val="20"/>
                <w:color w:val="auto"/>
              </w:rPr>
            </w:pPr>
            <w:r>
              <w:rPr>
                <w:rFonts w:ascii="Times New Roman" w:cs="Times New Roman" w:eastAsia="Times New Roman" w:hAnsi="Times New Roman"/>
                <w:sz w:val="14"/>
                <w:szCs w:val="14"/>
                <w:color w:val="auto"/>
              </w:rPr>
              <w:t>18,118</w:t>
            </w:r>
          </w:p>
        </w:tc>
        <w:tc>
          <w:tcPr>
            <w:tcW w:w="1080" w:type="dxa"/>
            <w:vAlign w:val="bottom"/>
          </w:tcPr>
          <w:p>
            <w:pPr>
              <w:jc w:val="right"/>
              <w:ind w:right="71"/>
              <w:spacing w:after="0"/>
              <w:rPr>
                <w:sz w:val="20"/>
                <w:szCs w:val="20"/>
                <w:color w:val="auto"/>
              </w:rPr>
            </w:pPr>
            <w:r>
              <w:rPr>
                <w:rFonts w:ascii="Times New Roman" w:cs="Times New Roman" w:eastAsia="Times New Roman" w:hAnsi="Times New Roman"/>
                <w:sz w:val="14"/>
                <w:szCs w:val="14"/>
                <w:color w:val="auto"/>
              </w:rPr>
              <w:t>9,349</w:t>
            </w:r>
          </w:p>
        </w:tc>
        <w:tc>
          <w:tcPr>
            <w:tcW w:w="1200" w:type="dxa"/>
            <w:vAlign w:val="bottom"/>
          </w:tcPr>
          <w:p>
            <w:pPr>
              <w:jc w:val="right"/>
              <w:ind w:right="131"/>
              <w:spacing w:after="0"/>
              <w:rPr>
                <w:sz w:val="20"/>
                <w:szCs w:val="20"/>
                <w:color w:val="auto"/>
              </w:rPr>
            </w:pPr>
            <w:r>
              <w:rPr>
                <w:rFonts w:ascii="Times New Roman" w:cs="Times New Roman" w:eastAsia="Times New Roman" w:hAnsi="Times New Roman"/>
                <w:sz w:val="14"/>
                <w:szCs w:val="14"/>
                <w:color w:val="auto"/>
              </w:rPr>
              <w:t>16,633</w:t>
            </w: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22,511</w:t>
            </w:r>
          </w:p>
        </w:tc>
      </w:tr>
      <w:tr>
        <w:trPr>
          <w:trHeight w:val="181"/>
        </w:trPr>
        <w:tc>
          <w:tcPr>
            <w:tcW w:w="2020" w:type="dxa"/>
            <w:vAlign w:val="bottom"/>
          </w:tcPr>
          <w:p>
            <w:pPr>
              <w:ind w:left="60"/>
              <w:spacing w:after="0"/>
              <w:rPr>
                <w:sz w:val="20"/>
                <w:szCs w:val="20"/>
                <w:color w:val="auto"/>
              </w:rPr>
            </w:pPr>
            <w:r>
              <w:rPr>
                <w:rFonts w:ascii="Times New Roman" w:cs="Times New Roman" w:eastAsia="Times New Roman" w:hAnsi="Times New Roman"/>
                <w:sz w:val="14"/>
                <w:szCs w:val="14"/>
                <w:b w:val="1"/>
                <w:bCs w:val="1"/>
                <w:color w:val="auto"/>
              </w:rPr>
              <w:t>Total Assets ($)</w:t>
            </w:r>
          </w:p>
        </w:tc>
        <w:tc>
          <w:tcPr>
            <w:tcW w:w="1140" w:type="dxa"/>
            <w:vAlign w:val="bottom"/>
            <w:shd w:val="clear" w:color="auto" w:fill="DBDBDB"/>
          </w:tcPr>
          <w:p>
            <w:pPr>
              <w:jc w:val="right"/>
              <w:spacing w:after="0"/>
              <w:rPr>
                <w:sz w:val="20"/>
                <w:szCs w:val="20"/>
                <w:color w:val="auto"/>
              </w:rPr>
            </w:pPr>
            <w:r>
              <w:rPr>
                <w:rFonts w:ascii="Times New Roman" w:cs="Times New Roman" w:eastAsia="Times New Roman" w:hAnsi="Times New Roman"/>
                <w:sz w:val="14"/>
                <w:szCs w:val="14"/>
                <w:b w:val="1"/>
                <w:bCs w:val="1"/>
                <w:color w:val="auto"/>
              </w:rPr>
              <w:t>262,391</w:t>
            </w:r>
          </w:p>
        </w:tc>
        <w:tc>
          <w:tcPr>
            <w:tcW w:w="1220" w:type="dxa"/>
            <w:vAlign w:val="bottom"/>
          </w:tcPr>
          <w:p>
            <w:pPr>
              <w:jc w:val="right"/>
              <w:ind w:right="72"/>
              <w:spacing w:after="0"/>
              <w:rPr>
                <w:sz w:val="20"/>
                <w:szCs w:val="20"/>
                <w:color w:val="auto"/>
              </w:rPr>
            </w:pPr>
            <w:r>
              <w:rPr>
                <w:rFonts w:ascii="Times New Roman" w:cs="Times New Roman" w:eastAsia="Times New Roman" w:hAnsi="Times New Roman"/>
                <w:sz w:val="14"/>
                <w:szCs w:val="14"/>
                <w:color w:val="auto"/>
              </w:rPr>
              <w:t>284,647</w:t>
            </w:r>
          </w:p>
        </w:tc>
        <w:tc>
          <w:tcPr>
            <w:tcW w:w="1220" w:type="dxa"/>
            <w:vAlign w:val="bottom"/>
          </w:tcPr>
          <w:p>
            <w:pPr>
              <w:jc w:val="right"/>
              <w:ind w:right="132"/>
              <w:spacing w:after="0"/>
              <w:rPr>
                <w:sz w:val="20"/>
                <w:szCs w:val="20"/>
                <w:color w:val="auto"/>
              </w:rPr>
            </w:pPr>
            <w:r>
              <w:rPr>
                <w:rFonts w:ascii="Times New Roman" w:cs="Times New Roman" w:eastAsia="Times New Roman" w:hAnsi="Times New Roman"/>
                <w:sz w:val="14"/>
                <w:szCs w:val="14"/>
                <w:color w:val="auto"/>
              </w:rPr>
              <w:t>302,023</w:t>
            </w:r>
          </w:p>
        </w:tc>
        <w:tc>
          <w:tcPr>
            <w:tcW w:w="1140" w:type="dxa"/>
            <w:vAlign w:val="bottom"/>
          </w:tcPr>
          <w:p>
            <w:pPr>
              <w:jc w:val="right"/>
              <w:ind w:right="132"/>
              <w:spacing w:after="0"/>
              <w:rPr>
                <w:sz w:val="20"/>
                <w:szCs w:val="20"/>
                <w:color w:val="auto"/>
              </w:rPr>
            </w:pPr>
            <w:r>
              <w:rPr>
                <w:rFonts w:ascii="Times New Roman" w:cs="Times New Roman" w:eastAsia="Times New Roman" w:hAnsi="Times New Roman"/>
                <w:sz w:val="14"/>
                <w:szCs w:val="14"/>
                <w:color w:val="auto"/>
              </w:rPr>
              <w:t>129,724</w:t>
            </w:r>
          </w:p>
        </w:tc>
        <w:tc>
          <w:tcPr>
            <w:tcW w:w="1200" w:type="dxa"/>
            <w:vAlign w:val="bottom"/>
          </w:tcPr>
          <w:p>
            <w:pPr>
              <w:jc w:val="right"/>
              <w:ind w:right="151"/>
              <w:spacing w:after="0"/>
              <w:rPr>
                <w:sz w:val="20"/>
                <w:szCs w:val="20"/>
                <w:color w:val="auto"/>
              </w:rPr>
            </w:pPr>
            <w:r>
              <w:rPr>
                <w:rFonts w:ascii="Times New Roman" w:cs="Times New Roman" w:eastAsia="Times New Roman" w:hAnsi="Times New Roman"/>
                <w:sz w:val="14"/>
                <w:szCs w:val="14"/>
                <w:color w:val="auto"/>
              </w:rPr>
              <w:t>57,627</w:t>
            </w:r>
          </w:p>
        </w:tc>
        <w:tc>
          <w:tcPr>
            <w:tcW w:w="1080" w:type="dxa"/>
            <w:vAlign w:val="bottom"/>
          </w:tcPr>
          <w:p>
            <w:pPr>
              <w:jc w:val="right"/>
              <w:ind w:right="71"/>
              <w:spacing w:after="0"/>
              <w:rPr>
                <w:sz w:val="20"/>
                <w:szCs w:val="20"/>
                <w:color w:val="auto"/>
              </w:rPr>
            </w:pPr>
            <w:r>
              <w:rPr>
                <w:rFonts w:ascii="Times New Roman" w:cs="Times New Roman" w:eastAsia="Times New Roman" w:hAnsi="Times New Roman"/>
                <w:sz w:val="14"/>
                <w:szCs w:val="14"/>
                <w:color w:val="auto"/>
              </w:rPr>
              <w:t>45,691</w:t>
            </w:r>
          </w:p>
        </w:tc>
        <w:tc>
          <w:tcPr>
            <w:tcW w:w="1200" w:type="dxa"/>
            <w:vAlign w:val="bottom"/>
          </w:tcPr>
          <w:p>
            <w:pPr>
              <w:jc w:val="right"/>
              <w:ind w:right="131"/>
              <w:spacing w:after="0"/>
              <w:rPr>
                <w:sz w:val="20"/>
                <w:szCs w:val="20"/>
                <w:color w:val="auto"/>
              </w:rPr>
            </w:pPr>
            <w:r>
              <w:rPr>
                <w:rFonts w:ascii="Times New Roman" w:cs="Times New Roman" w:eastAsia="Times New Roman" w:hAnsi="Times New Roman"/>
                <w:sz w:val="14"/>
                <w:szCs w:val="14"/>
                <w:color w:val="auto"/>
              </w:rPr>
              <w:t>53,897</w:t>
            </w: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60,694</w:t>
            </w:r>
          </w:p>
        </w:tc>
      </w:tr>
      <w:tr>
        <w:trPr>
          <w:trHeight w:val="200"/>
        </w:trPr>
        <w:tc>
          <w:tcPr>
            <w:tcW w:w="202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4"/>
                <w:szCs w:val="14"/>
                <w:b w:val="1"/>
                <w:bCs w:val="1"/>
                <w:color w:val="auto"/>
                <w:w w:val="98"/>
              </w:rPr>
              <w:t>Total Non-Current Liabilities ($)</w:t>
            </w:r>
          </w:p>
        </w:tc>
        <w:tc>
          <w:tcPr>
            <w:tcW w:w="1140" w:type="dxa"/>
            <w:vAlign w:val="bottom"/>
            <w:tcBorders>
              <w:bottom w:val="single" w:sz="8" w:color="auto"/>
            </w:tcBorders>
            <w:shd w:val="clear" w:color="auto" w:fill="DBDBDB"/>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20" w:type="dxa"/>
            <w:vAlign w:val="bottom"/>
            <w:tcBorders>
              <w:bottom w:val="single" w:sz="8" w:color="auto"/>
            </w:tcBorders>
          </w:tcPr>
          <w:p>
            <w:pPr>
              <w:jc w:val="right"/>
              <w:ind w:right="72"/>
              <w:spacing w:after="0"/>
              <w:rPr>
                <w:sz w:val="20"/>
                <w:szCs w:val="20"/>
                <w:color w:val="auto"/>
              </w:rPr>
            </w:pPr>
            <w:r>
              <w:rPr>
                <w:rFonts w:ascii="Times New Roman" w:cs="Times New Roman" w:eastAsia="Times New Roman" w:hAnsi="Times New Roman"/>
                <w:sz w:val="14"/>
                <w:szCs w:val="14"/>
                <w:color w:val="auto"/>
              </w:rPr>
              <w:t>—</w:t>
            </w:r>
          </w:p>
        </w:tc>
        <w:tc>
          <w:tcPr>
            <w:tcW w:w="1220" w:type="dxa"/>
            <w:vAlign w:val="bottom"/>
            <w:tcBorders>
              <w:bottom w:val="single" w:sz="8" w:color="auto"/>
            </w:tcBorders>
          </w:tcPr>
          <w:p>
            <w:pPr>
              <w:jc w:val="right"/>
              <w:ind w:right="132"/>
              <w:spacing w:after="0"/>
              <w:rPr>
                <w:sz w:val="20"/>
                <w:szCs w:val="20"/>
                <w:color w:val="auto"/>
              </w:rPr>
            </w:pPr>
            <w:r>
              <w:rPr>
                <w:rFonts w:ascii="Times New Roman" w:cs="Times New Roman" w:eastAsia="Times New Roman" w:hAnsi="Times New Roman"/>
                <w:sz w:val="14"/>
                <w:szCs w:val="14"/>
                <w:color w:val="auto"/>
              </w:rPr>
              <w:t>—</w:t>
            </w:r>
          </w:p>
        </w:tc>
        <w:tc>
          <w:tcPr>
            <w:tcW w:w="1140" w:type="dxa"/>
            <w:vAlign w:val="bottom"/>
            <w:tcBorders>
              <w:bottom w:val="single" w:sz="8" w:color="auto"/>
            </w:tcBorders>
          </w:tcPr>
          <w:p>
            <w:pPr>
              <w:jc w:val="right"/>
              <w:ind w:right="132"/>
              <w:spacing w:after="0"/>
              <w:rPr>
                <w:sz w:val="20"/>
                <w:szCs w:val="20"/>
                <w:color w:val="auto"/>
              </w:rPr>
            </w:pPr>
            <w:r>
              <w:rPr>
                <w:rFonts w:ascii="Times New Roman" w:cs="Times New Roman" w:eastAsia="Times New Roman" w:hAnsi="Times New Roman"/>
                <w:sz w:val="14"/>
                <w:szCs w:val="14"/>
                <w:color w:val="auto"/>
              </w:rPr>
              <w:t>42</w:t>
            </w:r>
          </w:p>
        </w:tc>
        <w:tc>
          <w:tcPr>
            <w:tcW w:w="1200" w:type="dxa"/>
            <w:vAlign w:val="bottom"/>
            <w:tcBorders>
              <w:bottom w:val="single" w:sz="8" w:color="auto"/>
            </w:tcBorders>
          </w:tcPr>
          <w:p>
            <w:pPr>
              <w:jc w:val="right"/>
              <w:ind w:right="151"/>
              <w:spacing w:after="0"/>
              <w:rPr>
                <w:sz w:val="20"/>
                <w:szCs w:val="20"/>
                <w:color w:val="auto"/>
              </w:rPr>
            </w:pPr>
            <w:r>
              <w:rPr>
                <w:rFonts w:ascii="Times New Roman" w:cs="Times New Roman" w:eastAsia="Times New Roman" w:hAnsi="Times New Roman"/>
                <w:sz w:val="15"/>
                <w:szCs w:val="15"/>
                <w:color w:val="auto"/>
              </w:rPr>
              <w:t>—</w:t>
            </w:r>
          </w:p>
        </w:tc>
        <w:tc>
          <w:tcPr>
            <w:tcW w:w="1080" w:type="dxa"/>
            <w:vAlign w:val="bottom"/>
            <w:tcBorders>
              <w:bottom w:val="single" w:sz="8" w:color="auto"/>
            </w:tcBorders>
          </w:tcPr>
          <w:p>
            <w:pPr>
              <w:jc w:val="right"/>
              <w:ind w:right="91"/>
              <w:spacing w:after="0"/>
              <w:rPr>
                <w:sz w:val="20"/>
                <w:szCs w:val="20"/>
                <w:color w:val="auto"/>
              </w:rPr>
            </w:pPr>
            <w:r>
              <w:rPr>
                <w:rFonts w:ascii="Times New Roman" w:cs="Times New Roman" w:eastAsia="Times New Roman" w:hAnsi="Times New Roman"/>
                <w:sz w:val="15"/>
                <w:szCs w:val="15"/>
                <w:color w:val="auto"/>
              </w:rPr>
              <w:t>—</w:t>
            </w:r>
          </w:p>
        </w:tc>
        <w:tc>
          <w:tcPr>
            <w:tcW w:w="1200" w:type="dxa"/>
            <w:vAlign w:val="bottom"/>
            <w:tcBorders>
              <w:bottom w:val="single" w:sz="8" w:color="auto"/>
            </w:tcBorders>
          </w:tcPr>
          <w:p>
            <w:pPr>
              <w:jc w:val="right"/>
              <w:ind w:right="131"/>
              <w:spacing w:after="0"/>
              <w:rPr>
                <w:sz w:val="20"/>
                <w:szCs w:val="20"/>
                <w:color w:val="auto"/>
              </w:rPr>
            </w:pPr>
            <w:r>
              <w:rPr>
                <w:rFonts w:ascii="Times New Roman" w:cs="Times New Roman" w:eastAsia="Times New Roman" w:hAnsi="Times New Roman"/>
                <w:sz w:val="15"/>
                <w:szCs w:val="15"/>
                <w:color w:val="auto"/>
              </w:rPr>
              <w:t>—</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w:t>
            </w:r>
          </w:p>
        </w:tc>
      </w:tr>
    </w:tbl>
    <w:p>
      <w:pPr>
        <w:spacing w:after="0" w:line="3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Assets</w:t>
      </w:r>
    </w:p>
    <w:p>
      <w:pPr>
        <w:spacing w:after="0" w:line="268" w:lineRule="exact"/>
        <w:rPr>
          <w:sz w:val="20"/>
          <w:szCs w:val="20"/>
          <w:color w:val="auto"/>
        </w:rPr>
      </w:pPr>
    </w:p>
    <w:p>
      <w:pPr>
        <w:jc w:val="both"/>
        <w:spacing w:after="0" w:line="301" w:lineRule="auto"/>
        <w:rPr>
          <w:sz w:val="20"/>
          <w:szCs w:val="20"/>
          <w:color w:val="auto"/>
        </w:rPr>
      </w:pPr>
      <w:r>
        <w:rPr>
          <w:rFonts w:ascii="Times New Roman" w:cs="Times New Roman" w:eastAsia="Times New Roman" w:hAnsi="Times New Roman"/>
          <w:sz w:val="18"/>
          <w:szCs w:val="18"/>
          <w:color w:val="auto"/>
        </w:rPr>
        <w:t>Total assets decreased by $39,632 from April 1, 2024 to September 30, 2024 mainly as a result of a decrease in cash as the Company continues to progress its operations. The decrease is partially offset by an increase of prepaid expenses. As at September 30, 2024, the Company had prepaid expenses related to future clinical work of $10,213 (US$7,566).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55</w:t>
      </w:r>
    </w:p>
    <w:p>
      <w:pPr>
        <w:sectPr>
          <w:pgSz w:w="11900" w:h="16838" w:orient="portrait"/>
          <w:cols w:equalWidth="0" w:num="1">
            <w:col w:w="11260"/>
          </w:cols>
          <w:pgMar w:left="320" w:top="1303" w:right="319" w:bottom="1440" w:gutter="0" w:footer="0" w:header="0"/>
        </w:sectPr>
      </w:pPr>
    </w:p>
    <w:bookmarkStart w:id="81" w:name="page82"/>
    <w:bookmarkEnd w:id="81"/>
    <w:p>
      <w:pPr>
        <w:spacing w:after="0"/>
        <w:rPr>
          <w:sz w:val="20"/>
          <w:szCs w:val="20"/>
          <w:color w:val="auto"/>
        </w:rPr>
      </w:pPr>
      <w:r>
        <w:rPr>
          <w:rFonts w:ascii="Times New Roman" w:cs="Times New Roman" w:eastAsia="Times New Roman" w:hAnsi="Times New Roman"/>
          <w:sz w:val="18"/>
          <w:szCs w:val="18"/>
          <w:b w:val="1"/>
          <w:bCs w:val="1"/>
          <w:i w:val="1"/>
          <w:iCs w:val="1"/>
          <w:color w:val="auto"/>
        </w:rPr>
        <w:t>Results of Operations</w:t>
      </w:r>
    </w:p>
    <w:p>
      <w:pPr>
        <w:spacing w:after="0" w:line="262"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5120" w:type="dxa"/>
            <w:vAlign w:val="bottom"/>
          </w:tcPr>
          <w:p>
            <w:pPr>
              <w:spacing w:after="0"/>
              <w:rPr>
                <w:sz w:val="15"/>
                <w:szCs w:val="15"/>
                <w:color w:val="auto"/>
              </w:rPr>
            </w:pPr>
          </w:p>
        </w:tc>
        <w:tc>
          <w:tcPr>
            <w:tcW w:w="2120" w:type="dxa"/>
            <w:vAlign w:val="bottom"/>
          </w:tcPr>
          <w:p>
            <w:pPr>
              <w:jc w:val="right"/>
              <w:ind w:right="7"/>
              <w:spacing w:after="0"/>
              <w:rPr>
                <w:sz w:val="20"/>
                <w:szCs w:val="20"/>
                <w:color w:val="auto"/>
              </w:rPr>
            </w:pPr>
            <w:r>
              <w:rPr>
                <w:rFonts w:ascii="Times New Roman" w:cs="Times New Roman" w:eastAsia="Times New Roman" w:hAnsi="Times New Roman"/>
                <w:sz w:val="15"/>
                <w:szCs w:val="15"/>
                <w:b w:val="1"/>
                <w:bCs w:val="1"/>
                <w:color w:val="auto"/>
              </w:rPr>
              <w:t>Three months ended</w:t>
            </w:r>
          </w:p>
        </w:tc>
        <w:tc>
          <w:tcPr>
            <w:tcW w:w="1180" w:type="dxa"/>
            <w:vAlign w:val="bottom"/>
          </w:tcPr>
          <w:p>
            <w:pPr>
              <w:spacing w:after="0"/>
              <w:rPr>
                <w:sz w:val="15"/>
                <w:szCs w:val="15"/>
                <w:color w:val="auto"/>
              </w:rPr>
            </w:pPr>
          </w:p>
        </w:tc>
        <w:tc>
          <w:tcPr>
            <w:tcW w:w="1960" w:type="dxa"/>
            <w:vAlign w:val="bottom"/>
          </w:tcPr>
          <w:p>
            <w:pPr>
              <w:jc w:val="right"/>
              <w:ind w:right="167"/>
              <w:spacing w:after="0"/>
              <w:rPr>
                <w:sz w:val="20"/>
                <w:szCs w:val="20"/>
                <w:color w:val="auto"/>
              </w:rPr>
            </w:pPr>
            <w:r>
              <w:rPr>
                <w:rFonts w:ascii="Times New Roman" w:cs="Times New Roman" w:eastAsia="Times New Roman" w:hAnsi="Times New Roman"/>
                <w:sz w:val="15"/>
                <w:szCs w:val="15"/>
                <w:b w:val="1"/>
                <w:bCs w:val="1"/>
                <w:color w:val="auto"/>
              </w:rPr>
              <w:t>Six months ended</w:t>
            </w:r>
          </w:p>
        </w:tc>
        <w:tc>
          <w:tcPr>
            <w:tcW w:w="8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2"/>
        </w:trPr>
        <w:tc>
          <w:tcPr>
            <w:tcW w:w="5120" w:type="dxa"/>
            <w:vAlign w:val="bottom"/>
            <w:tcBorders>
              <w:bottom w:val="single" w:sz="8" w:color="auto"/>
            </w:tcBorders>
          </w:tcPr>
          <w:p>
            <w:pPr>
              <w:spacing w:after="0"/>
              <w:rPr>
                <w:sz w:val="16"/>
                <w:szCs w:val="16"/>
                <w:color w:val="auto"/>
              </w:rPr>
            </w:pPr>
          </w:p>
        </w:tc>
        <w:tc>
          <w:tcPr>
            <w:tcW w:w="2120" w:type="dxa"/>
            <w:vAlign w:val="bottom"/>
            <w:tcBorders>
              <w:bottom w:val="single" w:sz="8" w:color="auto"/>
            </w:tcBorders>
          </w:tcPr>
          <w:p>
            <w:pPr>
              <w:jc w:val="right"/>
              <w:ind w:right="207"/>
              <w:spacing w:after="0"/>
              <w:rPr>
                <w:sz w:val="20"/>
                <w:szCs w:val="20"/>
                <w:color w:val="auto"/>
              </w:rPr>
            </w:pPr>
            <w:r>
              <w:rPr>
                <w:rFonts w:ascii="Times New Roman" w:cs="Times New Roman" w:eastAsia="Times New Roman" w:hAnsi="Times New Roman"/>
                <w:sz w:val="15"/>
                <w:szCs w:val="15"/>
                <w:b w:val="1"/>
                <w:bCs w:val="1"/>
                <w:color w:val="auto"/>
              </w:rPr>
              <w:t>September 30</w:t>
            </w:r>
          </w:p>
        </w:tc>
        <w:tc>
          <w:tcPr>
            <w:tcW w:w="1180" w:type="dxa"/>
            <w:vAlign w:val="bottom"/>
            <w:tcBorders>
              <w:bottom w:val="single" w:sz="8" w:color="auto"/>
            </w:tcBorders>
          </w:tcPr>
          <w:p>
            <w:pPr>
              <w:spacing w:after="0"/>
              <w:rPr>
                <w:sz w:val="16"/>
                <w:szCs w:val="16"/>
                <w:color w:val="auto"/>
              </w:rPr>
            </w:pPr>
          </w:p>
        </w:tc>
        <w:tc>
          <w:tcPr>
            <w:tcW w:w="1960" w:type="dxa"/>
            <w:vAlign w:val="bottom"/>
            <w:tcBorders>
              <w:bottom w:val="single" w:sz="8" w:color="auto"/>
            </w:tcBorders>
          </w:tcPr>
          <w:p>
            <w:pPr>
              <w:jc w:val="right"/>
              <w:ind w:right="267"/>
              <w:spacing w:after="0"/>
              <w:rPr>
                <w:sz w:val="20"/>
                <w:szCs w:val="20"/>
                <w:color w:val="auto"/>
              </w:rPr>
            </w:pPr>
            <w:r>
              <w:rPr>
                <w:rFonts w:ascii="Times New Roman" w:cs="Times New Roman" w:eastAsia="Times New Roman" w:hAnsi="Times New Roman"/>
                <w:sz w:val="15"/>
                <w:szCs w:val="15"/>
                <w:b w:val="1"/>
                <w:bCs w:val="1"/>
                <w:color w:val="auto"/>
              </w:rPr>
              <w:t>September 30</w:t>
            </w:r>
          </w:p>
        </w:tc>
        <w:tc>
          <w:tcPr>
            <w:tcW w:w="88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19"/>
        </w:trPr>
        <w:tc>
          <w:tcPr>
            <w:tcW w:w="5120" w:type="dxa"/>
            <w:vAlign w:val="bottom"/>
          </w:tcPr>
          <w:p>
            <w:pPr>
              <w:spacing w:after="0"/>
              <w:rPr>
                <w:sz w:val="19"/>
                <w:szCs w:val="19"/>
                <w:color w:val="auto"/>
              </w:rPr>
            </w:pPr>
          </w:p>
        </w:tc>
        <w:tc>
          <w:tcPr>
            <w:tcW w:w="2120" w:type="dxa"/>
            <w:vAlign w:val="bottom"/>
          </w:tcPr>
          <w:p>
            <w:pPr>
              <w:jc w:val="right"/>
              <w:ind w:right="687"/>
              <w:spacing w:after="0"/>
              <w:rPr>
                <w:sz w:val="20"/>
                <w:szCs w:val="20"/>
                <w:color w:val="auto"/>
              </w:rPr>
            </w:pPr>
            <w:r>
              <w:rPr>
                <w:rFonts w:ascii="Times New Roman" w:cs="Times New Roman" w:eastAsia="Times New Roman" w:hAnsi="Times New Roman"/>
                <w:sz w:val="15"/>
                <w:szCs w:val="15"/>
                <w:b w:val="1"/>
                <w:bCs w:val="1"/>
                <w:color w:val="auto"/>
              </w:rPr>
              <w:t>2024</w:t>
            </w:r>
          </w:p>
        </w:tc>
        <w:tc>
          <w:tcPr>
            <w:tcW w:w="1180" w:type="dxa"/>
            <w:vAlign w:val="bottom"/>
          </w:tcPr>
          <w:p>
            <w:pPr>
              <w:jc w:val="right"/>
              <w:ind w:right="447"/>
              <w:spacing w:after="0"/>
              <w:rPr>
                <w:sz w:val="20"/>
                <w:szCs w:val="20"/>
                <w:color w:val="auto"/>
              </w:rPr>
            </w:pPr>
            <w:r>
              <w:rPr>
                <w:rFonts w:ascii="Times New Roman" w:cs="Times New Roman" w:eastAsia="Times New Roman" w:hAnsi="Times New Roman"/>
                <w:sz w:val="15"/>
                <w:szCs w:val="15"/>
                <w:b w:val="1"/>
                <w:bCs w:val="1"/>
                <w:color w:val="auto"/>
              </w:rPr>
              <w:t>2023</w:t>
            </w:r>
          </w:p>
        </w:tc>
        <w:tc>
          <w:tcPr>
            <w:tcW w:w="1960" w:type="dxa"/>
            <w:vAlign w:val="bottom"/>
            <w:vMerge w:val="restart"/>
          </w:tcPr>
          <w:p>
            <w:pPr>
              <w:jc w:val="right"/>
              <w:ind w:right="767"/>
              <w:spacing w:after="0"/>
              <w:rPr>
                <w:sz w:val="20"/>
                <w:szCs w:val="20"/>
                <w:color w:val="auto"/>
              </w:rPr>
            </w:pPr>
            <w:r>
              <w:rPr>
                <w:rFonts w:ascii="Times New Roman" w:cs="Times New Roman" w:eastAsia="Times New Roman" w:hAnsi="Times New Roman"/>
                <w:sz w:val="15"/>
                <w:szCs w:val="15"/>
                <w:b w:val="1"/>
                <w:bCs w:val="1"/>
                <w:color w:val="auto"/>
              </w:rPr>
              <w:t>2024</w:t>
            </w:r>
          </w:p>
        </w:tc>
        <w:tc>
          <w:tcPr>
            <w:tcW w:w="880" w:type="dxa"/>
            <w:vAlign w:val="bottom"/>
            <w:vMerge w:val="restart"/>
          </w:tcPr>
          <w:p>
            <w:pPr>
              <w:jc w:val="right"/>
              <w:spacing w:after="0"/>
              <w:rPr>
                <w:sz w:val="20"/>
                <w:szCs w:val="20"/>
                <w:color w:val="auto"/>
              </w:rPr>
            </w:pPr>
            <w:r>
              <w:rPr>
                <w:rFonts w:ascii="Times New Roman" w:cs="Times New Roman" w:eastAsia="Times New Roman" w:hAnsi="Times New Roman"/>
                <w:sz w:val="15"/>
                <w:szCs w:val="15"/>
                <w:b w:val="1"/>
                <w:bCs w:val="1"/>
                <w:color w:val="auto"/>
              </w:rPr>
              <w:t>2023</w:t>
            </w:r>
          </w:p>
        </w:tc>
        <w:tc>
          <w:tcPr>
            <w:tcW w:w="0" w:type="dxa"/>
            <w:vAlign w:val="bottom"/>
          </w:tcPr>
          <w:p>
            <w:pPr>
              <w:spacing w:after="0"/>
              <w:rPr>
                <w:sz w:val="1"/>
                <w:szCs w:val="1"/>
                <w:color w:val="auto"/>
              </w:rPr>
            </w:pPr>
          </w:p>
        </w:tc>
      </w:tr>
      <w:tr>
        <w:trPr>
          <w:trHeight w:val="51"/>
        </w:trPr>
        <w:tc>
          <w:tcPr>
            <w:tcW w:w="5120" w:type="dxa"/>
            <w:vAlign w:val="bottom"/>
            <w:tcBorders>
              <w:bottom w:val="single" w:sz="8" w:color="auto"/>
            </w:tcBorders>
          </w:tcPr>
          <w:p>
            <w:pPr>
              <w:spacing w:after="0"/>
              <w:rPr>
                <w:sz w:val="4"/>
                <w:szCs w:val="4"/>
                <w:color w:val="auto"/>
              </w:rPr>
            </w:pPr>
          </w:p>
        </w:tc>
        <w:tc>
          <w:tcPr>
            <w:tcW w:w="2120" w:type="dxa"/>
            <w:vAlign w:val="bottom"/>
            <w:tcBorders>
              <w:bottom w:val="single" w:sz="8" w:color="auto"/>
            </w:tcBorders>
          </w:tcPr>
          <w:p>
            <w:pPr>
              <w:spacing w:after="0"/>
              <w:rPr>
                <w:sz w:val="4"/>
                <w:szCs w:val="4"/>
                <w:color w:val="auto"/>
              </w:rPr>
            </w:pPr>
          </w:p>
        </w:tc>
        <w:tc>
          <w:tcPr>
            <w:tcW w:w="1180" w:type="dxa"/>
            <w:vAlign w:val="bottom"/>
            <w:tcBorders>
              <w:bottom w:val="single" w:sz="8" w:color="auto"/>
            </w:tcBorders>
          </w:tcPr>
          <w:p>
            <w:pPr>
              <w:spacing w:after="0"/>
              <w:rPr>
                <w:sz w:val="4"/>
                <w:szCs w:val="4"/>
                <w:color w:val="auto"/>
              </w:rPr>
            </w:pPr>
          </w:p>
        </w:tc>
        <w:tc>
          <w:tcPr>
            <w:tcW w:w="1960" w:type="dxa"/>
            <w:vAlign w:val="bottom"/>
            <w:tcBorders>
              <w:bottom w:val="single" w:sz="8" w:color="auto"/>
            </w:tcBorders>
            <w:vMerge w:val="continue"/>
          </w:tcPr>
          <w:p>
            <w:pPr>
              <w:spacing w:after="0"/>
              <w:rPr>
                <w:sz w:val="4"/>
                <w:szCs w:val="4"/>
                <w:color w:val="auto"/>
              </w:rPr>
            </w:pPr>
          </w:p>
        </w:tc>
        <w:tc>
          <w:tcPr>
            <w:tcW w:w="880" w:type="dxa"/>
            <w:vAlign w:val="bottom"/>
            <w:tcBorders>
              <w:bottom w:val="single" w:sz="8" w:color="auto"/>
            </w:tcBorders>
            <w:vMerge w:val="continue"/>
          </w:tcPr>
          <w:p>
            <w:pPr>
              <w:spacing w:after="0"/>
              <w:rPr>
                <w:sz w:val="4"/>
                <w:szCs w:val="4"/>
                <w:color w:val="auto"/>
              </w:rPr>
            </w:pPr>
          </w:p>
        </w:tc>
        <w:tc>
          <w:tcPr>
            <w:tcW w:w="0" w:type="dxa"/>
            <w:vAlign w:val="bottom"/>
          </w:tcPr>
          <w:p>
            <w:pPr>
              <w:spacing w:after="0"/>
              <w:rPr>
                <w:sz w:val="1"/>
                <w:szCs w:val="1"/>
                <w:color w:val="auto"/>
              </w:rPr>
            </w:pPr>
          </w:p>
        </w:tc>
      </w:tr>
      <w:tr>
        <w:trPr>
          <w:trHeight w:val="401"/>
        </w:trPr>
        <w:tc>
          <w:tcPr>
            <w:tcW w:w="5120" w:type="dxa"/>
            <w:vAlign w:val="bottom"/>
          </w:tcPr>
          <w:p>
            <w:pPr>
              <w:ind w:left="60"/>
              <w:spacing w:after="0"/>
              <w:rPr>
                <w:sz w:val="20"/>
                <w:szCs w:val="20"/>
                <w:color w:val="auto"/>
              </w:rPr>
            </w:pPr>
            <w:r>
              <w:rPr>
                <w:rFonts w:ascii="Times New Roman" w:cs="Times New Roman" w:eastAsia="Times New Roman" w:hAnsi="Times New Roman"/>
                <w:sz w:val="15"/>
                <w:szCs w:val="15"/>
                <w:b w:val="1"/>
                <w:bCs w:val="1"/>
                <w:color w:val="auto"/>
              </w:rPr>
              <w:t>EXPENSES</w:t>
            </w:r>
          </w:p>
        </w:tc>
        <w:tc>
          <w:tcPr>
            <w:tcW w:w="212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9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4"/>
        </w:trPr>
        <w:tc>
          <w:tcPr>
            <w:tcW w:w="5120" w:type="dxa"/>
            <w:vAlign w:val="bottom"/>
          </w:tcPr>
          <w:p>
            <w:pPr>
              <w:ind w:left="200"/>
              <w:spacing w:after="0"/>
              <w:rPr>
                <w:sz w:val="20"/>
                <w:szCs w:val="20"/>
                <w:color w:val="auto"/>
              </w:rPr>
            </w:pPr>
            <w:r>
              <w:rPr>
                <w:rFonts w:ascii="Times New Roman" w:cs="Times New Roman" w:eastAsia="Times New Roman" w:hAnsi="Times New Roman"/>
                <w:sz w:val="15"/>
                <w:szCs w:val="15"/>
                <w:color w:val="auto"/>
              </w:rPr>
              <w:t>Research</w:t>
            </w:r>
          </w:p>
        </w:tc>
        <w:tc>
          <w:tcPr>
            <w:tcW w:w="2120" w:type="dxa"/>
            <w:vAlign w:val="bottom"/>
            <w:vMerge w:val="restart"/>
          </w:tcPr>
          <w:p>
            <w:pPr>
              <w:jc w:val="right"/>
              <w:ind w:right="687"/>
              <w:spacing w:after="0"/>
              <w:rPr>
                <w:sz w:val="20"/>
                <w:szCs w:val="20"/>
                <w:color w:val="auto"/>
              </w:rPr>
            </w:pPr>
            <w:r>
              <w:rPr>
                <w:rFonts w:ascii="Times New Roman" w:cs="Times New Roman" w:eastAsia="Times New Roman" w:hAnsi="Times New Roman"/>
                <w:sz w:val="15"/>
                <w:szCs w:val="15"/>
                <w:b w:val="1"/>
                <w:bCs w:val="1"/>
                <w:color w:val="auto"/>
              </w:rPr>
              <w:t>9,115</w:t>
            </w:r>
          </w:p>
        </w:tc>
        <w:tc>
          <w:tcPr>
            <w:tcW w:w="1180" w:type="dxa"/>
            <w:vAlign w:val="bottom"/>
            <w:vMerge w:val="restart"/>
          </w:tcPr>
          <w:p>
            <w:pPr>
              <w:jc w:val="right"/>
              <w:ind w:right="447"/>
              <w:spacing w:after="0"/>
              <w:rPr>
                <w:sz w:val="20"/>
                <w:szCs w:val="20"/>
                <w:color w:val="auto"/>
              </w:rPr>
            </w:pPr>
            <w:r>
              <w:rPr>
                <w:rFonts w:ascii="Times New Roman" w:cs="Times New Roman" w:eastAsia="Times New Roman" w:hAnsi="Times New Roman"/>
                <w:sz w:val="15"/>
                <w:szCs w:val="15"/>
                <w:color w:val="auto"/>
              </w:rPr>
              <w:t>6,696</w:t>
            </w:r>
          </w:p>
        </w:tc>
        <w:tc>
          <w:tcPr>
            <w:tcW w:w="1960" w:type="dxa"/>
            <w:vAlign w:val="bottom"/>
            <w:vMerge w:val="restart"/>
          </w:tcPr>
          <w:p>
            <w:pPr>
              <w:jc w:val="right"/>
              <w:ind w:right="767"/>
              <w:spacing w:after="0"/>
              <w:rPr>
                <w:sz w:val="20"/>
                <w:szCs w:val="20"/>
                <w:color w:val="auto"/>
              </w:rPr>
            </w:pPr>
            <w:r>
              <w:rPr>
                <w:rFonts w:ascii="Times New Roman" w:cs="Times New Roman" w:eastAsia="Times New Roman" w:hAnsi="Times New Roman"/>
                <w:sz w:val="15"/>
                <w:szCs w:val="15"/>
                <w:b w:val="1"/>
                <w:bCs w:val="1"/>
                <w:color w:val="auto"/>
              </w:rPr>
              <w:t>17,156</w:t>
            </w:r>
          </w:p>
        </w:tc>
        <w:tc>
          <w:tcPr>
            <w:tcW w:w="880" w:type="dxa"/>
            <w:vAlign w:val="bottom"/>
            <w:vMerge w:val="restart"/>
          </w:tcPr>
          <w:p>
            <w:pPr>
              <w:jc w:val="right"/>
              <w:spacing w:after="0"/>
              <w:rPr>
                <w:sz w:val="20"/>
                <w:szCs w:val="20"/>
                <w:color w:val="auto"/>
              </w:rPr>
            </w:pPr>
            <w:r>
              <w:rPr>
                <w:rFonts w:ascii="Times New Roman" w:cs="Times New Roman" w:eastAsia="Times New Roman" w:hAnsi="Times New Roman"/>
                <w:sz w:val="15"/>
                <w:szCs w:val="15"/>
                <w:color w:val="auto"/>
              </w:rPr>
              <w:t>13,080</w:t>
            </w:r>
          </w:p>
        </w:tc>
        <w:tc>
          <w:tcPr>
            <w:tcW w:w="0" w:type="dxa"/>
            <w:vAlign w:val="bottom"/>
          </w:tcPr>
          <w:p>
            <w:pPr>
              <w:spacing w:after="0"/>
              <w:rPr>
                <w:sz w:val="1"/>
                <w:szCs w:val="1"/>
                <w:color w:val="auto"/>
              </w:rPr>
            </w:pPr>
          </w:p>
        </w:tc>
      </w:tr>
      <w:tr>
        <w:trPr>
          <w:trHeight w:val="60"/>
        </w:trPr>
        <w:tc>
          <w:tcPr>
            <w:tcW w:w="5120" w:type="dxa"/>
            <w:vAlign w:val="bottom"/>
          </w:tcPr>
          <w:p>
            <w:pPr>
              <w:spacing w:after="0"/>
              <w:rPr>
                <w:sz w:val="5"/>
                <w:szCs w:val="5"/>
                <w:color w:val="auto"/>
              </w:rPr>
            </w:pPr>
          </w:p>
        </w:tc>
        <w:tc>
          <w:tcPr>
            <w:tcW w:w="2120" w:type="dxa"/>
            <w:vAlign w:val="bottom"/>
            <w:vMerge w:val="continue"/>
          </w:tcPr>
          <w:p>
            <w:pPr>
              <w:spacing w:after="0"/>
              <w:rPr>
                <w:sz w:val="5"/>
                <w:szCs w:val="5"/>
                <w:color w:val="auto"/>
              </w:rPr>
            </w:pPr>
          </w:p>
        </w:tc>
        <w:tc>
          <w:tcPr>
            <w:tcW w:w="1180" w:type="dxa"/>
            <w:vAlign w:val="bottom"/>
            <w:vMerge w:val="continue"/>
          </w:tcPr>
          <w:p>
            <w:pPr>
              <w:spacing w:after="0"/>
              <w:rPr>
                <w:sz w:val="5"/>
                <w:szCs w:val="5"/>
                <w:color w:val="auto"/>
              </w:rPr>
            </w:pPr>
          </w:p>
        </w:tc>
        <w:tc>
          <w:tcPr>
            <w:tcW w:w="1960" w:type="dxa"/>
            <w:vAlign w:val="bottom"/>
            <w:vMerge w:val="continue"/>
          </w:tcPr>
          <w:p>
            <w:pPr>
              <w:spacing w:after="0"/>
              <w:rPr>
                <w:sz w:val="5"/>
                <w:szCs w:val="5"/>
                <w:color w:val="auto"/>
              </w:rPr>
            </w:pPr>
          </w:p>
        </w:tc>
        <w:tc>
          <w:tcPr>
            <w:tcW w:w="88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54"/>
        </w:trPr>
        <w:tc>
          <w:tcPr>
            <w:tcW w:w="5120" w:type="dxa"/>
            <w:vAlign w:val="bottom"/>
          </w:tcPr>
          <w:p>
            <w:pPr>
              <w:ind w:left="200"/>
              <w:spacing w:after="0"/>
              <w:rPr>
                <w:sz w:val="20"/>
                <w:szCs w:val="20"/>
                <w:color w:val="auto"/>
              </w:rPr>
            </w:pPr>
            <w:r>
              <w:rPr>
                <w:rFonts w:ascii="Times New Roman" w:cs="Times New Roman" w:eastAsia="Times New Roman" w:hAnsi="Times New Roman"/>
                <w:sz w:val="15"/>
                <w:szCs w:val="15"/>
                <w:color w:val="auto"/>
              </w:rPr>
              <w:t>General and administrative costs</w:t>
            </w:r>
          </w:p>
        </w:tc>
        <w:tc>
          <w:tcPr>
            <w:tcW w:w="2120" w:type="dxa"/>
            <w:vAlign w:val="bottom"/>
            <w:vMerge w:val="restart"/>
          </w:tcPr>
          <w:p>
            <w:pPr>
              <w:jc w:val="right"/>
              <w:ind w:right="687"/>
              <w:spacing w:after="0"/>
              <w:rPr>
                <w:sz w:val="20"/>
                <w:szCs w:val="20"/>
                <w:color w:val="auto"/>
              </w:rPr>
            </w:pPr>
            <w:r>
              <w:rPr>
                <w:rFonts w:ascii="Times New Roman" w:cs="Times New Roman" w:eastAsia="Times New Roman" w:hAnsi="Times New Roman"/>
                <w:sz w:val="15"/>
                <w:szCs w:val="15"/>
                <w:b w:val="1"/>
                <w:bCs w:val="1"/>
                <w:color w:val="auto"/>
              </w:rPr>
              <w:t>15,678</w:t>
            </w:r>
          </w:p>
        </w:tc>
        <w:tc>
          <w:tcPr>
            <w:tcW w:w="1180" w:type="dxa"/>
            <w:vAlign w:val="bottom"/>
            <w:vMerge w:val="restart"/>
          </w:tcPr>
          <w:p>
            <w:pPr>
              <w:jc w:val="right"/>
              <w:ind w:right="447"/>
              <w:spacing w:after="0"/>
              <w:rPr>
                <w:sz w:val="20"/>
                <w:szCs w:val="20"/>
                <w:color w:val="auto"/>
              </w:rPr>
            </w:pPr>
            <w:r>
              <w:rPr>
                <w:rFonts w:ascii="Times New Roman" w:cs="Times New Roman" w:eastAsia="Times New Roman" w:hAnsi="Times New Roman"/>
                <w:sz w:val="15"/>
                <w:szCs w:val="15"/>
                <w:color w:val="auto"/>
              </w:rPr>
              <w:t>5,800</w:t>
            </w:r>
          </w:p>
        </w:tc>
        <w:tc>
          <w:tcPr>
            <w:tcW w:w="1960" w:type="dxa"/>
            <w:vAlign w:val="bottom"/>
            <w:vMerge w:val="restart"/>
          </w:tcPr>
          <w:p>
            <w:pPr>
              <w:jc w:val="right"/>
              <w:ind w:right="767"/>
              <w:spacing w:after="0"/>
              <w:rPr>
                <w:sz w:val="20"/>
                <w:szCs w:val="20"/>
                <w:color w:val="auto"/>
              </w:rPr>
            </w:pPr>
            <w:r>
              <w:rPr>
                <w:rFonts w:ascii="Times New Roman" w:cs="Times New Roman" w:eastAsia="Times New Roman" w:hAnsi="Times New Roman"/>
                <w:sz w:val="15"/>
                <w:szCs w:val="15"/>
                <w:b w:val="1"/>
                <w:bCs w:val="1"/>
                <w:color w:val="auto"/>
              </w:rPr>
              <w:t>23,981</w:t>
            </w:r>
          </w:p>
        </w:tc>
        <w:tc>
          <w:tcPr>
            <w:tcW w:w="880" w:type="dxa"/>
            <w:vAlign w:val="bottom"/>
            <w:vMerge w:val="restart"/>
          </w:tcPr>
          <w:p>
            <w:pPr>
              <w:jc w:val="right"/>
              <w:spacing w:after="0"/>
              <w:rPr>
                <w:sz w:val="20"/>
                <w:szCs w:val="20"/>
                <w:color w:val="auto"/>
              </w:rPr>
            </w:pPr>
            <w:r>
              <w:rPr>
                <w:rFonts w:ascii="Times New Roman" w:cs="Times New Roman" w:eastAsia="Times New Roman" w:hAnsi="Times New Roman"/>
                <w:sz w:val="15"/>
                <w:szCs w:val="15"/>
                <w:color w:val="auto"/>
              </w:rPr>
              <w:t>10,848</w:t>
            </w:r>
          </w:p>
        </w:tc>
        <w:tc>
          <w:tcPr>
            <w:tcW w:w="0" w:type="dxa"/>
            <w:vAlign w:val="bottom"/>
          </w:tcPr>
          <w:p>
            <w:pPr>
              <w:spacing w:after="0"/>
              <w:rPr>
                <w:sz w:val="1"/>
                <w:szCs w:val="1"/>
                <w:color w:val="auto"/>
              </w:rPr>
            </w:pPr>
          </w:p>
        </w:tc>
      </w:tr>
      <w:tr>
        <w:trPr>
          <w:trHeight w:val="60"/>
        </w:trPr>
        <w:tc>
          <w:tcPr>
            <w:tcW w:w="5120" w:type="dxa"/>
            <w:vAlign w:val="bottom"/>
          </w:tcPr>
          <w:p>
            <w:pPr>
              <w:spacing w:after="0"/>
              <w:rPr>
                <w:sz w:val="5"/>
                <w:szCs w:val="5"/>
                <w:color w:val="auto"/>
              </w:rPr>
            </w:pPr>
          </w:p>
        </w:tc>
        <w:tc>
          <w:tcPr>
            <w:tcW w:w="2120" w:type="dxa"/>
            <w:vAlign w:val="bottom"/>
            <w:vMerge w:val="continue"/>
          </w:tcPr>
          <w:p>
            <w:pPr>
              <w:spacing w:after="0"/>
              <w:rPr>
                <w:sz w:val="5"/>
                <w:szCs w:val="5"/>
                <w:color w:val="auto"/>
              </w:rPr>
            </w:pPr>
          </w:p>
        </w:tc>
        <w:tc>
          <w:tcPr>
            <w:tcW w:w="1180" w:type="dxa"/>
            <w:vAlign w:val="bottom"/>
            <w:vMerge w:val="continue"/>
          </w:tcPr>
          <w:p>
            <w:pPr>
              <w:spacing w:after="0"/>
              <w:rPr>
                <w:sz w:val="5"/>
                <w:szCs w:val="5"/>
                <w:color w:val="auto"/>
              </w:rPr>
            </w:pPr>
          </w:p>
        </w:tc>
        <w:tc>
          <w:tcPr>
            <w:tcW w:w="1960" w:type="dxa"/>
            <w:vAlign w:val="bottom"/>
            <w:vMerge w:val="continue"/>
          </w:tcPr>
          <w:p>
            <w:pPr>
              <w:spacing w:after="0"/>
              <w:rPr>
                <w:sz w:val="5"/>
                <w:szCs w:val="5"/>
                <w:color w:val="auto"/>
              </w:rPr>
            </w:pPr>
          </w:p>
        </w:tc>
        <w:tc>
          <w:tcPr>
            <w:tcW w:w="88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54"/>
        </w:trPr>
        <w:tc>
          <w:tcPr>
            <w:tcW w:w="5120" w:type="dxa"/>
            <w:vAlign w:val="bottom"/>
          </w:tcPr>
          <w:p>
            <w:pPr>
              <w:ind w:left="200"/>
              <w:spacing w:after="0"/>
              <w:rPr>
                <w:sz w:val="20"/>
                <w:szCs w:val="20"/>
                <w:color w:val="auto"/>
              </w:rPr>
            </w:pPr>
            <w:r>
              <w:rPr>
                <w:rFonts w:ascii="Times New Roman" w:cs="Times New Roman" w:eastAsia="Times New Roman" w:hAnsi="Times New Roman"/>
                <w:sz w:val="15"/>
                <w:szCs w:val="15"/>
                <w:color w:val="auto"/>
              </w:rPr>
              <w:t>Share-based compensation</w:t>
            </w:r>
          </w:p>
        </w:tc>
        <w:tc>
          <w:tcPr>
            <w:tcW w:w="2120" w:type="dxa"/>
            <w:vAlign w:val="bottom"/>
            <w:vMerge w:val="restart"/>
          </w:tcPr>
          <w:p>
            <w:pPr>
              <w:jc w:val="right"/>
              <w:ind w:right="687"/>
              <w:spacing w:after="0"/>
              <w:rPr>
                <w:sz w:val="20"/>
                <w:szCs w:val="20"/>
                <w:color w:val="auto"/>
              </w:rPr>
            </w:pPr>
            <w:r>
              <w:rPr>
                <w:rFonts w:ascii="Times New Roman" w:cs="Times New Roman" w:eastAsia="Times New Roman" w:hAnsi="Times New Roman"/>
                <w:sz w:val="15"/>
                <w:szCs w:val="15"/>
                <w:b w:val="1"/>
                <w:bCs w:val="1"/>
                <w:color w:val="auto"/>
              </w:rPr>
              <w:t>33,461</w:t>
            </w:r>
          </w:p>
        </w:tc>
        <w:tc>
          <w:tcPr>
            <w:tcW w:w="1180" w:type="dxa"/>
            <w:vAlign w:val="bottom"/>
            <w:vMerge w:val="restart"/>
          </w:tcPr>
          <w:p>
            <w:pPr>
              <w:jc w:val="right"/>
              <w:ind w:right="447"/>
              <w:spacing w:after="0"/>
              <w:rPr>
                <w:sz w:val="20"/>
                <w:szCs w:val="20"/>
                <w:color w:val="auto"/>
              </w:rPr>
            </w:pPr>
            <w:r>
              <w:rPr>
                <w:rFonts w:ascii="Times New Roman" w:cs="Times New Roman" w:eastAsia="Times New Roman" w:hAnsi="Times New Roman"/>
                <w:sz w:val="15"/>
                <w:szCs w:val="15"/>
                <w:color w:val="auto"/>
              </w:rPr>
              <w:t>1,414</w:t>
            </w:r>
          </w:p>
        </w:tc>
        <w:tc>
          <w:tcPr>
            <w:tcW w:w="1960" w:type="dxa"/>
            <w:vAlign w:val="bottom"/>
            <w:vMerge w:val="restart"/>
          </w:tcPr>
          <w:p>
            <w:pPr>
              <w:jc w:val="right"/>
              <w:ind w:right="767"/>
              <w:spacing w:after="0"/>
              <w:rPr>
                <w:sz w:val="20"/>
                <w:szCs w:val="20"/>
                <w:color w:val="auto"/>
              </w:rPr>
            </w:pPr>
            <w:r>
              <w:rPr>
                <w:rFonts w:ascii="Times New Roman" w:cs="Times New Roman" w:eastAsia="Times New Roman" w:hAnsi="Times New Roman"/>
                <w:sz w:val="15"/>
                <w:szCs w:val="15"/>
                <w:b w:val="1"/>
                <w:bCs w:val="1"/>
                <w:color w:val="auto"/>
              </w:rPr>
              <w:t>37,434</w:t>
            </w:r>
          </w:p>
        </w:tc>
        <w:tc>
          <w:tcPr>
            <w:tcW w:w="880" w:type="dxa"/>
            <w:vAlign w:val="bottom"/>
            <w:vMerge w:val="restart"/>
          </w:tcPr>
          <w:p>
            <w:pPr>
              <w:jc w:val="right"/>
              <w:spacing w:after="0"/>
              <w:rPr>
                <w:sz w:val="20"/>
                <w:szCs w:val="20"/>
                <w:color w:val="auto"/>
              </w:rPr>
            </w:pPr>
            <w:r>
              <w:rPr>
                <w:rFonts w:ascii="Times New Roman" w:cs="Times New Roman" w:eastAsia="Times New Roman" w:hAnsi="Times New Roman"/>
                <w:sz w:val="15"/>
                <w:szCs w:val="15"/>
                <w:color w:val="auto"/>
              </w:rPr>
              <w:t>2,689</w:t>
            </w:r>
          </w:p>
        </w:tc>
        <w:tc>
          <w:tcPr>
            <w:tcW w:w="0" w:type="dxa"/>
            <w:vAlign w:val="bottom"/>
          </w:tcPr>
          <w:p>
            <w:pPr>
              <w:spacing w:after="0"/>
              <w:rPr>
                <w:sz w:val="1"/>
                <w:szCs w:val="1"/>
                <w:color w:val="auto"/>
              </w:rPr>
            </w:pPr>
          </w:p>
        </w:tc>
      </w:tr>
      <w:tr>
        <w:trPr>
          <w:trHeight w:val="60"/>
        </w:trPr>
        <w:tc>
          <w:tcPr>
            <w:tcW w:w="5120" w:type="dxa"/>
            <w:vAlign w:val="bottom"/>
          </w:tcPr>
          <w:p>
            <w:pPr>
              <w:spacing w:after="0"/>
              <w:rPr>
                <w:sz w:val="5"/>
                <w:szCs w:val="5"/>
                <w:color w:val="auto"/>
              </w:rPr>
            </w:pPr>
          </w:p>
        </w:tc>
        <w:tc>
          <w:tcPr>
            <w:tcW w:w="2120" w:type="dxa"/>
            <w:vAlign w:val="bottom"/>
            <w:vMerge w:val="continue"/>
          </w:tcPr>
          <w:p>
            <w:pPr>
              <w:spacing w:after="0"/>
              <w:rPr>
                <w:sz w:val="5"/>
                <w:szCs w:val="5"/>
                <w:color w:val="auto"/>
              </w:rPr>
            </w:pPr>
          </w:p>
        </w:tc>
        <w:tc>
          <w:tcPr>
            <w:tcW w:w="1180" w:type="dxa"/>
            <w:vAlign w:val="bottom"/>
            <w:vMerge w:val="continue"/>
          </w:tcPr>
          <w:p>
            <w:pPr>
              <w:spacing w:after="0"/>
              <w:rPr>
                <w:sz w:val="5"/>
                <w:szCs w:val="5"/>
                <w:color w:val="auto"/>
              </w:rPr>
            </w:pPr>
          </w:p>
        </w:tc>
        <w:tc>
          <w:tcPr>
            <w:tcW w:w="1960" w:type="dxa"/>
            <w:vAlign w:val="bottom"/>
            <w:vMerge w:val="continue"/>
          </w:tcPr>
          <w:p>
            <w:pPr>
              <w:spacing w:after="0"/>
              <w:rPr>
                <w:sz w:val="5"/>
                <w:szCs w:val="5"/>
                <w:color w:val="auto"/>
              </w:rPr>
            </w:pPr>
          </w:p>
        </w:tc>
        <w:tc>
          <w:tcPr>
            <w:tcW w:w="88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34"/>
        </w:trPr>
        <w:tc>
          <w:tcPr>
            <w:tcW w:w="5120" w:type="dxa"/>
            <w:vAlign w:val="bottom"/>
            <w:tcBorders>
              <w:bottom w:val="single" w:sz="8" w:color="auto"/>
            </w:tcBorders>
          </w:tcPr>
          <w:p>
            <w:pPr>
              <w:spacing w:after="0"/>
              <w:rPr>
                <w:sz w:val="20"/>
                <w:szCs w:val="20"/>
                <w:color w:val="auto"/>
              </w:rPr>
            </w:pPr>
          </w:p>
        </w:tc>
        <w:tc>
          <w:tcPr>
            <w:tcW w:w="212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spacing w:after="0"/>
              <w:rPr>
                <w:sz w:val="20"/>
                <w:szCs w:val="20"/>
                <w:color w:val="auto"/>
              </w:rPr>
            </w:pPr>
          </w:p>
        </w:tc>
        <w:tc>
          <w:tcPr>
            <w:tcW w:w="196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84"/>
        </w:trPr>
        <w:tc>
          <w:tcPr>
            <w:tcW w:w="512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5"/>
                <w:szCs w:val="15"/>
                <w:b w:val="1"/>
                <w:bCs w:val="1"/>
                <w:color w:val="auto"/>
              </w:rPr>
              <w:t>TOTAL EXPENSES</w:t>
            </w:r>
          </w:p>
        </w:tc>
        <w:tc>
          <w:tcPr>
            <w:tcW w:w="2120" w:type="dxa"/>
            <w:vAlign w:val="bottom"/>
            <w:tcBorders>
              <w:bottom w:val="single" w:sz="8" w:color="auto"/>
            </w:tcBorders>
          </w:tcPr>
          <w:p>
            <w:pPr>
              <w:jc w:val="right"/>
              <w:ind w:right="687"/>
              <w:spacing w:after="0"/>
              <w:rPr>
                <w:sz w:val="20"/>
                <w:szCs w:val="20"/>
                <w:color w:val="auto"/>
              </w:rPr>
            </w:pPr>
            <w:r>
              <w:rPr>
                <w:rFonts w:ascii="Times New Roman" w:cs="Times New Roman" w:eastAsia="Times New Roman" w:hAnsi="Times New Roman"/>
                <w:sz w:val="15"/>
                <w:szCs w:val="15"/>
                <w:b w:val="1"/>
                <w:bCs w:val="1"/>
                <w:color w:val="auto"/>
              </w:rPr>
              <w:t>58,254</w:t>
            </w:r>
          </w:p>
        </w:tc>
        <w:tc>
          <w:tcPr>
            <w:tcW w:w="1180" w:type="dxa"/>
            <w:vAlign w:val="bottom"/>
            <w:tcBorders>
              <w:bottom w:val="single" w:sz="8" w:color="auto"/>
            </w:tcBorders>
          </w:tcPr>
          <w:p>
            <w:pPr>
              <w:jc w:val="right"/>
              <w:ind w:right="447"/>
              <w:spacing w:after="0"/>
              <w:rPr>
                <w:sz w:val="20"/>
                <w:szCs w:val="20"/>
                <w:color w:val="auto"/>
              </w:rPr>
            </w:pPr>
            <w:r>
              <w:rPr>
                <w:rFonts w:ascii="Times New Roman" w:cs="Times New Roman" w:eastAsia="Times New Roman" w:hAnsi="Times New Roman"/>
                <w:sz w:val="15"/>
                <w:szCs w:val="15"/>
                <w:color w:val="auto"/>
              </w:rPr>
              <w:t>13,910</w:t>
            </w:r>
          </w:p>
        </w:tc>
        <w:tc>
          <w:tcPr>
            <w:tcW w:w="1960" w:type="dxa"/>
            <w:vAlign w:val="bottom"/>
            <w:tcBorders>
              <w:bottom w:val="single" w:sz="8" w:color="auto"/>
            </w:tcBorders>
          </w:tcPr>
          <w:p>
            <w:pPr>
              <w:jc w:val="right"/>
              <w:ind w:right="767"/>
              <w:spacing w:after="0"/>
              <w:rPr>
                <w:sz w:val="20"/>
                <w:szCs w:val="20"/>
                <w:color w:val="auto"/>
              </w:rPr>
            </w:pPr>
            <w:r>
              <w:rPr>
                <w:rFonts w:ascii="Times New Roman" w:cs="Times New Roman" w:eastAsia="Times New Roman" w:hAnsi="Times New Roman"/>
                <w:sz w:val="15"/>
                <w:szCs w:val="15"/>
                <w:b w:val="1"/>
                <w:bCs w:val="1"/>
                <w:color w:val="auto"/>
              </w:rPr>
              <w:t>78,571</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26,617</w:t>
            </w:r>
          </w:p>
        </w:tc>
        <w:tc>
          <w:tcPr>
            <w:tcW w:w="0" w:type="dxa"/>
            <w:vAlign w:val="bottom"/>
          </w:tcPr>
          <w:p>
            <w:pPr>
              <w:spacing w:after="0"/>
              <w:rPr>
                <w:sz w:val="1"/>
                <w:szCs w:val="1"/>
                <w:color w:val="auto"/>
              </w:rPr>
            </w:pPr>
          </w:p>
        </w:tc>
      </w:tr>
      <w:tr>
        <w:trPr>
          <w:trHeight w:val="400"/>
        </w:trPr>
        <w:tc>
          <w:tcPr>
            <w:tcW w:w="5120" w:type="dxa"/>
            <w:vAlign w:val="bottom"/>
          </w:tcPr>
          <w:p>
            <w:pPr>
              <w:ind w:left="60"/>
              <w:spacing w:after="0"/>
              <w:rPr>
                <w:sz w:val="20"/>
                <w:szCs w:val="20"/>
                <w:color w:val="auto"/>
              </w:rPr>
            </w:pPr>
            <w:r>
              <w:rPr>
                <w:rFonts w:ascii="Times New Roman" w:cs="Times New Roman" w:eastAsia="Times New Roman" w:hAnsi="Times New Roman"/>
                <w:sz w:val="15"/>
                <w:szCs w:val="15"/>
                <w:b w:val="1"/>
                <w:bCs w:val="1"/>
                <w:color w:val="auto"/>
              </w:rPr>
              <w:t>OTHER INCOME (EXPENSES)</w:t>
            </w:r>
          </w:p>
        </w:tc>
        <w:tc>
          <w:tcPr>
            <w:tcW w:w="212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9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4"/>
        </w:trPr>
        <w:tc>
          <w:tcPr>
            <w:tcW w:w="5120" w:type="dxa"/>
            <w:vAlign w:val="bottom"/>
          </w:tcPr>
          <w:p>
            <w:pPr>
              <w:ind w:left="200"/>
              <w:spacing w:after="0"/>
              <w:rPr>
                <w:sz w:val="20"/>
                <w:szCs w:val="20"/>
                <w:color w:val="auto"/>
              </w:rPr>
            </w:pPr>
            <w:r>
              <w:rPr>
                <w:rFonts w:ascii="Times New Roman" w:cs="Times New Roman" w:eastAsia="Times New Roman" w:hAnsi="Times New Roman"/>
                <w:sz w:val="15"/>
                <w:szCs w:val="15"/>
                <w:color w:val="auto"/>
              </w:rPr>
              <w:t>Foreign currency translation gain (loss)</w:t>
            </w:r>
          </w:p>
        </w:tc>
        <w:tc>
          <w:tcPr>
            <w:tcW w:w="2120" w:type="dxa"/>
            <w:vAlign w:val="bottom"/>
            <w:vMerge w:val="restart"/>
          </w:tcPr>
          <w:p>
            <w:pPr>
              <w:jc w:val="right"/>
              <w:ind w:right="647"/>
              <w:spacing w:after="0"/>
              <w:rPr>
                <w:sz w:val="20"/>
                <w:szCs w:val="20"/>
                <w:color w:val="auto"/>
              </w:rPr>
            </w:pPr>
            <w:r>
              <w:rPr>
                <w:rFonts w:ascii="Times New Roman" w:cs="Times New Roman" w:eastAsia="Times New Roman" w:hAnsi="Times New Roman"/>
                <w:sz w:val="15"/>
                <w:szCs w:val="15"/>
                <w:b w:val="1"/>
                <w:bCs w:val="1"/>
                <w:color w:val="auto"/>
              </w:rPr>
              <w:t>(2,016)</w:t>
            </w:r>
          </w:p>
        </w:tc>
        <w:tc>
          <w:tcPr>
            <w:tcW w:w="1180" w:type="dxa"/>
            <w:vAlign w:val="bottom"/>
            <w:vMerge w:val="restart"/>
          </w:tcPr>
          <w:p>
            <w:pPr>
              <w:jc w:val="right"/>
              <w:ind w:right="447"/>
              <w:spacing w:after="0"/>
              <w:rPr>
                <w:sz w:val="20"/>
                <w:szCs w:val="20"/>
                <w:color w:val="auto"/>
              </w:rPr>
            </w:pPr>
            <w:r>
              <w:rPr>
                <w:rFonts w:ascii="Times New Roman" w:cs="Times New Roman" w:eastAsia="Times New Roman" w:hAnsi="Times New Roman"/>
                <w:sz w:val="15"/>
                <w:szCs w:val="15"/>
                <w:color w:val="auto"/>
              </w:rPr>
              <w:t>1,968</w:t>
            </w:r>
          </w:p>
        </w:tc>
        <w:tc>
          <w:tcPr>
            <w:tcW w:w="1960" w:type="dxa"/>
            <w:vAlign w:val="bottom"/>
            <w:vMerge w:val="restart"/>
          </w:tcPr>
          <w:p>
            <w:pPr>
              <w:jc w:val="right"/>
              <w:ind w:right="767"/>
              <w:spacing w:after="0"/>
              <w:rPr>
                <w:sz w:val="20"/>
                <w:szCs w:val="20"/>
                <w:color w:val="auto"/>
              </w:rPr>
            </w:pPr>
            <w:r>
              <w:rPr>
                <w:rFonts w:ascii="Times New Roman" w:cs="Times New Roman" w:eastAsia="Times New Roman" w:hAnsi="Times New Roman"/>
                <w:sz w:val="15"/>
                <w:szCs w:val="15"/>
                <w:b w:val="1"/>
                <w:bCs w:val="1"/>
                <w:color w:val="auto"/>
              </w:rPr>
              <w:t>1,336</w:t>
            </w:r>
          </w:p>
        </w:tc>
        <w:tc>
          <w:tcPr>
            <w:tcW w:w="880" w:type="dxa"/>
            <w:vAlign w:val="bottom"/>
            <w:vMerge w:val="restart"/>
          </w:tcPr>
          <w:p>
            <w:pPr>
              <w:jc w:val="right"/>
              <w:spacing w:after="0"/>
              <w:rPr>
                <w:sz w:val="20"/>
                <w:szCs w:val="20"/>
                <w:color w:val="auto"/>
              </w:rPr>
            </w:pPr>
            <w:r>
              <w:rPr>
                <w:rFonts w:ascii="Times New Roman" w:cs="Times New Roman" w:eastAsia="Times New Roman" w:hAnsi="Times New Roman"/>
                <w:sz w:val="15"/>
                <w:szCs w:val="15"/>
                <w:color w:val="auto"/>
              </w:rPr>
              <w:t>77</w:t>
            </w:r>
          </w:p>
        </w:tc>
        <w:tc>
          <w:tcPr>
            <w:tcW w:w="0" w:type="dxa"/>
            <w:vAlign w:val="bottom"/>
          </w:tcPr>
          <w:p>
            <w:pPr>
              <w:spacing w:after="0"/>
              <w:rPr>
                <w:sz w:val="1"/>
                <w:szCs w:val="1"/>
                <w:color w:val="auto"/>
              </w:rPr>
            </w:pPr>
          </w:p>
        </w:tc>
      </w:tr>
      <w:tr>
        <w:trPr>
          <w:trHeight w:val="60"/>
        </w:trPr>
        <w:tc>
          <w:tcPr>
            <w:tcW w:w="5120" w:type="dxa"/>
            <w:vAlign w:val="bottom"/>
          </w:tcPr>
          <w:p>
            <w:pPr>
              <w:spacing w:after="0"/>
              <w:rPr>
                <w:sz w:val="5"/>
                <w:szCs w:val="5"/>
                <w:color w:val="auto"/>
              </w:rPr>
            </w:pPr>
          </w:p>
        </w:tc>
        <w:tc>
          <w:tcPr>
            <w:tcW w:w="2120" w:type="dxa"/>
            <w:vAlign w:val="bottom"/>
            <w:vMerge w:val="continue"/>
          </w:tcPr>
          <w:p>
            <w:pPr>
              <w:spacing w:after="0"/>
              <w:rPr>
                <w:sz w:val="5"/>
                <w:szCs w:val="5"/>
                <w:color w:val="auto"/>
              </w:rPr>
            </w:pPr>
          </w:p>
        </w:tc>
        <w:tc>
          <w:tcPr>
            <w:tcW w:w="1180" w:type="dxa"/>
            <w:vAlign w:val="bottom"/>
            <w:vMerge w:val="continue"/>
          </w:tcPr>
          <w:p>
            <w:pPr>
              <w:spacing w:after="0"/>
              <w:rPr>
                <w:sz w:val="5"/>
                <w:szCs w:val="5"/>
                <w:color w:val="auto"/>
              </w:rPr>
            </w:pPr>
          </w:p>
        </w:tc>
        <w:tc>
          <w:tcPr>
            <w:tcW w:w="1960" w:type="dxa"/>
            <w:vAlign w:val="bottom"/>
            <w:vMerge w:val="continue"/>
          </w:tcPr>
          <w:p>
            <w:pPr>
              <w:spacing w:after="0"/>
              <w:rPr>
                <w:sz w:val="5"/>
                <w:szCs w:val="5"/>
                <w:color w:val="auto"/>
              </w:rPr>
            </w:pPr>
          </w:p>
        </w:tc>
        <w:tc>
          <w:tcPr>
            <w:tcW w:w="88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54"/>
        </w:trPr>
        <w:tc>
          <w:tcPr>
            <w:tcW w:w="5120" w:type="dxa"/>
            <w:vAlign w:val="bottom"/>
          </w:tcPr>
          <w:p>
            <w:pPr>
              <w:ind w:left="200"/>
              <w:spacing w:after="0"/>
              <w:rPr>
                <w:sz w:val="20"/>
                <w:szCs w:val="20"/>
                <w:color w:val="auto"/>
              </w:rPr>
            </w:pPr>
            <w:r>
              <w:rPr>
                <w:rFonts w:ascii="Times New Roman" w:cs="Times New Roman" w:eastAsia="Times New Roman" w:hAnsi="Times New Roman"/>
                <w:sz w:val="15"/>
                <w:szCs w:val="15"/>
                <w:color w:val="auto"/>
              </w:rPr>
              <w:t>Interest income</w:t>
            </w:r>
          </w:p>
        </w:tc>
        <w:tc>
          <w:tcPr>
            <w:tcW w:w="2120" w:type="dxa"/>
            <w:vAlign w:val="bottom"/>
            <w:vMerge w:val="restart"/>
          </w:tcPr>
          <w:p>
            <w:pPr>
              <w:jc w:val="right"/>
              <w:ind w:right="687"/>
              <w:spacing w:after="0"/>
              <w:rPr>
                <w:sz w:val="20"/>
                <w:szCs w:val="20"/>
                <w:color w:val="auto"/>
              </w:rPr>
            </w:pPr>
            <w:r>
              <w:rPr>
                <w:rFonts w:ascii="Times New Roman" w:cs="Times New Roman" w:eastAsia="Times New Roman" w:hAnsi="Times New Roman"/>
                <w:sz w:val="15"/>
                <w:szCs w:val="15"/>
                <w:b w:val="1"/>
                <w:bCs w:val="1"/>
                <w:color w:val="auto"/>
              </w:rPr>
              <w:t>3,078</w:t>
            </w:r>
          </w:p>
        </w:tc>
        <w:tc>
          <w:tcPr>
            <w:tcW w:w="1180" w:type="dxa"/>
            <w:vAlign w:val="bottom"/>
            <w:vMerge w:val="restart"/>
          </w:tcPr>
          <w:p>
            <w:pPr>
              <w:jc w:val="right"/>
              <w:ind w:right="447"/>
              <w:spacing w:after="0"/>
              <w:rPr>
                <w:sz w:val="20"/>
                <w:szCs w:val="20"/>
                <w:color w:val="auto"/>
              </w:rPr>
            </w:pPr>
            <w:r>
              <w:rPr>
                <w:rFonts w:ascii="Times New Roman" w:cs="Times New Roman" w:eastAsia="Times New Roman" w:hAnsi="Times New Roman"/>
                <w:sz w:val="15"/>
                <w:szCs w:val="15"/>
                <w:color w:val="auto"/>
              </w:rPr>
              <w:t>52</w:t>
            </w:r>
          </w:p>
        </w:tc>
        <w:tc>
          <w:tcPr>
            <w:tcW w:w="1960" w:type="dxa"/>
            <w:vAlign w:val="bottom"/>
            <w:vMerge w:val="restart"/>
          </w:tcPr>
          <w:p>
            <w:pPr>
              <w:jc w:val="right"/>
              <w:ind w:right="767"/>
              <w:spacing w:after="0"/>
              <w:rPr>
                <w:sz w:val="20"/>
                <w:szCs w:val="20"/>
                <w:color w:val="auto"/>
              </w:rPr>
            </w:pPr>
            <w:r>
              <w:rPr>
                <w:rFonts w:ascii="Times New Roman" w:cs="Times New Roman" w:eastAsia="Times New Roman" w:hAnsi="Times New Roman"/>
                <w:sz w:val="15"/>
                <w:szCs w:val="15"/>
                <w:b w:val="1"/>
                <w:bCs w:val="1"/>
                <w:color w:val="auto"/>
              </w:rPr>
              <w:t>5,219</w:t>
            </w:r>
          </w:p>
        </w:tc>
        <w:tc>
          <w:tcPr>
            <w:tcW w:w="880" w:type="dxa"/>
            <w:vAlign w:val="bottom"/>
            <w:vMerge w:val="restart"/>
          </w:tcPr>
          <w:p>
            <w:pPr>
              <w:jc w:val="right"/>
              <w:spacing w:after="0"/>
              <w:rPr>
                <w:sz w:val="20"/>
                <w:szCs w:val="20"/>
                <w:color w:val="auto"/>
              </w:rPr>
            </w:pPr>
            <w:r>
              <w:rPr>
                <w:rFonts w:ascii="Times New Roman" w:cs="Times New Roman" w:eastAsia="Times New Roman" w:hAnsi="Times New Roman"/>
                <w:sz w:val="15"/>
                <w:szCs w:val="15"/>
                <w:color w:val="auto"/>
              </w:rPr>
              <w:t>136</w:t>
            </w:r>
          </w:p>
        </w:tc>
        <w:tc>
          <w:tcPr>
            <w:tcW w:w="0" w:type="dxa"/>
            <w:vAlign w:val="bottom"/>
          </w:tcPr>
          <w:p>
            <w:pPr>
              <w:spacing w:after="0"/>
              <w:rPr>
                <w:sz w:val="1"/>
                <w:szCs w:val="1"/>
                <w:color w:val="auto"/>
              </w:rPr>
            </w:pPr>
          </w:p>
        </w:tc>
      </w:tr>
      <w:tr>
        <w:trPr>
          <w:trHeight w:val="60"/>
        </w:trPr>
        <w:tc>
          <w:tcPr>
            <w:tcW w:w="5120" w:type="dxa"/>
            <w:vAlign w:val="bottom"/>
          </w:tcPr>
          <w:p>
            <w:pPr>
              <w:spacing w:after="0"/>
              <w:rPr>
                <w:sz w:val="5"/>
                <w:szCs w:val="5"/>
                <w:color w:val="auto"/>
              </w:rPr>
            </w:pPr>
          </w:p>
        </w:tc>
        <w:tc>
          <w:tcPr>
            <w:tcW w:w="2120" w:type="dxa"/>
            <w:vAlign w:val="bottom"/>
            <w:vMerge w:val="continue"/>
          </w:tcPr>
          <w:p>
            <w:pPr>
              <w:spacing w:after="0"/>
              <w:rPr>
                <w:sz w:val="5"/>
                <w:szCs w:val="5"/>
                <w:color w:val="auto"/>
              </w:rPr>
            </w:pPr>
          </w:p>
        </w:tc>
        <w:tc>
          <w:tcPr>
            <w:tcW w:w="1180" w:type="dxa"/>
            <w:vAlign w:val="bottom"/>
            <w:vMerge w:val="continue"/>
          </w:tcPr>
          <w:p>
            <w:pPr>
              <w:spacing w:after="0"/>
              <w:rPr>
                <w:sz w:val="5"/>
                <w:szCs w:val="5"/>
                <w:color w:val="auto"/>
              </w:rPr>
            </w:pPr>
          </w:p>
        </w:tc>
        <w:tc>
          <w:tcPr>
            <w:tcW w:w="1960" w:type="dxa"/>
            <w:vAlign w:val="bottom"/>
            <w:vMerge w:val="continue"/>
          </w:tcPr>
          <w:p>
            <w:pPr>
              <w:spacing w:after="0"/>
              <w:rPr>
                <w:sz w:val="5"/>
                <w:szCs w:val="5"/>
                <w:color w:val="auto"/>
              </w:rPr>
            </w:pPr>
          </w:p>
        </w:tc>
        <w:tc>
          <w:tcPr>
            <w:tcW w:w="88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34"/>
        </w:trPr>
        <w:tc>
          <w:tcPr>
            <w:tcW w:w="5120" w:type="dxa"/>
            <w:vAlign w:val="bottom"/>
            <w:tcBorders>
              <w:bottom w:val="single" w:sz="8" w:color="auto"/>
            </w:tcBorders>
          </w:tcPr>
          <w:p>
            <w:pPr>
              <w:spacing w:after="0"/>
              <w:rPr>
                <w:sz w:val="20"/>
                <w:szCs w:val="20"/>
                <w:color w:val="auto"/>
              </w:rPr>
            </w:pPr>
          </w:p>
        </w:tc>
        <w:tc>
          <w:tcPr>
            <w:tcW w:w="212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spacing w:after="0"/>
              <w:rPr>
                <w:sz w:val="20"/>
                <w:szCs w:val="20"/>
                <w:color w:val="auto"/>
              </w:rPr>
            </w:pPr>
          </w:p>
        </w:tc>
        <w:tc>
          <w:tcPr>
            <w:tcW w:w="196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84"/>
        </w:trPr>
        <w:tc>
          <w:tcPr>
            <w:tcW w:w="512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5"/>
                <w:szCs w:val="15"/>
                <w:b w:val="1"/>
                <w:bCs w:val="1"/>
                <w:color w:val="auto"/>
              </w:rPr>
              <w:t>TOTAL OTHER INCOME</w:t>
            </w:r>
          </w:p>
        </w:tc>
        <w:tc>
          <w:tcPr>
            <w:tcW w:w="2120" w:type="dxa"/>
            <w:vAlign w:val="bottom"/>
            <w:tcBorders>
              <w:bottom w:val="single" w:sz="8" w:color="auto"/>
            </w:tcBorders>
          </w:tcPr>
          <w:p>
            <w:pPr>
              <w:jc w:val="right"/>
              <w:ind w:right="687"/>
              <w:spacing w:after="0"/>
              <w:rPr>
                <w:sz w:val="20"/>
                <w:szCs w:val="20"/>
                <w:color w:val="auto"/>
              </w:rPr>
            </w:pPr>
            <w:r>
              <w:rPr>
                <w:rFonts w:ascii="Times New Roman" w:cs="Times New Roman" w:eastAsia="Times New Roman" w:hAnsi="Times New Roman"/>
                <w:sz w:val="15"/>
                <w:szCs w:val="15"/>
                <w:b w:val="1"/>
                <w:bCs w:val="1"/>
                <w:color w:val="auto"/>
              </w:rPr>
              <w:t>1,062</w:t>
            </w:r>
          </w:p>
        </w:tc>
        <w:tc>
          <w:tcPr>
            <w:tcW w:w="1180" w:type="dxa"/>
            <w:vAlign w:val="bottom"/>
            <w:tcBorders>
              <w:bottom w:val="single" w:sz="8" w:color="auto"/>
            </w:tcBorders>
          </w:tcPr>
          <w:p>
            <w:pPr>
              <w:jc w:val="right"/>
              <w:ind w:right="447"/>
              <w:spacing w:after="0"/>
              <w:rPr>
                <w:sz w:val="20"/>
                <w:szCs w:val="20"/>
                <w:color w:val="auto"/>
              </w:rPr>
            </w:pPr>
            <w:r>
              <w:rPr>
                <w:rFonts w:ascii="Times New Roman" w:cs="Times New Roman" w:eastAsia="Times New Roman" w:hAnsi="Times New Roman"/>
                <w:sz w:val="15"/>
                <w:szCs w:val="15"/>
                <w:color w:val="auto"/>
              </w:rPr>
              <w:t>2,020</w:t>
            </w:r>
          </w:p>
        </w:tc>
        <w:tc>
          <w:tcPr>
            <w:tcW w:w="1960" w:type="dxa"/>
            <w:vAlign w:val="bottom"/>
            <w:tcBorders>
              <w:bottom w:val="single" w:sz="8" w:color="auto"/>
            </w:tcBorders>
          </w:tcPr>
          <w:p>
            <w:pPr>
              <w:jc w:val="right"/>
              <w:ind w:right="767"/>
              <w:spacing w:after="0"/>
              <w:rPr>
                <w:sz w:val="20"/>
                <w:szCs w:val="20"/>
                <w:color w:val="auto"/>
              </w:rPr>
            </w:pPr>
            <w:r>
              <w:rPr>
                <w:rFonts w:ascii="Times New Roman" w:cs="Times New Roman" w:eastAsia="Times New Roman" w:hAnsi="Times New Roman"/>
                <w:sz w:val="15"/>
                <w:szCs w:val="15"/>
                <w:b w:val="1"/>
                <w:bCs w:val="1"/>
                <w:color w:val="auto"/>
              </w:rPr>
              <w:t>6,555</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213</w:t>
            </w:r>
          </w:p>
        </w:tc>
        <w:tc>
          <w:tcPr>
            <w:tcW w:w="0" w:type="dxa"/>
            <w:vAlign w:val="bottom"/>
          </w:tcPr>
          <w:p>
            <w:pPr>
              <w:spacing w:after="0"/>
              <w:rPr>
                <w:sz w:val="1"/>
                <w:szCs w:val="1"/>
                <w:color w:val="auto"/>
              </w:rPr>
            </w:pPr>
          </w:p>
        </w:tc>
      </w:tr>
      <w:tr>
        <w:trPr>
          <w:trHeight w:val="211"/>
        </w:trPr>
        <w:tc>
          <w:tcPr>
            <w:tcW w:w="5120" w:type="dxa"/>
            <w:vAlign w:val="bottom"/>
            <w:tcBorders>
              <w:bottom w:val="single" w:sz="8" w:color="auto"/>
            </w:tcBorders>
          </w:tcPr>
          <w:p>
            <w:pPr>
              <w:spacing w:after="0"/>
              <w:rPr>
                <w:sz w:val="18"/>
                <w:szCs w:val="18"/>
                <w:color w:val="auto"/>
              </w:rPr>
            </w:pPr>
          </w:p>
        </w:tc>
        <w:tc>
          <w:tcPr>
            <w:tcW w:w="212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spacing w:after="0"/>
              <w:rPr>
                <w:sz w:val="18"/>
                <w:szCs w:val="18"/>
                <w:color w:val="auto"/>
              </w:rPr>
            </w:pPr>
          </w:p>
        </w:tc>
        <w:tc>
          <w:tcPr>
            <w:tcW w:w="196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84"/>
        </w:trPr>
        <w:tc>
          <w:tcPr>
            <w:tcW w:w="5120" w:type="dxa"/>
            <w:vAlign w:val="bottom"/>
            <w:tcBorders>
              <w:bottom w:val="single" w:sz="8" w:color="auto"/>
            </w:tcBorders>
            <w:shd w:val="clear" w:color="auto" w:fill="D9D9D9"/>
          </w:tcPr>
          <w:p>
            <w:pPr>
              <w:ind w:left="60"/>
              <w:spacing w:after="0"/>
              <w:rPr>
                <w:sz w:val="20"/>
                <w:szCs w:val="20"/>
                <w:color w:val="auto"/>
              </w:rPr>
            </w:pPr>
            <w:r>
              <w:rPr>
                <w:rFonts w:ascii="Times New Roman" w:cs="Times New Roman" w:eastAsia="Times New Roman" w:hAnsi="Times New Roman"/>
                <w:sz w:val="15"/>
                <w:szCs w:val="15"/>
                <w:b w:val="1"/>
                <w:bCs w:val="1"/>
                <w:color w:val="auto"/>
              </w:rPr>
              <w:t>NET LOSS FOR THE PERIOD</w:t>
            </w:r>
          </w:p>
        </w:tc>
        <w:tc>
          <w:tcPr>
            <w:tcW w:w="2120" w:type="dxa"/>
            <w:vAlign w:val="bottom"/>
            <w:tcBorders>
              <w:bottom w:val="single" w:sz="8" w:color="auto"/>
            </w:tcBorders>
            <w:shd w:val="clear" w:color="auto" w:fill="DBDBDB"/>
          </w:tcPr>
          <w:p>
            <w:pPr>
              <w:jc w:val="right"/>
              <w:ind w:right="647"/>
              <w:spacing w:after="0"/>
              <w:rPr>
                <w:sz w:val="20"/>
                <w:szCs w:val="20"/>
                <w:color w:val="auto"/>
              </w:rPr>
            </w:pPr>
            <w:r>
              <w:rPr>
                <w:rFonts w:ascii="Times New Roman" w:cs="Times New Roman" w:eastAsia="Times New Roman" w:hAnsi="Times New Roman"/>
                <w:sz w:val="15"/>
                <w:szCs w:val="15"/>
                <w:b w:val="1"/>
                <w:bCs w:val="1"/>
                <w:color w:val="auto"/>
              </w:rPr>
              <w:t>(57,192)</w:t>
            </w:r>
          </w:p>
        </w:tc>
        <w:tc>
          <w:tcPr>
            <w:tcW w:w="1180" w:type="dxa"/>
            <w:vAlign w:val="bottom"/>
            <w:tcBorders>
              <w:bottom w:val="single" w:sz="8" w:color="auto"/>
            </w:tcBorders>
            <w:shd w:val="clear" w:color="auto" w:fill="DBDBDB"/>
          </w:tcPr>
          <w:p>
            <w:pPr>
              <w:jc w:val="right"/>
              <w:ind w:right="407"/>
              <w:spacing w:after="0"/>
              <w:rPr>
                <w:sz w:val="20"/>
                <w:szCs w:val="20"/>
                <w:color w:val="auto"/>
              </w:rPr>
            </w:pPr>
            <w:r>
              <w:rPr>
                <w:rFonts w:ascii="Times New Roman" w:cs="Times New Roman" w:eastAsia="Times New Roman" w:hAnsi="Times New Roman"/>
                <w:sz w:val="15"/>
                <w:szCs w:val="15"/>
                <w:color w:val="auto"/>
              </w:rPr>
              <w:t>(11,890)</w:t>
            </w:r>
          </w:p>
        </w:tc>
        <w:tc>
          <w:tcPr>
            <w:tcW w:w="1960" w:type="dxa"/>
            <w:vAlign w:val="bottom"/>
            <w:tcBorders>
              <w:bottom w:val="single" w:sz="8" w:color="auto"/>
            </w:tcBorders>
            <w:shd w:val="clear" w:color="auto" w:fill="DBDBDB"/>
          </w:tcPr>
          <w:p>
            <w:pPr>
              <w:jc w:val="right"/>
              <w:ind w:right="727"/>
              <w:spacing w:after="0"/>
              <w:rPr>
                <w:sz w:val="20"/>
                <w:szCs w:val="20"/>
                <w:color w:val="auto"/>
              </w:rPr>
            </w:pPr>
            <w:r>
              <w:rPr>
                <w:rFonts w:ascii="Times New Roman" w:cs="Times New Roman" w:eastAsia="Times New Roman" w:hAnsi="Times New Roman"/>
                <w:sz w:val="15"/>
                <w:szCs w:val="15"/>
                <w:b w:val="1"/>
                <w:bCs w:val="1"/>
                <w:color w:val="auto"/>
              </w:rPr>
              <w:t>(72,016)</w:t>
            </w:r>
          </w:p>
        </w:tc>
        <w:tc>
          <w:tcPr>
            <w:tcW w:w="880" w:type="dxa"/>
            <w:vAlign w:val="bottom"/>
            <w:tcBorders>
              <w:bottom w:val="single" w:sz="8" w:color="auto"/>
            </w:tcBorders>
            <w:shd w:val="clear" w:color="auto" w:fill="DBDBDB"/>
          </w:tcPr>
          <w:p>
            <w:pPr>
              <w:jc w:val="right"/>
              <w:spacing w:after="0"/>
              <w:rPr>
                <w:sz w:val="20"/>
                <w:szCs w:val="20"/>
                <w:color w:val="auto"/>
              </w:rPr>
            </w:pPr>
            <w:r>
              <w:rPr>
                <w:rFonts w:ascii="Times New Roman" w:cs="Times New Roman" w:eastAsia="Times New Roman" w:hAnsi="Times New Roman"/>
                <w:sz w:val="15"/>
                <w:szCs w:val="15"/>
                <w:color w:val="auto"/>
              </w:rPr>
              <w:t>(26,404)</w:t>
            </w:r>
          </w:p>
        </w:tc>
        <w:tc>
          <w:tcPr>
            <w:tcW w:w="0" w:type="dxa"/>
            <w:vAlign w:val="bottom"/>
          </w:tcPr>
          <w:p>
            <w:pPr>
              <w:spacing w:after="0"/>
              <w:rPr>
                <w:sz w:val="1"/>
                <w:szCs w:val="1"/>
                <w:color w:val="auto"/>
              </w:rPr>
            </w:pPr>
          </w:p>
        </w:tc>
      </w:tr>
      <w:tr>
        <w:trPr>
          <w:trHeight w:val="402"/>
        </w:trPr>
        <w:tc>
          <w:tcPr>
            <w:tcW w:w="512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5"/>
                <w:szCs w:val="15"/>
                <w:b w:val="1"/>
                <w:bCs w:val="1"/>
                <w:color w:val="auto"/>
              </w:rPr>
              <w:t>Basic loss per share for the period</w:t>
            </w:r>
          </w:p>
        </w:tc>
        <w:tc>
          <w:tcPr>
            <w:tcW w:w="2120" w:type="dxa"/>
            <w:vAlign w:val="bottom"/>
            <w:tcBorders>
              <w:bottom w:val="single" w:sz="8" w:color="auto"/>
            </w:tcBorders>
          </w:tcPr>
          <w:p>
            <w:pPr>
              <w:jc w:val="right"/>
              <w:ind w:right="647"/>
              <w:spacing w:after="0"/>
              <w:rPr>
                <w:sz w:val="20"/>
                <w:szCs w:val="20"/>
                <w:color w:val="auto"/>
              </w:rPr>
            </w:pPr>
            <w:r>
              <w:rPr>
                <w:rFonts w:ascii="Times New Roman" w:cs="Times New Roman" w:eastAsia="Times New Roman" w:hAnsi="Times New Roman"/>
                <w:sz w:val="15"/>
                <w:szCs w:val="15"/>
                <w:b w:val="1"/>
                <w:bCs w:val="1"/>
                <w:color w:val="auto"/>
              </w:rPr>
              <w:t>(2.86)</w:t>
            </w:r>
          </w:p>
        </w:tc>
        <w:tc>
          <w:tcPr>
            <w:tcW w:w="1180" w:type="dxa"/>
            <w:vAlign w:val="bottom"/>
            <w:tcBorders>
              <w:bottom w:val="single" w:sz="8" w:color="auto"/>
            </w:tcBorders>
          </w:tcPr>
          <w:p>
            <w:pPr>
              <w:jc w:val="right"/>
              <w:ind w:right="407"/>
              <w:spacing w:after="0"/>
              <w:rPr>
                <w:sz w:val="20"/>
                <w:szCs w:val="20"/>
                <w:color w:val="auto"/>
              </w:rPr>
            </w:pPr>
            <w:r>
              <w:rPr>
                <w:rFonts w:ascii="Times New Roman" w:cs="Times New Roman" w:eastAsia="Times New Roman" w:hAnsi="Times New Roman"/>
                <w:sz w:val="15"/>
                <w:szCs w:val="15"/>
                <w:color w:val="auto"/>
              </w:rPr>
              <w:t>(1.93)</w:t>
            </w:r>
          </w:p>
        </w:tc>
        <w:tc>
          <w:tcPr>
            <w:tcW w:w="1960" w:type="dxa"/>
            <w:vAlign w:val="bottom"/>
            <w:tcBorders>
              <w:bottom w:val="single" w:sz="8" w:color="auto"/>
            </w:tcBorders>
          </w:tcPr>
          <w:p>
            <w:pPr>
              <w:jc w:val="right"/>
              <w:ind w:right="727"/>
              <w:spacing w:after="0"/>
              <w:rPr>
                <w:sz w:val="20"/>
                <w:szCs w:val="20"/>
                <w:color w:val="auto"/>
              </w:rPr>
            </w:pPr>
            <w:r>
              <w:rPr>
                <w:rFonts w:ascii="Times New Roman" w:cs="Times New Roman" w:eastAsia="Times New Roman" w:hAnsi="Times New Roman"/>
                <w:sz w:val="15"/>
                <w:szCs w:val="15"/>
                <w:b w:val="1"/>
                <w:bCs w:val="1"/>
                <w:color w:val="auto"/>
              </w:rPr>
              <w:t>(3.60)</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(4.55)</w:t>
            </w:r>
          </w:p>
        </w:tc>
        <w:tc>
          <w:tcPr>
            <w:tcW w:w="0" w:type="dxa"/>
            <w:vAlign w:val="bottom"/>
          </w:tcPr>
          <w:p>
            <w:pPr>
              <w:spacing w:after="0"/>
              <w:rPr>
                <w:sz w:val="1"/>
                <w:szCs w:val="1"/>
                <w:color w:val="auto"/>
              </w:rPr>
            </w:pPr>
          </w:p>
        </w:tc>
      </w:tr>
      <w:tr>
        <w:trPr>
          <w:trHeight w:val="187"/>
        </w:trPr>
        <w:tc>
          <w:tcPr>
            <w:tcW w:w="512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5"/>
                <w:szCs w:val="15"/>
                <w:b w:val="1"/>
                <w:bCs w:val="1"/>
                <w:color w:val="auto"/>
              </w:rPr>
              <w:t>Weighted average number of common shares outstanding - basic</w:t>
            </w:r>
          </w:p>
        </w:tc>
        <w:tc>
          <w:tcPr>
            <w:tcW w:w="2120" w:type="dxa"/>
            <w:vAlign w:val="bottom"/>
            <w:tcBorders>
              <w:bottom w:val="single" w:sz="8" w:color="auto"/>
            </w:tcBorders>
          </w:tcPr>
          <w:p>
            <w:pPr>
              <w:jc w:val="right"/>
              <w:ind w:right="687"/>
              <w:spacing w:after="0"/>
              <w:rPr>
                <w:sz w:val="20"/>
                <w:szCs w:val="20"/>
                <w:color w:val="auto"/>
              </w:rPr>
            </w:pPr>
            <w:r>
              <w:rPr>
                <w:rFonts w:ascii="Times New Roman" w:cs="Times New Roman" w:eastAsia="Times New Roman" w:hAnsi="Times New Roman"/>
                <w:sz w:val="15"/>
                <w:szCs w:val="15"/>
                <w:b w:val="1"/>
                <w:bCs w:val="1"/>
                <w:color w:val="auto"/>
              </w:rPr>
              <w:t>20,001,406</w:t>
            </w:r>
          </w:p>
        </w:tc>
        <w:tc>
          <w:tcPr>
            <w:tcW w:w="1180" w:type="dxa"/>
            <w:vAlign w:val="bottom"/>
            <w:tcBorders>
              <w:bottom w:val="single" w:sz="8" w:color="auto"/>
            </w:tcBorders>
          </w:tcPr>
          <w:p>
            <w:pPr>
              <w:jc w:val="right"/>
              <w:ind w:right="447"/>
              <w:spacing w:after="0"/>
              <w:rPr>
                <w:sz w:val="20"/>
                <w:szCs w:val="20"/>
                <w:color w:val="auto"/>
              </w:rPr>
            </w:pPr>
            <w:r>
              <w:rPr>
                <w:rFonts w:ascii="Times New Roman" w:cs="Times New Roman" w:eastAsia="Times New Roman" w:hAnsi="Times New Roman"/>
                <w:sz w:val="15"/>
                <w:szCs w:val="15"/>
                <w:color w:val="auto"/>
              </w:rPr>
              <w:t>6,173,270</w:t>
            </w:r>
          </w:p>
        </w:tc>
        <w:tc>
          <w:tcPr>
            <w:tcW w:w="1960" w:type="dxa"/>
            <w:vAlign w:val="bottom"/>
            <w:tcBorders>
              <w:bottom w:val="single" w:sz="8" w:color="auto"/>
            </w:tcBorders>
          </w:tcPr>
          <w:p>
            <w:pPr>
              <w:jc w:val="right"/>
              <w:ind w:right="767"/>
              <w:spacing w:after="0"/>
              <w:rPr>
                <w:sz w:val="20"/>
                <w:szCs w:val="20"/>
                <w:color w:val="auto"/>
              </w:rPr>
            </w:pPr>
            <w:r>
              <w:rPr>
                <w:rFonts w:ascii="Times New Roman" w:cs="Times New Roman" w:eastAsia="Times New Roman" w:hAnsi="Times New Roman"/>
                <w:sz w:val="15"/>
                <w:szCs w:val="15"/>
                <w:b w:val="1"/>
                <w:bCs w:val="1"/>
                <w:color w:val="auto"/>
              </w:rPr>
              <w:t>20,001,406</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5,801,282</w:t>
            </w:r>
          </w:p>
        </w:tc>
        <w:tc>
          <w:tcPr>
            <w:tcW w:w="0" w:type="dxa"/>
            <w:vAlign w:val="bottom"/>
          </w:tcPr>
          <w:p>
            <w:pPr>
              <w:spacing w:after="0"/>
              <w:rPr>
                <w:sz w:val="1"/>
                <w:szCs w:val="1"/>
                <w:color w:val="auto"/>
              </w:rPr>
            </w:pPr>
          </w:p>
        </w:tc>
      </w:tr>
    </w:tbl>
    <w:p>
      <w:pPr>
        <w:spacing w:after="0" w:line="173" w:lineRule="exact"/>
        <w:rPr>
          <w:sz w:val="20"/>
          <w:szCs w:val="20"/>
          <w:color w:val="auto"/>
        </w:rPr>
      </w:pPr>
    </w:p>
    <w:p>
      <w:pPr>
        <w:jc w:val="both"/>
        <w:ind w:right="20"/>
        <w:spacing w:after="0" w:line="301" w:lineRule="auto"/>
        <w:rPr>
          <w:sz w:val="20"/>
          <w:szCs w:val="20"/>
          <w:color w:val="auto"/>
        </w:rPr>
      </w:pPr>
      <w:r>
        <w:rPr>
          <w:rFonts w:ascii="Times New Roman" w:cs="Times New Roman" w:eastAsia="Times New Roman" w:hAnsi="Times New Roman"/>
          <w:sz w:val="18"/>
          <w:szCs w:val="18"/>
          <w:color w:val="auto"/>
        </w:rPr>
        <w:t>For the three and six months ended September 30, 2024, Cybin incurred a net loss of $57,192 and $72,016, respectively, compared to a net loss of $11,890 and $26,404 during the same periods in prior year. The net loss for the three and six months ended September 30, 2024, includes a non-cash component related to share-based compensation of $33,461 and $37,434, respectively, compared to $1,414 and $2,689 during the same periods in prior year.</w:t>
      </w:r>
    </w:p>
    <w:p>
      <w:pPr>
        <w:spacing w:after="0" w:line="188" w:lineRule="exact"/>
        <w:rPr>
          <w:sz w:val="20"/>
          <w:szCs w:val="20"/>
          <w:color w:val="auto"/>
        </w:rPr>
      </w:pPr>
    </w:p>
    <w:p>
      <w:pPr>
        <w:jc w:val="both"/>
        <w:spacing w:after="0" w:line="294" w:lineRule="auto"/>
        <w:rPr>
          <w:sz w:val="20"/>
          <w:szCs w:val="20"/>
          <w:color w:val="auto"/>
        </w:rPr>
      </w:pPr>
      <w:r>
        <w:rPr>
          <w:rFonts w:ascii="Times New Roman" w:cs="Times New Roman" w:eastAsia="Times New Roman" w:hAnsi="Times New Roman"/>
          <w:sz w:val="18"/>
          <w:szCs w:val="18"/>
          <w:color w:val="auto"/>
        </w:rPr>
        <w:t>During the six month period ended September 30, 2024, the Company was focused on progressing its various research programs, with a focus on its Deuterated Psilocin Analog Program (CYB003) and Deuterated Dimethyltryptamine Program (CYB004), and raising awareness of the Company and its industry. During the period, both the CYB003 and the CYB004 clinical programs have progressed towards the milestones noted above. See “</w:t>
      </w:r>
      <w:r>
        <w:rPr>
          <w:rFonts w:ascii="Times New Roman" w:cs="Times New Roman" w:eastAsia="Times New Roman" w:hAnsi="Times New Roman"/>
          <w:sz w:val="18"/>
          <w:szCs w:val="18"/>
          <w:i w:val="1"/>
          <w:iCs w:val="1"/>
          <w:color w:val="auto"/>
        </w:rPr>
        <w:t>Non-Revenue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Generating Projects</w:t>
      </w:r>
      <w:r>
        <w:rPr>
          <w:rFonts w:ascii="Times New Roman" w:cs="Times New Roman" w:eastAsia="Times New Roman" w:hAnsi="Times New Roman"/>
          <w:sz w:val="18"/>
          <w:szCs w:val="18"/>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56</w:t>
      </w:r>
    </w:p>
    <w:p>
      <w:pPr>
        <w:sectPr>
          <w:pgSz w:w="11900" w:h="16838" w:orient="portrait"/>
          <w:cols w:equalWidth="0" w:num="1">
            <w:col w:w="11260"/>
          </w:cols>
          <w:pgMar w:left="320" w:top="1299" w:right="319" w:bottom="1440" w:gutter="0" w:footer="0" w:header="0"/>
        </w:sectPr>
      </w:pPr>
    </w:p>
    <w:bookmarkStart w:id="82" w:name="page83"/>
    <w:bookmarkEnd w:id="82"/>
    <w:p>
      <w:pPr>
        <w:spacing w:after="0"/>
        <w:rPr>
          <w:sz w:val="20"/>
          <w:szCs w:val="20"/>
          <w:color w:val="auto"/>
        </w:rPr>
      </w:pPr>
      <w:r>
        <w:rPr>
          <w:rFonts w:ascii="Times New Roman" w:cs="Times New Roman" w:eastAsia="Times New Roman" w:hAnsi="Times New Roman"/>
          <w:sz w:val="18"/>
          <w:szCs w:val="18"/>
          <w:b w:val="1"/>
          <w:bCs w:val="1"/>
          <w:i w:val="1"/>
          <w:iCs w:val="1"/>
          <w:color w:val="auto"/>
        </w:rPr>
        <w:t>Operating expenses</w:t>
      </w:r>
    </w:p>
    <w:p>
      <w:pPr>
        <w:spacing w:after="0" w:line="232" w:lineRule="exact"/>
        <w:rPr>
          <w:sz w:val="20"/>
          <w:szCs w:val="20"/>
          <w:color w:val="auto"/>
        </w:rPr>
      </w:pPr>
    </w:p>
    <w:p>
      <w:pPr>
        <w:jc w:val="both"/>
        <w:spacing w:after="0" w:line="301" w:lineRule="auto"/>
        <w:rPr>
          <w:sz w:val="20"/>
          <w:szCs w:val="20"/>
          <w:color w:val="auto"/>
        </w:rPr>
      </w:pPr>
      <w:r>
        <w:rPr>
          <w:rFonts w:ascii="Times New Roman" w:cs="Times New Roman" w:eastAsia="Times New Roman" w:hAnsi="Times New Roman"/>
          <w:sz w:val="18"/>
          <w:szCs w:val="18"/>
          <w:color w:val="auto"/>
        </w:rPr>
        <w:t>For the three month period ended September 30, 2024, operating expenses totaled $58,254 (2023 - $13,910). The operating expenses include a non-cash component of $33,461 (2023 - $1,414) related to share-based compensation. The remaining operating expenses were incurred to support raising capital, research &amp; development and the overall development of the Company.</w:t>
      </w:r>
    </w:p>
    <w:p>
      <w:pPr>
        <w:spacing w:after="0" w:line="152" w:lineRule="exact"/>
        <w:rPr>
          <w:sz w:val="20"/>
          <w:szCs w:val="20"/>
          <w:color w:val="auto"/>
        </w:rPr>
      </w:pPr>
    </w:p>
    <w:p>
      <w:pPr>
        <w:jc w:val="both"/>
        <w:ind w:right="20"/>
        <w:spacing w:after="0" w:line="301" w:lineRule="auto"/>
        <w:rPr>
          <w:sz w:val="20"/>
          <w:szCs w:val="20"/>
          <w:color w:val="auto"/>
        </w:rPr>
      </w:pPr>
      <w:r>
        <w:rPr>
          <w:rFonts w:ascii="Times New Roman" w:cs="Times New Roman" w:eastAsia="Times New Roman" w:hAnsi="Times New Roman"/>
          <w:sz w:val="18"/>
          <w:szCs w:val="18"/>
          <w:color w:val="auto"/>
        </w:rPr>
        <w:t>For the six month period ended September 30, 2024, operating expenses totaled $78,571 (2023 - $26,617). The operating expenses include a non-cash component of $37,434 (2023 - $2,689) related to share-based compensation. The remaining operating expenses were incurred to support raising capital, research &amp; development and the overall development of the Company.</w:t>
      </w:r>
    </w:p>
    <w:p>
      <w:pPr>
        <w:spacing w:after="0" w:line="1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Research</w:t>
      </w:r>
    </w:p>
    <w:p>
      <w:pPr>
        <w:spacing w:after="0" w:line="268" w:lineRule="exact"/>
        <w:rPr>
          <w:sz w:val="20"/>
          <w:szCs w:val="20"/>
          <w:color w:val="auto"/>
        </w:rPr>
      </w:pPr>
    </w:p>
    <w:p>
      <w:pPr>
        <w:jc w:val="both"/>
        <w:spacing w:after="0" w:line="301" w:lineRule="auto"/>
        <w:rPr>
          <w:sz w:val="20"/>
          <w:szCs w:val="20"/>
          <w:color w:val="auto"/>
        </w:rPr>
      </w:pPr>
      <w:r>
        <w:rPr>
          <w:rFonts w:ascii="Times New Roman" w:cs="Times New Roman" w:eastAsia="Times New Roman" w:hAnsi="Times New Roman"/>
          <w:sz w:val="18"/>
          <w:szCs w:val="18"/>
          <w:color w:val="auto"/>
        </w:rPr>
        <w:t>For the three month period ended September 30, 2024, the Company’s research expenses totaled $9,115 compared to $6,696 during the same period in prior year. Research expenses for the three month period are comprised of advancement of the development programs of $5,774 (2023 - $4,952), payroll related expenses of $2,221 (2023 - $1,530 ), lab and administration expenses of $695 (2023 - $197), and professional and consulting fees of $425 (2023 - $17).</w:t>
      </w:r>
    </w:p>
    <w:p>
      <w:pPr>
        <w:spacing w:after="0" w:line="152" w:lineRule="exact"/>
        <w:rPr>
          <w:sz w:val="20"/>
          <w:szCs w:val="20"/>
          <w:color w:val="auto"/>
        </w:rPr>
      </w:pPr>
    </w:p>
    <w:p>
      <w:pPr>
        <w:jc w:val="both"/>
        <w:ind w:right="20"/>
        <w:spacing w:after="0" w:line="326" w:lineRule="auto"/>
        <w:rPr>
          <w:sz w:val="20"/>
          <w:szCs w:val="20"/>
          <w:color w:val="auto"/>
        </w:rPr>
      </w:pPr>
      <w:r>
        <w:rPr>
          <w:rFonts w:ascii="Times New Roman" w:cs="Times New Roman" w:eastAsia="Times New Roman" w:hAnsi="Times New Roman"/>
          <w:sz w:val="17"/>
          <w:szCs w:val="17"/>
          <w:color w:val="auto"/>
        </w:rPr>
        <w:t>For the six month period ended September 30, 2024, the Company’s research expenses totaled $17,156 compared to $13,080 during the same period in prior year. Research expenses for the six month period are comprised of advancement of the development programs of $10,406 (2023 - $9,358), payroll related expenses of $5,170 (2023 - $3,209 ), lab and administration expenses of $863 (2023 - $405) and professional and consulting fees of $717 (2023 - $108).</w:t>
      </w:r>
    </w:p>
    <w:p>
      <w:pPr>
        <w:spacing w:after="0" w:line="134" w:lineRule="exact"/>
        <w:rPr>
          <w:sz w:val="20"/>
          <w:szCs w:val="20"/>
          <w:color w:val="auto"/>
        </w:rPr>
      </w:pPr>
    </w:p>
    <w:p>
      <w:pPr>
        <w:jc w:val="both"/>
        <w:ind w:right="20"/>
        <w:spacing w:after="0" w:line="294" w:lineRule="auto"/>
        <w:rPr>
          <w:sz w:val="20"/>
          <w:szCs w:val="20"/>
          <w:color w:val="auto"/>
        </w:rPr>
      </w:pPr>
      <w:r>
        <w:rPr>
          <w:rFonts w:ascii="Times New Roman" w:cs="Times New Roman" w:eastAsia="Times New Roman" w:hAnsi="Times New Roman"/>
          <w:sz w:val="18"/>
          <w:szCs w:val="18"/>
          <w:color w:val="auto"/>
        </w:rPr>
        <w:t>The overall increase in research expenses is due the progression of the Company’s various research programs, primarily related to the advancement of its clinical trials for both its Deuterated Psilocin Analog Program (CYB003) and Deuterated Dimethyltryptamine Program (CYB004). Both of the Company's proprietary clinical programs, CYB003 and CYB004, have shown positive phase 2 safety and efficacy results. Furthermore, CYB003, which has been granted FDA BTD, is expected to enter phase 3 studies by the end of the calendar year.</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General and Administration Costs</w:t>
      </w:r>
    </w:p>
    <w:p>
      <w:pPr>
        <w:spacing w:after="0" w:line="256" w:lineRule="exact"/>
        <w:rPr>
          <w:sz w:val="20"/>
          <w:szCs w:val="20"/>
          <w:color w:val="auto"/>
        </w:rPr>
      </w:pPr>
    </w:p>
    <w:p>
      <w:pPr>
        <w:jc w:val="both"/>
        <w:ind w:right="20"/>
        <w:spacing w:after="0" w:line="294" w:lineRule="auto"/>
        <w:rPr>
          <w:sz w:val="20"/>
          <w:szCs w:val="20"/>
          <w:color w:val="auto"/>
        </w:rPr>
      </w:pPr>
      <w:r>
        <w:rPr>
          <w:rFonts w:ascii="Times New Roman" w:cs="Times New Roman" w:eastAsia="Times New Roman" w:hAnsi="Times New Roman"/>
          <w:sz w:val="18"/>
          <w:szCs w:val="18"/>
          <w:color w:val="auto"/>
        </w:rPr>
        <w:t>For the three month period ended September 30, 2024 general and administrative expenses were $15,678 compared to $5,800 during the same period in the prior year. General and administrative expenses for the three-month period are comprised of capital market expenses of $9,608 (2023 - $2,062), payroll related expenses of $3,085 (2023 - $1,342), office and administration expenses of $848 (2023 - $611), professional and consulting fees of $812 (2023 -$1,088), business development expenses of $323 (2023 - $286), listing fees of $79 (2023 - $81), investor relations expenses of $874 (2023 - $315), and marketing media fees of $49 (2023 - $15).</w:t>
      </w:r>
    </w:p>
    <w:p>
      <w:pPr>
        <w:spacing w:after="0" w:line="183" w:lineRule="exact"/>
        <w:rPr>
          <w:sz w:val="20"/>
          <w:szCs w:val="20"/>
          <w:color w:val="auto"/>
        </w:rPr>
      </w:pPr>
    </w:p>
    <w:p>
      <w:pPr>
        <w:jc w:val="both"/>
        <w:ind w:right="20"/>
        <w:spacing w:after="0" w:line="301" w:lineRule="auto"/>
        <w:rPr>
          <w:sz w:val="20"/>
          <w:szCs w:val="20"/>
          <w:color w:val="auto"/>
        </w:rPr>
      </w:pPr>
      <w:r>
        <w:rPr>
          <w:rFonts w:ascii="Times New Roman" w:cs="Times New Roman" w:eastAsia="Times New Roman" w:hAnsi="Times New Roman"/>
          <w:sz w:val="18"/>
          <w:szCs w:val="18"/>
          <w:color w:val="auto"/>
        </w:rPr>
        <w:t>For the six month period ended September 30, 2024 general and administrative expenses were $23,981 compared to $10,848 during the same period in the prior year. General and administrative expenses for the six-month period are comprised of capital market expenses of $12,215 (2023 - $4,224), payroll related expenses of $6,107 (2023 - $2,790), office and administration expenses 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57</w:t>
      </w:r>
    </w:p>
    <w:p>
      <w:pPr>
        <w:sectPr>
          <w:pgSz w:w="11900" w:h="16838" w:orient="portrait"/>
          <w:cols w:equalWidth="0" w:num="1">
            <w:col w:w="11260"/>
          </w:cols>
          <w:pgMar w:left="320" w:top="1336" w:right="319" w:bottom="1440" w:gutter="0" w:footer="0" w:header="0"/>
        </w:sectPr>
      </w:pPr>
    </w:p>
    <w:bookmarkStart w:id="83" w:name="page84"/>
    <w:bookmarkEnd w:id="83"/>
    <w:p>
      <w:pPr>
        <w:jc w:val="both"/>
        <w:ind w:right="20"/>
        <w:spacing w:after="0" w:line="323" w:lineRule="auto"/>
        <w:rPr>
          <w:sz w:val="20"/>
          <w:szCs w:val="20"/>
          <w:color w:val="auto"/>
        </w:rPr>
      </w:pPr>
      <w:r>
        <w:rPr>
          <w:rFonts w:ascii="Times New Roman" w:cs="Times New Roman" w:eastAsia="Times New Roman" w:hAnsi="Times New Roman"/>
          <w:sz w:val="18"/>
          <w:szCs w:val="18"/>
          <w:color w:val="auto"/>
        </w:rPr>
        <w:t>$1,615 (2023 - $1,219), professional and consulting fees of $1,441 (2023 -$1,506), business development expenses of $958 (2023 - $489), investor relations expenses of $1,385 (2023 - $442), listing fees of $180 (2023 - $151), and marketing media fees of $80 (2023 - $27).</w:t>
      </w:r>
    </w:p>
    <w:p>
      <w:pPr>
        <w:spacing w:after="0" w:line="156" w:lineRule="exact"/>
        <w:rPr>
          <w:sz w:val="20"/>
          <w:szCs w:val="20"/>
          <w:color w:val="auto"/>
        </w:rPr>
      </w:pPr>
    </w:p>
    <w:p>
      <w:pPr>
        <w:jc w:val="both"/>
        <w:ind w:right="20"/>
        <w:spacing w:after="0" w:line="301" w:lineRule="auto"/>
        <w:rPr>
          <w:sz w:val="20"/>
          <w:szCs w:val="20"/>
          <w:color w:val="auto"/>
        </w:rPr>
      </w:pPr>
      <w:r>
        <w:rPr>
          <w:rFonts w:ascii="Times New Roman" w:cs="Times New Roman" w:eastAsia="Times New Roman" w:hAnsi="Times New Roman"/>
          <w:sz w:val="18"/>
          <w:szCs w:val="18"/>
          <w:color w:val="auto"/>
        </w:rPr>
        <w:t>For both the three and six month periods ended September 30, 2024, the overall increase in general and administrative expenses is largely due to an increase in capital market spend as the Company continues to raise awareness of the Company and its industry. In addition, payroll related expenses have increased due to both the acquisition of Small Pharma and the overall growth of the Company.</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Share-Based Compensation</w:t>
      </w:r>
    </w:p>
    <w:p>
      <w:pPr>
        <w:spacing w:after="0" w:line="268" w:lineRule="exact"/>
        <w:rPr>
          <w:sz w:val="20"/>
          <w:szCs w:val="20"/>
          <w:color w:val="auto"/>
        </w:rPr>
      </w:pPr>
    </w:p>
    <w:p>
      <w:pPr>
        <w:jc w:val="both"/>
        <w:ind w:right="20"/>
        <w:spacing w:after="0" w:line="301" w:lineRule="auto"/>
        <w:rPr>
          <w:sz w:val="20"/>
          <w:szCs w:val="20"/>
          <w:color w:val="auto"/>
        </w:rPr>
      </w:pPr>
      <w:r>
        <w:rPr>
          <w:rFonts w:ascii="Times New Roman" w:cs="Times New Roman" w:eastAsia="Times New Roman" w:hAnsi="Times New Roman"/>
          <w:sz w:val="18"/>
          <w:szCs w:val="18"/>
          <w:color w:val="auto"/>
        </w:rPr>
        <w:t>For the three and six month period ended September 30, 2024, the Company recorded a share-based compensation expense of $33,461 and $37,434, respectively, compared to $1,414 and $2,689 during the same periods in prior year. The increase is largely related to the new options grants issued to consultants, officers, directors and employees.</w:t>
      </w:r>
    </w:p>
    <w:p>
      <w:pPr>
        <w:spacing w:after="0" w:line="152" w:lineRule="exact"/>
        <w:rPr>
          <w:sz w:val="20"/>
          <w:szCs w:val="20"/>
          <w:color w:val="auto"/>
        </w:rPr>
      </w:pPr>
    </w:p>
    <w:p>
      <w:pPr>
        <w:jc w:val="both"/>
        <w:ind w:right="20"/>
        <w:spacing w:after="0" w:line="323" w:lineRule="auto"/>
        <w:rPr>
          <w:sz w:val="20"/>
          <w:szCs w:val="20"/>
          <w:color w:val="auto"/>
        </w:rPr>
      </w:pPr>
      <w:r>
        <w:rPr>
          <w:rFonts w:ascii="Times New Roman" w:cs="Times New Roman" w:eastAsia="Times New Roman" w:hAnsi="Times New Roman"/>
          <w:sz w:val="18"/>
          <w:szCs w:val="18"/>
          <w:color w:val="auto"/>
        </w:rPr>
        <w:t>The share-based compensation expense was recorded based on the fair value using a Black Scholes Model. On exercise of warrants and options the equity reserve balances will be moved to share capital.</w:t>
      </w:r>
    </w:p>
    <w:p>
      <w:pPr>
        <w:spacing w:after="0" w:line="12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Other Income (Expenses)</w:t>
      </w:r>
    </w:p>
    <w:p>
      <w:pPr>
        <w:spacing w:after="0" w:line="23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Foreign Exchange Gain (Loss)</w:t>
      </w:r>
    </w:p>
    <w:p>
      <w:pPr>
        <w:spacing w:after="0" w:line="264" w:lineRule="exact"/>
        <w:rPr>
          <w:sz w:val="20"/>
          <w:szCs w:val="20"/>
          <w:color w:val="auto"/>
        </w:rPr>
      </w:pPr>
    </w:p>
    <w:p>
      <w:pPr>
        <w:jc w:val="both"/>
        <w:spacing w:after="0" w:line="301" w:lineRule="auto"/>
        <w:rPr>
          <w:sz w:val="20"/>
          <w:szCs w:val="20"/>
          <w:color w:val="auto"/>
        </w:rPr>
      </w:pPr>
      <w:r>
        <w:rPr>
          <w:rFonts w:ascii="Times New Roman" w:cs="Times New Roman" w:eastAsia="Times New Roman" w:hAnsi="Times New Roman"/>
          <w:sz w:val="18"/>
          <w:szCs w:val="18"/>
          <w:color w:val="auto"/>
        </w:rPr>
        <w:t>For the three-month period ended September 30, 2024 the Company incurred a foreign currency translation loss from operations and revaluation of balance sheet assets and liabilities held in foreign currencies of $2,016. The Company holds assets and liabilities in Canadian dollars, U.S. dollars, Euros, and British pounds.</w:t>
      </w:r>
    </w:p>
    <w:p>
      <w:pPr>
        <w:spacing w:after="0" w:line="152" w:lineRule="exact"/>
        <w:rPr>
          <w:sz w:val="20"/>
          <w:szCs w:val="20"/>
          <w:color w:val="auto"/>
        </w:rPr>
      </w:pPr>
    </w:p>
    <w:p>
      <w:pPr>
        <w:jc w:val="both"/>
        <w:spacing w:after="0" w:line="301" w:lineRule="auto"/>
        <w:rPr>
          <w:sz w:val="20"/>
          <w:szCs w:val="20"/>
          <w:color w:val="auto"/>
        </w:rPr>
      </w:pPr>
      <w:r>
        <w:rPr>
          <w:rFonts w:ascii="Times New Roman" w:cs="Times New Roman" w:eastAsia="Times New Roman" w:hAnsi="Times New Roman"/>
          <w:sz w:val="18"/>
          <w:szCs w:val="18"/>
          <w:color w:val="auto"/>
        </w:rPr>
        <w:t>For the six-month period ended September 30, 2024 the Company incurred a foreign currency translation gain from operations and revaluation of balance sheet assets and liabilities held in foreign currencies of $1,336. The Company holds assets and liabilities in Canadian dollars, U.S. dollars, Euros, and British pounds.</w:t>
      </w:r>
    </w:p>
    <w:p>
      <w:pPr>
        <w:spacing w:after="0" w:line="1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Interest Income</w:t>
      </w:r>
    </w:p>
    <w:p>
      <w:pPr>
        <w:spacing w:after="0" w:line="228" w:lineRule="exact"/>
        <w:rPr>
          <w:sz w:val="20"/>
          <w:szCs w:val="20"/>
          <w:color w:val="auto"/>
        </w:rPr>
      </w:pPr>
    </w:p>
    <w:p>
      <w:pPr>
        <w:jc w:val="both"/>
        <w:ind w:right="20"/>
        <w:spacing w:after="0" w:line="309" w:lineRule="auto"/>
        <w:rPr>
          <w:sz w:val="20"/>
          <w:szCs w:val="20"/>
          <w:color w:val="auto"/>
        </w:rPr>
      </w:pPr>
      <w:r>
        <w:rPr>
          <w:rFonts w:ascii="Times New Roman" w:cs="Times New Roman" w:eastAsia="Times New Roman" w:hAnsi="Times New Roman"/>
          <w:sz w:val="18"/>
          <w:szCs w:val="18"/>
          <w:color w:val="auto"/>
        </w:rPr>
        <w:t>For the three and six month period ended September 30, 2024, the Company recorded interest income of $3,078 and $5,219, respectively, compared to $52 and $136 during the same periods in prior year. The increase is largely related to an increase on interest rates and the cash balance earning interest.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58</w:t>
      </w:r>
    </w:p>
    <w:p>
      <w:pPr>
        <w:sectPr>
          <w:pgSz w:w="11900" w:h="16838" w:orient="portrait"/>
          <w:cols w:equalWidth="0" w:num="1">
            <w:col w:w="11260"/>
          </w:cols>
          <w:pgMar w:left="320" w:top="1303" w:right="319" w:bottom="1440" w:gutter="0" w:footer="0" w:header="0"/>
        </w:sectPr>
      </w:pPr>
    </w:p>
    <w:bookmarkStart w:id="84" w:name="page85"/>
    <w:bookmarkEnd w:id="84"/>
    <w:p>
      <w:pPr>
        <w:spacing w:after="0" w:line="6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Liquidity, Capital Resources and Cash Flows</w:t>
      </w:r>
    </w:p>
    <w:p>
      <w:pPr>
        <w:spacing w:after="0" w:line="250"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3300" w:type="dxa"/>
            <w:vAlign w:val="bottom"/>
          </w:tcPr>
          <w:p>
            <w:pPr>
              <w:spacing w:after="0"/>
              <w:rPr>
                <w:sz w:val="15"/>
                <w:szCs w:val="15"/>
                <w:color w:val="auto"/>
              </w:rPr>
            </w:pPr>
          </w:p>
        </w:tc>
        <w:tc>
          <w:tcPr>
            <w:tcW w:w="2080" w:type="dxa"/>
            <w:vAlign w:val="bottom"/>
            <w:gridSpan w:val="2"/>
          </w:tcPr>
          <w:p>
            <w:pPr>
              <w:jc w:val="right"/>
              <w:spacing w:after="0"/>
              <w:rPr>
                <w:sz w:val="20"/>
                <w:szCs w:val="20"/>
                <w:color w:val="auto"/>
              </w:rPr>
            </w:pPr>
            <w:r>
              <w:rPr>
                <w:rFonts w:ascii="Times New Roman" w:cs="Times New Roman" w:eastAsia="Times New Roman" w:hAnsi="Times New Roman"/>
                <w:sz w:val="15"/>
                <w:szCs w:val="15"/>
                <w:b w:val="1"/>
                <w:bCs w:val="1"/>
                <w:color w:val="auto"/>
                <w:w w:val="99"/>
              </w:rPr>
              <w:t>Three Months ended September</w:t>
            </w:r>
          </w:p>
        </w:tc>
        <w:tc>
          <w:tcPr>
            <w:tcW w:w="1240" w:type="dxa"/>
            <w:vAlign w:val="bottom"/>
            <w:gridSpan w:val="2"/>
            <w:vMerge w:val="restart"/>
          </w:tcPr>
          <w:p>
            <w:pPr>
              <w:ind w:left="700"/>
              <w:spacing w:after="0"/>
              <w:rPr>
                <w:sz w:val="20"/>
                <w:szCs w:val="20"/>
                <w:color w:val="auto"/>
              </w:rPr>
            </w:pPr>
            <w:r>
              <w:rPr>
                <w:rFonts w:ascii="Times New Roman" w:cs="Times New Roman" w:eastAsia="Times New Roman" w:hAnsi="Times New Roman"/>
                <w:sz w:val="15"/>
                <w:szCs w:val="15"/>
                <w:b w:val="1"/>
                <w:bCs w:val="1"/>
                <w:color w:val="auto"/>
              </w:rPr>
              <w:t>Change</w:t>
            </w:r>
          </w:p>
        </w:tc>
        <w:tc>
          <w:tcPr>
            <w:tcW w:w="4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120" w:type="dxa"/>
            <w:vAlign w:val="bottom"/>
            <w:gridSpan w:val="2"/>
            <w:vMerge w:val="restart"/>
          </w:tcPr>
          <w:p>
            <w:pPr>
              <w:jc w:val="right"/>
              <w:spacing w:after="0"/>
              <w:rPr>
                <w:sz w:val="20"/>
                <w:szCs w:val="20"/>
                <w:color w:val="auto"/>
              </w:rPr>
            </w:pPr>
            <w:r>
              <w:rPr>
                <w:rFonts w:ascii="Times New Roman" w:cs="Times New Roman" w:eastAsia="Times New Roman" w:hAnsi="Times New Roman"/>
                <w:sz w:val="15"/>
                <w:szCs w:val="15"/>
                <w:b w:val="1"/>
                <w:bCs w:val="1"/>
                <w:color w:val="auto"/>
                <w:w w:val="98"/>
              </w:rPr>
              <w:t>Six Months ended September 30,</w:t>
            </w:r>
          </w:p>
        </w:tc>
        <w:tc>
          <w:tcPr>
            <w:tcW w:w="1240" w:type="dxa"/>
            <w:vAlign w:val="bottom"/>
            <w:gridSpan w:val="2"/>
            <w:vMerge w:val="restart"/>
          </w:tcPr>
          <w:p>
            <w:pPr>
              <w:ind w:left="700"/>
              <w:spacing w:after="0"/>
              <w:rPr>
                <w:sz w:val="20"/>
                <w:szCs w:val="20"/>
                <w:color w:val="auto"/>
              </w:rPr>
            </w:pPr>
            <w:r>
              <w:rPr>
                <w:rFonts w:ascii="Times New Roman" w:cs="Times New Roman" w:eastAsia="Times New Roman" w:hAnsi="Times New Roman"/>
                <w:sz w:val="15"/>
                <w:szCs w:val="15"/>
                <w:b w:val="1"/>
                <w:bCs w:val="1"/>
                <w:color w:val="auto"/>
              </w:rPr>
              <w:t>Change</w:t>
            </w:r>
          </w:p>
        </w:tc>
        <w:tc>
          <w:tcPr>
            <w:tcW w:w="4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1"/>
        </w:trPr>
        <w:tc>
          <w:tcPr>
            <w:tcW w:w="3300" w:type="dxa"/>
            <w:vAlign w:val="bottom"/>
          </w:tcPr>
          <w:p>
            <w:pPr>
              <w:spacing w:after="0"/>
              <w:rPr>
                <w:sz w:val="16"/>
                <w:szCs w:val="16"/>
                <w:color w:val="auto"/>
              </w:rPr>
            </w:pPr>
          </w:p>
        </w:tc>
        <w:tc>
          <w:tcPr>
            <w:tcW w:w="1300" w:type="dxa"/>
            <w:vAlign w:val="bottom"/>
            <w:tcBorders>
              <w:bottom w:val="single" w:sz="8" w:color="929292"/>
            </w:tcBorders>
          </w:tcPr>
          <w:p>
            <w:pPr>
              <w:spacing w:after="0"/>
              <w:rPr>
                <w:sz w:val="16"/>
                <w:szCs w:val="16"/>
                <w:color w:val="auto"/>
              </w:rPr>
            </w:pPr>
          </w:p>
        </w:tc>
        <w:tc>
          <w:tcPr>
            <w:tcW w:w="780" w:type="dxa"/>
            <w:vAlign w:val="bottom"/>
            <w:tcBorders>
              <w:bottom w:val="single" w:sz="8" w:color="929292"/>
            </w:tcBorders>
          </w:tcPr>
          <w:p>
            <w:pPr>
              <w:jc w:val="right"/>
              <w:spacing w:after="0"/>
              <w:rPr>
                <w:sz w:val="20"/>
                <w:szCs w:val="20"/>
                <w:color w:val="auto"/>
              </w:rPr>
            </w:pPr>
            <w:r>
              <w:rPr>
                <w:rFonts w:ascii="Times New Roman" w:cs="Times New Roman" w:eastAsia="Times New Roman" w:hAnsi="Times New Roman"/>
                <w:sz w:val="15"/>
                <w:szCs w:val="15"/>
                <w:b w:val="1"/>
                <w:bCs w:val="1"/>
                <w:color w:val="auto"/>
              </w:rPr>
              <w:t>30,</w:t>
            </w:r>
          </w:p>
        </w:tc>
        <w:tc>
          <w:tcPr>
            <w:tcW w:w="1240" w:type="dxa"/>
            <w:vAlign w:val="bottom"/>
            <w:tcBorders>
              <w:bottom w:val="single" w:sz="8" w:color="929292"/>
            </w:tcBorders>
            <w:gridSpan w:val="2"/>
            <w:vMerge w:val="continue"/>
          </w:tcPr>
          <w:p>
            <w:pPr>
              <w:spacing w:after="0"/>
              <w:rPr>
                <w:sz w:val="16"/>
                <w:szCs w:val="16"/>
                <w:color w:val="auto"/>
              </w:rPr>
            </w:pPr>
          </w:p>
        </w:tc>
        <w:tc>
          <w:tcPr>
            <w:tcW w:w="480" w:type="dxa"/>
            <w:vAlign w:val="bottom"/>
            <w:tcBorders>
              <w:bottom w:val="single" w:sz="8" w:color="929292"/>
            </w:tcBorders>
          </w:tcPr>
          <w:p>
            <w:pPr>
              <w:spacing w:after="0"/>
              <w:rPr>
                <w:sz w:val="16"/>
                <w:szCs w:val="16"/>
                <w:color w:val="auto"/>
              </w:rPr>
            </w:pPr>
          </w:p>
        </w:tc>
        <w:tc>
          <w:tcPr>
            <w:tcW w:w="140" w:type="dxa"/>
            <w:vAlign w:val="bottom"/>
            <w:tcBorders>
              <w:bottom w:val="single" w:sz="8" w:color="929292"/>
            </w:tcBorders>
          </w:tcPr>
          <w:p>
            <w:pPr>
              <w:spacing w:after="0"/>
              <w:rPr>
                <w:sz w:val="16"/>
                <w:szCs w:val="16"/>
                <w:color w:val="auto"/>
              </w:rPr>
            </w:pPr>
          </w:p>
        </w:tc>
        <w:tc>
          <w:tcPr>
            <w:tcW w:w="2120" w:type="dxa"/>
            <w:vAlign w:val="bottom"/>
            <w:tcBorders>
              <w:bottom w:val="single" w:sz="8" w:color="929292"/>
            </w:tcBorders>
            <w:gridSpan w:val="2"/>
            <w:vMerge w:val="continue"/>
          </w:tcPr>
          <w:p>
            <w:pPr>
              <w:spacing w:after="0"/>
              <w:rPr>
                <w:sz w:val="16"/>
                <w:szCs w:val="16"/>
                <w:color w:val="auto"/>
              </w:rPr>
            </w:pPr>
          </w:p>
        </w:tc>
        <w:tc>
          <w:tcPr>
            <w:tcW w:w="1240" w:type="dxa"/>
            <w:vAlign w:val="bottom"/>
            <w:tcBorders>
              <w:bottom w:val="single" w:sz="8" w:color="929292"/>
            </w:tcBorders>
            <w:gridSpan w:val="2"/>
            <w:vMerge w:val="continue"/>
          </w:tcPr>
          <w:p>
            <w:pPr>
              <w:spacing w:after="0"/>
              <w:rPr>
                <w:sz w:val="16"/>
                <w:szCs w:val="16"/>
                <w:color w:val="auto"/>
              </w:rPr>
            </w:pPr>
          </w:p>
        </w:tc>
        <w:tc>
          <w:tcPr>
            <w:tcW w:w="480" w:type="dxa"/>
            <w:vAlign w:val="bottom"/>
            <w:tcBorders>
              <w:bottom w:val="single" w:sz="8" w:color="929292"/>
            </w:tcBorders>
          </w:tcPr>
          <w:p>
            <w:pPr>
              <w:spacing w:after="0"/>
              <w:rPr>
                <w:sz w:val="16"/>
                <w:szCs w:val="16"/>
                <w:color w:val="auto"/>
              </w:rPr>
            </w:pPr>
          </w:p>
        </w:tc>
        <w:tc>
          <w:tcPr>
            <w:tcW w:w="140" w:type="dxa"/>
            <w:vAlign w:val="bottom"/>
            <w:tcBorders>
              <w:bottom w:val="single" w:sz="8" w:color="929292"/>
            </w:tcBorders>
          </w:tcPr>
          <w:p>
            <w:pPr>
              <w:spacing w:after="0"/>
              <w:rPr>
                <w:sz w:val="16"/>
                <w:szCs w:val="16"/>
                <w:color w:val="auto"/>
              </w:rPr>
            </w:pPr>
          </w:p>
        </w:tc>
        <w:tc>
          <w:tcPr>
            <w:tcW w:w="0" w:type="dxa"/>
            <w:vAlign w:val="bottom"/>
          </w:tcPr>
          <w:p>
            <w:pPr>
              <w:spacing w:after="0"/>
              <w:rPr>
                <w:sz w:val="1"/>
                <w:szCs w:val="1"/>
                <w:color w:val="auto"/>
              </w:rPr>
            </w:pPr>
          </w:p>
        </w:tc>
      </w:tr>
      <w:tr>
        <w:trPr>
          <w:trHeight w:val="187"/>
        </w:trPr>
        <w:tc>
          <w:tcPr>
            <w:tcW w:w="3300" w:type="dxa"/>
            <w:vAlign w:val="bottom"/>
            <w:tcBorders>
              <w:bottom w:val="single" w:sz="8" w:color="B6B6B6"/>
            </w:tcBorders>
          </w:tcPr>
          <w:p>
            <w:pPr>
              <w:ind w:left="20"/>
              <w:spacing w:after="0"/>
              <w:rPr>
                <w:sz w:val="20"/>
                <w:szCs w:val="20"/>
                <w:color w:val="auto"/>
              </w:rPr>
            </w:pPr>
            <w:r>
              <w:rPr>
                <w:rFonts w:ascii="Times New Roman" w:cs="Times New Roman" w:eastAsia="Times New Roman" w:hAnsi="Times New Roman"/>
                <w:sz w:val="15"/>
                <w:szCs w:val="15"/>
                <w:i w:val="1"/>
                <w:iCs w:val="1"/>
                <w:color w:val="auto"/>
              </w:rPr>
              <w:t>(Canadian dollars in thousands)</w:t>
            </w:r>
          </w:p>
        </w:tc>
        <w:tc>
          <w:tcPr>
            <w:tcW w:w="1300" w:type="dxa"/>
            <w:vAlign w:val="bottom"/>
            <w:tcBorders>
              <w:bottom w:val="single" w:sz="8" w:color="B6B6B6"/>
            </w:tcBorders>
          </w:tcPr>
          <w:p>
            <w:pPr>
              <w:jc w:val="right"/>
              <w:ind w:right="187"/>
              <w:spacing w:after="0"/>
              <w:rPr>
                <w:sz w:val="20"/>
                <w:szCs w:val="20"/>
                <w:color w:val="auto"/>
              </w:rPr>
            </w:pPr>
            <w:r>
              <w:rPr>
                <w:rFonts w:ascii="Times New Roman" w:cs="Times New Roman" w:eastAsia="Times New Roman" w:hAnsi="Times New Roman"/>
                <w:sz w:val="15"/>
                <w:szCs w:val="15"/>
                <w:b w:val="1"/>
                <w:bCs w:val="1"/>
                <w:color w:val="auto"/>
              </w:rPr>
              <w:t>2024</w:t>
            </w:r>
          </w:p>
        </w:tc>
        <w:tc>
          <w:tcPr>
            <w:tcW w:w="780" w:type="dxa"/>
            <w:vAlign w:val="bottom"/>
            <w:tcBorders>
              <w:bottom w:val="single" w:sz="8" w:color="B6B6B6"/>
            </w:tcBorders>
          </w:tcPr>
          <w:p>
            <w:pPr>
              <w:jc w:val="right"/>
              <w:spacing w:after="0"/>
              <w:rPr>
                <w:sz w:val="20"/>
                <w:szCs w:val="20"/>
                <w:color w:val="auto"/>
              </w:rPr>
            </w:pPr>
            <w:r>
              <w:rPr>
                <w:rFonts w:ascii="Times New Roman" w:cs="Times New Roman" w:eastAsia="Times New Roman" w:hAnsi="Times New Roman"/>
                <w:sz w:val="15"/>
                <w:szCs w:val="15"/>
                <w:b w:val="1"/>
                <w:bCs w:val="1"/>
                <w:color w:val="auto"/>
              </w:rPr>
              <w:t>2023</w:t>
            </w:r>
          </w:p>
        </w:tc>
        <w:tc>
          <w:tcPr>
            <w:tcW w:w="880" w:type="dxa"/>
            <w:vAlign w:val="bottom"/>
            <w:tcBorders>
              <w:bottom w:val="single" w:sz="8" w:color="B6B6B6"/>
            </w:tcBorders>
          </w:tcPr>
          <w:p>
            <w:pPr>
              <w:jc w:val="right"/>
              <w:ind w:right="327"/>
              <w:spacing w:after="0"/>
              <w:rPr>
                <w:sz w:val="20"/>
                <w:szCs w:val="20"/>
                <w:color w:val="auto"/>
              </w:rPr>
            </w:pPr>
            <w:r>
              <w:rPr>
                <w:rFonts w:ascii="Times New Roman" w:cs="Times New Roman" w:eastAsia="Times New Roman" w:hAnsi="Times New Roman"/>
                <w:sz w:val="15"/>
                <w:szCs w:val="15"/>
                <w:b w:val="1"/>
                <w:bCs w:val="1"/>
                <w:color w:val="auto"/>
              </w:rPr>
              <w:t>$</w:t>
            </w:r>
          </w:p>
        </w:tc>
        <w:tc>
          <w:tcPr>
            <w:tcW w:w="360" w:type="dxa"/>
            <w:vAlign w:val="bottom"/>
            <w:tcBorders>
              <w:bottom w:val="single" w:sz="8" w:color="B6B6B6"/>
            </w:tcBorders>
          </w:tcPr>
          <w:p>
            <w:pPr>
              <w:spacing w:after="0"/>
              <w:rPr>
                <w:sz w:val="16"/>
                <w:szCs w:val="16"/>
                <w:color w:val="auto"/>
              </w:rPr>
            </w:pPr>
          </w:p>
        </w:tc>
        <w:tc>
          <w:tcPr>
            <w:tcW w:w="480" w:type="dxa"/>
            <w:vAlign w:val="bottom"/>
            <w:tcBorders>
              <w:bottom w:val="single" w:sz="8" w:color="B6B6B6"/>
            </w:tcBorders>
          </w:tcPr>
          <w:p>
            <w:pPr>
              <w:jc w:val="right"/>
              <w:ind w:right="207"/>
              <w:spacing w:after="0"/>
              <w:rPr>
                <w:sz w:val="20"/>
                <w:szCs w:val="20"/>
                <w:color w:val="auto"/>
              </w:rPr>
            </w:pPr>
            <w:r>
              <w:rPr>
                <w:rFonts w:ascii="Times New Roman" w:cs="Times New Roman" w:eastAsia="Times New Roman" w:hAnsi="Times New Roman"/>
                <w:sz w:val="15"/>
                <w:szCs w:val="15"/>
                <w:b w:val="1"/>
                <w:bCs w:val="1"/>
                <w:color w:val="auto"/>
              </w:rPr>
              <w:t>%</w:t>
            </w:r>
          </w:p>
        </w:tc>
        <w:tc>
          <w:tcPr>
            <w:tcW w:w="140" w:type="dxa"/>
            <w:vAlign w:val="bottom"/>
            <w:tcBorders>
              <w:bottom w:val="single" w:sz="8" w:color="B6B6B6"/>
            </w:tcBorders>
          </w:tcPr>
          <w:p>
            <w:pPr>
              <w:spacing w:after="0"/>
              <w:rPr>
                <w:sz w:val="16"/>
                <w:szCs w:val="16"/>
                <w:color w:val="auto"/>
              </w:rPr>
            </w:pPr>
          </w:p>
        </w:tc>
        <w:tc>
          <w:tcPr>
            <w:tcW w:w="1320" w:type="dxa"/>
            <w:vAlign w:val="bottom"/>
            <w:tcBorders>
              <w:bottom w:val="single" w:sz="8" w:color="B6B6B6"/>
            </w:tcBorders>
          </w:tcPr>
          <w:p>
            <w:pPr>
              <w:jc w:val="right"/>
              <w:ind w:right="207"/>
              <w:spacing w:after="0"/>
              <w:rPr>
                <w:sz w:val="20"/>
                <w:szCs w:val="20"/>
                <w:color w:val="auto"/>
              </w:rPr>
            </w:pPr>
            <w:r>
              <w:rPr>
                <w:rFonts w:ascii="Times New Roman" w:cs="Times New Roman" w:eastAsia="Times New Roman" w:hAnsi="Times New Roman"/>
                <w:sz w:val="15"/>
                <w:szCs w:val="15"/>
                <w:b w:val="1"/>
                <w:bCs w:val="1"/>
                <w:color w:val="auto"/>
              </w:rPr>
              <w:t>2024</w:t>
            </w:r>
          </w:p>
        </w:tc>
        <w:tc>
          <w:tcPr>
            <w:tcW w:w="800" w:type="dxa"/>
            <w:vAlign w:val="bottom"/>
            <w:tcBorders>
              <w:bottom w:val="single" w:sz="8" w:color="B6B6B6"/>
            </w:tcBorders>
          </w:tcPr>
          <w:p>
            <w:pPr>
              <w:jc w:val="right"/>
              <w:spacing w:after="0"/>
              <w:rPr>
                <w:sz w:val="20"/>
                <w:szCs w:val="20"/>
                <w:color w:val="auto"/>
              </w:rPr>
            </w:pPr>
            <w:r>
              <w:rPr>
                <w:rFonts w:ascii="Times New Roman" w:cs="Times New Roman" w:eastAsia="Times New Roman" w:hAnsi="Times New Roman"/>
                <w:sz w:val="15"/>
                <w:szCs w:val="15"/>
                <w:b w:val="1"/>
                <w:bCs w:val="1"/>
                <w:color w:val="auto"/>
              </w:rPr>
              <w:t>2023</w:t>
            </w:r>
          </w:p>
        </w:tc>
        <w:tc>
          <w:tcPr>
            <w:tcW w:w="880" w:type="dxa"/>
            <w:vAlign w:val="bottom"/>
            <w:tcBorders>
              <w:bottom w:val="single" w:sz="8" w:color="B6B6B6"/>
            </w:tcBorders>
          </w:tcPr>
          <w:p>
            <w:pPr>
              <w:jc w:val="right"/>
              <w:ind w:right="327"/>
              <w:spacing w:after="0"/>
              <w:rPr>
                <w:sz w:val="20"/>
                <w:szCs w:val="20"/>
                <w:color w:val="auto"/>
              </w:rPr>
            </w:pPr>
            <w:r>
              <w:rPr>
                <w:rFonts w:ascii="Times New Roman" w:cs="Times New Roman" w:eastAsia="Times New Roman" w:hAnsi="Times New Roman"/>
                <w:sz w:val="15"/>
                <w:szCs w:val="15"/>
                <w:b w:val="1"/>
                <w:bCs w:val="1"/>
                <w:color w:val="auto"/>
              </w:rPr>
              <w:t>$</w:t>
            </w:r>
          </w:p>
        </w:tc>
        <w:tc>
          <w:tcPr>
            <w:tcW w:w="360" w:type="dxa"/>
            <w:vAlign w:val="bottom"/>
            <w:tcBorders>
              <w:bottom w:val="single" w:sz="8" w:color="B6B6B6"/>
            </w:tcBorders>
          </w:tcPr>
          <w:p>
            <w:pPr>
              <w:spacing w:after="0"/>
              <w:rPr>
                <w:sz w:val="16"/>
                <w:szCs w:val="16"/>
                <w:color w:val="auto"/>
              </w:rPr>
            </w:pPr>
          </w:p>
        </w:tc>
        <w:tc>
          <w:tcPr>
            <w:tcW w:w="480" w:type="dxa"/>
            <w:vAlign w:val="bottom"/>
            <w:tcBorders>
              <w:bottom w:val="single" w:sz="8" w:color="B6B6B6"/>
            </w:tcBorders>
          </w:tcPr>
          <w:p>
            <w:pPr>
              <w:jc w:val="right"/>
              <w:ind w:right="207"/>
              <w:spacing w:after="0"/>
              <w:rPr>
                <w:sz w:val="20"/>
                <w:szCs w:val="20"/>
                <w:color w:val="auto"/>
              </w:rPr>
            </w:pPr>
            <w:r>
              <w:rPr>
                <w:rFonts w:ascii="Times New Roman" w:cs="Times New Roman" w:eastAsia="Times New Roman" w:hAnsi="Times New Roman"/>
                <w:sz w:val="15"/>
                <w:szCs w:val="15"/>
                <w:b w:val="1"/>
                <w:bCs w:val="1"/>
                <w:color w:val="auto"/>
              </w:rPr>
              <w:t>%</w:t>
            </w:r>
          </w:p>
        </w:tc>
        <w:tc>
          <w:tcPr>
            <w:tcW w:w="140" w:type="dxa"/>
            <w:vAlign w:val="bottom"/>
            <w:tcBorders>
              <w:bottom w:val="single" w:sz="8" w:color="B6B6B6"/>
            </w:tcBorders>
          </w:tcPr>
          <w:p>
            <w:pPr>
              <w:spacing w:after="0"/>
              <w:rPr>
                <w:sz w:val="16"/>
                <w:szCs w:val="16"/>
                <w:color w:val="auto"/>
              </w:rPr>
            </w:pPr>
          </w:p>
        </w:tc>
        <w:tc>
          <w:tcPr>
            <w:tcW w:w="0" w:type="dxa"/>
            <w:vAlign w:val="bottom"/>
          </w:tcPr>
          <w:p>
            <w:pPr>
              <w:spacing w:after="0"/>
              <w:rPr>
                <w:sz w:val="1"/>
                <w:szCs w:val="1"/>
                <w:color w:val="auto"/>
              </w:rPr>
            </w:pPr>
          </w:p>
        </w:tc>
      </w:tr>
      <w:tr>
        <w:trPr>
          <w:trHeight w:val="184"/>
        </w:trPr>
        <w:tc>
          <w:tcPr>
            <w:tcW w:w="330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Net cash used in operating activities</w:t>
            </w:r>
          </w:p>
        </w:tc>
        <w:tc>
          <w:tcPr>
            <w:tcW w:w="1300" w:type="dxa"/>
            <w:vAlign w:val="bottom"/>
          </w:tcPr>
          <w:p>
            <w:pPr>
              <w:jc w:val="right"/>
              <w:ind w:right="207"/>
              <w:spacing w:after="0"/>
              <w:rPr>
                <w:sz w:val="20"/>
                <w:szCs w:val="20"/>
                <w:color w:val="auto"/>
              </w:rPr>
            </w:pPr>
            <w:r>
              <w:rPr>
                <w:rFonts w:ascii="Times New Roman" w:cs="Times New Roman" w:eastAsia="Times New Roman" w:hAnsi="Times New Roman"/>
                <w:sz w:val="15"/>
                <w:szCs w:val="15"/>
                <w:b w:val="1"/>
                <w:bCs w:val="1"/>
                <w:color w:val="auto"/>
              </w:rPr>
              <w:t>(25,849)</w:t>
            </w:r>
          </w:p>
        </w:tc>
        <w:tc>
          <w:tcPr>
            <w:tcW w:w="7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(11,463)</w:t>
            </w:r>
          </w:p>
        </w:tc>
        <w:tc>
          <w:tcPr>
            <w:tcW w:w="880" w:type="dxa"/>
            <w:vAlign w:val="bottom"/>
            <w:shd w:val="clear" w:color="auto" w:fill="DBDBDB"/>
          </w:tcPr>
          <w:p>
            <w:pPr>
              <w:jc w:val="right"/>
              <w:spacing w:after="0"/>
              <w:rPr>
                <w:sz w:val="20"/>
                <w:szCs w:val="20"/>
                <w:color w:val="auto"/>
              </w:rPr>
            </w:pPr>
            <w:r>
              <w:rPr>
                <w:rFonts w:ascii="Times New Roman" w:cs="Times New Roman" w:eastAsia="Times New Roman" w:hAnsi="Times New Roman"/>
                <w:sz w:val="15"/>
                <w:szCs w:val="15"/>
                <w:color w:val="auto"/>
              </w:rPr>
              <w:t>(14,386)</w:t>
            </w:r>
          </w:p>
        </w:tc>
        <w:tc>
          <w:tcPr>
            <w:tcW w:w="360" w:type="dxa"/>
            <w:vAlign w:val="bottom"/>
            <w:shd w:val="clear" w:color="auto" w:fill="DBDBDB"/>
          </w:tcPr>
          <w:p>
            <w:pPr>
              <w:spacing w:after="0"/>
              <w:rPr>
                <w:sz w:val="16"/>
                <w:szCs w:val="16"/>
                <w:color w:val="auto"/>
              </w:rPr>
            </w:pPr>
          </w:p>
        </w:tc>
        <w:tc>
          <w:tcPr>
            <w:tcW w:w="620" w:type="dxa"/>
            <w:vAlign w:val="bottom"/>
            <w:gridSpan w:val="2"/>
            <w:shd w:val="clear" w:color="auto" w:fill="DBDBDB"/>
          </w:tcPr>
          <w:p>
            <w:pPr>
              <w:jc w:val="right"/>
              <w:spacing w:after="0"/>
              <w:rPr>
                <w:sz w:val="20"/>
                <w:szCs w:val="20"/>
                <w:color w:val="auto"/>
              </w:rPr>
            </w:pPr>
            <w:r>
              <w:rPr>
                <w:rFonts w:ascii="Times New Roman" w:cs="Times New Roman" w:eastAsia="Times New Roman" w:hAnsi="Times New Roman"/>
                <w:sz w:val="15"/>
                <w:szCs w:val="15"/>
                <w:color w:val="auto"/>
              </w:rPr>
              <w:t>125 %</w:t>
            </w:r>
          </w:p>
        </w:tc>
        <w:tc>
          <w:tcPr>
            <w:tcW w:w="1320" w:type="dxa"/>
            <w:vAlign w:val="bottom"/>
          </w:tcPr>
          <w:p>
            <w:pPr>
              <w:jc w:val="right"/>
              <w:ind w:right="207"/>
              <w:spacing w:after="0"/>
              <w:rPr>
                <w:sz w:val="20"/>
                <w:szCs w:val="20"/>
                <w:color w:val="auto"/>
              </w:rPr>
            </w:pPr>
            <w:r>
              <w:rPr>
                <w:rFonts w:ascii="Times New Roman" w:cs="Times New Roman" w:eastAsia="Times New Roman" w:hAnsi="Times New Roman"/>
                <w:sz w:val="15"/>
                <w:szCs w:val="15"/>
                <w:b w:val="1"/>
                <w:bCs w:val="1"/>
                <w:color w:val="auto"/>
              </w:rPr>
              <w:t>(53,063)</w:t>
            </w:r>
          </w:p>
        </w:tc>
        <w:tc>
          <w:tcPr>
            <w:tcW w:w="8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(22,159)</w:t>
            </w:r>
          </w:p>
        </w:tc>
        <w:tc>
          <w:tcPr>
            <w:tcW w:w="880" w:type="dxa"/>
            <w:vAlign w:val="bottom"/>
            <w:shd w:val="clear" w:color="auto" w:fill="DBDBDB"/>
          </w:tcPr>
          <w:p>
            <w:pPr>
              <w:jc w:val="right"/>
              <w:spacing w:after="0"/>
              <w:rPr>
                <w:sz w:val="20"/>
                <w:szCs w:val="20"/>
                <w:color w:val="auto"/>
              </w:rPr>
            </w:pPr>
            <w:r>
              <w:rPr>
                <w:rFonts w:ascii="Times New Roman" w:cs="Times New Roman" w:eastAsia="Times New Roman" w:hAnsi="Times New Roman"/>
                <w:sz w:val="15"/>
                <w:szCs w:val="15"/>
                <w:color w:val="auto"/>
              </w:rPr>
              <w:t>(30,904)</w:t>
            </w:r>
          </w:p>
        </w:tc>
        <w:tc>
          <w:tcPr>
            <w:tcW w:w="360" w:type="dxa"/>
            <w:vAlign w:val="bottom"/>
            <w:shd w:val="clear" w:color="auto" w:fill="DBDBDB"/>
          </w:tcPr>
          <w:p>
            <w:pPr>
              <w:spacing w:after="0"/>
              <w:rPr>
                <w:sz w:val="16"/>
                <w:szCs w:val="16"/>
                <w:color w:val="auto"/>
              </w:rPr>
            </w:pPr>
          </w:p>
        </w:tc>
        <w:tc>
          <w:tcPr>
            <w:tcW w:w="620" w:type="dxa"/>
            <w:vAlign w:val="bottom"/>
            <w:gridSpan w:val="2"/>
            <w:shd w:val="clear" w:color="auto" w:fill="DBDBDB"/>
          </w:tcPr>
          <w:p>
            <w:pPr>
              <w:jc w:val="right"/>
              <w:spacing w:after="0"/>
              <w:rPr>
                <w:sz w:val="20"/>
                <w:szCs w:val="20"/>
                <w:color w:val="auto"/>
              </w:rPr>
            </w:pPr>
            <w:r>
              <w:rPr>
                <w:rFonts w:ascii="Times New Roman" w:cs="Times New Roman" w:eastAsia="Times New Roman" w:hAnsi="Times New Roman"/>
                <w:sz w:val="15"/>
                <w:szCs w:val="15"/>
                <w:color w:val="auto"/>
              </w:rPr>
              <w:t>139 %</w:t>
            </w:r>
          </w:p>
        </w:tc>
        <w:tc>
          <w:tcPr>
            <w:tcW w:w="0" w:type="dxa"/>
            <w:vAlign w:val="bottom"/>
          </w:tcPr>
          <w:p>
            <w:pPr>
              <w:spacing w:after="0"/>
              <w:rPr>
                <w:sz w:val="1"/>
                <w:szCs w:val="1"/>
                <w:color w:val="auto"/>
              </w:rPr>
            </w:pPr>
          </w:p>
        </w:tc>
      </w:tr>
      <w:tr>
        <w:trPr>
          <w:trHeight w:val="191"/>
        </w:trPr>
        <w:tc>
          <w:tcPr>
            <w:tcW w:w="330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Net cash used in investing activities</w:t>
            </w:r>
          </w:p>
        </w:tc>
        <w:tc>
          <w:tcPr>
            <w:tcW w:w="1300" w:type="dxa"/>
            <w:vAlign w:val="bottom"/>
          </w:tcPr>
          <w:p>
            <w:pPr>
              <w:jc w:val="right"/>
              <w:ind w:right="207"/>
              <w:spacing w:after="0"/>
              <w:rPr>
                <w:sz w:val="20"/>
                <w:szCs w:val="20"/>
                <w:color w:val="auto"/>
              </w:rPr>
            </w:pPr>
            <w:r>
              <w:rPr>
                <w:rFonts w:ascii="Times New Roman" w:cs="Times New Roman" w:eastAsia="Times New Roman" w:hAnsi="Times New Roman"/>
                <w:sz w:val="15"/>
                <w:szCs w:val="15"/>
                <w:b w:val="1"/>
                <w:bCs w:val="1"/>
                <w:color w:val="auto"/>
              </w:rPr>
              <w:t>(342)</w:t>
            </w:r>
          </w:p>
        </w:tc>
        <w:tc>
          <w:tcPr>
            <w:tcW w:w="7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(258)</w:t>
            </w:r>
          </w:p>
        </w:tc>
        <w:tc>
          <w:tcPr>
            <w:tcW w:w="880" w:type="dxa"/>
            <w:vAlign w:val="bottom"/>
            <w:shd w:val="clear" w:color="auto" w:fill="DBDBDB"/>
          </w:tcPr>
          <w:p>
            <w:pPr>
              <w:jc w:val="right"/>
              <w:spacing w:after="0"/>
              <w:rPr>
                <w:sz w:val="20"/>
                <w:szCs w:val="20"/>
                <w:color w:val="auto"/>
              </w:rPr>
            </w:pPr>
            <w:r>
              <w:rPr>
                <w:rFonts w:ascii="Times New Roman" w:cs="Times New Roman" w:eastAsia="Times New Roman" w:hAnsi="Times New Roman"/>
                <w:sz w:val="15"/>
                <w:szCs w:val="15"/>
                <w:color w:val="auto"/>
              </w:rPr>
              <w:t>(84)</w:t>
            </w:r>
          </w:p>
        </w:tc>
        <w:tc>
          <w:tcPr>
            <w:tcW w:w="360" w:type="dxa"/>
            <w:vAlign w:val="bottom"/>
            <w:shd w:val="clear" w:color="auto" w:fill="DBDBDB"/>
          </w:tcPr>
          <w:p>
            <w:pPr>
              <w:spacing w:after="0"/>
              <w:rPr>
                <w:sz w:val="16"/>
                <w:szCs w:val="16"/>
                <w:color w:val="auto"/>
              </w:rPr>
            </w:pPr>
          </w:p>
        </w:tc>
        <w:tc>
          <w:tcPr>
            <w:tcW w:w="620" w:type="dxa"/>
            <w:vAlign w:val="bottom"/>
            <w:gridSpan w:val="2"/>
            <w:shd w:val="clear" w:color="auto" w:fill="DBDBDB"/>
          </w:tcPr>
          <w:p>
            <w:pPr>
              <w:jc w:val="right"/>
              <w:spacing w:after="0"/>
              <w:rPr>
                <w:sz w:val="20"/>
                <w:szCs w:val="20"/>
                <w:color w:val="auto"/>
              </w:rPr>
            </w:pPr>
            <w:r>
              <w:rPr>
                <w:rFonts w:ascii="Times New Roman" w:cs="Times New Roman" w:eastAsia="Times New Roman" w:hAnsi="Times New Roman"/>
                <w:sz w:val="15"/>
                <w:szCs w:val="15"/>
                <w:color w:val="auto"/>
              </w:rPr>
              <w:t>33 %</w:t>
            </w:r>
          </w:p>
        </w:tc>
        <w:tc>
          <w:tcPr>
            <w:tcW w:w="1320" w:type="dxa"/>
            <w:vAlign w:val="bottom"/>
          </w:tcPr>
          <w:p>
            <w:pPr>
              <w:jc w:val="right"/>
              <w:ind w:right="207"/>
              <w:spacing w:after="0"/>
              <w:rPr>
                <w:sz w:val="20"/>
                <w:szCs w:val="20"/>
                <w:color w:val="auto"/>
              </w:rPr>
            </w:pPr>
            <w:r>
              <w:rPr>
                <w:rFonts w:ascii="Times New Roman" w:cs="Times New Roman" w:eastAsia="Times New Roman" w:hAnsi="Times New Roman"/>
                <w:sz w:val="15"/>
                <w:szCs w:val="15"/>
                <w:b w:val="1"/>
                <w:bCs w:val="1"/>
                <w:color w:val="auto"/>
              </w:rPr>
              <w:t>(579)</w:t>
            </w:r>
          </w:p>
        </w:tc>
        <w:tc>
          <w:tcPr>
            <w:tcW w:w="8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(323)</w:t>
            </w:r>
          </w:p>
        </w:tc>
        <w:tc>
          <w:tcPr>
            <w:tcW w:w="880" w:type="dxa"/>
            <w:vAlign w:val="bottom"/>
            <w:shd w:val="clear" w:color="auto" w:fill="DBDBDB"/>
          </w:tcPr>
          <w:p>
            <w:pPr>
              <w:jc w:val="right"/>
              <w:spacing w:after="0"/>
              <w:rPr>
                <w:sz w:val="20"/>
                <w:szCs w:val="20"/>
                <w:color w:val="auto"/>
              </w:rPr>
            </w:pPr>
            <w:r>
              <w:rPr>
                <w:rFonts w:ascii="Times New Roman" w:cs="Times New Roman" w:eastAsia="Times New Roman" w:hAnsi="Times New Roman"/>
                <w:sz w:val="15"/>
                <w:szCs w:val="15"/>
                <w:color w:val="auto"/>
              </w:rPr>
              <w:t>(256)</w:t>
            </w:r>
          </w:p>
        </w:tc>
        <w:tc>
          <w:tcPr>
            <w:tcW w:w="360" w:type="dxa"/>
            <w:vAlign w:val="bottom"/>
            <w:shd w:val="clear" w:color="auto" w:fill="DBDBDB"/>
          </w:tcPr>
          <w:p>
            <w:pPr>
              <w:spacing w:after="0"/>
              <w:rPr>
                <w:sz w:val="16"/>
                <w:szCs w:val="16"/>
                <w:color w:val="auto"/>
              </w:rPr>
            </w:pPr>
          </w:p>
        </w:tc>
        <w:tc>
          <w:tcPr>
            <w:tcW w:w="620" w:type="dxa"/>
            <w:vAlign w:val="bottom"/>
            <w:gridSpan w:val="2"/>
            <w:shd w:val="clear" w:color="auto" w:fill="DBDBDB"/>
          </w:tcPr>
          <w:p>
            <w:pPr>
              <w:jc w:val="right"/>
              <w:spacing w:after="0"/>
              <w:rPr>
                <w:sz w:val="20"/>
                <w:szCs w:val="20"/>
                <w:color w:val="auto"/>
              </w:rPr>
            </w:pPr>
            <w:r>
              <w:rPr>
                <w:rFonts w:ascii="Times New Roman" w:cs="Times New Roman" w:eastAsia="Times New Roman" w:hAnsi="Times New Roman"/>
                <w:sz w:val="15"/>
                <w:szCs w:val="15"/>
                <w:color w:val="auto"/>
              </w:rPr>
              <w:t>79 %</w:t>
            </w:r>
          </w:p>
        </w:tc>
        <w:tc>
          <w:tcPr>
            <w:tcW w:w="0" w:type="dxa"/>
            <w:vAlign w:val="bottom"/>
          </w:tcPr>
          <w:p>
            <w:pPr>
              <w:spacing w:after="0"/>
              <w:rPr>
                <w:sz w:val="1"/>
                <w:szCs w:val="1"/>
                <w:color w:val="auto"/>
              </w:rPr>
            </w:pPr>
          </w:p>
        </w:tc>
      </w:tr>
      <w:tr>
        <w:trPr>
          <w:trHeight w:val="196"/>
        </w:trPr>
        <w:tc>
          <w:tcPr>
            <w:tcW w:w="3300" w:type="dxa"/>
            <w:vAlign w:val="bottom"/>
            <w:tcBorders>
              <w:bottom w:val="single" w:sz="8" w:color="929292"/>
            </w:tcBorders>
          </w:tcPr>
          <w:p>
            <w:pPr>
              <w:ind w:left="20"/>
              <w:spacing w:after="0"/>
              <w:rPr>
                <w:sz w:val="20"/>
                <w:szCs w:val="20"/>
                <w:color w:val="auto"/>
              </w:rPr>
            </w:pPr>
            <w:r>
              <w:rPr>
                <w:rFonts w:ascii="Times New Roman" w:cs="Times New Roman" w:eastAsia="Times New Roman" w:hAnsi="Times New Roman"/>
                <w:sz w:val="15"/>
                <w:szCs w:val="15"/>
                <w:color w:val="auto"/>
              </w:rPr>
              <w:t>Net cash from (used in) financing activities</w:t>
            </w:r>
          </w:p>
        </w:tc>
        <w:tc>
          <w:tcPr>
            <w:tcW w:w="1300" w:type="dxa"/>
            <w:vAlign w:val="bottom"/>
            <w:tcBorders>
              <w:bottom w:val="single" w:sz="8" w:color="929292"/>
            </w:tcBorders>
          </w:tcPr>
          <w:p>
            <w:pPr>
              <w:jc w:val="right"/>
              <w:ind w:right="207"/>
              <w:spacing w:after="0"/>
              <w:rPr>
                <w:sz w:val="20"/>
                <w:szCs w:val="20"/>
                <w:color w:val="auto"/>
              </w:rPr>
            </w:pPr>
            <w:r>
              <w:rPr>
                <w:rFonts w:ascii="Times New Roman" w:cs="Times New Roman" w:eastAsia="Times New Roman" w:hAnsi="Times New Roman"/>
                <w:sz w:val="15"/>
                <w:szCs w:val="15"/>
                <w:b w:val="1"/>
                <w:bCs w:val="1"/>
                <w:color w:val="auto"/>
              </w:rPr>
              <w:t>(370)</w:t>
            </w:r>
          </w:p>
        </w:tc>
        <w:tc>
          <w:tcPr>
            <w:tcW w:w="780" w:type="dxa"/>
            <w:vAlign w:val="bottom"/>
            <w:tcBorders>
              <w:bottom w:val="single" w:sz="8" w:color="929292"/>
            </w:tcBorders>
          </w:tcPr>
          <w:p>
            <w:pPr>
              <w:jc w:val="right"/>
              <w:spacing w:after="0"/>
              <w:rPr>
                <w:sz w:val="20"/>
                <w:szCs w:val="20"/>
                <w:color w:val="auto"/>
              </w:rPr>
            </w:pPr>
            <w:r>
              <w:rPr>
                <w:rFonts w:ascii="Times New Roman" w:cs="Times New Roman" w:eastAsia="Times New Roman" w:hAnsi="Times New Roman"/>
                <w:sz w:val="15"/>
                <w:szCs w:val="15"/>
                <w:color w:val="auto"/>
              </w:rPr>
              <w:t>20,384</w:t>
            </w:r>
          </w:p>
        </w:tc>
        <w:tc>
          <w:tcPr>
            <w:tcW w:w="880" w:type="dxa"/>
            <w:vAlign w:val="bottom"/>
            <w:tcBorders>
              <w:bottom w:val="single" w:sz="8" w:color="929292"/>
            </w:tcBorders>
            <w:shd w:val="clear" w:color="auto" w:fill="DBDBDB"/>
          </w:tcPr>
          <w:p>
            <w:pPr>
              <w:jc w:val="right"/>
              <w:spacing w:after="0"/>
              <w:rPr>
                <w:sz w:val="20"/>
                <w:szCs w:val="20"/>
                <w:color w:val="auto"/>
              </w:rPr>
            </w:pPr>
            <w:r>
              <w:rPr>
                <w:rFonts w:ascii="Times New Roman" w:cs="Times New Roman" w:eastAsia="Times New Roman" w:hAnsi="Times New Roman"/>
                <w:sz w:val="15"/>
                <w:szCs w:val="15"/>
                <w:color w:val="auto"/>
              </w:rPr>
              <w:t>(20,754)</w:t>
            </w:r>
          </w:p>
        </w:tc>
        <w:tc>
          <w:tcPr>
            <w:tcW w:w="360" w:type="dxa"/>
            <w:vAlign w:val="bottom"/>
            <w:tcBorders>
              <w:bottom w:val="single" w:sz="8" w:color="929292"/>
            </w:tcBorders>
            <w:shd w:val="clear" w:color="auto" w:fill="DBDBDB"/>
          </w:tcPr>
          <w:p>
            <w:pPr>
              <w:spacing w:after="0"/>
              <w:rPr>
                <w:sz w:val="17"/>
                <w:szCs w:val="17"/>
                <w:color w:val="auto"/>
              </w:rPr>
            </w:pPr>
          </w:p>
        </w:tc>
        <w:tc>
          <w:tcPr>
            <w:tcW w:w="480" w:type="dxa"/>
            <w:vAlign w:val="bottom"/>
            <w:tcBorders>
              <w:bottom w:val="single" w:sz="8" w:color="929292"/>
            </w:tcBorders>
            <w:shd w:val="clear" w:color="auto" w:fill="DBDBDB"/>
          </w:tcPr>
          <w:p>
            <w:pPr>
              <w:jc w:val="right"/>
              <w:spacing w:after="0"/>
              <w:rPr>
                <w:sz w:val="20"/>
                <w:szCs w:val="20"/>
                <w:color w:val="auto"/>
              </w:rPr>
            </w:pPr>
            <w:r>
              <w:rPr>
                <w:rFonts w:ascii="Times New Roman" w:cs="Times New Roman" w:eastAsia="Times New Roman" w:hAnsi="Times New Roman"/>
                <w:sz w:val="15"/>
                <w:szCs w:val="15"/>
                <w:color w:val="auto"/>
              </w:rPr>
              <w:t>(102)</w:t>
            </w:r>
          </w:p>
        </w:tc>
        <w:tc>
          <w:tcPr>
            <w:tcW w:w="140" w:type="dxa"/>
            <w:vAlign w:val="bottom"/>
            <w:tcBorders>
              <w:bottom w:val="single" w:sz="8" w:color="929292"/>
            </w:tcBorders>
            <w:shd w:val="clear" w:color="auto" w:fill="DBDBDB"/>
          </w:tcPr>
          <w:p>
            <w:pPr>
              <w:jc w:val="right"/>
              <w:spacing w:after="0"/>
              <w:rPr>
                <w:sz w:val="20"/>
                <w:szCs w:val="20"/>
                <w:color w:val="auto"/>
              </w:rPr>
            </w:pPr>
            <w:r>
              <w:rPr>
                <w:rFonts w:ascii="Times New Roman" w:cs="Times New Roman" w:eastAsia="Times New Roman" w:hAnsi="Times New Roman"/>
                <w:sz w:val="15"/>
                <w:szCs w:val="15"/>
                <w:color w:val="auto"/>
                <w:w w:val="95"/>
              </w:rPr>
              <w:t>%</w:t>
            </w:r>
          </w:p>
        </w:tc>
        <w:tc>
          <w:tcPr>
            <w:tcW w:w="1320" w:type="dxa"/>
            <w:vAlign w:val="bottom"/>
            <w:tcBorders>
              <w:bottom w:val="single" w:sz="8" w:color="929292"/>
            </w:tcBorders>
          </w:tcPr>
          <w:p>
            <w:pPr>
              <w:jc w:val="right"/>
              <w:ind w:right="207"/>
              <w:spacing w:after="0"/>
              <w:rPr>
                <w:sz w:val="20"/>
                <w:szCs w:val="20"/>
                <w:color w:val="auto"/>
              </w:rPr>
            </w:pPr>
            <w:r>
              <w:rPr>
                <w:rFonts w:ascii="Times New Roman" w:cs="Times New Roman" w:eastAsia="Times New Roman" w:hAnsi="Times New Roman"/>
                <w:sz w:val="15"/>
                <w:szCs w:val="15"/>
                <w:b w:val="1"/>
                <w:bCs w:val="1"/>
                <w:color w:val="auto"/>
              </w:rPr>
              <w:t>(605)</w:t>
            </w:r>
          </w:p>
        </w:tc>
        <w:tc>
          <w:tcPr>
            <w:tcW w:w="800" w:type="dxa"/>
            <w:vAlign w:val="bottom"/>
            <w:tcBorders>
              <w:bottom w:val="single" w:sz="8" w:color="929292"/>
            </w:tcBorders>
          </w:tcPr>
          <w:p>
            <w:pPr>
              <w:jc w:val="right"/>
              <w:spacing w:after="0"/>
              <w:rPr>
                <w:sz w:val="20"/>
                <w:szCs w:val="20"/>
                <w:color w:val="auto"/>
              </w:rPr>
            </w:pPr>
            <w:r>
              <w:rPr>
                <w:rFonts w:ascii="Times New Roman" w:cs="Times New Roman" w:eastAsia="Times New Roman" w:hAnsi="Times New Roman"/>
                <w:sz w:val="15"/>
                <w:szCs w:val="15"/>
                <w:color w:val="auto"/>
              </w:rPr>
              <w:t>23,904</w:t>
            </w:r>
          </w:p>
        </w:tc>
        <w:tc>
          <w:tcPr>
            <w:tcW w:w="880" w:type="dxa"/>
            <w:vAlign w:val="bottom"/>
            <w:tcBorders>
              <w:bottom w:val="single" w:sz="8" w:color="929292"/>
            </w:tcBorders>
            <w:shd w:val="clear" w:color="auto" w:fill="DBDBDB"/>
          </w:tcPr>
          <w:p>
            <w:pPr>
              <w:jc w:val="right"/>
              <w:spacing w:after="0"/>
              <w:rPr>
                <w:sz w:val="20"/>
                <w:szCs w:val="20"/>
                <w:color w:val="auto"/>
              </w:rPr>
            </w:pPr>
            <w:r>
              <w:rPr>
                <w:rFonts w:ascii="Times New Roman" w:cs="Times New Roman" w:eastAsia="Times New Roman" w:hAnsi="Times New Roman"/>
                <w:sz w:val="15"/>
                <w:szCs w:val="15"/>
                <w:color w:val="auto"/>
              </w:rPr>
              <w:t>(24,509)</w:t>
            </w:r>
          </w:p>
        </w:tc>
        <w:tc>
          <w:tcPr>
            <w:tcW w:w="360" w:type="dxa"/>
            <w:vAlign w:val="bottom"/>
            <w:tcBorders>
              <w:bottom w:val="single" w:sz="8" w:color="929292"/>
            </w:tcBorders>
            <w:shd w:val="clear" w:color="auto" w:fill="DBDBDB"/>
          </w:tcPr>
          <w:p>
            <w:pPr>
              <w:spacing w:after="0"/>
              <w:rPr>
                <w:sz w:val="17"/>
                <w:szCs w:val="17"/>
                <w:color w:val="auto"/>
              </w:rPr>
            </w:pPr>
          </w:p>
        </w:tc>
        <w:tc>
          <w:tcPr>
            <w:tcW w:w="480" w:type="dxa"/>
            <w:vAlign w:val="bottom"/>
            <w:tcBorders>
              <w:bottom w:val="single" w:sz="8" w:color="929292"/>
            </w:tcBorders>
            <w:shd w:val="clear" w:color="auto" w:fill="DBDBDB"/>
          </w:tcPr>
          <w:p>
            <w:pPr>
              <w:jc w:val="right"/>
              <w:spacing w:after="0"/>
              <w:rPr>
                <w:sz w:val="20"/>
                <w:szCs w:val="20"/>
                <w:color w:val="auto"/>
              </w:rPr>
            </w:pPr>
            <w:r>
              <w:rPr>
                <w:rFonts w:ascii="Times New Roman" w:cs="Times New Roman" w:eastAsia="Times New Roman" w:hAnsi="Times New Roman"/>
                <w:sz w:val="15"/>
                <w:szCs w:val="15"/>
                <w:color w:val="auto"/>
              </w:rPr>
              <w:t>(103)</w:t>
            </w:r>
          </w:p>
        </w:tc>
        <w:tc>
          <w:tcPr>
            <w:tcW w:w="140" w:type="dxa"/>
            <w:vAlign w:val="bottom"/>
            <w:tcBorders>
              <w:bottom w:val="single" w:sz="8" w:color="929292"/>
            </w:tcBorders>
            <w:shd w:val="clear" w:color="auto" w:fill="DBDBDB"/>
          </w:tcPr>
          <w:p>
            <w:pPr>
              <w:jc w:val="right"/>
              <w:spacing w:after="0"/>
              <w:rPr>
                <w:sz w:val="20"/>
                <w:szCs w:val="20"/>
                <w:color w:val="auto"/>
              </w:rPr>
            </w:pPr>
            <w:r>
              <w:rPr>
                <w:rFonts w:ascii="Times New Roman" w:cs="Times New Roman" w:eastAsia="Times New Roman" w:hAnsi="Times New Roman"/>
                <w:sz w:val="15"/>
                <w:szCs w:val="15"/>
                <w:color w:val="auto"/>
                <w:w w:val="95"/>
              </w:rPr>
              <w:t>%</w:t>
            </w:r>
          </w:p>
        </w:tc>
        <w:tc>
          <w:tcPr>
            <w:tcW w:w="0" w:type="dxa"/>
            <w:vAlign w:val="bottom"/>
          </w:tcPr>
          <w:p>
            <w:pPr>
              <w:spacing w:after="0"/>
              <w:rPr>
                <w:sz w:val="1"/>
                <w:szCs w:val="1"/>
                <w:color w:val="auto"/>
              </w:rPr>
            </w:pPr>
          </w:p>
        </w:tc>
      </w:tr>
      <w:tr>
        <w:trPr>
          <w:trHeight w:val="185"/>
        </w:trPr>
        <w:tc>
          <w:tcPr>
            <w:tcW w:w="330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Increase (decrease) in cash</w:t>
            </w:r>
          </w:p>
        </w:tc>
        <w:tc>
          <w:tcPr>
            <w:tcW w:w="1300" w:type="dxa"/>
            <w:vAlign w:val="bottom"/>
          </w:tcPr>
          <w:p>
            <w:pPr>
              <w:jc w:val="right"/>
              <w:ind w:right="207"/>
              <w:spacing w:after="0"/>
              <w:rPr>
                <w:sz w:val="20"/>
                <w:szCs w:val="20"/>
                <w:color w:val="auto"/>
              </w:rPr>
            </w:pPr>
            <w:r>
              <w:rPr>
                <w:rFonts w:ascii="Times New Roman" w:cs="Times New Roman" w:eastAsia="Times New Roman" w:hAnsi="Times New Roman"/>
                <w:sz w:val="15"/>
                <w:szCs w:val="15"/>
                <w:b w:val="1"/>
                <w:bCs w:val="1"/>
                <w:color w:val="auto"/>
              </w:rPr>
              <w:t>(54,247)</w:t>
            </w:r>
          </w:p>
        </w:tc>
        <w:tc>
          <w:tcPr>
            <w:tcW w:w="7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8,663</w:t>
            </w:r>
          </w:p>
        </w:tc>
        <w:tc>
          <w:tcPr>
            <w:tcW w:w="880" w:type="dxa"/>
            <w:vAlign w:val="bottom"/>
            <w:shd w:val="clear" w:color="auto" w:fill="DBDBDB"/>
          </w:tcPr>
          <w:p>
            <w:pPr>
              <w:jc w:val="right"/>
              <w:spacing w:after="0"/>
              <w:rPr>
                <w:sz w:val="20"/>
                <w:szCs w:val="20"/>
                <w:color w:val="auto"/>
              </w:rPr>
            </w:pPr>
            <w:r>
              <w:rPr>
                <w:rFonts w:ascii="Times New Roman" w:cs="Times New Roman" w:eastAsia="Times New Roman" w:hAnsi="Times New Roman"/>
                <w:sz w:val="15"/>
                <w:szCs w:val="15"/>
                <w:color w:val="auto"/>
              </w:rPr>
              <w:t>(62,910)</w:t>
            </w:r>
          </w:p>
        </w:tc>
        <w:tc>
          <w:tcPr>
            <w:tcW w:w="360" w:type="dxa"/>
            <w:vAlign w:val="bottom"/>
          </w:tcPr>
          <w:p>
            <w:pPr>
              <w:spacing w:after="0"/>
              <w:rPr>
                <w:sz w:val="16"/>
                <w:szCs w:val="16"/>
                <w:color w:val="auto"/>
              </w:rPr>
            </w:pPr>
          </w:p>
        </w:tc>
        <w:tc>
          <w:tcPr>
            <w:tcW w:w="620" w:type="dxa"/>
            <w:vAlign w:val="bottom"/>
            <w:gridSpan w:val="2"/>
          </w:tcPr>
          <w:p>
            <w:pPr>
              <w:jc w:val="right"/>
              <w:spacing w:after="0"/>
              <w:rPr>
                <w:sz w:val="20"/>
                <w:szCs w:val="20"/>
                <w:color w:val="auto"/>
              </w:rPr>
            </w:pPr>
            <w:r>
              <w:rPr>
                <w:rFonts w:ascii="Times New Roman" w:cs="Times New Roman" w:eastAsia="Times New Roman" w:hAnsi="Times New Roman"/>
                <w:sz w:val="15"/>
                <w:szCs w:val="15"/>
                <w:color w:val="auto"/>
              </w:rPr>
              <w:t>(726)%</w:t>
            </w:r>
          </w:p>
        </w:tc>
        <w:tc>
          <w:tcPr>
            <w:tcW w:w="1320" w:type="dxa"/>
            <w:vAlign w:val="bottom"/>
          </w:tcPr>
          <w:p>
            <w:pPr>
              <w:jc w:val="right"/>
              <w:ind w:right="207"/>
              <w:spacing w:after="0"/>
              <w:rPr>
                <w:sz w:val="20"/>
                <w:szCs w:val="20"/>
                <w:color w:val="auto"/>
              </w:rPr>
            </w:pPr>
            <w:r>
              <w:rPr>
                <w:rFonts w:ascii="Times New Roman" w:cs="Times New Roman" w:eastAsia="Times New Roman" w:hAnsi="Times New Roman"/>
                <w:sz w:val="15"/>
                <w:szCs w:val="15"/>
                <w:b w:val="1"/>
                <w:bCs w:val="1"/>
                <w:color w:val="auto"/>
              </w:rPr>
              <w:t>(54,247)</w:t>
            </w:r>
          </w:p>
        </w:tc>
        <w:tc>
          <w:tcPr>
            <w:tcW w:w="8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1,422</w:t>
            </w:r>
          </w:p>
        </w:tc>
        <w:tc>
          <w:tcPr>
            <w:tcW w:w="880" w:type="dxa"/>
            <w:vAlign w:val="bottom"/>
            <w:shd w:val="clear" w:color="auto" w:fill="DBDBDB"/>
          </w:tcPr>
          <w:p>
            <w:pPr>
              <w:jc w:val="right"/>
              <w:spacing w:after="0"/>
              <w:rPr>
                <w:sz w:val="20"/>
                <w:szCs w:val="20"/>
                <w:color w:val="auto"/>
              </w:rPr>
            </w:pPr>
            <w:r>
              <w:rPr>
                <w:rFonts w:ascii="Times New Roman" w:cs="Times New Roman" w:eastAsia="Times New Roman" w:hAnsi="Times New Roman"/>
                <w:sz w:val="15"/>
                <w:szCs w:val="15"/>
                <w:color w:val="auto"/>
              </w:rPr>
              <w:t>(55,669)</w:t>
            </w:r>
          </w:p>
        </w:tc>
        <w:tc>
          <w:tcPr>
            <w:tcW w:w="360" w:type="dxa"/>
            <w:vAlign w:val="bottom"/>
          </w:tcPr>
          <w:p>
            <w:pPr>
              <w:spacing w:after="0"/>
              <w:rPr>
                <w:sz w:val="16"/>
                <w:szCs w:val="16"/>
                <w:color w:val="auto"/>
              </w:rPr>
            </w:pPr>
          </w:p>
        </w:tc>
        <w:tc>
          <w:tcPr>
            <w:tcW w:w="620" w:type="dxa"/>
            <w:vAlign w:val="bottom"/>
            <w:gridSpan w:val="2"/>
          </w:tcPr>
          <w:p>
            <w:pPr>
              <w:jc w:val="right"/>
              <w:spacing w:after="0"/>
              <w:rPr>
                <w:sz w:val="20"/>
                <w:szCs w:val="20"/>
                <w:color w:val="auto"/>
              </w:rPr>
            </w:pPr>
            <w:r>
              <w:rPr>
                <w:rFonts w:ascii="Times New Roman" w:cs="Times New Roman" w:eastAsia="Times New Roman" w:hAnsi="Times New Roman"/>
                <w:sz w:val="15"/>
                <w:szCs w:val="15"/>
                <w:color w:val="auto"/>
              </w:rPr>
              <w:t>(3915)%</w:t>
            </w:r>
          </w:p>
        </w:tc>
        <w:tc>
          <w:tcPr>
            <w:tcW w:w="0" w:type="dxa"/>
            <w:vAlign w:val="bottom"/>
          </w:tcPr>
          <w:p>
            <w:pPr>
              <w:spacing w:after="0"/>
              <w:rPr>
                <w:sz w:val="1"/>
                <w:szCs w:val="1"/>
                <w:color w:val="auto"/>
              </w:rPr>
            </w:pPr>
          </w:p>
        </w:tc>
      </w:tr>
      <w:tr>
        <w:trPr>
          <w:trHeight w:val="191"/>
        </w:trPr>
        <w:tc>
          <w:tcPr>
            <w:tcW w:w="330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Net foreign exchange difference</w:t>
            </w:r>
          </w:p>
        </w:tc>
        <w:tc>
          <w:tcPr>
            <w:tcW w:w="1300" w:type="dxa"/>
            <w:vAlign w:val="bottom"/>
          </w:tcPr>
          <w:p>
            <w:pPr>
              <w:jc w:val="right"/>
              <w:ind w:right="207"/>
              <w:spacing w:after="0"/>
              <w:rPr>
                <w:sz w:val="20"/>
                <w:szCs w:val="20"/>
                <w:color w:val="auto"/>
              </w:rPr>
            </w:pPr>
            <w:r>
              <w:rPr>
                <w:rFonts w:ascii="Times New Roman" w:cs="Times New Roman" w:eastAsia="Times New Roman" w:hAnsi="Times New Roman"/>
                <w:sz w:val="15"/>
                <w:szCs w:val="15"/>
                <w:b w:val="1"/>
                <w:bCs w:val="1"/>
                <w:color w:val="auto"/>
              </w:rPr>
              <w:t>(2,396)</w:t>
            </w:r>
          </w:p>
        </w:tc>
        <w:tc>
          <w:tcPr>
            <w:tcW w:w="7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106</w:t>
            </w:r>
          </w:p>
        </w:tc>
        <w:tc>
          <w:tcPr>
            <w:tcW w:w="880" w:type="dxa"/>
            <w:vAlign w:val="bottom"/>
            <w:shd w:val="clear" w:color="auto" w:fill="DBDBDB"/>
          </w:tcPr>
          <w:p>
            <w:pPr>
              <w:jc w:val="right"/>
              <w:spacing w:after="0"/>
              <w:rPr>
                <w:sz w:val="20"/>
                <w:szCs w:val="20"/>
                <w:color w:val="auto"/>
              </w:rPr>
            </w:pPr>
            <w:r>
              <w:rPr>
                <w:rFonts w:ascii="Times New Roman" w:cs="Times New Roman" w:eastAsia="Times New Roman" w:hAnsi="Times New Roman"/>
                <w:sz w:val="15"/>
                <w:szCs w:val="15"/>
                <w:color w:val="auto"/>
              </w:rPr>
              <w:t>(2,502)</w:t>
            </w:r>
          </w:p>
        </w:tc>
        <w:tc>
          <w:tcPr>
            <w:tcW w:w="360" w:type="dxa"/>
            <w:vAlign w:val="bottom"/>
          </w:tcPr>
          <w:p>
            <w:pPr>
              <w:spacing w:after="0"/>
              <w:rPr>
                <w:sz w:val="16"/>
                <w:szCs w:val="16"/>
                <w:color w:val="auto"/>
              </w:rPr>
            </w:pPr>
          </w:p>
        </w:tc>
        <w:tc>
          <w:tcPr>
            <w:tcW w:w="620" w:type="dxa"/>
            <w:vAlign w:val="bottom"/>
            <w:gridSpan w:val="2"/>
          </w:tcPr>
          <w:p>
            <w:pPr>
              <w:jc w:val="right"/>
              <w:spacing w:after="0"/>
              <w:rPr>
                <w:sz w:val="20"/>
                <w:szCs w:val="20"/>
                <w:color w:val="auto"/>
              </w:rPr>
            </w:pPr>
            <w:r>
              <w:rPr>
                <w:rFonts w:ascii="Times New Roman" w:cs="Times New Roman" w:eastAsia="Times New Roman" w:hAnsi="Times New Roman"/>
                <w:sz w:val="15"/>
                <w:szCs w:val="15"/>
                <w:color w:val="auto"/>
              </w:rPr>
              <w:t>(2360)%</w:t>
            </w:r>
          </w:p>
        </w:tc>
        <w:tc>
          <w:tcPr>
            <w:tcW w:w="1320" w:type="dxa"/>
            <w:vAlign w:val="bottom"/>
          </w:tcPr>
          <w:p>
            <w:pPr>
              <w:jc w:val="right"/>
              <w:ind w:right="207"/>
              <w:spacing w:after="0"/>
              <w:rPr>
                <w:sz w:val="20"/>
                <w:szCs w:val="20"/>
                <w:color w:val="auto"/>
              </w:rPr>
            </w:pPr>
            <w:r>
              <w:rPr>
                <w:rFonts w:ascii="Times New Roman" w:cs="Times New Roman" w:eastAsia="Times New Roman" w:hAnsi="Times New Roman"/>
                <w:sz w:val="15"/>
                <w:szCs w:val="15"/>
                <w:b w:val="1"/>
                <w:bCs w:val="1"/>
                <w:color w:val="auto"/>
              </w:rPr>
              <w:t>(427)</w:t>
            </w:r>
          </w:p>
        </w:tc>
        <w:tc>
          <w:tcPr>
            <w:tcW w:w="8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63</w:t>
            </w:r>
          </w:p>
        </w:tc>
        <w:tc>
          <w:tcPr>
            <w:tcW w:w="880" w:type="dxa"/>
            <w:vAlign w:val="bottom"/>
            <w:shd w:val="clear" w:color="auto" w:fill="DBDBDB"/>
          </w:tcPr>
          <w:p>
            <w:pPr>
              <w:jc w:val="right"/>
              <w:spacing w:after="0"/>
              <w:rPr>
                <w:sz w:val="20"/>
                <w:szCs w:val="20"/>
                <w:color w:val="auto"/>
              </w:rPr>
            </w:pPr>
            <w:r>
              <w:rPr>
                <w:rFonts w:ascii="Times New Roman" w:cs="Times New Roman" w:eastAsia="Times New Roman" w:hAnsi="Times New Roman"/>
                <w:sz w:val="15"/>
                <w:szCs w:val="15"/>
                <w:color w:val="auto"/>
              </w:rPr>
              <w:t>(490)</w:t>
            </w:r>
          </w:p>
        </w:tc>
        <w:tc>
          <w:tcPr>
            <w:tcW w:w="360" w:type="dxa"/>
            <w:vAlign w:val="bottom"/>
          </w:tcPr>
          <w:p>
            <w:pPr>
              <w:spacing w:after="0"/>
              <w:rPr>
                <w:sz w:val="16"/>
                <w:szCs w:val="16"/>
                <w:color w:val="auto"/>
              </w:rPr>
            </w:pPr>
          </w:p>
        </w:tc>
        <w:tc>
          <w:tcPr>
            <w:tcW w:w="620" w:type="dxa"/>
            <w:vAlign w:val="bottom"/>
            <w:gridSpan w:val="2"/>
          </w:tcPr>
          <w:p>
            <w:pPr>
              <w:jc w:val="right"/>
              <w:spacing w:after="0"/>
              <w:rPr>
                <w:sz w:val="20"/>
                <w:szCs w:val="20"/>
                <w:color w:val="auto"/>
              </w:rPr>
            </w:pPr>
            <w:r>
              <w:rPr>
                <w:rFonts w:ascii="Times New Roman" w:cs="Times New Roman" w:eastAsia="Times New Roman" w:hAnsi="Times New Roman"/>
                <w:sz w:val="15"/>
                <w:szCs w:val="15"/>
                <w:color w:val="auto"/>
              </w:rPr>
              <w:t>(778)%</w:t>
            </w:r>
          </w:p>
        </w:tc>
        <w:tc>
          <w:tcPr>
            <w:tcW w:w="0" w:type="dxa"/>
            <w:vAlign w:val="bottom"/>
          </w:tcPr>
          <w:p>
            <w:pPr>
              <w:spacing w:after="0"/>
              <w:rPr>
                <w:sz w:val="1"/>
                <w:szCs w:val="1"/>
                <w:color w:val="auto"/>
              </w:rPr>
            </w:pPr>
          </w:p>
        </w:tc>
      </w:tr>
      <w:tr>
        <w:trPr>
          <w:trHeight w:val="196"/>
        </w:trPr>
        <w:tc>
          <w:tcPr>
            <w:tcW w:w="3300" w:type="dxa"/>
            <w:vAlign w:val="bottom"/>
            <w:tcBorders>
              <w:bottom w:val="single" w:sz="8" w:color="929292"/>
            </w:tcBorders>
          </w:tcPr>
          <w:p>
            <w:pPr>
              <w:ind w:left="20"/>
              <w:spacing w:after="0"/>
              <w:rPr>
                <w:sz w:val="20"/>
                <w:szCs w:val="20"/>
                <w:color w:val="auto"/>
              </w:rPr>
            </w:pPr>
            <w:r>
              <w:rPr>
                <w:rFonts w:ascii="Times New Roman" w:cs="Times New Roman" w:eastAsia="Times New Roman" w:hAnsi="Times New Roman"/>
                <w:sz w:val="15"/>
                <w:szCs w:val="15"/>
                <w:color w:val="auto"/>
              </w:rPr>
              <w:t>Cash and cash equivalents, beginning of period</w:t>
            </w:r>
          </w:p>
        </w:tc>
        <w:tc>
          <w:tcPr>
            <w:tcW w:w="1300" w:type="dxa"/>
            <w:vAlign w:val="bottom"/>
            <w:tcBorders>
              <w:bottom w:val="single" w:sz="8" w:color="929292"/>
            </w:tcBorders>
          </w:tcPr>
          <w:p>
            <w:pPr>
              <w:jc w:val="right"/>
              <w:ind w:right="247"/>
              <w:spacing w:after="0"/>
              <w:rPr>
                <w:sz w:val="20"/>
                <w:szCs w:val="20"/>
                <w:color w:val="auto"/>
              </w:rPr>
            </w:pPr>
            <w:r>
              <w:rPr>
                <w:rFonts w:ascii="Times New Roman" w:cs="Times New Roman" w:eastAsia="Times New Roman" w:hAnsi="Times New Roman"/>
                <w:sz w:val="15"/>
                <w:szCs w:val="15"/>
                <w:b w:val="1"/>
                <w:bCs w:val="1"/>
                <w:color w:val="auto"/>
              </w:rPr>
              <w:t>183,275</w:t>
            </w:r>
          </w:p>
        </w:tc>
        <w:tc>
          <w:tcPr>
            <w:tcW w:w="780" w:type="dxa"/>
            <w:vAlign w:val="bottom"/>
            <w:tcBorders>
              <w:bottom w:val="single" w:sz="8" w:color="929292"/>
            </w:tcBorders>
          </w:tcPr>
          <w:p>
            <w:pPr>
              <w:jc w:val="right"/>
              <w:spacing w:after="0"/>
              <w:rPr>
                <w:sz w:val="20"/>
                <w:szCs w:val="20"/>
                <w:color w:val="auto"/>
              </w:rPr>
            </w:pPr>
            <w:r>
              <w:rPr>
                <w:rFonts w:ascii="Times New Roman" w:cs="Times New Roman" w:eastAsia="Times New Roman" w:hAnsi="Times New Roman"/>
                <w:sz w:val="15"/>
                <w:szCs w:val="15"/>
                <w:color w:val="auto"/>
              </w:rPr>
              <w:t>9,349</w:t>
            </w:r>
          </w:p>
        </w:tc>
        <w:tc>
          <w:tcPr>
            <w:tcW w:w="880" w:type="dxa"/>
            <w:vAlign w:val="bottom"/>
            <w:tcBorders>
              <w:bottom w:val="single" w:sz="8" w:color="929292"/>
            </w:tcBorders>
            <w:shd w:val="clear" w:color="auto" w:fill="DBDBDB"/>
          </w:tcPr>
          <w:p>
            <w:pPr>
              <w:jc w:val="right"/>
              <w:spacing w:after="0"/>
              <w:rPr>
                <w:sz w:val="20"/>
                <w:szCs w:val="20"/>
                <w:color w:val="auto"/>
              </w:rPr>
            </w:pPr>
            <w:r>
              <w:rPr>
                <w:rFonts w:ascii="Times New Roman" w:cs="Times New Roman" w:eastAsia="Times New Roman" w:hAnsi="Times New Roman"/>
                <w:sz w:val="15"/>
                <w:szCs w:val="15"/>
                <w:color w:val="auto"/>
              </w:rPr>
              <w:t>173,926</w:t>
            </w:r>
          </w:p>
        </w:tc>
        <w:tc>
          <w:tcPr>
            <w:tcW w:w="360" w:type="dxa"/>
            <w:vAlign w:val="bottom"/>
            <w:tcBorders>
              <w:bottom w:val="single" w:sz="8" w:color="929292"/>
            </w:tcBorders>
          </w:tcPr>
          <w:p>
            <w:pPr>
              <w:spacing w:after="0"/>
              <w:rPr>
                <w:sz w:val="17"/>
                <w:szCs w:val="17"/>
                <w:color w:val="auto"/>
              </w:rPr>
            </w:pPr>
          </w:p>
        </w:tc>
        <w:tc>
          <w:tcPr>
            <w:tcW w:w="620" w:type="dxa"/>
            <w:vAlign w:val="bottom"/>
            <w:tcBorders>
              <w:bottom w:val="single" w:sz="8" w:color="929292"/>
            </w:tcBorders>
            <w:gridSpan w:val="2"/>
          </w:tcPr>
          <w:p>
            <w:pPr>
              <w:jc w:val="right"/>
              <w:spacing w:after="0"/>
              <w:rPr>
                <w:sz w:val="20"/>
                <w:szCs w:val="20"/>
                <w:color w:val="auto"/>
              </w:rPr>
            </w:pPr>
            <w:r>
              <w:rPr>
                <w:rFonts w:ascii="Times New Roman" w:cs="Times New Roman" w:eastAsia="Times New Roman" w:hAnsi="Times New Roman"/>
                <w:sz w:val="15"/>
                <w:szCs w:val="15"/>
                <w:color w:val="auto"/>
              </w:rPr>
              <w:t>1860 %</w:t>
            </w:r>
          </w:p>
        </w:tc>
        <w:tc>
          <w:tcPr>
            <w:tcW w:w="1320" w:type="dxa"/>
            <w:vAlign w:val="bottom"/>
            <w:tcBorders>
              <w:bottom w:val="single" w:sz="8" w:color="929292"/>
            </w:tcBorders>
          </w:tcPr>
          <w:p>
            <w:pPr>
              <w:jc w:val="right"/>
              <w:ind w:right="247"/>
              <w:spacing w:after="0"/>
              <w:rPr>
                <w:sz w:val="20"/>
                <w:szCs w:val="20"/>
                <w:color w:val="auto"/>
              </w:rPr>
            </w:pPr>
            <w:r>
              <w:rPr>
                <w:rFonts w:ascii="Times New Roman" w:cs="Times New Roman" w:eastAsia="Times New Roman" w:hAnsi="Times New Roman"/>
                <w:sz w:val="15"/>
                <w:szCs w:val="15"/>
                <w:b w:val="1"/>
                <w:bCs w:val="1"/>
                <w:color w:val="auto"/>
              </w:rPr>
              <w:t>208,992</w:t>
            </w:r>
          </w:p>
        </w:tc>
        <w:tc>
          <w:tcPr>
            <w:tcW w:w="800" w:type="dxa"/>
            <w:vAlign w:val="bottom"/>
            <w:tcBorders>
              <w:bottom w:val="single" w:sz="8" w:color="929292"/>
            </w:tcBorders>
          </w:tcPr>
          <w:p>
            <w:pPr>
              <w:jc w:val="right"/>
              <w:spacing w:after="0"/>
              <w:rPr>
                <w:sz w:val="20"/>
                <w:szCs w:val="20"/>
                <w:color w:val="auto"/>
              </w:rPr>
            </w:pPr>
            <w:r>
              <w:rPr>
                <w:rFonts w:ascii="Times New Roman" w:cs="Times New Roman" w:eastAsia="Times New Roman" w:hAnsi="Times New Roman"/>
                <w:sz w:val="15"/>
                <w:szCs w:val="15"/>
                <w:color w:val="auto"/>
              </w:rPr>
              <w:t>16,633</w:t>
            </w:r>
          </w:p>
        </w:tc>
        <w:tc>
          <w:tcPr>
            <w:tcW w:w="880" w:type="dxa"/>
            <w:vAlign w:val="bottom"/>
            <w:tcBorders>
              <w:bottom w:val="single" w:sz="8" w:color="929292"/>
            </w:tcBorders>
            <w:shd w:val="clear" w:color="auto" w:fill="DBDBDB"/>
          </w:tcPr>
          <w:p>
            <w:pPr>
              <w:jc w:val="right"/>
              <w:spacing w:after="0"/>
              <w:rPr>
                <w:sz w:val="20"/>
                <w:szCs w:val="20"/>
                <w:color w:val="auto"/>
              </w:rPr>
            </w:pPr>
            <w:r>
              <w:rPr>
                <w:rFonts w:ascii="Times New Roman" w:cs="Times New Roman" w:eastAsia="Times New Roman" w:hAnsi="Times New Roman"/>
                <w:sz w:val="15"/>
                <w:szCs w:val="15"/>
                <w:color w:val="auto"/>
              </w:rPr>
              <w:t>192,359</w:t>
            </w:r>
          </w:p>
        </w:tc>
        <w:tc>
          <w:tcPr>
            <w:tcW w:w="360" w:type="dxa"/>
            <w:vAlign w:val="bottom"/>
            <w:tcBorders>
              <w:bottom w:val="single" w:sz="8" w:color="929292"/>
            </w:tcBorders>
          </w:tcPr>
          <w:p>
            <w:pPr>
              <w:spacing w:after="0"/>
              <w:rPr>
                <w:sz w:val="17"/>
                <w:szCs w:val="17"/>
                <w:color w:val="auto"/>
              </w:rPr>
            </w:pPr>
          </w:p>
        </w:tc>
        <w:tc>
          <w:tcPr>
            <w:tcW w:w="620" w:type="dxa"/>
            <w:vAlign w:val="bottom"/>
            <w:tcBorders>
              <w:bottom w:val="single" w:sz="8" w:color="929292"/>
            </w:tcBorders>
            <w:gridSpan w:val="2"/>
          </w:tcPr>
          <w:p>
            <w:pPr>
              <w:jc w:val="right"/>
              <w:spacing w:after="0"/>
              <w:rPr>
                <w:sz w:val="20"/>
                <w:szCs w:val="20"/>
                <w:color w:val="auto"/>
              </w:rPr>
            </w:pPr>
            <w:r>
              <w:rPr>
                <w:rFonts w:ascii="Times New Roman" w:cs="Times New Roman" w:eastAsia="Times New Roman" w:hAnsi="Times New Roman"/>
                <w:sz w:val="15"/>
                <w:szCs w:val="15"/>
                <w:color w:val="auto"/>
              </w:rPr>
              <w:t>1156 %</w:t>
            </w:r>
          </w:p>
        </w:tc>
        <w:tc>
          <w:tcPr>
            <w:tcW w:w="0" w:type="dxa"/>
            <w:vAlign w:val="bottom"/>
          </w:tcPr>
          <w:p>
            <w:pPr>
              <w:spacing w:after="0"/>
              <w:rPr>
                <w:sz w:val="1"/>
                <w:szCs w:val="1"/>
                <w:color w:val="auto"/>
              </w:rPr>
            </w:pPr>
          </w:p>
        </w:tc>
      </w:tr>
      <w:tr>
        <w:trPr>
          <w:trHeight w:val="187"/>
        </w:trPr>
        <w:tc>
          <w:tcPr>
            <w:tcW w:w="33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5"/>
                <w:szCs w:val="15"/>
                <w:color w:val="auto"/>
              </w:rPr>
              <w:t>Cash and cash equivalents, end of period</w:t>
            </w:r>
          </w:p>
        </w:tc>
        <w:tc>
          <w:tcPr>
            <w:tcW w:w="1300" w:type="dxa"/>
            <w:vAlign w:val="bottom"/>
            <w:tcBorders>
              <w:bottom w:val="single" w:sz="8" w:color="auto"/>
            </w:tcBorders>
          </w:tcPr>
          <w:p>
            <w:pPr>
              <w:jc w:val="right"/>
              <w:ind w:right="247"/>
              <w:spacing w:after="0"/>
              <w:rPr>
                <w:sz w:val="20"/>
                <w:szCs w:val="20"/>
                <w:color w:val="auto"/>
              </w:rPr>
            </w:pPr>
            <w:r>
              <w:rPr>
                <w:rFonts w:ascii="Times New Roman" w:cs="Times New Roman" w:eastAsia="Times New Roman" w:hAnsi="Times New Roman"/>
                <w:sz w:val="15"/>
                <w:szCs w:val="15"/>
                <w:b w:val="1"/>
                <w:bCs w:val="1"/>
                <w:color w:val="auto"/>
              </w:rPr>
              <w:t>154,318</w:t>
            </w: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18,118</w:t>
            </w:r>
          </w:p>
        </w:tc>
        <w:tc>
          <w:tcPr>
            <w:tcW w:w="880" w:type="dxa"/>
            <w:vAlign w:val="bottom"/>
            <w:tcBorders>
              <w:bottom w:val="single" w:sz="8" w:color="auto"/>
            </w:tcBorders>
            <w:shd w:val="clear" w:color="auto" w:fill="DBDBDB"/>
          </w:tcPr>
          <w:p>
            <w:pPr>
              <w:jc w:val="right"/>
              <w:spacing w:after="0"/>
              <w:rPr>
                <w:sz w:val="20"/>
                <w:szCs w:val="20"/>
                <w:color w:val="auto"/>
              </w:rPr>
            </w:pPr>
            <w:r>
              <w:rPr>
                <w:rFonts w:ascii="Times New Roman" w:cs="Times New Roman" w:eastAsia="Times New Roman" w:hAnsi="Times New Roman"/>
                <w:sz w:val="15"/>
                <w:szCs w:val="15"/>
                <w:color w:val="auto"/>
              </w:rPr>
              <w:t>136,200</w:t>
            </w:r>
          </w:p>
        </w:tc>
        <w:tc>
          <w:tcPr>
            <w:tcW w:w="360" w:type="dxa"/>
            <w:vAlign w:val="bottom"/>
            <w:tcBorders>
              <w:bottom w:val="single" w:sz="8" w:color="auto"/>
            </w:tcBorders>
          </w:tcPr>
          <w:p>
            <w:pPr>
              <w:spacing w:after="0"/>
              <w:rPr>
                <w:sz w:val="16"/>
                <w:szCs w:val="16"/>
                <w:color w:val="auto"/>
              </w:rPr>
            </w:pPr>
          </w:p>
        </w:tc>
        <w:tc>
          <w:tcPr>
            <w:tcW w:w="62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5"/>
                <w:szCs w:val="15"/>
                <w:color w:val="auto"/>
              </w:rPr>
              <w:t>752 %</w:t>
            </w:r>
          </w:p>
        </w:tc>
        <w:tc>
          <w:tcPr>
            <w:tcW w:w="1320" w:type="dxa"/>
            <w:vAlign w:val="bottom"/>
            <w:tcBorders>
              <w:bottom w:val="single" w:sz="8" w:color="auto"/>
            </w:tcBorders>
          </w:tcPr>
          <w:p>
            <w:pPr>
              <w:jc w:val="right"/>
              <w:ind w:right="247"/>
              <w:spacing w:after="0"/>
              <w:rPr>
                <w:sz w:val="20"/>
                <w:szCs w:val="20"/>
                <w:color w:val="auto"/>
              </w:rPr>
            </w:pPr>
            <w:r>
              <w:rPr>
                <w:rFonts w:ascii="Times New Roman" w:cs="Times New Roman" w:eastAsia="Times New Roman" w:hAnsi="Times New Roman"/>
                <w:sz w:val="15"/>
                <w:szCs w:val="15"/>
                <w:b w:val="1"/>
                <w:bCs w:val="1"/>
                <w:color w:val="auto"/>
              </w:rPr>
              <w:t>154,318</w:t>
            </w: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18,118</w:t>
            </w:r>
          </w:p>
        </w:tc>
        <w:tc>
          <w:tcPr>
            <w:tcW w:w="880" w:type="dxa"/>
            <w:vAlign w:val="bottom"/>
            <w:tcBorders>
              <w:bottom w:val="single" w:sz="8" w:color="auto"/>
            </w:tcBorders>
            <w:shd w:val="clear" w:color="auto" w:fill="DBDBDB"/>
          </w:tcPr>
          <w:p>
            <w:pPr>
              <w:jc w:val="right"/>
              <w:spacing w:after="0"/>
              <w:rPr>
                <w:sz w:val="20"/>
                <w:szCs w:val="20"/>
                <w:color w:val="auto"/>
              </w:rPr>
            </w:pPr>
            <w:r>
              <w:rPr>
                <w:rFonts w:ascii="Times New Roman" w:cs="Times New Roman" w:eastAsia="Times New Roman" w:hAnsi="Times New Roman"/>
                <w:sz w:val="15"/>
                <w:szCs w:val="15"/>
                <w:color w:val="auto"/>
              </w:rPr>
              <w:t>136,200</w:t>
            </w:r>
          </w:p>
        </w:tc>
        <w:tc>
          <w:tcPr>
            <w:tcW w:w="360" w:type="dxa"/>
            <w:vAlign w:val="bottom"/>
            <w:tcBorders>
              <w:bottom w:val="single" w:sz="8" w:color="auto"/>
            </w:tcBorders>
          </w:tcPr>
          <w:p>
            <w:pPr>
              <w:spacing w:after="0"/>
              <w:rPr>
                <w:sz w:val="16"/>
                <w:szCs w:val="16"/>
                <w:color w:val="auto"/>
              </w:rPr>
            </w:pPr>
          </w:p>
        </w:tc>
        <w:tc>
          <w:tcPr>
            <w:tcW w:w="62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5"/>
                <w:szCs w:val="15"/>
                <w:color w:val="auto"/>
              </w:rPr>
              <w:t>752 %</w:t>
            </w:r>
          </w:p>
        </w:tc>
        <w:tc>
          <w:tcPr>
            <w:tcW w:w="0" w:type="dxa"/>
            <w:vAlign w:val="bottom"/>
          </w:tcPr>
          <w:p>
            <w:pPr>
              <w:spacing w:after="0"/>
              <w:rPr>
                <w:sz w:val="1"/>
                <w:szCs w:val="1"/>
                <w:color w:val="auto"/>
              </w:rPr>
            </w:pPr>
          </w:p>
        </w:tc>
      </w:tr>
      <w:tr>
        <w:trPr>
          <w:trHeight w:val="525"/>
        </w:trPr>
        <w:tc>
          <w:tcPr>
            <w:tcW w:w="3300" w:type="dxa"/>
            <w:vAlign w:val="bottom"/>
          </w:tcPr>
          <w:p>
            <w:pPr>
              <w:spacing w:after="0"/>
              <w:rPr>
                <w:sz w:val="24"/>
                <w:szCs w:val="24"/>
                <w:color w:val="auto"/>
              </w:rPr>
            </w:pPr>
          </w:p>
        </w:tc>
        <w:tc>
          <w:tcPr>
            <w:tcW w:w="3320" w:type="dxa"/>
            <w:vAlign w:val="bottom"/>
            <w:gridSpan w:val="4"/>
          </w:tcPr>
          <w:p>
            <w:pPr>
              <w:ind w:left="100"/>
              <w:spacing w:after="0"/>
              <w:rPr>
                <w:sz w:val="20"/>
                <w:szCs w:val="20"/>
                <w:color w:val="auto"/>
              </w:rPr>
            </w:pPr>
            <w:r>
              <w:rPr>
                <w:rFonts w:ascii="Times New Roman" w:cs="Times New Roman" w:eastAsia="Times New Roman" w:hAnsi="Times New Roman"/>
                <w:sz w:val="16"/>
                <w:szCs w:val="16"/>
                <w:b w:val="1"/>
                <w:bCs w:val="1"/>
                <w:color w:val="auto"/>
              </w:rPr>
              <w:t>Three Months ended September 30</w:t>
            </w:r>
          </w:p>
        </w:tc>
        <w:tc>
          <w:tcPr>
            <w:tcW w:w="4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360" w:type="dxa"/>
            <w:vAlign w:val="bottom"/>
            <w:gridSpan w:val="4"/>
          </w:tcPr>
          <w:p>
            <w:pPr>
              <w:ind w:left="680"/>
              <w:spacing w:after="0"/>
              <w:rPr>
                <w:sz w:val="20"/>
                <w:szCs w:val="20"/>
                <w:color w:val="auto"/>
              </w:rPr>
            </w:pPr>
            <w:r>
              <w:rPr>
                <w:rFonts w:ascii="Times New Roman" w:cs="Times New Roman" w:eastAsia="Times New Roman" w:hAnsi="Times New Roman"/>
                <w:sz w:val="16"/>
                <w:szCs w:val="16"/>
                <w:b w:val="1"/>
                <w:bCs w:val="1"/>
                <w:color w:val="auto"/>
              </w:rPr>
              <w:t>Six Months ended September 30</w:t>
            </w:r>
          </w:p>
        </w:tc>
        <w:tc>
          <w:tcPr>
            <w:tcW w:w="4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3974465</wp:posOffset>
            </wp:positionH>
            <wp:positionV relativeFrom="paragraph">
              <wp:posOffset>-974090</wp:posOffset>
            </wp:positionV>
            <wp:extent cx="629285" cy="62928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629285" cy="629285"/>
                    </a:xfrm>
                    <a:prstGeom prst="rect">
                      <a:avLst/>
                    </a:prstGeom>
                    <a:noFill/>
                  </pic:spPr>
                </pic:pic>
              </a:graphicData>
            </a:graphic>
          </wp:anchor>
        </w:drawing>
        <w:drawing>
          <wp:anchor simplePos="0" relativeHeight="251657728" behindDoc="1" locked="0" layoutInCell="0" allowOverlap="1">
            <wp:simplePos x="0" y="0"/>
            <wp:positionH relativeFrom="column">
              <wp:posOffset>6499860</wp:posOffset>
            </wp:positionH>
            <wp:positionV relativeFrom="paragraph">
              <wp:posOffset>-974090</wp:posOffset>
            </wp:positionV>
            <wp:extent cx="629285" cy="62928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629285" cy="629285"/>
                    </a:xfrm>
                    <a:prstGeom prst="rect">
                      <a:avLst/>
                    </a:prstGeom>
                    <a:noFill/>
                  </pic:spPr>
                </pic:pic>
              </a:graphicData>
            </a:graphic>
          </wp:anchor>
        </w:drawing>
        <w:drawing>
          <wp:anchor simplePos="0" relativeHeight="251657728" behindDoc="1" locked="0" layoutInCell="0" allowOverlap="1">
            <wp:simplePos x="0" y="0"/>
            <wp:positionH relativeFrom="column">
              <wp:posOffset>-1270</wp:posOffset>
            </wp:positionH>
            <wp:positionV relativeFrom="paragraph">
              <wp:posOffset>0</wp:posOffset>
            </wp:positionV>
            <wp:extent cx="7131050" cy="178117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31050" cy="1781175"/>
                    </a:xfrm>
                    <a:prstGeom prst="rect">
                      <a:avLst/>
                    </a:prstGeom>
                    <a:noFill/>
                  </pic:spPr>
                </pic:pic>
              </a:graphicData>
            </a:graphic>
          </wp:anchor>
        </w:drawing>
      </w:r>
    </w:p>
    <w:p>
      <w:pPr>
        <w:sectPr>
          <w:pgSz w:w="11900" w:h="16838" w:orient="portrait"/>
          <w:cols w:equalWidth="0" w:num="1">
            <w:col w:w="11260"/>
          </w:cols>
          <w:pgMar w:left="320" w:top="1440" w:right="319" w:bottom="1440" w:gutter="0" w:footer="0" w:header="0"/>
        </w:sectPr>
      </w:pPr>
    </w:p>
    <w:p>
      <w:pPr>
        <w:spacing w:after="0" w:line="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6"/>
          <w:szCs w:val="16"/>
          <w:b w:val="1"/>
          <w:bCs w:val="1"/>
          <w:color w:val="auto"/>
        </w:rPr>
        <w:t>Net cash used in operating activities</w:t>
      </w:r>
    </w:p>
    <w:p>
      <w:pPr>
        <w:spacing w:after="0" w:line="20" w:lineRule="exact"/>
        <w:rPr>
          <w:sz w:val="20"/>
          <w:szCs w:val="20"/>
          <w:color w:val="auto"/>
        </w:rPr>
      </w:pPr>
      <w:r>
        <w:rPr>
          <w:sz w:val="20"/>
          <w:szCs w:val="20"/>
          <w:color w:val="auto"/>
        </w:rPr>
        <w:br w:type="column"/>
      </w:r>
    </w:p>
    <w:p>
      <w:pPr>
        <w:ind w:right="60"/>
        <w:spacing w:after="0" w:line="224" w:lineRule="auto"/>
        <w:rPr>
          <w:sz w:val="20"/>
          <w:szCs w:val="20"/>
          <w:color w:val="auto"/>
        </w:rPr>
      </w:pPr>
      <w:r>
        <w:rPr>
          <w:rFonts w:ascii="Times New Roman" w:cs="Times New Roman" w:eastAsia="Times New Roman" w:hAnsi="Times New Roman"/>
          <w:sz w:val="16"/>
          <w:szCs w:val="16"/>
          <w:color w:val="auto"/>
        </w:rPr>
        <w:t>Primarily relates to cash used for operating expenses including research and development expenses, salaries, and other general and administration expenses. Cash flows from operating activities exclude expenses not affecting cash, such as share based compensation</w:t>
      </w:r>
    </w:p>
    <w:p>
      <w:pPr>
        <w:spacing w:after="0" w:line="1" w:lineRule="exact"/>
        <w:rPr>
          <w:sz w:val="20"/>
          <w:szCs w:val="20"/>
          <w:color w:val="auto"/>
        </w:rPr>
      </w:pPr>
    </w:p>
    <w:p>
      <w:pPr>
        <w:ind w:right="60"/>
        <w:spacing w:after="0" w:line="227" w:lineRule="auto"/>
        <w:rPr>
          <w:sz w:val="20"/>
          <w:szCs w:val="20"/>
          <w:color w:val="auto"/>
        </w:rPr>
      </w:pPr>
      <w:r>
        <w:rPr>
          <w:rFonts w:ascii="Times New Roman" w:cs="Times New Roman" w:eastAsia="Times New Roman" w:hAnsi="Times New Roman"/>
          <w:sz w:val="16"/>
          <w:szCs w:val="16"/>
          <w:color w:val="auto"/>
        </w:rPr>
        <w:t>expense, depreciation and amortization, lease interest, unrealized foreign exchange gains or losses, and net changes in non-cash balances relating to operations.</w:t>
      </w:r>
    </w:p>
    <w:p>
      <w:pPr>
        <w:spacing w:after="0" w:line="1" w:lineRule="exact"/>
        <w:rPr>
          <w:sz w:val="20"/>
          <w:szCs w:val="20"/>
          <w:color w:val="auto"/>
        </w:rPr>
      </w:pPr>
    </w:p>
    <w:p>
      <w:pPr>
        <w:ind w:right="140"/>
        <w:spacing w:after="0" w:line="221" w:lineRule="auto"/>
        <w:rPr>
          <w:sz w:val="20"/>
          <w:szCs w:val="20"/>
          <w:color w:val="auto"/>
        </w:rPr>
      </w:pPr>
      <w:r>
        <w:rPr>
          <w:rFonts w:ascii="Times New Roman" w:cs="Times New Roman" w:eastAsia="Times New Roman" w:hAnsi="Times New Roman"/>
          <w:sz w:val="16"/>
          <w:szCs w:val="16"/>
          <w:color w:val="auto"/>
        </w:rPr>
        <w:t>For the three-month period ended September 30, 2024, cash used in For the six-month period ended September 30, 2024, cash used in operating activities was $25,849 driven by a net loss for the period operating activities was $53,063 driven by a net loss for the period</w:t>
      </w:r>
    </w:p>
    <w:p>
      <w:pPr>
        <w:spacing w:after="0" w:line="206" w:lineRule="auto"/>
        <w:tabs>
          <w:tab w:leader="none" w:pos="4400" w:val="left"/>
        </w:tabs>
        <w:rPr>
          <w:sz w:val="20"/>
          <w:szCs w:val="20"/>
          <w:color w:val="auto"/>
        </w:rPr>
      </w:pPr>
      <w:r>
        <w:rPr>
          <w:rFonts w:ascii="Times New Roman" w:cs="Times New Roman" w:eastAsia="Times New Roman" w:hAnsi="Times New Roman"/>
          <w:sz w:val="16"/>
          <w:szCs w:val="16"/>
          <w:color w:val="auto"/>
        </w:rPr>
        <w:t>of $57,192, an increase in working capital of $4,280, partially</w:t>
      </w:r>
      <w:r>
        <w:rPr>
          <w:sz w:val="20"/>
          <w:szCs w:val="20"/>
          <w:color w:val="auto"/>
        </w:rPr>
        <w:tab/>
      </w:r>
      <w:r>
        <w:rPr>
          <w:rFonts w:ascii="Times New Roman" w:cs="Times New Roman" w:eastAsia="Times New Roman" w:hAnsi="Times New Roman"/>
          <w:sz w:val="16"/>
          <w:szCs w:val="16"/>
          <w:color w:val="auto"/>
        </w:rPr>
        <w:t>of $72,016, an increase in working capital of $17,432 and non-cash</w:t>
      </w:r>
    </w:p>
    <w:p>
      <w:pPr>
        <w:spacing w:after="0" w:line="205" w:lineRule="auto"/>
        <w:tabs>
          <w:tab w:leader="none" w:pos="4400" w:val="left"/>
        </w:tabs>
        <w:rPr>
          <w:sz w:val="20"/>
          <w:szCs w:val="20"/>
          <w:color w:val="auto"/>
        </w:rPr>
      </w:pPr>
      <w:r>
        <w:rPr>
          <w:rFonts w:ascii="Times New Roman" w:cs="Times New Roman" w:eastAsia="Times New Roman" w:hAnsi="Times New Roman"/>
          <w:sz w:val="16"/>
          <w:szCs w:val="16"/>
          <w:color w:val="auto"/>
        </w:rPr>
        <w:t>offset by the following non-cash items: share-based compensation</w:t>
        <w:tab/>
        <w:t>unrealized foreign exchange gain of $1,336 partially offset by the</w:t>
      </w:r>
    </w:p>
    <w:p>
      <w:pPr>
        <w:spacing w:after="0" w:line="221" w:lineRule="auto"/>
        <w:tabs>
          <w:tab w:leader="none" w:pos="4400" w:val="left"/>
        </w:tabs>
        <w:rPr>
          <w:sz w:val="20"/>
          <w:szCs w:val="20"/>
          <w:color w:val="auto"/>
        </w:rPr>
      </w:pPr>
      <w:r>
        <w:rPr>
          <w:rFonts w:ascii="Times New Roman" w:cs="Times New Roman" w:eastAsia="Times New Roman" w:hAnsi="Times New Roman"/>
          <w:sz w:val="16"/>
          <w:szCs w:val="16"/>
          <w:color w:val="auto"/>
        </w:rPr>
        <w:t>of $33,461, unrealized foreign exchange loss of $2,016,</w:t>
      </w:r>
      <w:r>
        <w:rPr>
          <w:sz w:val="20"/>
          <w:szCs w:val="20"/>
          <w:color w:val="auto"/>
        </w:rPr>
        <w:tab/>
      </w:r>
      <w:r>
        <w:rPr>
          <w:rFonts w:ascii="Times New Roman" w:cs="Times New Roman" w:eastAsia="Times New Roman" w:hAnsi="Times New Roman"/>
          <w:sz w:val="16"/>
          <w:szCs w:val="16"/>
          <w:color w:val="auto"/>
        </w:rPr>
        <w:t>following non-cash items: share-based compensation of $37,434,</w:t>
      </w:r>
    </w:p>
    <w:p>
      <w:pPr>
        <w:spacing w:after="0" w:line="1" w:lineRule="exact"/>
        <w:rPr>
          <w:sz w:val="20"/>
          <w:szCs w:val="20"/>
          <w:color w:val="auto"/>
        </w:rPr>
      </w:pPr>
    </w:p>
    <w:p>
      <w:pPr>
        <w:spacing w:after="0"/>
        <w:tabs>
          <w:tab w:leader="none" w:pos="4400" w:val="left"/>
        </w:tabs>
        <w:rPr>
          <w:sz w:val="20"/>
          <w:szCs w:val="20"/>
          <w:color w:val="auto"/>
        </w:rPr>
      </w:pPr>
      <w:r>
        <w:rPr>
          <w:rFonts w:ascii="Times New Roman" w:cs="Times New Roman" w:eastAsia="Times New Roman" w:hAnsi="Times New Roman"/>
          <w:sz w:val="16"/>
          <w:szCs w:val="16"/>
          <w:color w:val="auto"/>
        </w:rPr>
        <w:t>depreciation and amortization of $143 and lease interest of $3.</w:t>
      </w:r>
      <w:r>
        <w:rPr>
          <w:sz w:val="20"/>
          <w:szCs w:val="20"/>
          <w:color w:val="auto"/>
        </w:rPr>
        <w:tab/>
      </w:r>
      <w:r>
        <w:rPr>
          <w:rFonts w:ascii="Times New Roman" w:cs="Times New Roman" w:eastAsia="Times New Roman" w:hAnsi="Times New Roman"/>
          <w:sz w:val="16"/>
          <w:szCs w:val="16"/>
          <w:color w:val="auto"/>
        </w:rPr>
        <w:t>depreciation and amortization of $281, and lease interest of $6.</w:t>
      </w:r>
    </w:p>
    <w:p>
      <w:pPr>
        <w:spacing w:after="0" w:line="14" w:lineRule="exact"/>
        <w:rPr>
          <w:sz w:val="20"/>
          <w:szCs w:val="20"/>
          <w:color w:val="auto"/>
        </w:rPr>
      </w:pPr>
    </w:p>
    <w:p>
      <w:pPr>
        <w:sectPr>
          <w:pgSz w:w="11900" w:h="16838" w:orient="portrait"/>
          <w:cols w:equalWidth="0" w:num="2">
            <w:col w:w="1840" w:space="580"/>
            <w:col w:w="8840"/>
          </w:cols>
          <w:pgMar w:left="320" w:top="1440" w:right="319" w:bottom="1440" w:gutter="0" w:footer="0" w:header="0"/>
          <w:type w:val="continuous"/>
        </w:sectPr>
      </w:pPr>
    </w:p>
    <w:p>
      <w:pPr>
        <w:ind w:left="20"/>
        <w:spacing w:after="0"/>
        <w:rPr>
          <w:sz w:val="20"/>
          <w:szCs w:val="20"/>
          <w:color w:val="auto"/>
        </w:rPr>
      </w:pPr>
      <w:r>
        <w:rPr>
          <w:rFonts w:ascii="Times New Roman" w:cs="Times New Roman" w:eastAsia="Times New Roman" w:hAnsi="Times New Roman"/>
          <w:sz w:val="16"/>
          <w:szCs w:val="16"/>
          <w:b w:val="1"/>
          <w:bCs w:val="1"/>
          <w:color w:val="auto"/>
        </w:rPr>
        <w:t>Net cash used in investing activities</w:t>
      </w:r>
    </w:p>
    <w:p>
      <w:pPr>
        <w:spacing w:after="0" w:line="20" w:lineRule="exact"/>
        <w:rPr>
          <w:sz w:val="20"/>
          <w:szCs w:val="20"/>
          <w:color w:val="auto"/>
        </w:rPr>
      </w:pPr>
      <w:r>
        <w:rPr>
          <w:sz w:val="20"/>
          <w:szCs w:val="20"/>
          <w:color w:val="auto"/>
        </w:rPr>
        <w:br w:type="column"/>
      </w:r>
    </w:p>
    <w:p>
      <w:pPr>
        <w:ind w:right="60"/>
        <w:spacing w:after="0" w:line="224" w:lineRule="auto"/>
        <w:rPr>
          <w:sz w:val="20"/>
          <w:szCs w:val="20"/>
          <w:color w:val="auto"/>
        </w:rPr>
      </w:pPr>
      <w:r>
        <w:rPr>
          <w:rFonts w:ascii="Times New Roman" w:cs="Times New Roman" w:eastAsia="Times New Roman" w:hAnsi="Times New Roman"/>
          <w:sz w:val="16"/>
          <w:szCs w:val="16"/>
          <w:color w:val="auto"/>
        </w:rPr>
        <w:t>For the three months ended September 30, 2024, cash used in For the six months ended September 30, 2024, cash used in investing activities were driven by the purchase of intangible assets investing activities were driven by the purchase of intangible assets</w:t>
      </w:r>
    </w:p>
    <w:p>
      <w:pPr>
        <w:spacing w:after="0" w:line="1" w:lineRule="exact"/>
        <w:rPr>
          <w:sz w:val="20"/>
          <w:szCs w:val="20"/>
          <w:color w:val="auto"/>
        </w:rPr>
      </w:pPr>
    </w:p>
    <w:p>
      <w:pPr>
        <w:spacing w:after="0"/>
        <w:tabs>
          <w:tab w:leader="none" w:pos="4400" w:val="left"/>
        </w:tabs>
        <w:rPr>
          <w:sz w:val="20"/>
          <w:szCs w:val="20"/>
          <w:color w:val="auto"/>
        </w:rPr>
      </w:pPr>
      <w:r>
        <w:rPr>
          <w:rFonts w:ascii="Times New Roman" w:cs="Times New Roman" w:eastAsia="Times New Roman" w:hAnsi="Times New Roman"/>
          <w:sz w:val="16"/>
          <w:szCs w:val="16"/>
          <w:color w:val="auto"/>
        </w:rPr>
        <w:t>and equipment of $342</w:t>
      </w:r>
      <w:r>
        <w:rPr>
          <w:sz w:val="20"/>
          <w:szCs w:val="20"/>
          <w:color w:val="auto"/>
        </w:rPr>
        <w:tab/>
      </w:r>
      <w:r>
        <w:rPr>
          <w:rFonts w:ascii="Times New Roman" w:cs="Times New Roman" w:eastAsia="Times New Roman" w:hAnsi="Times New Roman"/>
          <w:sz w:val="15"/>
          <w:szCs w:val="15"/>
          <w:color w:val="auto"/>
        </w:rPr>
        <w:t>and equipment of $579</w:t>
      </w:r>
    </w:p>
    <w:p>
      <w:pPr>
        <w:spacing w:after="0" w:line="14" w:lineRule="exact"/>
        <w:rPr>
          <w:sz w:val="20"/>
          <w:szCs w:val="20"/>
          <w:color w:val="auto"/>
        </w:rPr>
      </w:pPr>
    </w:p>
    <w:p>
      <w:pPr>
        <w:sectPr>
          <w:pgSz w:w="11900" w:h="16838" w:orient="portrait"/>
          <w:cols w:equalWidth="0" w:num="2">
            <w:col w:w="1780" w:space="640"/>
            <w:col w:w="8840"/>
          </w:cols>
          <w:pgMar w:left="320" w:top="1440" w:right="319" w:bottom="1440" w:gutter="0" w:footer="0" w:header="0"/>
          <w:type w:val="continuous"/>
        </w:sectPr>
      </w:pPr>
    </w:p>
    <w:p>
      <w:pPr>
        <w:ind w:left="20"/>
        <w:spacing w:after="0"/>
        <w:rPr>
          <w:sz w:val="20"/>
          <w:szCs w:val="20"/>
          <w:color w:val="auto"/>
        </w:rPr>
      </w:pPr>
      <w:r>
        <w:rPr>
          <w:rFonts w:ascii="Times New Roman" w:cs="Times New Roman" w:eastAsia="Times New Roman" w:hAnsi="Times New Roman"/>
          <w:sz w:val="16"/>
          <w:szCs w:val="16"/>
          <w:b w:val="1"/>
          <w:bCs w:val="1"/>
          <w:color w:val="auto"/>
        </w:rPr>
        <w:t>Net cash from (used in) financing activities</w:t>
      </w:r>
    </w:p>
    <w:p>
      <w:pPr>
        <w:spacing w:after="0" w:line="20" w:lineRule="exact"/>
        <w:rPr>
          <w:sz w:val="20"/>
          <w:szCs w:val="20"/>
          <w:color w:val="auto"/>
        </w:rPr>
      </w:pPr>
      <w:r>
        <w:rPr>
          <w:sz w:val="20"/>
          <w:szCs w:val="20"/>
          <w:color w:val="auto"/>
        </w:rPr>
        <w:br w:type="column"/>
      </w:r>
    </w:p>
    <w:p>
      <w:pPr>
        <w:ind w:right="60"/>
        <w:spacing w:after="0" w:line="224" w:lineRule="auto"/>
        <w:rPr>
          <w:sz w:val="20"/>
          <w:szCs w:val="20"/>
          <w:color w:val="auto"/>
        </w:rPr>
      </w:pPr>
      <w:r>
        <w:rPr>
          <w:rFonts w:ascii="Times New Roman" w:cs="Times New Roman" w:eastAsia="Times New Roman" w:hAnsi="Times New Roman"/>
          <w:sz w:val="16"/>
          <w:szCs w:val="16"/>
          <w:color w:val="auto"/>
        </w:rPr>
        <w:t>For the three months ended September 30, 2024, cash used in For the six months ended September 30, 2024, cash used in financing activities were driven by share issuance costs of $280 and financing activities were driven by share issuance costs of $429 and</w:t>
      </w:r>
    </w:p>
    <w:p>
      <w:pPr>
        <w:spacing w:after="0" w:line="1" w:lineRule="exact"/>
        <w:rPr>
          <w:sz w:val="20"/>
          <w:szCs w:val="20"/>
          <w:color w:val="auto"/>
        </w:rPr>
      </w:pPr>
    </w:p>
    <w:p>
      <w:pPr>
        <w:spacing w:after="0"/>
        <w:tabs>
          <w:tab w:leader="none" w:pos="4400" w:val="left"/>
        </w:tabs>
        <w:rPr>
          <w:sz w:val="20"/>
          <w:szCs w:val="20"/>
          <w:color w:val="auto"/>
        </w:rPr>
      </w:pPr>
      <w:r>
        <w:rPr>
          <w:rFonts w:ascii="Times New Roman" w:cs="Times New Roman" w:eastAsia="Times New Roman" w:hAnsi="Times New Roman"/>
          <w:sz w:val="16"/>
          <w:szCs w:val="16"/>
          <w:color w:val="auto"/>
        </w:rPr>
        <w:t>lease payments of $90.</w:t>
      </w:r>
      <w:r>
        <w:rPr>
          <w:sz w:val="20"/>
          <w:szCs w:val="20"/>
          <w:color w:val="auto"/>
        </w:rPr>
        <w:tab/>
      </w:r>
      <w:r>
        <w:rPr>
          <w:rFonts w:ascii="Times New Roman" w:cs="Times New Roman" w:eastAsia="Times New Roman" w:hAnsi="Times New Roman"/>
          <w:sz w:val="15"/>
          <w:szCs w:val="15"/>
          <w:color w:val="auto"/>
        </w:rPr>
        <w:t>lease payments of $176.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-1537970</wp:posOffset>
            </wp:positionH>
            <wp:positionV relativeFrom="paragraph">
              <wp:posOffset>5080</wp:posOffset>
            </wp:positionV>
            <wp:extent cx="7131050" cy="762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31050" cy="762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2300" w:space="120"/>
            <w:col w:w="8840"/>
          </w:cols>
          <w:pgMar w:left="320" w:top="1440" w:right="319" w:bottom="1440" w:gutter="0" w:footer="0" w:header="0"/>
          <w:type w:val="continuous"/>
        </w:sectPr>
      </w:pPr>
    </w:p>
    <w:p>
      <w:pPr>
        <w:spacing w:after="0" w:line="337"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i w:val="1"/>
          <w:iCs w:val="1"/>
          <w:color w:val="auto"/>
        </w:rPr>
        <w:t>2022 ATM Program</w:t>
      </w:r>
    </w:p>
    <w:p>
      <w:pPr>
        <w:spacing w:after="0" w:line="269" w:lineRule="exact"/>
        <w:rPr>
          <w:sz w:val="20"/>
          <w:szCs w:val="20"/>
          <w:color w:val="auto"/>
        </w:rPr>
      </w:pPr>
    </w:p>
    <w:p>
      <w:pPr>
        <w:jc w:val="both"/>
        <w:spacing w:after="0" w:line="295" w:lineRule="auto"/>
        <w:rPr>
          <w:sz w:val="20"/>
          <w:szCs w:val="20"/>
          <w:color w:val="auto"/>
        </w:rPr>
      </w:pPr>
      <w:r>
        <w:rPr>
          <w:rFonts w:ascii="Times New Roman" w:cs="Times New Roman" w:eastAsia="Times New Roman" w:hAnsi="Times New Roman"/>
          <w:sz w:val="18"/>
          <w:szCs w:val="18"/>
          <w:color w:val="auto"/>
        </w:rPr>
        <w:t>On August 8, 2022, the Company established an at-the-market program (“</w:t>
      </w:r>
      <w:r>
        <w:rPr>
          <w:rFonts w:ascii="Times New Roman" w:cs="Times New Roman" w:eastAsia="Times New Roman" w:hAnsi="Times New Roman"/>
          <w:sz w:val="18"/>
          <w:szCs w:val="18"/>
          <w:b w:val="1"/>
          <w:bCs w:val="1"/>
          <w:color w:val="auto"/>
        </w:rPr>
        <w:t>2022 ATM Program</w:t>
      </w:r>
      <w:r>
        <w:rPr>
          <w:rFonts w:ascii="Times New Roman" w:cs="Times New Roman" w:eastAsia="Times New Roman" w:hAnsi="Times New Roman"/>
          <w:sz w:val="18"/>
          <w:szCs w:val="18"/>
          <w:color w:val="auto"/>
        </w:rPr>
        <w:t>”) that allowed the Company to issue and sell up to US$35,000 of Common Shares in the capital of the Company from treasury to the public, from time to time, which was qualified by way of a prospectus supplement dated August 8, 2022 to the 2021 Base Shelf Prospectus. The 2021 Base Shelf Prospectus was effective for a period of 25 months, ending on August 5, 2023 (the “</w:t>
      </w:r>
      <w:r>
        <w:rPr>
          <w:rFonts w:ascii="Times New Roman" w:cs="Times New Roman" w:eastAsia="Times New Roman" w:hAnsi="Times New Roman"/>
          <w:sz w:val="18"/>
          <w:szCs w:val="18"/>
          <w:b w:val="1"/>
          <w:bCs w:val="1"/>
          <w:color w:val="auto"/>
        </w:rPr>
        <w:t>Lapse Date</w:t>
      </w:r>
      <w:r>
        <w:rPr>
          <w:rFonts w:ascii="Times New Roman" w:cs="Times New Roman" w:eastAsia="Times New Roman" w:hAnsi="Times New Roman"/>
          <w:sz w:val="18"/>
          <w:szCs w:val="18"/>
          <w:color w:val="auto"/>
        </w:rPr>
        <w:t>”).</w:t>
      </w:r>
    </w:p>
    <w:p>
      <w:pPr>
        <w:spacing w:after="0" w:line="193" w:lineRule="exact"/>
        <w:rPr>
          <w:sz w:val="20"/>
          <w:szCs w:val="20"/>
          <w:color w:val="auto"/>
        </w:rPr>
      </w:pPr>
    </w:p>
    <w:p>
      <w:pPr>
        <w:jc w:val="both"/>
        <w:ind w:right="20"/>
        <w:spacing w:after="0" w:line="309" w:lineRule="auto"/>
        <w:rPr>
          <w:sz w:val="20"/>
          <w:szCs w:val="20"/>
          <w:color w:val="auto"/>
        </w:rPr>
      </w:pPr>
      <w:r>
        <w:rPr>
          <w:rFonts w:ascii="Times New Roman" w:cs="Times New Roman" w:eastAsia="Times New Roman" w:hAnsi="Times New Roman"/>
          <w:sz w:val="18"/>
          <w:szCs w:val="18"/>
          <w:color w:val="auto"/>
        </w:rPr>
        <w:t>Distributions of Common Shares under the 2022 ATM Program were made pursuant to the terms and conditions of the Distribution Agreement. The 2022 ATM Program was effective until August 5, 2023 when it automatically terminated in accordance with the terms of the Distribution Agreement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59</w:t>
      </w:r>
    </w:p>
    <w:p>
      <w:pPr>
        <w:sectPr>
          <w:pgSz w:w="11900" w:h="16838" w:orient="portrait"/>
          <w:cols w:equalWidth="0" w:num="1">
            <w:col w:w="11260"/>
          </w:cols>
          <w:pgMar w:left="320" w:top="1440" w:right="319" w:bottom="1440" w:gutter="0" w:footer="0" w:header="0"/>
          <w:type w:val="continuous"/>
        </w:sectPr>
      </w:pPr>
    </w:p>
    <w:bookmarkStart w:id="85" w:name="page86"/>
    <w:bookmarkEnd w:id="85"/>
    <w:p>
      <w:pPr>
        <w:jc w:val="both"/>
        <w:spacing w:after="0" w:line="294" w:lineRule="auto"/>
        <w:rPr>
          <w:sz w:val="20"/>
          <w:szCs w:val="20"/>
          <w:color w:val="auto"/>
        </w:rPr>
      </w:pPr>
      <w:r>
        <w:rPr>
          <w:rFonts w:ascii="Times New Roman" w:cs="Times New Roman" w:eastAsia="Times New Roman" w:hAnsi="Times New Roman"/>
          <w:sz w:val="18"/>
          <w:szCs w:val="18"/>
          <w:color w:val="auto"/>
        </w:rPr>
        <w:t>following the Lapse Date of the 2021 Base Shelf Prospectus. The Company was not obligated to make any sales of Common Shares under the 2022 ATM Program. The volume and timing of distributions under the 2022 ATM Program were determined in Cybin’s sole discretion and in accordance with the Distribution Agreement. As any Common Shares distributed under the 2022 ATM Program were issued and sold at the prevailing market price at the time of the applicable sale, prices varied among purchasers through the duration of the 2022 ATM Program. The Company sold 279,630 Common Shares under the 2022 ATM Program at an average price of $16.34 (US$12.19) per Common Share, for aggregate gross proceeds of $4,571 (US$3,409).</w:t>
      </w:r>
    </w:p>
    <w:p>
      <w:pPr>
        <w:spacing w:after="0" w:line="140"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i w:val="1"/>
          <w:iCs w:val="1"/>
          <w:color w:val="auto"/>
        </w:rPr>
        <w:t>LPC Agreement</w:t>
      </w:r>
    </w:p>
    <w:p>
      <w:pPr>
        <w:spacing w:after="0" w:line="233" w:lineRule="exact"/>
        <w:rPr>
          <w:sz w:val="20"/>
          <w:szCs w:val="20"/>
          <w:color w:val="auto"/>
        </w:rPr>
      </w:pPr>
    </w:p>
    <w:p>
      <w:pPr>
        <w:jc w:val="both"/>
        <w:spacing w:after="0" w:line="288" w:lineRule="auto"/>
        <w:rPr>
          <w:sz w:val="20"/>
          <w:szCs w:val="20"/>
          <w:color w:val="auto"/>
        </w:rPr>
      </w:pPr>
      <w:r>
        <w:rPr>
          <w:rFonts w:ascii="Times New Roman" w:cs="Times New Roman" w:eastAsia="Times New Roman" w:hAnsi="Times New Roman"/>
          <w:sz w:val="18"/>
          <w:szCs w:val="18"/>
          <w:color w:val="auto"/>
        </w:rPr>
        <w:t>On May 30, 2023, the Company entered into a Common Share purchase agreement (the “</w:t>
      </w:r>
      <w:r>
        <w:rPr>
          <w:rFonts w:ascii="Times New Roman" w:cs="Times New Roman" w:eastAsia="Times New Roman" w:hAnsi="Times New Roman"/>
          <w:sz w:val="18"/>
          <w:szCs w:val="18"/>
          <w:b w:val="1"/>
          <w:bCs w:val="1"/>
          <w:color w:val="auto"/>
        </w:rPr>
        <w:t>LPC Purchase Agreement</w:t>
      </w:r>
      <w:r>
        <w:rPr>
          <w:rFonts w:ascii="Times New Roman" w:cs="Times New Roman" w:eastAsia="Times New Roman" w:hAnsi="Times New Roman"/>
          <w:sz w:val="18"/>
          <w:szCs w:val="18"/>
          <w:color w:val="auto"/>
        </w:rPr>
        <w:t>”) with Lincoln Park Capital Fund, LLC (“</w:t>
      </w:r>
      <w:r>
        <w:rPr>
          <w:rFonts w:ascii="Times New Roman" w:cs="Times New Roman" w:eastAsia="Times New Roman" w:hAnsi="Times New Roman"/>
          <w:sz w:val="18"/>
          <w:szCs w:val="18"/>
          <w:b w:val="1"/>
          <w:bCs w:val="1"/>
          <w:color w:val="auto"/>
        </w:rPr>
        <w:t>LPC</w:t>
      </w:r>
      <w:r>
        <w:rPr>
          <w:rFonts w:ascii="Times New Roman" w:cs="Times New Roman" w:eastAsia="Times New Roman" w:hAnsi="Times New Roman"/>
          <w:sz w:val="18"/>
          <w:szCs w:val="18"/>
          <w:color w:val="auto"/>
        </w:rPr>
        <w:t>”). Subject to the terms and conditions of the LPC Purchase Agreement, the Company has the right to sell, and LPC is obligated to purchase, up to US$30,000 of Common Shares over a 36-month period at prices that are based on the market price at the time of each sale to LPC. Cybin, in its sole discretion, controls the timing and amount of all sales of Common Shares under the LPC Purchase Agreement. Cybin has the right to terminate the LPC Purchase Agreement at any time at no cost or penalty. LPC has agreed not to engage in any short selling or hedging activity of any kind in the Common Shares. As consideration for LPC’s obligation to purchase Common Shares from the Company at its direction under the LPC Purchase Agreement, Cybin issued 66,812 Common Shares to LPC as a commitment fee on May 30, 2023. The LPC Purchase Agreement provides that Cybin may not issue or sell any Common Shares to LPC under the LPC Purchase Agreement which, when aggregated with all other Common Shares then beneficially owned by LPC and its affiliates (as calculated pursuant to Section 13(d) of the U.S. Securities Exchange Act of 1934, as amended, and Rule 13d-3 thereunder), would result in LPC beneficially owning more than 9.99% of the outstanding Common Shares. On July 31, 2023, Cybin announced that it had suspended all sales under the LPC Purchase Agreement in connection with the August 2023 Offering (as defined herein). On August 23, 2023, the Company also announced the filing of a prospectus supplement under the 2023 Base Shelf Prospectus, requalifying the LPC Purchase Agreement on the same terms as those entered into on May 30, 2023, with LPC.</w:t>
      </w:r>
    </w:p>
    <w:p>
      <w:pPr>
        <w:spacing w:after="0" w:line="194" w:lineRule="exact"/>
        <w:rPr>
          <w:sz w:val="20"/>
          <w:szCs w:val="20"/>
          <w:color w:val="auto"/>
        </w:rPr>
      </w:pPr>
    </w:p>
    <w:p>
      <w:pPr>
        <w:jc w:val="both"/>
        <w:ind w:right="20"/>
        <w:spacing w:after="0" w:line="301" w:lineRule="auto"/>
        <w:rPr>
          <w:sz w:val="20"/>
          <w:szCs w:val="20"/>
          <w:color w:val="auto"/>
        </w:rPr>
      </w:pPr>
      <w:r>
        <w:rPr>
          <w:rFonts w:ascii="Times New Roman" w:cs="Times New Roman" w:eastAsia="Times New Roman" w:hAnsi="Times New Roman"/>
          <w:sz w:val="18"/>
          <w:szCs w:val="18"/>
          <w:color w:val="auto"/>
        </w:rPr>
        <w:t>During the six months ended September 30, 2024, no Common Shares were issued under the LPC Purchase Agreement. As at September 30, 2024 Company has sold 50,658 Common Shares, at an average price of $12.30 (US$9.18) per Common Share, for aggregate gross proceeds of $623 (US$465) pursuant to the LPC Purchase Agreement.</w:t>
      </w:r>
    </w:p>
    <w:p>
      <w:pPr>
        <w:spacing w:after="0" w:line="134"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i w:val="1"/>
          <w:iCs w:val="1"/>
          <w:color w:val="auto"/>
        </w:rPr>
        <w:t>2023 ATM Program</w:t>
      </w:r>
    </w:p>
    <w:p>
      <w:pPr>
        <w:spacing w:after="0" w:line="36" w:lineRule="exact"/>
        <w:rPr>
          <w:sz w:val="20"/>
          <w:szCs w:val="20"/>
          <w:color w:val="auto"/>
        </w:rPr>
      </w:pPr>
    </w:p>
    <w:p>
      <w:pPr>
        <w:jc w:val="both"/>
        <w:ind w:right="20"/>
        <w:spacing w:after="0" w:line="287" w:lineRule="auto"/>
        <w:rPr>
          <w:sz w:val="20"/>
          <w:szCs w:val="20"/>
          <w:color w:val="auto"/>
        </w:rPr>
      </w:pPr>
      <w:r>
        <w:rPr>
          <w:rFonts w:ascii="Times New Roman" w:cs="Times New Roman" w:eastAsia="Times New Roman" w:hAnsi="Times New Roman"/>
          <w:sz w:val="18"/>
          <w:szCs w:val="18"/>
          <w:color w:val="auto"/>
        </w:rPr>
        <w:t>On August 23, 2023, the Company announced the filing of a prospectus supplement (the “</w:t>
      </w:r>
      <w:r>
        <w:rPr>
          <w:rFonts w:ascii="Times New Roman" w:cs="Times New Roman" w:eastAsia="Times New Roman" w:hAnsi="Times New Roman"/>
          <w:sz w:val="18"/>
          <w:szCs w:val="18"/>
          <w:b w:val="1"/>
          <w:bCs w:val="1"/>
          <w:color w:val="auto"/>
        </w:rPr>
        <w:t>ATM Prospectus Supplement</w:t>
      </w:r>
      <w:r>
        <w:rPr>
          <w:rFonts w:ascii="Times New Roman" w:cs="Times New Roman" w:eastAsia="Times New Roman" w:hAnsi="Times New Roman"/>
          <w:sz w:val="18"/>
          <w:szCs w:val="18"/>
          <w:color w:val="auto"/>
        </w:rPr>
        <w:t>”) under the 2023 Base Shelf Prospectus to renew its previously established at-the-market equity program (the “2023 ATM Program”) that allows the Company to issue and sell up to US$35,000 of Common Shares from treasury to the public, from time to time. Distributions of Common Shares under the 2023 ATM Program will be made pursuant to the terms and conditions of an at-the-market equity distribution agreement dated August 23, 2023 among the Company, Cantor Fitzgerald Canada Corporation and Cantor Fitzgerald &amp; Co. The 2023 ATM Program is effective until the earlier of the issuance and sale of all of the Common Shares issuable pursuant to the 2023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60</w:t>
      </w:r>
    </w:p>
    <w:p>
      <w:pPr>
        <w:sectPr>
          <w:pgSz w:w="11900" w:h="16838" w:orient="portrait"/>
          <w:cols w:equalWidth="0" w:num="1">
            <w:col w:w="11260"/>
          </w:cols>
          <w:pgMar w:left="320" w:top="1303" w:right="319" w:bottom="1440" w:gutter="0" w:footer="0" w:header="0"/>
        </w:sectPr>
      </w:pPr>
    </w:p>
    <w:bookmarkStart w:id="86" w:name="page87"/>
    <w:bookmarkEnd w:id="86"/>
    <w:p>
      <w:pPr>
        <w:spacing w:after="0"/>
        <w:rPr>
          <w:sz w:val="20"/>
          <w:szCs w:val="20"/>
          <w:color w:val="auto"/>
        </w:rPr>
      </w:pPr>
      <w:r>
        <w:rPr>
          <w:rFonts w:ascii="Times New Roman" w:cs="Times New Roman" w:eastAsia="Times New Roman" w:hAnsi="Times New Roman"/>
          <w:sz w:val="18"/>
          <w:szCs w:val="18"/>
          <w:color w:val="auto"/>
        </w:rPr>
        <w:t>ATM Program and September 17, 2025 unless earlier terminated in accordance with the terms of the 2023 Distribution Agreement.</w:t>
      </w:r>
    </w:p>
    <w:p>
      <w:pPr>
        <w:spacing w:after="0" w:line="264" w:lineRule="exact"/>
        <w:rPr>
          <w:sz w:val="20"/>
          <w:szCs w:val="20"/>
          <w:color w:val="auto"/>
        </w:rPr>
      </w:pPr>
    </w:p>
    <w:p>
      <w:pPr>
        <w:jc w:val="both"/>
        <w:ind w:right="20"/>
        <w:spacing w:after="0" w:line="294" w:lineRule="auto"/>
        <w:rPr>
          <w:sz w:val="20"/>
          <w:szCs w:val="20"/>
          <w:color w:val="auto"/>
        </w:rPr>
      </w:pPr>
      <w:r>
        <w:rPr>
          <w:rFonts w:ascii="Times New Roman" w:cs="Times New Roman" w:eastAsia="Times New Roman" w:hAnsi="Times New Roman"/>
          <w:sz w:val="18"/>
          <w:szCs w:val="18"/>
          <w:color w:val="auto"/>
        </w:rPr>
        <w:t>From August 23, 2023, being the date of the launch of the 2023 ATM Program to September 30, 2024 the Company sold 618,804 Common Shares under the 2023 ATM Program, at an average price of $17.72 (US$13.11) per Common Share, for aggregate gross proceeds of $10,962 (US$8,109). Share issuance costs related to the 2023 ATM Program were $329 (US$243). No Common Shares were sold under the 2023 ATM Program during the six month period ended September 30, 2024.</w:t>
      </w:r>
    </w:p>
    <w:p>
      <w:pPr>
        <w:spacing w:after="0" w:line="140"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i w:val="1"/>
          <w:iCs w:val="1"/>
          <w:color w:val="auto"/>
        </w:rPr>
        <w:t>Equity Offerings</w:t>
      </w:r>
    </w:p>
    <w:p>
      <w:pPr>
        <w:spacing w:after="0" w:line="269" w:lineRule="exact"/>
        <w:rPr>
          <w:sz w:val="20"/>
          <w:szCs w:val="20"/>
          <w:color w:val="auto"/>
        </w:rPr>
      </w:pPr>
    </w:p>
    <w:p>
      <w:pPr>
        <w:jc w:val="both"/>
        <w:ind w:right="20"/>
        <w:spacing w:after="0" w:line="292" w:lineRule="auto"/>
        <w:rPr>
          <w:sz w:val="20"/>
          <w:szCs w:val="20"/>
          <w:color w:val="auto"/>
        </w:rPr>
      </w:pPr>
      <w:r>
        <w:rPr>
          <w:rFonts w:ascii="Times New Roman" w:cs="Times New Roman" w:eastAsia="Times New Roman" w:hAnsi="Times New Roman"/>
          <w:sz w:val="18"/>
          <w:szCs w:val="18"/>
          <w:color w:val="auto"/>
        </w:rPr>
        <w:t>On August 4, 2023, the Company completed a public offering (the “</w:t>
      </w:r>
      <w:r>
        <w:rPr>
          <w:rFonts w:ascii="Times New Roman" w:cs="Times New Roman" w:eastAsia="Times New Roman" w:hAnsi="Times New Roman"/>
          <w:sz w:val="18"/>
          <w:szCs w:val="18"/>
          <w:b w:val="1"/>
          <w:bCs w:val="1"/>
          <w:color w:val="auto"/>
        </w:rPr>
        <w:t>August 2023 Offering</w:t>
      </w:r>
      <w:r>
        <w:rPr>
          <w:rFonts w:ascii="Times New Roman" w:cs="Times New Roman" w:eastAsia="Times New Roman" w:hAnsi="Times New Roman"/>
          <w:sz w:val="18"/>
          <w:szCs w:val="18"/>
          <w:color w:val="auto"/>
        </w:rPr>
        <w:t>”) of 638,545 units of the Company (the “</w:t>
      </w:r>
      <w:r>
        <w:rPr>
          <w:rFonts w:ascii="Times New Roman" w:cs="Times New Roman" w:eastAsia="Times New Roman" w:hAnsi="Times New Roman"/>
          <w:sz w:val="18"/>
          <w:szCs w:val="18"/>
          <w:b w:val="1"/>
          <w:bCs w:val="1"/>
          <w:color w:val="auto"/>
        </w:rPr>
        <w:t>August 2023 Units</w:t>
      </w:r>
      <w:r>
        <w:rPr>
          <w:rFonts w:ascii="Times New Roman" w:cs="Times New Roman" w:eastAsia="Times New Roman" w:hAnsi="Times New Roman"/>
          <w:sz w:val="18"/>
          <w:szCs w:val="18"/>
          <w:color w:val="auto"/>
        </w:rPr>
        <w:t xml:space="preserve">”) at a price of US$12.92 per August 2023 Unit for gross proceeds of US$8,250 pursuant to the August Prospectus Supplement to the 2021 Base Shelf Prospectus . Each August 2023 Unit is comprised of one Common Share and one Common Share purchase warrant (the </w:t>
      </w:r>
      <w:r>
        <w:rPr>
          <w:rFonts w:ascii="Times New Roman" w:cs="Times New Roman" w:eastAsia="Times New Roman" w:hAnsi="Times New Roman"/>
          <w:sz w:val="18"/>
          <w:szCs w:val="18"/>
          <w:b w:val="1"/>
          <w:bCs w:val="1"/>
          <w:color w:val="auto"/>
        </w:rPr>
        <w:t>“August 2023 Warrants</w:t>
      </w:r>
      <w:r>
        <w:rPr>
          <w:rFonts w:ascii="Times New Roman" w:cs="Times New Roman" w:eastAsia="Times New Roman" w:hAnsi="Times New Roman"/>
          <w:sz w:val="18"/>
          <w:szCs w:val="18"/>
          <w:color w:val="auto"/>
        </w:rPr>
        <w:t>”). Each August 2023 Warrant is exercisable to acquire one Common Share at a price of US$15.20 per Common Share for a period of 60 months from issuance, subject to acceleration in certain circumstances. In connection with the August 2023 Offering, Cybin paid the underwriters a cash commission of US$379 and incurred additional share issuance costs related to professional fees of US$458.</w:t>
      </w:r>
    </w:p>
    <w:p>
      <w:pPr>
        <w:spacing w:after="0" w:line="157" w:lineRule="exact"/>
        <w:rPr>
          <w:sz w:val="20"/>
          <w:szCs w:val="20"/>
          <w:color w:val="auto"/>
        </w:rPr>
      </w:pPr>
    </w:p>
    <w:p>
      <w:pPr>
        <w:jc w:val="both"/>
        <w:spacing w:after="0" w:line="312" w:lineRule="auto"/>
        <w:rPr>
          <w:sz w:val="20"/>
          <w:szCs w:val="20"/>
          <w:color w:val="auto"/>
        </w:rPr>
      </w:pPr>
      <w:r>
        <w:rPr>
          <w:rFonts w:ascii="Times New Roman" w:cs="Times New Roman" w:eastAsia="Times New Roman" w:hAnsi="Times New Roman"/>
          <w:sz w:val="17"/>
          <w:szCs w:val="17"/>
          <w:color w:val="auto"/>
        </w:rPr>
        <w:t>On November 14, 2023, the Company completed a public offering (the “</w:t>
      </w:r>
      <w:r>
        <w:rPr>
          <w:rFonts w:ascii="Times New Roman" w:cs="Times New Roman" w:eastAsia="Times New Roman" w:hAnsi="Times New Roman"/>
          <w:sz w:val="17"/>
          <w:szCs w:val="17"/>
          <w:b w:val="1"/>
          <w:bCs w:val="1"/>
          <w:color w:val="auto"/>
        </w:rPr>
        <w:t>November 2023 Offering</w:t>
      </w:r>
      <w:r>
        <w:rPr>
          <w:rFonts w:ascii="Times New Roman" w:cs="Times New Roman" w:eastAsia="Times New Roman" w:hAnsi="Times New Roman"/>
          <w:sz w:val="17"/>
          <w:szCs w:val="17"/>
          <w:color w:val="auto"/>
        </w:rPr>
        <w:t>”) of 1,754,386 units of the Company (the “</w:t>
      </w:r>
      <w:r>
        <w:rPr>
          <w:rFonts w:ascii="Times New Roman" w:cs="Times New Roman" w:eastAsia="Times New Roman" w:hAnsi="Times New Roman"/>
          <w:sz w:val="17"/>
          <w:szCs w:val="17"/>
          <w:b w:val="1"/>
          <w:bCs w:val="1"/>
          <w:color w:val="auto"/>
        </w:rPr>
        <w:t>November</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b w:val="1"/>
          <w:bCs w:val="1"/>
          <w:color w:val="auto"/>
        </w:rPr>
        <w:t>2023 Units</w:t>
      </w:r>
      <w:r>
        <w:rPr>
          <w:rFonts w:ascii="Times New Roman" w:cs="Times New Roman" w:eastAsia="Times New Roman" w:hAnsi="Times New Roman"/>
          <w:sz w:val="17"/>
          <w:szCs w:val="17"/>
          <w:color w:val="auto"/>
        </w:rPr>
        <w:t>”) at a price of US$17.10 per November 2023 Unit for gross proceeds of $41,107 (US$30,000) pursuant to the November Prospectus Supplement</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to the 2023 Base Shelf Prospectus. Each November 2023 Unit is comprised of one Common Share and one Common Share purchase warrant (the “</w:t>
      </w:r>
      <w:r>
        <w:rPr>
          <w:rFonts w:ascii="Times New Roman" w:cs="Times New Roman" w:eastAsia="Times New Roman" w:hAnsi="Times New Roman"/>
          <w:sz w:val="17"/>
          <w:szCs w:val="17"/>
          <w:b w:val="1"/>
          <w:bCs w:val="1"/>
          <w:color w:val="auto"/>
        </w:rPr>
        <w:t>November</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b w:val="1"/>
          <w:bCs w:val="1"/>
          <w:color w:val="auto"/>
        </w:rPr>
        <w:t>2023 Warrants</w:t>
      </w:r>
      <w:r>
        <w:rPr>
          <w:rFonts w:ascii="Times New Roman" w:cs="Times New Roman" w:eastAsia="Times New Roman" w:hAnsi="Times New Roman"/>
          <w:sz w:val="17"/>
          <w:szCs w:val="17"/>
          <w:color w:val="auto"/>
        </w:rPr>
        <w:t>”). Each November 2023 Warrant is exercisable to acquire one Common Share at a price of $26.16 (US$19.38) per Common Share between</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May 14, 2024 and May 14, 2029, subject to acceleration in certain circumstances. In connection with the November 2023 Offering, Cybin paid the underwriters a cash commission of $2,096 (US$1,530) and incurred additional share issuance costs related to professional fees of $341(US$248).</w:t>
      </w:r>
    </w:p>
    <w:p>
      <w:pPr>
        <w:spacing w:after="0" w:line="168" w:lineRule="exact"/>
        <w:rPr>
          <w:sz w:val="20"/>
          <w:szCs w:val="20"/>
          <w:color w:val="auto"/>
        </w:rPr>
      </w:pPr>
    </w:p>
    <w:p>
      <w:pPr>
        <w:jc w:val="both"/>
        <w:ind w:right="20"/>
        <w:spacing w:after="0" w:line="272" w:lineRule="auto"/>
        <w:rPr>
          <w:sz w:val="20"/>
          <w:szCs w:val="20"/>
          <w:color w:val="auto"/>
        </w:rPr>
      </w:pPr>
      <w:r>
        <w:rPr>
          <w:rFonts w:ascii="Times New Roman" w:cs="Times New Roman" w:eastAsia="Times New Roman" w:hAnsi="Times New Roman"/>
          <w:sz w:val="18"/>
          <w:szCs w:val="18"/>
          <w:color w:val="auto"/>
        </w:rPr>
        <w:t>On March 19, 2024, the Company completed a private placement (the “</w:t>
      </w:r>
      <w:r>
        <w:rPr>
          <w:rFonts w:ascii="Times New Roman" w:cs="Times New Roman" w:eastAsia="Times New Roman" w:hAnsi="Times New Roman"/>
          <w:sz w:val="18"/>
          <w:szCs w:val="18"/>
          <w:b w:val="1"/>
          <w:bCs w:val="1"/>
          <w:color w:val="auto"/>
        </w:rPr>
        <w:t>March 2024 Offering</w:t>
      </w:r>
      <w:r>
        <w:rPr>
          <w:rFonts w:ascii="Times New Roman" w:cs="Times New Roman" w:eastAsia="Times New Roman" w:hAnsi="Times New Roman"/>
          <w:sz w:val="18"/>
          <w:szCs w:val="18"/>
          <w:color w:val="auto"/>
        </w:rPr>
        <w:t>”) of 9,179,927 Common Shares at a price of US$16.34 per Common Share for gross proceeds of $202,995 (US$150,000). Pursuant to the terms of the March 2024 Offering, on April 8, 2024, the Company amended the 2023 Base Shelf Prospectus to provide that the securities that may be offered and issued thereunder will include distributions by various selling security holders. Further, on April 17, 2024, the Company filed a prospectus supplement to the 2023 Base Shelf Prospectus, in order to qualify the periodic resale of 8,763,941 Common Shares issued to certain non-Canadian investors pursuant to the March 2024 Offering. In connection with the March 2024 Offering, Cybin paid the agents a cash commission of $11,726 (US$8,665) and incurred additional share issuance costs being professional fees of $169 (US$125).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61</w:t>
      </w:r>
    </w:p>
    <w:p>
      <w:pPr>
        <w:sectPr>
          <w:pgSz w:w="11900" w:h="16838" w:orient="portrait"/>
          <w:cols w:equalWidth="0" w:num="1">
            <w:col w:w="11260"/>
          </w:cols>
          <w:pgMar w:left="320" w:top="1303" w:right="319" w:bottom="1440" w:gutter="0" w:footer="0" w:header="0"/>
        </w:sectPr>
      </w:pPr>
    </w:p>
    <w:bookmarkStart w:id="87" w:name="page88"/>
    <w:bookmarkEnd w:id="87"/>
    <w:p>
      <w:pPr>
        <w:spacing w:after="0"/>
        <w:rPr>
          <w:sz w:val="20"/>
          <w:szCs w:val="20"/>
          <w:color w:val="auto"/>
        </w:rPr>
      </w:pPr>
      <w:r>
        <w:rPr>
          <w:rFonts w:ascii="Times New Roman" w:cs="Times New Roman" w:eastAsia="Times New Roman" w:hAnsi="Times New Roman"/>
          <w:sz w:val="19"/>
          <w:szCs w:val="19"/>
          <w:i w:val="1"/>
          <w:iCs w:val="1"/>
          <w:color w:val="auto"/>
        </w:rPr>
        <w:t>Overview</w:t>
      </w:r>
    </w:p>
    <w:p>
      <w:pPr>
        <w:spacing w:after="0" w:line="235" w:lineRule="exact"/>
        <w:rPr>
          <w:sz w:val="20"/>
          <w:szCs w:val="20"/>
          <w:color w:val="auto"/>
        </w:rPr>
      </w:pPr>
    </w:p>
    <w:p>
      <w:pPr>
        <w:jc w:val="both"/>
        <w:ind w:right="20"/>
        <w:spacing w:after="0" w:line="294" w:lineRule="auto"/>
        <w:rPr>
          <w:sz w:val="20"/>
          <w:szCs w:val="20"/>
          <w:color w:val="auto"/>
        </w:rPr>
      </w:pPr>
      <w:r>
        <w:rPr>
          <w:rFonts w:ascii="Times New Roman" w:cs="Times New Roman" w:eastAsia="Times New Roman" w:hAnsi="Times New Roman"/>
          <w:sz w:val="18"/>
          <w:szCs w:val="18"/>
          <w:color w:val="auto"/>
        </w:rPr>
        <w:t>The Company’s main use for liquidity is to fund the development of its research programs as noted above. The primary source of liquidity has been from public financing to date. The ability to fund operations, to make planned capital expenditures and execute the growth/acquisition strategy depends on the future operating performance and cash flows, which are subject to prevailing economic conditions, regulatory and financial, business and other factors, some of which are beyond the Company’s control.</w:t>
      </w:r>
    </w:p>
    <w:p>
      <w:pPr>
        <w:spacing w:after="0" w:line="195" w:lineRule="exact"/>
        <w:rPr>
          <w:sz w:val="20"/>
          <w:szCs w:val="20"/>
          <w:color w:val="auto"/>
        </w:rPr>
      </w:pPr>
    </w:p>
    <w:p>
      <w:pPr>
        <w:jc w:val="both"/>
        <w:ind w:right="20"/>
        <w:spacing w:after="0" w:line="301" w:lineRule="auto"/>
        <w:rPr>
          <w:sz w:val="20"/>
          <w:szCs w:val="20"/>
          <w:color w:val="auto"/>
        </w:rPr>
      </w:pPr>
      <w:r>
        <w:rPr>
          <w:rFonts w:ascii="Times New Roman" w:cs="Times New Roman" w:eastAsia="Times New Roman" w:hAnsi="Times New Roman"/>
          <w:sz w:val="18"/>
          <w:szCs w:val="18"/>
          <w:color w:val="auto"/>
        </w:rPr>
        <w:t>As at September 30, 2024 the Company had working capital of $171,356. The Company is a pre-operative stage as it researches and develops its IP portfolio in anticipation of manufacturing in the near future. Therefore the Company will not be able to generate sufficient amounts of cash and cash equivalents from its operations in the short term.</w:t>
      </w:r>
    </w:p>
    <w:p>
      <w:pPr>
        <w:spacing w:after="0" w:line="176" w:lineRule="exact"/>
        <w:rPr>
          <w:sz w:val="20"/>
          <w:szCs w:val="20"/>
          <w:color w:val="auto"/>
        </w:rPr>
      </w:pPr>
    </w:p>
    <w:p>
      <w:pPr>
        <w:jc w:val="both"/>
        <w:ind w:right="20"/>
        <w:spacing w:after="0" w:line="294" w:lineRule="auto"/>
        <w:rPr>
          <w:sz w:val="20"/>
          <w:szCs w:val="20"/>
          <w:color w:val="auto"/>
        </w:rPr>
      </w:pPr>
      <w:r>
        <w:rPr>
          <w:rFonts w:ascii="Times New Roman" w:cs="Times New Roman" w:eastAsia="Times New Roman" w:hAnsi="Times New Roman"/>
          <w:sz w:val="18"/>
          <w:szCs w:val="18"/>
          <w:color w:val="auto"/>
        </w:rPr>
        <w:t>The Company intends to continue to advance its non-revenue generating programs over the next twelve to twenty-four months. These intended advancements, along with the expectation of operating at a loss for at minimum the next 12 months, will diminish the Company’s working capital. As such, further financings may be required to develop the Company’s pipeline, make acquisitions, meet ongoing obligations, and discharge its liabilities in the normal course of business. There is no assurance that additional funds can be raised upon terms acceptable to the Company, or at all, as funding for small companies remains challenging.</w:t>
      </w:r>
    </w:p>
    <w:p>
      <w:pPr>
        <w:spacing w:after="0" w:line="183" w:lineRule="exact"/>
        <w:rPr>
          <w:sz w:val="20"/>
          <w:szCs w:val="20"/>
          <w:color w:val="auto"/>
        </w:rPr>
      </w:pPr>
    </w:p>
    <w:p>
      <w:pPr>
        <w:jc w:val="both"/>
        <w:spacing w:after="0" w:line="290" w:lineRule="auto"/>
        <w:rPr>
          <w:sz w:val="20"/>
          <w:szCs w:val="20"/>
          <w:color w:val="auto"/>
        </w:rPr>
      </w:pPr>
      <w:r>
        <w:rPr>
          <w:rFonts w:ascii="Times New Roman" w:cs="Times New Roman" w:eastAsia="Times New Roman" w:hAnsi="Times New Roman"/>
          <w:sz w:val="18"/>
          <w:szCs w:val="18"/>
          <w:color w:val="auto"/>
        </w:rPr>
        <w:t>The Company’s ability to access both public and private capital is dependent upon, among other things, general market conditions and the capital markets generally, market perceptions about the Company and its business operations, and the trading prices of the Company’s securities from time to time. When additional capital is required, the Company intends to raise funds through the issuance of equity or debt securities. Other possible sources include the exercise of stock options and warrants of the Company. There can be no assurance that additional funds can be raised upon terms acceptable to the Company, or at all, as funding for early-stage companies remain challenging generally. Given the nature of the Company’s business as of the date of this MD&amp;A, and in particular, the fact that its operations are undertaken exclusively within a foreign jurisdiction, the Company may face difficulty in accessing traditional sources of financing, notwithstanding that its business operations are conducted in a regulatory environment within which the Company’s activities are neither illegal nor subject to conflicting laws.</w:t>
      </w:r>
    </w:p>
    <w:p>
      <w:pPr>
        <w:spacing w:after="0" w:line="159" w:lineRule="exact"/>
        <w:rPr>
          <w:sz w:val="20"/>
          <w:szCs w:val="20"/>
          <w:color w:val="auto"/>
        </w:rPr>
      </w:pPr>
    </w:p>
    <w:p>
      <w:pPr>
        <w:jc w:val="both"/>
        <w:ind w:right="20"/>
        <w:spacing w:after="0" w:line="296" w:lineRule="auto"/>
        <w:rPr>
          <w:sz w:val="20"/>
          <w:szCs w:val="20"/>
          <w:color w:val="auto"/>
        </w:rPr>
      </w:pPr>
      <w:r>
        <w:rPr>
          <w:rFonts w:ascii="Times New Roman" w:cs="Times New Roman" w:eastAsia="Times New Roman" w:hAnsi="Times New Roman"/>
          <w:sz w:val="18"/>
          <w:szCs w:val="18"/>
          <w:color w:val="auto"/>
        </w:rPr>
        <w:t xml:space="preserve">The Company’s current expenditure obligations include commitments for those projects described in the section entitled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b w:val="1"/>
          <w:bCs w:val="1"/>
          <w:i w:val="1"/>
          <w:iCs w:val="1"/>
          <w:color w:val="auto"/>
        </w:rPr>
        <w:t>Non-Revenue Generating Projects</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in this MD&amp;A. The Company expects to continue funding these projects with available cash and cash equivalents, and therefore, is subject to risks including, but not limited to, an inability to raise additional funds through debt and/or equity financing to support the Company’s continued development, including capital expenditure requirements, operating requirements and to meet its liabilities and commitments as they become due.</w:t>
      </w:r>
    </w:p>
    <w:p>
      <w:pPr>
        <w:spacing w:after="0" w:line="168" w:lineRule="exact"/>
        <w:rPr>
          <w:sz w:val="20"/>
          <w:szCs w:val="20"/>
          <w:color w:val="auto"/>
        </w:rPr>
      </w:pPr>
    </w:p>
    <w:p>
      <w:pPr>
        <w:jc w:val="both"/>
        <w:ind w:right="20"/>
        <w:spacing w:after="0" w:line="301" w:lineRule="auto"/>
        <w:rPr>
          <w:sz w:val="20"/>
          <w:szCs w:val="20"/>
          <w:color w:val="auto"/>
        </w:rPr>
      </w:pPr>
      <w:r>
        <w:rPr>
          <w:rFonts w:ascii="Times New Roman" w:cs="Times New Roman" w:eastAsia="Times New Roman" w:hAnsi="Times New Roman"/>
          <w:sz w:val="18"/>
          <w:szCs w:val="18"/>
          <w:color w:val="auto"/>
        </w:rPr>
        <w:t>The Company constantly monitors and manages its capital resources to assess the liquidity necessary to fund operations and capacity expansion. As at September 30, 2024, the Company had a cash balance of $154,318 and current liabilities of $7,373. The Company’s current resources are sufficient to settle its current liabilities.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62</w:t>
      </w:r>
    </w:p>
    <w:p>
      <w:pPr>
        <w:sectPr>
          <w:pgSz w:w="11900" w:h="16838" w:orient="portrait"/>
          <w:cols w:equalWidth="0" w:num="1">
            <w:col w:w="11260"/>
          </w:cols>
          <w:pgMar w:left="320" w:top="1261" w:right="319" w:bottom="1440" w:gutter="0" w:footer="0" w:header="0"/>
        </w:sectPr>
      </w:pPr>
    </w:p>
    <w:bookmarkStart w:id="88" w:name="page89"/>
    <w:bookmarkEnd w:id="88"/>
    <w:p>
      <w:pPr>
        <w:spacing w:after="0"/>
        <w:rPr>
          <w:sz w:val="20"/>
          <w:szCs w:val="20"/>
          <w:color w:val="auto"/>
        </w:rPr>
      </w:pPr>
      <w:r>
        <w:rPr>
          <w:rFonts w:ascii="Times New Roman" w:cs="Times New Roman" w:eastAsia="Times New Roman" w:hAnsi="Times New Roman"/>
          <w:sz w:val="18"/>
          <w:szCs w:val="18"/>
          <w:color w:val="auto"/>
        </w:rPr>
        <w:t>Management continues to raise the capital necessary to become a fully operational enterprise.</w:t>
      </w:r>
    </w:p>
    <w:p>
      <w:pPr>
        <w:spacing w:after="0" w:line="240" w:lineRule="exact"/>
        <w:rPr>
          <w:sz w:val="20"/>
          <w:szCs w:val="20"/>
          <w:color w:val="auto"/>
        </w:rPr>
      </w:pPr>
    </w:p>
    <w:p>
      <w:pPr>
        <w:jc w:val="both"/>
        <w:ind w:right="20"/>
        <w:spacing w:after="0" w:line="291" w:lineRule="auto"/>
        <w:rPr>
          <w:sz w:val="20"/>
          <w:szCs w:val="20"/>
          <w:color w:val="auto"/>
        </w:rPr>
      </w:pPr>
      <w:r>
        <w:rPr>
          <w:rFonts w:ascii="Times New Roman" w:cs="Times New Roman" w:eastAsia="Times New Roman" w:hAnsi="Times New Roman"/>
          <w:sz w:val="18"/>
          <w:szCs w:val="18"/>
          <w:color w:val="auto"/>
        </w:rPr>
        <w:t>The Company has negative cash flow from operating activities and has historically incurred net losses. To the extent that the Company has negative operating cash flows in future periods, it may need to deploy a portion of its existing working capital to fund such negative cash flows. The Company will be required to raise additional funds through the issuance of additional equity securities, through loan financing, or other means, such as through partnerships with other companies and research and development reimbursements. There is no assurance that additional capital or other types of financing will be available if needed or that these financings will be on terms at least as favourable to the Company as those previously obtained.</w:t>
      </w:r>
    </w:p>
    <w:p>
      <w:pPr>
        <w:spacing w:after="0" w:line="160" w:lineRule="exact"/>
        <w:rPr>
          <w:sz w:val="20"/>
          <w:szCs w:val="20"/>
          <w:color w:val="auto"/>
        </w:rPr>
      </w:pPr>
    </w:p>
    <w:p>
      <w:pPr>
        <w:jc w:val="both"/>
        <w:ind w:right="20"/>
        <w:spacing w:after="0" w:line="291" w:lineRule="auto"/>
        <w:rPr>
          <w:sz w:val="20"/>
          <w:szCs w:val="20"/>
          <w:color w:val="auto"/>
        </w:rPr>
      </w:pPr>
      <w:r>
        <w:rPr>
          <w:rFonts w:ascii="Times New Roman" w:cs="Times New Roman" w:eastAsia="Times New Roman" w:hAnsi="Times New Roman"/>
          <w:sz w:val="18"/>
          <w:szCs w:val="18"/>
          <w:color w:val="auto"/>
        </w:rPr>
        <w:t>The Company’s primary capital needs are funds to advance its research and development activities and for working capital purposes. These activities include staffing, preclinical studies, clinical trials and administrative costs. The Company has experienced operating losses and cash outflows from operations since incorporation and will require ongoing financing to continue its research and development. The Company has not earned any revenue or reached successful commercialization of any products. The Company’s success is dependent upon the ability to finance its cash requirements to continue its activities. There is no assurance that additional capital or other types of financing will be available if needed or that these financings will be on terms at least as favourable to the Company as those previously obtained, or at all. See “</w:t>
      </w:r>
      <w:r>
        <w:rPr>
          <w:rFonts w:ascii="Times New Roman" w:cs="Times New Roman" w:eastAsia="Times New Roman" w:hAnsi="Times New Roman"/>
          <w:sz w:val="18"/>
          <w:szCs w:val="18"/>
          <w:i w:val="1"/>
          <w:iCs w:val="1"/>
          <w:color w:val="auto"/>
        </w:rPr>
        <w:t>Risk Factors”</w:t>
      </w:r>
      <w:r>
        <w:rPr>
          <w:rFonts w:ascii="Times New Roman" w:cs="Times New Roman" w:eastAsia="Times New Roman" w:hAnsi="Times New Roman"/>
          <w:sz w:val="18"/>
          <w:szCs w:val="18"/>
          <w:color w:val="auto"/>
        </w:rPr>
        <w:t>.</w:t>
      </w:r>
    </w:p>
    <w:p>
      <w:pPr>
        <w:spacing w:after="0" w:line="175" w:lineRule="exact"/>
        <w:rPr>
          <w:sz w:val="20"/>
          <w:szCs w:val="20"/>
          <w:color w:val="auto"/>
        </w:rPr>
      </w:pPr>
    </w:p>
    <w:p>
      <w:pPr>
        <w:jc w:val="both"/>
        <w:spacing w:after="0" w:line="294" w:lineRule="auto"/>
        <w:rPr>
          <w:sz w:val="20"/>
          <w:szCs w:val="20"/>
          <w:color w:val="auto"/>
        </w:rPr>
      </w:pPr>
      <w:r>
        <w:rPr>
          <w:rFonts w:ascii="Times New Roman" w:cs="Times New Roman" w:eastAsia="Times New Roman" w:hAnsi="Times New Roman"/>
          <w:sz w:val="18"/>
          <w:szCs w:val="18"/>
          <w:color w:val="auto"/>
        </w:rPr>
        <w:t>The Company is focused on research and has not seen any major changes to its ability to complete those activities. The Company intends to assess its business and operational needs, and implement cost reductions as needed. The Company is currently focused on the research stage of its projects and will not be generating significant revenues in the short term. The Company believes it has sufficient working capital to manage its short- and long-term cash flow needs as it continues to invest into its intellectual property.</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Contractual Obligations and Commitments</w:t>
      </w:r>
    </w:p>
    <w:p>
      <w:pPr>
        <w:spacing w:after="0" w:line="244" w:lineRule="exact"/>
        <w:rPr>
          <w:sz w:val="20"/>
          <w:szCs w:val="20"/>
          <w:color w:val="auto"/>
        </w:rPr>
      </w:pPr>
    </w:p>
    <w:p>
      <w:pPr>
        <w:jc w:val="both"/>
        <w:ind w:right="20"/>
        <w:spacing w:after="0" w:line="294" w:lineRule="auto"/>
        <w:rPr>
          <w:sz w:val="20"/>
          <w:szCs w:val="20"/>
          <w:color w:val="auto"/>
        </w:rPr>
      </w:pPr>
      <w:r>
        <w:rPr>
          <w:rFonts w:ascii="Times New Roman" w:cs="Times New Roman" w:eastAsia="Times New Roman" w:hAnsi="Times New Roman"/>
          <w:sz w:val="18"/>
          <w:szCs w:val="18"/>
          <w:color w:val="auto"/>
        </w:rPr>
        <w:t>As at September 30, 2024, the Company had also entered into agreements for various studies which may require the Company to spend up to an additional $60,262. The Company expects to pay this amount within the next 18 months, however the timing and certainty of the payments are contingent on availability of materials and successful completion of certain milestones. The Company has the right to cancel the studies at its discretion, in which case a cancellation fee may apply, however the Company is not liable to pay the full amount of the study.</w:t>
      </w:r>
    </w:p>
    <w:p>
      <w:pPr>
        <w:spacing w:after="0" w:line="158" w:lineRule="exact"/>
        <w:rPr>
          <w:sz w:val="20"/>
          <w:szCs w:val="20"/>
          <w:color w:val="auto"/>
        </w:rPr>
      </w:pPr>
    </w:p>
    <w:p>
      <w:pPr>
        <w:jc w:val="both"/>
        <w:spacing w:after="0" w:line="294" w:lineRule="auto"/>
        <w:rPr>
          <w:sz w:val="20"/>
          <w:szCs w:val="20"/>
          <w:color w:val="auto"/>
        </w:rPr>
      </w:pPr>
      <w:r>
        <w:rPr>
          <w:rFonts w:ascii="Times New Roman" w:cs="Times New Roman" w:eastAsia="Times New Roman" w:hAnsi="Times New Roman"/>
          <w:sz w:val="18"/>
          <w:szCs w:val="18"/>
          <w:color w:val="auto"/>
        </w:rPr>
        <w:t>In addition to the above, the Company has entered into an exclusive license agreement with Mindset to acquire an extensive targeted class of tryptamine-based molecules. Upon the successful completion of certain milestones contemplated in the agreement, the Company may have to pay additional consideration of up to US$9,500. At the sole discretion of Cybin, the milestones may be paid in cash or in Common Shares, or a combination thereof, subject to the approval of the Exchange. There is no assurance that the aforementioned milestones will be met.</w:t>
      </w:r>
    </w:p>
    <w:p>
      <w:pPr>
        <w:spacing w:after="0" w:line="195" w:lineRule="exact"/>
        <w:rPr>
          <w:sz w:val="20"/>
          <w:szCs w:val="20"/>
          <w:color w:val="auto"/>
        </w:rPr>
      </w:pPr>
    </w:p>
    <w:p>
      <w:pPr>
        <w:jc w:val="both"/>
        <w:ind w:right="20"/>
        <w:spacing w:after="0" w:line="309" w:lineRule="auto"/>
        <w:rPr>
          <w:sz w:val="20"/>
          <w:szCs w:val="20"/>
          <w:color w:val="auto"/>
        </w:rPr>
      </w:pPr>
      <w:r>
        <w:rPr>
          <w:rFonts w:ascii="Times New Roman" w:cs="Times New Roman" w:eastAsia="Times New Roman" w:hAnsi="Times New Roman"/>
          <w:sz w:val="18"/>
          <w:szCs w:val="18"/>
          <w:color w:val="auto"/>
        </w:rPr>
        <w:t>The Company is party to certain employee and management contracts that contain severance obligations. These contracts contain clauses requiring additional payments to be made upon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63</w:t>
      </w:r>
    </w:p>
    <w:p>
      <w:pPr>
        <w:sectPr>
          <w:pgSz w:w="11900" w:h="16838" w:orient="portrait"/>
          <w:cols w:equalWidth="0" w:num="1">
            <w:col w:w="11260"/>
          </w:cols>
          <w:pgMar w:left="320" w:top="1303" w:right="319" w:bottom="1440" w:gutter="0" w:footer="0" w:header="0"/>
        </w:sectPr>
      </w:pPr>
    </w:p>
    <w:bookmarkStart w:id="89" w:name="page90"/>
    <w:bookmarkEnd w:id="89"/>
    <w:p>
      <w:pPr>
        <w:ind w:right="20"/>
        <w:spacing w:after="0" w:line="323" w:lineRule="auto"/>
        <w:rPr>
          <w:sz w:val="20"/>
          <w:szCs w:val="20"/>
          <w:color w:val="auto"/>
        </w:rPr>
      </w:pPr>
      <w:r>
        <w:rPr>
          <w:rFonts w:ascii="Times New Roman" w:cs="Times New Roman" w:eastAsia="Times New Roman" w:hAnsi="Times New Roman"/>
          <w:sz w:val="18"/>
          <w:szCs w:val="18"/>
          <w:color w:val="auto"/>
        </w:rPr>
        <w:t>occurrence of involuntary termination. As the likelihood of these events taking place is not determinable, no contingent liabilities have been recorded in the consolidated financial statements.</w:t>
      </w:r>
    </w:p>
    <w:p>
      <w:pPr>
        <w:spacing w:after="0" w:line="156" w:lineRule="exact"/>
        <w:rPr>
          <w:sz w:val="20"/>
          <w:szCs w:val="20"/>
          <w:color w:val="auto"/>
        </w:rPr>
      </w:pPr>
    </w:p>
    <w:p>
      <w:pPr>
        <w:ind w:right="20"/>
        <w:spacing w:after="0" w:line="323" w:lineRule="auto"/>
        <w:rPr>
          <w:sz w:val="20"/>
          <w:szCs w:val="20"/>
          <w:color w:val="auto"/>
        </w:rPr>
      </w:pPr>
      <w:r>
        <w:rPr>
          <w:rFonts w:ascii="Times New Roman" w:cs="Times New Roman" w:eastAsia="Times New Roman" w:hAnsi="Times New Roman"/>
          <w:sz w:val="18"/>
          <w:szCs w:val="18"/>
          <w:color w:val="auto"/>
        </w:rPr>
        <w:t>In the normal course of business, the Company may be subject to legal proceedings and claims. As at September 30, 2024, there was no ongoing litigation and therefore no contingent liabilities have been recorded.</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Outstanding Share Data</w:t>
      </w:r>
    </w:p>
    <w:p>
      <w:pPr>
        <w:spacing w:after="0" w:line="254" w:lineRule="exact"/>
        <w:rPr>
          <w:sz w:val="20"/>
          <w:szCs w:val="20"/>
          <w:color w:val="auto"/>
        </w:rPr>
      </w:pPr>
    </w:p>
    <w:p>
      <w:pPr>
        <w:spacing w:after="0" w:line="323" w:lineRule="auto"/>
        <w:rPr>
          <w:sz w:val="20"/>
          <w:szCs w:val="20"/>
          <w:color w:val="auto"/>
        </w:rPr>
      </w:pPr>
      <w:r>
        <w:rPr>
          <w:rFonts w:ascii="Times New Roman" w:cs="Times New Roman" w:eastAsia="Times New Roman" w:hAnsi="Times New Roman"/>
          <w:sz w:val="18"/>
          <w:szCs w:val="18"/>
          <w:color w:val="auto"/>
        </w:rPr>
        <w:t>On September 19, 2024, the Company completed the Consolidation. As a result, all figures related to shares, warrants, options and earnings per share presented in this MD&amp;A have been restated retrospectively for all periods to reflect the Consolidation.</w:t>
      </w:r>
    </w:p>
    <w:p>
      <w:pPr>
        <w:spacing w:after="0" w:line="13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table below sets out the outstanding share capital of the Company as at September 30, 2024, and as of the date of this MD&amp;A:</w:t>
      </w:r>
    </w:p>
    <w:p>
      <w:pPr>
        <w:spacing w:after="0" w:line="265" w:lineRule="exact"/>
        <w:rPr>
          <w:sz w:val="20"/>
          <w:szCs w:val="20"/>
          <w:color w:val="auto"/>
        </w:rPr>
      </w:pPr>
    </w:p>
    <w:tbl>
      <w:tblPr>
        <w:tblLayout w:type="fixed"/>
        <w:tblInd w:w="10" w:type="dxa"/>
        <w:tblCellMar>
          <w:top w:w="0" w:type="dxa"/>
          <w:left w:w="0" w:type="dxa"/>
          <w:bottom w:w="0" w:type="dxa"/>
          <w:right w:w="0" w:type="dxa"/>
        </w:tblCellMar>
      </w:tblPr>
      <w:tr>
        <w:trPr>
          <w:trHeight w:val="203"/>
        </w:trPr>
        <w:tc>
          <w:tcPr>
            <w:tcW w:w="4320" w:type="dxa"/>
            <w:vAlign w:val="bottom"/>
            <w:tcBorders>
              <w:top w:val="single" w:sz="8" w:color="auto"/>
              <w:left w:val="single" w:sz="8" w:color="auto"/>
              <w:right w:val="single" w:sz="8" w:color="auto"/>
            </w:tcBorders>
            <w:shd w:val="clear" w:color="auto" w:fill="DBDBDB"/>
          </w:tcPr>
          <w:p>
            <w:pPr>
              <w:jc w:val="center"/>
              <w:spacing w:after="0"/>
              <w:rPr>
                <w:sz w:val="20"/>
                <w:szCs w:val="20"/>
                <w:color w:val="auto"/>
              </w:rPr>
            </w:pPr>
            <w:r>
              <w:rPr>
                <w:rFonts w:ascii="Times New Roman" w:cs="Times New Roman" w:eastAsia="Times New Roman" w:hAnsi="Times New Roman"/>
                <w:sz w:val="15"/>
                <w:szCs w:val="15"/>
                <w:b w:val="1"/>
                <w:bCs w:val="1"/>
                <w:color w:val="auto"/>
                <w:w w:val="96"/>
              </w:rPr>
              <w:t>Class of Security</w:t>
            </w:r>
          </w:p>
        </w:tc>
        <w:tc>
          <w:tcPr>
            <w:tcW w:w="3260" w:type="dxa"/>
            <w:vAlign w:val="bottom"/>
            <w:tcBorders>
              <w:top w:val="single" w:sz="8" w:color="auto"/>
              <w:right w:val="single" w:sz="8" w:color="auto"/>
            </w:tcBorders>
            <w:shd w:val="clear" w:color="auto" w:fill="DBDBDB"/>
          </w:tcPr>
          <w:p>
            <w:pPr>
              <w:ind w:left="820"/>
              <w:spacing w:after="0"/>
              <w:rPr>
                <w:sz w:val="20"/>
                <w:szCs w:val="20"/>
                <w:color w:val="auto"/>
              </w:rPr>
            </w:pPr>
            <w:r>
              <w:rPr>
                <w:rFonts w:ascii="Times New Roman" w:cs="Times New Roman" w:eastAsia="Times New Roman" w:hAnsi="Times New Roman"/>
                <w:sz w:val="15"/>
                <w:szCs w:val="15"/>
                <w:b w:val="1"/>
                <w:bCs w:val="1"/>
                <w:color w:val="auto"/>
              </w:rPr>
              <w:t>As of September 30, 2024</w:t>
            </w:r>
          </w:p>
        </w:tc>
        <w:tc>
          <w:tcPr>
            <w:tcW w:w="3700" w:type="dxa"/>
            <w:vAlign w:val="bottom"/>
            <w:tcBorders>
              <w:top w:val="single" w:sz="8" w:color="auto"/>
              <w:right w:val="single" w:sz="8" w:color="auto"/>
            </w:tcBorders>
            <w:shd w:val="clear" w:color="auto" w:fill="DBDBDB"/>
          </w:tcPr>
          <w:p>
            <w:pPr>
              <w:ind w:left="940"/>
              <w:spacing w:after="0"/>
              <w:rPr>
                <w:sz w:val="20"/>
                <w:szCs w:val="20"/>
                <w:color w:val="auto"/>
              </w:rPr>
            </w:pPr>
            <w:r>
              <w:rPr>
                <w:rFonts w:ascii="Times New Roman" w:cs="Times New Roman" w:eastAsia="Times New Roman" w:hAnsi="Times New Roman"/>
                <w:sz w:val="15"/>
                <w:szCs w:val="15"/>
                <w:b w:val="1"/>
                <w:bCs w:val="1"/>
                <w:color w:val="auto"/>
              </w:rPr>
              <w:t>As of the date of this MD&amp;A</w:t>
            </w:r>
          </w:p>
        </w:tc>
        <w:tc>
          <w:tcPr>
            <w:tcW w:w="0" w:type="dxa"/>
            <w:vAlign w:val="bottom"/>
          </w:tcPr>
          <w:p>
            <w:pPr>
              <w:spacing w:after="0"/>
              <w:rPr>
                <w:sz w:val="1"/>
                <w:szCs w:val="1"/>
                <w:color w:val="auto"/>
              </w:rPr>
            </w:pPr>
          </w:p>
        </w:tc>
      </w:tr>
      <w:tr>
        <w:trPr>
          <w:trHeight w:val="220"/>
        </w:trPr>
        <w:tc>
          <w:tcPr>
            <w:tcW w:w="4320" w:type="dxa"/>
            <w:vAlign w:val="bottom"/>
            <w:tcBorders>
              <w:left w:val="single" w:sz="8" w:color="auto"/>
              <w:bottom w:val="single" w:sz="8" w:color="auto"/>
              <w:right w:val="single" w:sz="8" w:color="auto"/>
            </w:tcBorders>
            <w:shd w:val="clear" w:color="auto" w:fill="DBDBDB"/>
          </w:tcPr>
          <w:p>
            <w:pPr>
              <w:spacing w:after="0"/>
              <w:rPr>
                <w:sz w:val="19"/>
                <w:szCs w:val="19"/>
                <w:color w:val="auto"/>
              </w:rPr>
            </w:pPr>
          </w:p>
        </w:tc>
        <w:tc>
          <w:tcPr>
            <w:tcW w:w="3260" w:type="dxa"/>
            <w:vAlign w:val="bottom"/>
            <w:tcBorders>
              <w:bottom w:val="single" w:sz="8" w:color="auto"/>
              <w:right w:val="single" w:sz="8" w:color="auto"/>
            </w:tcBorders>
            <w:shd w:val="clear" w:color="auto" w:fill="DBDBDB"/>
          </w:tcPr>
          <w:p>
            <w:pPr>
              <w:spacing w:after="0"/>
              <w:rPr>
                <w:sz w:val="19"/>
                <w:szCs w:val="19"/>
                <w:color w:val="auto"/>
              </w:rPr>
            </w:pPr>
          </w:p>
        </w:tc>
        <w:tc>
          <w:tcPr>
            <w:tcW w:w="3700" w:type="dxa"/>
            <w:vAlign w:val="bottom"/>
            <w:tcBorders>
              <w:bottom w:val="single" w:sz="8" w:color="auto"/>
              <w:right w:val="single" w:sz="8" w:color="auto"/>
            </w:tcBorders>
            <w:shd w:val="clear" w:color="auto" w:fill="DBDBDB"/>
          </w:tcPr>
          <w:p>
            <w:pPr>
              <w:spacing w:after="0"/>
              <w:rPr>
                <w:sz w:val="19"/>
                <w:szCs w:val="19"/>
                <w:color w:val="auto"/>
              </w:rPr>
            </w:pPr>
          </w:p>
        </w:tc>
        <w:tc>
          <w:tcPr>
            <w:tcW w:w="0" w:type="dxa"/>
            <w:vAlign w:val="bottom"/>
          </w:tcPr>
          <w:p>
            <w:pPr>
              <w:spacing w:after="0"/>
              <w:rPr>
                <w:sz w:val="1"/>
                <w:szCs w:val="1"/>
                <w:color w:val="auto"/>
              </w:rPr>
            </w:pPr>
          </w:p>
        </w:tc>
      </w:tr>
      <w:tr>
        <w:trPr>
          <w:trHeight w:val="183"/>
        </w:trPr>
        <w:tc>
          <w:tcPr>
            <w:tcW w:w="432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w w:val="96"/>
              </w:rPr>
              <w:t>Common Shares</w:t>
            </w:r>
          </w:p>
        </w:tc>
        <w:tc>
          <w:tcPr>
            <w:tcW w:w="32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w w:val="97"/>
              </w:rPr>
              <w:t>19,991,910</w:t>
            </w:r>
          </w:p>
        </w:tc>
        <w:tc>
          <w:tcPr>
            <w:tcW w:w="37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w w:val="97"/>
              </w:rPr>
              <w:t>19,991,910</w:t>
            </w:r>
          </w:p>
        </w:tc>
        <w:tc>
          <w:tcPr>
            <w:tcW w:w="0" w:type="dxa"/>
            <w:vAlign w:val="bottom"/>
          </w:tcPr>
          <w:p>
            <w:pPr>
              <w:spacing w:after="0"/>
              <w:rPr>
                <w:sz w:val="1"/>
                <w:szCs w:val="1"/>
                <w:color w:val="auto"/>
              </w:rPr>
            </w:pPr>
          </w:p>
        </w:tc>
      </w:tr>
      <w:tr>
        <w:trPr>
          <w:trHeight w:val="186"/>
        </w:trPr>
        <w:tc>
          <w:tcPr>
            <w:tcW w:w="432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w w:val="97"/>
              </w:rPr>
              <w:t>Stock options</w:t>
            </w:r>
          </w:p>
        </w:tc>
        <w:tc>
          <w:tcPr>
            <w:tcW w:w="32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w w:val="96"/>
              </w:rPr>
              <w:t>3,912,010</w:t>
            </w:r>
          </w:p>
        </w:tc>
        <w:tc>
          <w:tcPr>
            <w:tcW w:w="37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w w:val="96"/>
              </w:rPr>
              <w:t>3,912,010</w:t>
            </w:r>
          </w:p>
        </w:tc>
        <w:tc>
          <w:tcPr>
            <w:tcW w:w="0" w:type="dxa"/>
            <w:vAlign w:val="bottom"/>
          </w:tcPr>
          <w:p>
            <w:pPr>
              <w:spacing w:after="0"/>
              <w:rPr>
                <w:sz w:val="1"/>
                <w:szCs w:val="1"/>
                <w:color w:val="auto"/>
              </w:rPr>
            </w:pPr>
          </w:p>
        </w:tc>
      </w:tr>
      <w:tr>
        <w:trPr>
          <w:trHeight w:val="186"/>
        </w:trPr>
        <w:tc>
          <w:tcPr>
            <w:tcW w:w="432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w w:val="96"/>
              </w:rPr>
              <w:t>Common Share purchase warrants</w:t>
            </w:r>
          </w:p>
        </w:tc>
        <w:tc>
          <w:tcPr>
            <w:tcW w:w="32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w w:val="96"/>
              </w:rPr>
              <w:t>2,796,197</w:t>
            </w:r>
          </w:p>
        </w:tc>
        <w:tc>
          <w:tcPr>
            <w:tcW w:w="37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w w:val="96"/>
              </w:rPr>
              <w:t>2,796,197</w:t>
            </w:r>
          </w:p>
        </w:tc>
        <w:tc>
          <w:tcPr>
            <w:tcW w:w="0" w:type="dxa"/>
            <w:vAlign w:val="bottom"/>
          </w:tcPr>
          <w:p>
            <w:pPr>
              <w:spacing w:after="0"/>
              <w:rPr>
                <w:sz w:val="1"/>
                <w:szCs w:val="1"/>
                <w:color w:val="auto"/>
              </w:rPr>
            </w:pPr>
          </w:p>
        </w:tc>
      </w:tr>
      <w:tr>
        <w:trPr>
          <w:trHeight w:val="236"/>
        </w:trPr>
        <w:tc>
          <w:tcPr>
            <w:tcW w:w="432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w w:val="94"/>
              </w:rPr>
              <w:t xml:space="preserve">Class B Shares (as defined below) </w:t>
            </w:r>
            <w:r>
              <w:rPr>
                <w:rFonts w:ascii="Times New Roman" w:cs="Times New Roman" w:eastAsia="Times New Roman" w:hAnsi="Times New Roman"/>
                <w:sz w:val="18"/>
                <w:szCs w:val="18"/>
                <w:color w:val="auto"/>
                <w:w w:val="94"/>
                <w:vertAlign w:val="superscript"/>
              </w:rPr>
              <w:t>(1)</w:t>
            </w:r>
          </w:p>
        </w:tc>
        <w:tc>
          <w:tcPr>
            <w:tcW w:w="326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5"/>
                <w:szCs w:val="15"/>
                <w:color w:val="auto"/>
                <w:w w:val="95"/>
              </w:rPr>
              <w:t>36,084.7</w:t>
            </w:r>
          </w:p>
        </w:tc>
        <w:tc>
          <w:tcPr>
            <w:tcW w:w="370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5"/>
                <w:szCs w:val="15"/>
                <w:color w:val="auto"/>
                <w:w w:val="95"/>
              </w:rPr>
              <w:t>36,084.7</w:t>
            </w:r>
          </w:p>
        </w:tc>
        <w:tc>
          <w:tcPr>
            <w:tcW w:w="0" w:type="dxa"/>
            <w:vAlign w:val="bottom"/>
          </w:tcPr>
          <w:p>
            <w:pPr>
              <w:spacing w:after="0"/>
              <w:rPr>
                <w:sz w:val="1"/>
                <w:szCs w:val="1"/>
                <w:color w:val="auto"/>
              </w:rPr>
            </w:pPr>
          </w:p>
        </w:tc>
      </w:tr>
      <w:tr>
        <w:trPr>
          <w:trHeight w:val="46"/>
        </w:trPr>
        <w:tc>
          <w:tcPr>
            <w:tcW w:w="4320" w:type="dxa"/>
            <w:vAlign w:val="bottom"/>
            <w:tcBorders>
              <w:left w:val="single" w:sz="8" w:color="auto"/>
              <w:bottom w:val="single" w:sz="8" w:color="auto"/>
              <w:right w:val="single" w:sz="8" w:color="auto"/>
            </w:tcBorders>
          </w:tcPr>
          <w:p>
            <w:pPr>
              <w:spacing w:after="0"/>
              <w:rPr>
                <w:sz w:val="4"/>
                <w:szCs w:val="4"/>
                <w:color w:val="auto"/>
              </w:rPr>
            </w:pPr>
          </w:p>
        </w:tc>
        <w:tc>
          <w:tcPr>
            <w:tcW w:w="3260" w:type="dxa"/>
            <w:vAlign w:val="bottom"/>
            <w:tcBorders>
              <w:bottom w:val="single" w:sz="8" w:color="auto"/>
              <w:right w:val="single" w:sz="8" w:color="auto"/>
            </w:tcBorders>
            <w:vMerge w:val="continue"/>
          </w:tcPr>
          <w:p>
            <w:pPr>
              <w:spacing w:after="0"/>
              <w:rPr>
                <w:sz w:val="4"/>
                <w:szCs w:val="4"/>
                <w:color w:val="auto"/>
              </w:rPr>
            </w:pPr>
          </w:p>
        </w:tc>
        <w:tc>
          <w:tcPr>
            <w:tcW w:w="3700" w:type="dxa"/>
            <w:vAlign w:val="bottom"/>
            <w:tcBorders>
              <w:bottom w:val="single" w:sz="8" w:color="auto"/>
              <w:right w:val="single" w:sz="8" w:color="auto"/>
            </w:tcBorders>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u w:val="single" w:color="auto"/>
          <w:color w:val="auto"/>
        </w:rPr>
        <w:t>Note:</w:t>
      </w:r>
    </w:p>
    <w:p>
      <w:pPr>
        <w:spacing w:after="0" w:line="83" w:lineRule="exact"/>
        <w:rPr>
          <w:sz w:val="20"/>
          <w:szCs w:val="20"/>
          <w:color w:val="auto"/>
        </w:rPr>
      </w:pPr>
    </w:p>
    <w:p>
      <w:pPr>
        <w:ind w:left="580" w:right="20" w:hanging="3"/>
        <w:spacing w:after="0" w:line="326" w:lineRule="auto"/>
        <w:tabs>
          <w:tab w:leader="none" w:pos="809" w:val="left"/>
        </w:tabs>
        <w:numPr>
          <w:ilvl w:val="0"/>
          <w:numId w:val="43"/>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Class B Shares are exchangeable for Common Shares, on the basis of 0.26316 Common Shares for each Class B Share, at the option of the holder thereof, subject to customary adjustments.</w:t>
      </w:r>
    </w:p>
    <w:p>
      <w:pPr>
        <w:spacing w:after="0" w:line="1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Common Shares</w:t>
      </w:r>
    </w:p>
    <w:p>
      <w:pPr>
        <w:spacing w:after="0" w:line="23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authorized capital of the Company consists of an unlimited number of Common Shares without par value and an unlimited number of preferred shares.</w:t>
      </w:r>
    </w:p>
    <w:p>
      <w:pPr>
        <w:spacing w:after="0" w:line="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of September 30, 2024, and the date of this MD&amp;A 19,991,910 Common Shares were outstanding and no preferred shares were issued and outstanding.</w:t>
      </w:r>
    </w:p>
    <w:p>
      <w:pPr>
        <w:spacing w:after="0" w:line="2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Stock Options</w:t>
      </w:r>
    </w:p>
    <w:p>
      <w:pPr>
        <w:spacing w:after="0" w:line="232" w:lineRule="exact"/>
        <w:rPr>
          <w:sz w:val="20"/>
          <w:szCs w:val="20"/>
          <w:color w:val="auto"/>
        </w:rPr>
      </w:pPr>
    </w:p>
    <w:p>
      <w:pPr>
        <w:ind w:right="20"/>
        <w:spacing w:after="0" w:line="323" w:lineRule="auto"/>
        <w:rPr>
          <w:sz w:val="20"/>
          <w:szCs w:val="20"/>
          <w:color w:val="auto"/>
        </w:rPr>
      </w:pPr>
      <w:r>
        <w:rPr>
          <w:rFonts w:ascii="Times New Roman" w:cs="Times New Roman" w:eastAsia="Times New Roman" w:hAnsi="Times New Roman"/>
          <w:sz w:val="18"/>
          <w:szCs w:val="18"/>
          <w:color w:val="auto"/>
        </w:rPr>
        <w:t>As of September 30, 2024 and the date of this MD&amp;A options to purchase up to 3,912,010 Common Shares were outstanding under Cybin’s equity incentive plan.</w:t>
      </w:r>
    </w:p>
    <w:p>
      <w:pPr>
        <w:spacing w:after="0" w:line="1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Common Share Purchase Warrants</w:t>
      </w:r>
    </w:p>
    <w:p>
      <w:pPr>
        <w:spacing w:after="0" w:line="256" w:lineRule="exact"/>
        <w:rPr>
          <w:sz w:val="20"/>
          <w:szCs w:val="20"/>
          <w:color w:val="auto"/>
        </w:rPr>
      </w:pPr>
    </w:p>
    <w:p>
      <w:pPr>
        <w:ind w:right="20"/>
        <w:spacing w:after="0" w:line="323" w:lineRule="auto"/>
        <w:rPr>
          <w:sz w:val="20"/>
          <w:szCs w:val="20"/>
          <w:color w:val="auto"/>
        </w:rPr>
      </w:pPr>
      <w:r>
        <w:rPr>
          <w:rFonts w:ascii="Times New Roman" w:cs="Times New Roman" w:eastAsia="Times New Roman" w:hAnsi="Times New Roman"/>
          <w:sz w:val="18"/>
          <w:szCs w:val="18"/>
          <w:color w:val="auto"/>
        </w:rPr>
        <w:t>As of September 30, 2024, and the date of this MD&amp;A, warrants to purchase up to 2,796,197 Common Shares were outstanding, exercisable at weighted average exercise price of $22.66 per Common Share.</w:t>
      </w:r>
    </w:p>
    <w:p>
      <w:pPr>
        <w:spacing w:after="0" w:line="12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Class B Shares</w:t>
      </w:r>
    </w:p>
    <w:p>
      <w:pPr>
        <w:spacing w:after="0" w:line="266" w:lineRule="exact"/>
        <w:rPr>
          <w:sz w:val="20"/>
          <w:szCs w:val="20"/>
          <w:color w:val="auto"/>
        </w:rPr>
      </w:pPr>
    </w:p>
    <w:p>
      <w:pPr>
        <w:ind w:right="20"/>
        <w:spacing w:after="0" w:line="311" w:lineRule="auto"/>
        <w:rPr>
          <w:sz w:val="20"/>
          <w:szCs w:val="20"/>
          <w:color w:val="auto"/>
        </w:rPr>
      </w:pPr>
      <w:r>
        <w:rPr>
          <w:rFonts w:ascii="Times New Roman" w:cs="Times New Roman" w:eastAsia="Times New Roman" w:hAnsi="Times New Roman"/>
          <w:sz w:val="18"/>
          <w:szCs w:val="18"/>
          <w:color w:val="auto"/>
        </w:rPr>
        <w:t>In connection with the Adelia Transaction (see “</w:t>
      </w:r>
      <w:r>
        <w:rPr>
          <w:rFonts w:ascii="Times New Roman" w:cs="Times New Roman" w:eastAsia="Times New Roman" w:hAnsi="Times New Roman"/>
          <w:sz w:val="18"/>
          <w:szCs w:val="18"/>
          <w:b w:val="1"/>
          <w:bCs w:val="1"/>
          <w:color w:val="auto"/>
        </w:rPr>
        <w:t>Acquisitions</w:t>
      </w:r>
      <w:r>
        <w:rPr>
          <w:rFonts w:ascii="Times New Roman" w:cs="Times New Roman" w:eastAsia="Times New Roman" w:hAnsi="Times New Roman"/>
          <w:sz w:val="18"/>
          <w:szCs w:val="18"/>
          <w:color w:val="auto"/>
        </w:rPr>
        <w:t>”), Cybin U.S. (a subsidiary of the Company) has issued 1,591,625.3 Class B Shares. The Class B Shares are exchangeable at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64</w:t>
      </w:r>
    </w:p>
    <w:p>
      <w:pPr>
        <w:sectPr>
          <w:pgSz w:w="11900" w:h="16838" w:orient="portrait"/>
          <w:cols w:equalWidth="0" w:num="1">
            <w:col w:w="11260"/>
          </w:cols>
          <w:pgMar w:left="320" w:top="1303" w:right="319" w:bottom="1440" w:gutter="0" w:footer="0" w:header="0"/>
        </w:sectPr>
      </w:pPr>
    </w:p>
    <w:bookmarkStart w:id="90" w:name="page91"/>
    <w:bookmarkEnd w:id="90"/>
    <w:p>
      <w:pPr>
        <w:jc w:val="both"/>
        <w:ind w:right="20"/>
        <w:spacing w:after="0" w:line="323" w:lineRule="auto"/>
        <w:rPr>
          <w:sz w:val="20"/>
          <w:szCs w:val="20"/>
          <w:color w:val="auto"/>
        </w:rPr>
      </w:pPr>
      <w:r>
        <w:rPr>
          <w:rFonts w:ascii="Times New Roman" w:cs="Times New Roman" w:eastAsia="Times New Roman" w:hAnsi="Times New Roman"/>
          <w:sz w:val="18"/>
          <w:szCs w:val="18"/>
          <w:color w:val="auto"/>
        </w:rPr>
        <w:t>holder’s option for Common Shares on the basis of 0.26316 Common Shares for 1 Class B Share, subject to customary adjustments. As of September 30, 2024, and the date of this MD&amp;A, 36,084.7 Class B Shares were outstanding.</w:t>
      </w:r>
    </w:p>
    <w:p>
      <w:pPr>
        <w:spacing w:after="0" w:line="1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Adelia Acquisition</w:t>
      </w:r>
    </w:p>
    <w:p>
      <w:pPr>
        <w:spacing w:after="0" w:line="252"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color w:val="auto"/>
        </w:rPr>
        <w:t>On December 4, 2020, Cybin entered into a contribution agreement, as amended on September 24, 2021, (the “</w:t>
      </w:r>
      <w:r>
        <w:rPr>
          <w:rFonts w:ascii="Times New Roman" w:cs="Times New Roman" w:eastAsia="Times New Roman" w:hAnsi="Times New Roman"/>
          <w:sz w:val="18"/>
          <w:szCs w:val="18"/>
          <w:b w:val="1"/>
          <w:bCs w:val="1"/>
          <w:color w:val="auto"/>
        </w:rPr>
        <w:t>Contribution Agreement</w:t>
      </w:r>
      <w:r>
        <w:rPr>
          <w:rFonts w:ascii="Times New Roman" w:cs="Times New Roman" w:eastAsia="Times New Roman" w:hAnsi="Times New Roman"/>
          <w:sz w:val="18"/>
          <w:szCs w:val="18"/>
          <w:color w:val="auto"/>
        </w:rPr>
        <w:t>”) with Cybin Corp., Cybin U.S. (the “</w:t>
      </w:r>
      <w:r>
        <w:rPr>
          <w:rFonts w:ascii="Times New Roman" w:cs="Times New Roman" w:eastAsia="Times New Roman" w:hAnsi="Times New Roman"/>
          <w:sz w:val="18"/>
          <w:szCs w:val="18"/>
          <w:b w:val="1"/>
          <w:bCs w:val="1"/>
          <w:color w:val="auto"/>
        </w:rPr>
        <w:t>Acquiror</w:t>
      </w:r>
      <w:r>
        <w:rPr>
          <w:rFonts w:ascii="Times New Roman" w:cs="Times New Roman" w:eastAsia="Times New Roman" w:hAnsi="Times New Roman"/>
          <w:sz w:val="18"/>
          <w:szCs w:val="18"/>
          <w:color w:val="auto"/>
        </w:rPr>
        <w:t>”), a newly formed fully-controlled subsidiary of Cybin created for the purposes of the Adelia Transaction, and all of the shareholders of Adelia (the “</w:t>
      </w:r>
      <w:r>
        <w:rPr>
          <w:rFonts w:ascii="Times New Roman" w:cs="Times New Roman" w:eastAsia="Times New Roman" w:hAnsi="Times New Roman"/>
          <w:sz w:val="18"/>
          <w:szCs w:val="18"/>
          <w:b w:val="1"/>
          <w:bCs w:val="1"/>
          <w:color w:val="auto"/>
        </w:rPr>
        <w:t>Adelia Shareholders</w:t>
      </w:r>
      <w:r>
        <w:rPr>
          <w:rFonts w:ascii="Times New Roman" w:cs="Times New Roman" w:eastAsia="Times New Roman" w:hAnsi="Times New Roman"/>
          <w:sz w:val="18"/>
          <w:szCs w:val="18"/>
          <w:color w:val="auto"/>
        </w:rPr>
        <w:t>”) whereby the Acquiror has agreed to purchase from the Adelia Shareholders all of the issued and outstanding common shares of Adelia (the “</w:t>
      </w:r>
      <w:r>
        <w:rPr>
          <w:rFonts w:ascii="Times New Roman" w:cs="Times New Roman" w:eastAsia="Times New Roman" w:hAnsi="Times New Roman"/>
          <w:sz w:val="18"/>
          <w:szCs w:val="18"/>
          <w:b w:val="1"/>
          <w:bCs w:val="1"/>
          <w:color w:val="auto"/>
        </w:rPr>
        <w:t>Adelia Shares</w:t>
      </w:r>
      <w:r>
        <w:rPr>
          <w:rFonts w:ascii="Times New Roman" w:cs="Times New Roman" w:eastAsia="Times New Roman" w:hAnsi="Times New Roman"/>
          <w:sz w:val="18"/>
          <w:szCs w:val="18"/>
          <w:color w:val="auto"/>
        </w:rPr>
        <w:t>”) in exchange for non-voting Class B common shares in the capital of the Acquiror (the “</w:t>
      </w:r>
      <w:r>
        <w:rPr>
          <w:rFonts w:ascii="Times New Roman" w:cs="Times New Roman" w:eastAsia="Times New Roman" w:hAnsi="Times New Roman"/>
          <w:sz w:val="18"/>
          <w:szCs w:val="18"/>
          <w:b w:val="1"/>
          <w:bCs w:val="1"/>
          <w:color w:val="auto"/>
        </w:rPr>
        <w:t>Class B</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Shares</w:t>
      </w:r>
      <w:r>
        <w:rPr>
          <w:rFonts w:ascii="Times New Roman" w:cs="Times New Roman" w:eastAsia="Times New Roman" w:hAnsi="Times New Roman"/>
          <w:sz w:val="18"/>
          <w:szCs w:val="18"/>
          <w:color w:val="auto"/>
        </w:rPr>
        <w:t>”). The Adelia Transaction closed on December 14, 2020 (the “</w:t>
      </w:r>
      <w:r>
        <w:rPr>
          <w:rFonts w:ascii="Times New Roman" w:cs="Times New Roman" w:eastAsia="Times New Roman" w:hAnsi="Times New Roman"/>
          <w:sz w:val="18"/>
          <w:szCs w:val="18"/>
          <w:b w:val="1"/>
          <w:bCs w:val="1"/>
          <w:color w:val="auto"/>
        </w:rPr>
        <w:t>Closing</w:t>
      </w:r>
      <w:r>
        <w:rPr>
          <w:rFonts w:ascii="Times New Roman" w:cs="Times New Roman" w:eastAsia="Times New Roman" w:hAnsi="Times New Roman"/>
          <w:sz w:val="18"/>
          <w:szCs w:val="18"/>
          <w:color w:val="auto"/>
        </w:rPr>
        <w:t>”).</w:t>
      </w:r>
    </w:p>
    <w:p>
      <w:pPr>
        <w:spacing w:after="0" w:line="2" w:lineRule="exact"/>
        <w:rPr>
          <w:sz w:val="20"/>
          <w:szCs w:val="20"/>
          <w:color w:val="auto"/>
        </w:rPr>
      </w:pPr>
    </w:p>
    <w:p>
      <w:pPr>
        <w:jc w:val="both"/>
        <w:ind w:right="20"/>
        <w:spacing w:after="0" w:line="287" w:lineRule="auto"/>
        <w:rPr>
          <w:sz w:val="20"/>
          <w:szCs w:val="20"/>
          <w:color w:val="auto"/>
        </w:rPr>
      </w:pPr>
      <w:r>
        <w:rPr>
          <w:rFonts w:ascii="Times New Roman" w:cs="Times New Roman" w:eastAsia="Times New Roman" w:hAnsi="Times New Roman"/>
          <w:sz w:val="18"/>
          <w:szCs w:val="18"/>
          <w:color w:val="auto"/>
        </w:rPr>
        <w:t>Pursuant to the Contribution Agreement, the Adelia Shareholders contributed all of the Adelia Shares to the Acquiror as a capital contribution in exchange for the Acquiror issuing to them, in the aggregate, 868,833 Class B Shares in accordance with their respective pro rata percentages at a price per Class B Share equal to $12.40 (approximately US$9.69). The aggregate value of the Class B Shares to be issued to the Adelia Shareholders on the Closing was $19,549 (approximately USD$15.28 million).</w:t>
      </w:r>
    </w:p>
    <w:p>
      <w:pPr>
        <w:spacing w:after="0" w:line="1" w:lineRule="exact"/>
        <w:rPr>
          <w:sz w:val="20"/>
          <w:szCs w:val="20"/>
          <w:color w:val="auto"/>
        </w:rPr>
      </w:pPr>
    </w:p>
    <w:p>
      <w:pPr>
        <w:jc w:val="both"/>
        <w:ind w:right="20"/>
        <w:spacing w:after="0" w:line="285" w:lineRule="auto"/>
        <w:rPr>
          <w:sz w:val="20"/>
          <w:szCs w:val="20"/>
          <w:color w:val="auto"/>
        </w:rPr>
      </w:pPr>
      <w:r>
        <w:rPr>
          <w:rFonts w:ascii="Times New Roman" w:cs="Times New Roman" w:eastAsia="Times New Roman" w:hAnsi="Times New Roman"/>
          <w:sz w:val="18"/>
          <w:szCs w:val="18"/>
          <w:color w:val="auto"/>
        </w:rPr>
        <w:t xml:space="preserve">The Class B Shares issued by the Acquiror to the Adelia Shareholders are exchangeable for Common Shares on a 0.26316 Common Shares for 1 Class B Share basis, at the option of the holder thereof, subject to customary adjustments. The purpose of issuing exchangeable Class B Shares to the Adelia Shareholders is to allow the Adelia Shareholders to defer a taxable event, which occurs on the exchange of shares of a United States company for the shares of a Canadian company. Notwithstanding the foregoing, no Class B Shares were exchangeable prior to the first anniversary of the Closing and not more than: (i) 33 1/3% of the Class B Shares were exchangeable prior to the second anniversary of Closing; (ii) 66 2/3% of the Class B Shares were exchangeable prior to the third anniversary of Closing; and (iii) thereafter, 100% of the Class B Shares will be exchangeable ((i), (ii) and (iii), collectively, the “Hold Periods”). The Class B Shares issued to the Adelia Shareholders upon the Closing are exchangeable for a total of </w:t>
      </w:r>
      <w:r>
        <w:rPr>
          <w:rFonts w:ascii="Times New Roman" w:cs="Times New Roman" w:eastAsia="Times New Roman" w:hAnsi="Times New Roman"/>
          <w:sz w:val="19"/>
          <w:szCs w:val="19"/>
          <w:color w:val="auto"/>
        </w:rPr>
        <w:t>228,640</w:t>
      </w:r>
      <w:r>
        <w:rPr>
          <w:rFonts w:ascii="Times New Roman" w:cs="Times New Roman" w:eastAsia="Times New Roman" w:hAnsi="Times New Roman"/>
          <w:sz w:val="18"/>
          <w:szCs w:val="18"/>
          <w:color w:val="auto"/>
        </w:rPr>
        <w:t xml:space="preserve"> Common Shares, resulting in an effective issue price of </w:t>
      </w:r>
      <w:r>
        <w:rPr>
          <w:rFonts w:ascii="Times New Roman" w:cs="Times New Roman" w:eastAsia="Times New Roman" w:hAnsi="Times New Roman"/>
          <w:sz w:val="19"/>
          <w:szCs w:val="19"/>
          <w:color w:val="auto"/>
        </w:rPr>
        <w:t>$47.12</w:t>
      </w:r>
      <w:r>
        <w:rPr>
          <w:rFonts w:ascii="Times New Roman" w:cs="Times New Roman" w:eastAsia="Times New Roman" w:hAnsi="Times New Roman"/>
          <w:sz w:val="18"/>
          <w:szCs w:val="18"/>
          <w:color w:val="auto"/>
        </w:rPr>
        <w:t xml:space="preserve"> per Cybin Share.</w:t>
      </w:r>
    </w:p>
    <w:p>
      <w:pPr>
        <w:spacing w:after="0" w:line="5" w:lineRule="exact"/>
        <w:rPr>
          <w:sz w:val="20"/>
          <w:szCs w:val="20"/>
          <w:color w:val="auto"/>
        </w:rPr>
      </w:pPr>
    </w:p>
    <w:p>
      <w:pPr>
        <w:jc w:val="both"/>
        <w:spacing w:after="0" w:line="295" w:lineRule="auto"/>
        <w:rPr>
          <w:sz w:val="20"/>
          <w:szCs w:val="20"/>
          <w:color w:val="auto"/>
        </w:rPr>
      </w:pPr>
      <w:r>
        <w:rPr>
          <w:rFonts w:ascii="Times New Roman" w:cs="Times New Roman" w:eastAsia="Times New Roman" w:hAnsi="Times New Roman"/>
          <w:sz w:val="18"/>
          <w:szCs w:val="18"/>
          <w:color w:val="auto"/>
        </w:rPr>
        <w:t>On the occurrence of certain milestones as set out in the Contribution Agreement (each a “</w:t>
      </w:r>
      <w:r>
        <w:rPr>
          <w:rFonts w:ascii="Times New Roman" w:cs="Times New Roman" w:eastAsia="Times New Roman" w:hAnsi="Times New Roman"/>
          <w:sz w:val="19"/>
          <w:szCs w:val="19"/>
          <w:b w:val="1"/>
          <w:bCs w:val="1"/>
          <w:color w:val="auto"/>
        </w:rPr>
        <w:t>Milestone</w:t>
      </w:r>
      <w:r>
        <w:rPr>
          <w:rFonts w:ascii="Times New Roman" w:cs="Times New Roman" w:eastAsia="Times New Roman" w:hAnsi="Times New Roman"/>
          <w:sz w:val="18"/>
          <w:szCs w:val="18"/>
          <w:color w:val="auto"/>
        </w:rPr>
        <w:t>”), the Acquiror will issue to the Adelia Shareholders in accordance with their pro rata percentage, within five business days following the relevant date at which there is agreement as to the achievement of the Milestone (the “</w:t>
      </w:r>
      <w:r>
        <w:rPr>
          <w:rFonts w:ascii="Times New Roman" w:cs="Times New Roman" w:eastAsia="Times New Roman" w:hAnsi="Times New Roman"/>
          <w:sz w:val="19"/>
          <w:szCs w:val="19"/>
          <w:b w:val="1"/>
          <w:bCs w:val="1"/>
          <w:color w:val="auto"/>
        </w:rPr>
        <w:t>Milestone Determination Date</w:t>
      </w:r>
      <w:r>
        <w:rPr>
          <w:rFonts w:ascii="Times New Roman" w:cs="Times New Roman" w:eastAsia="Times New Roman" w:hAnsi="Times New Roman"/>
          <w:sz w:val="18"/>
          <w:szCs w:val="18"/>
          <w:color w:val="auto"/>
        </w:rPr>
        <w:t>”), such number of Class B Shares as shall be determined by dividing the applicable Milestone consideration, as set out in the Contribution Agreement (or where some, but not all, of such sub-Milestone’s in the relevant fiscal quarter are achieved, such lesser potion of such milestone consideration) as is determined in accordance with applicable Milestone, by the greater of: (i) $28.50; (ii) the 10 day volume weighted average trading price of the Common Shares on the Exchange (or, in the event that the Common Shares are no longer traded on the Exchange, such other nationally recognized exchange as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65</w:t>
      </w:r>
    </w:p>
    <w:p>
      <w:pPr>
        <w:sectPr>
          <w:pgSz w:w="11900" w:h="16838" w:orient="portrait"/>
          <w:cols w:equalWidth="0" w:num="1">
            <w:col w:w="11260"/>
          </w:cols>
          <w:pgMar w:left="320" w:top="1303" w:right="319" w:bottom="1440" w:gutter="0" w:footer="0" w:header="0"/>
        </w:sectPr>
      </w:pPr>
    </w:p>
    <w:bookmarkStart w:id="91" w:name="page92"/>
    <w:bookmarkEnd w:id="91"/>
    <w:p>
      <w:pPr>
        <w:jc w:val="both"/>
        <w:spacing w:after="0" w:line="287" w:lineRule="auto"/>
        <w:rPr>
          <w:sz w:val="20"/>
          <w:szCs w:val="20"/>
          <w:color w:val="auto"/>
        </w:rPr>
      </w:pPr>
      <w:r>
        <w:rPr>
          <w:rFonts w:ascii="Times New Roman" w:cs="Times New Roman" w:eastAsia="Times New Roman" w:hAnsi="Times New Roman"/>
          <w:sz w:val="18"/>
          <w:szCs w:val="18"/>
          <w:color w:val="auto"/>
        </w:rPr>
        <w:t>Common Shares may at the applicable time be trading); and (iii) the closing market price of the Common Shares on the Exchange (or, in the event that the Common Shares are no longer traded on the Exchange, such other nationally recognized exchange as the Common may at the applicable time be trading) in each case, on the close of business on the last business day preceding the Milestone Determination Date. If a particular Milestone has not been achieved by the close of the quarter immediately following the quarter in which such Milestone is scheduled for completion pursuant to the Contribution Agreement, the Acquiror’s obligation to issue Class B Shares on the occurrence of the applicable Milestone shall expire. The total value of the Class B Shares issuable pursuant to the Milestones is up to $9,388 (approximately US$7.33 million). As of the date of this MD&amp;A, all of the Milestones have been completed, 1,591,625.3 Class B Shares have been issued, and 1,555,540.6 Class B Shares have been exchanged into Common Shares. Pursuant to the Contribution Agreement, Cybin, the Acquiror and the Adelia Shareholders also entered into a support agreement dated December 14, 2020 (the “</w:t>
      </w:r>
      <w:r>
        <w:rPr>
          <w:rFonts w:ascii="Times New Roman" w:cs="Times New Roman" w:eastAsia="Times New Roman" w:hAnsi="Times New Roman"/>
          <w:sz w:val="19"/>
          <w:szCs w:val="19"/>
          <w:b w:val="1"/>
          <w:bCs w:val="1"/>
          <w:color w:val="auto"/>
        </w:rPr>
        <w:t>Support Agreement</w:t>
      </w:r>
      <w:r>
        <w:rPr>
          <w:rFonts w:ascii="Times New Roman" w:cs="Times New Roman" w:eastAsia="Times New Roman" w:hAnsi="Times New Roman"/>
          <w:sz w:val="18"/>
          <w:szCs w:val="18"/>
          <w:color w:val="auto"/>
        </w:rPr>
        <w:t>”), which for the purpose of Canadian securities law, is deemed a “security” as it is a document evidencing an interest in or to a security (i.e. the Common Shares), and, as such, constitutes a security of Cybin. Upon the signing of the Support Agreement, given that each of the Adelia Shareholders are an “accredited investor”, the prescribed restricted period (of (4) months and one (1) day after the date of issuance) as required under Canadian securities law on the Common Shares (which are exchangeable for Class B Shares at a future date) will commence. Therefore, upon the exchange of the Class B Shares for the Common Shares, subject to the Hold Periods, such Common Shares will no longer be within a restrictive period as prescribed under applicable securities law and free trading securities.</w:t>
      </w:r>
    </w:p>
    <w:p>
      <w:pPr>
        <w:spacing w:after="0" w:line="194" w:lineRule="exact"/>
        <w:rPr>
          <w:sz w:val="20"/>
          <w:szCs w:val="20"/>
          <w:color w:val="auto"/>
        </w:rPr>
      </w:pPr>
    </w:p>
    <w:p>
      <w:pPr>
        <w:jc w:val="both"/>
        <w:ind w:right="20"/>
        <w:spacing w:after="0" w:line="294" w:lineRule="auto"/>
        <w:rPr>
          <w:sz w:val="20"/>
          <w:szCs w:val="20"/>
          <w:color w:val="auto"/>
        </w:rPr>
      </w:pPr>
      <w:r>
        <w:rPr>
          <w:rFonts w:ascii="Times New Roman" w:cs="Times New Roman" w:eastAsia="Times New Roman" w:hAnsi="Times New Roman"/>
          <w:sz w:val="18"/>
          <w:szCs w:val="18"/>
          <w:color w:val="auto"/>
        </w:rPr>
        <w:t>On January 11, 2021, the Company announced the achievement of the first Milestone for the period commencing November 15, 2020, as contemplated by the terms of the Contribution Agreement. The achievement included the successful synthesis of multiple tryptamine derivatives in sufficient quantities to initiate in vitro “Proof of Principle”; establish a ADME/PK has been completed; and to demonstrate “In Vitro” ADME “Proof of Principle” that specific synthesis modifies the metabolism of a psychedelic tryptamine. Pursuant to the terms of the Contribution Agreement, an aggregate of 51,163 Class B Shares were issued to the Adelia Shareholders in satisfaction of $1,018 due to them upon meeting such Milestones.</w:t>
      </w:r>
    </w:p>
    <w:p>
      <w:pPr>
        <w:spacing w:after="0" w:line="183" w:lineRule="exact"/>
        <w:rPr>
          <w:sz w:val="20"/>
          <w:szCs w:val="20"/>
          <w:color w:val="auto"/>
        </w:rPr>
      </w:pPr>
    </w:p>
    <w:p>
      <w:pPr>
        <w:jc w:val="both"/>
        <w:spacing w:after="0" w:line="294" w:lineRule="auto"/>
        <w:rPr>
          <w:sz w:val="20"/>
          <w:szCs w:val="20"/>
          <w:color w:val="auto"/>
        </w:rPr>
      </w:pPr>
      <w:r>
        <w:rPr>
          <w:rFonts w:ascii="Times New Roman" w:cs="Times New Roman" w:eastAsia="Times New Roman" w:hAnsi="Times New Roman"/>
          <w:sz w:val="18"/>
          <w:szCs w:val="18"/>
          <w:color w:val="auto"/>
        </w:rPr>
        <w:t>On March 9, 2021, the Company announced the achievement of certain Milestones for the period commencing January 1, 2021, as contemplated by the terms of the Contribution Agreement. The achievement included API Synthesis and optimization to demonstrate that two or more deuterated tryptamines show significant in vivo modifications of PK consistent with proof of concept, nomination of two deuterated candidates for full IND enabling studies, and completion of a certain API Manufacturing Contract. Pursuant to the terms of the Contribution Agreement, an aggregate of 42,247.3 Class B Shares were issued to the Adelia Shareholders in satisfaction of $686 due to them upon meeting such Milestones.</w:t>
      </w:r>
    </w:p>
    <w:p>
      <w:pPr>
        <w:spacing w:after="0" w:line="183" w:lineRule="exact"/>
        <w:rPr>
          <w:sz w:val="20"/>
          <w:szCs w:val="20"/>
          <w:color w:val="auto"/>
        </w:rPr>
      </w:pPr>
    </w:p>
    <w:p>
      <w:pPr>
        <w:jc w:val="both"/>
        <w:spacing w:after="0" w:line="309" w:lineRule="auto"/>
        <w:rPr>
          <w:sz w:val="20"/>
          <w:szCs w:val="20"/>
          <w:color w:val="auto"/>
        </w:rPr>
      </w:pPr>
      <w:r>
        <w:rPr>
          <w:rFonts w:ascii="Times New Roman" w:cs="Times New Roman" w:eastAsia="Times New Roman" w:hAnsi="Times New Roman"/>
          <w:sz w:val="18"/>
          <w:szCs w:val="18"/>
          <w:color w:val="auto"/>
        </w:rPr>
        <w:t xml:space="preserve">On June 28, 2021, Adelia completed the remaining requirements of the second Milestone as listed in the Contribution Agreement. Accordingly, 15,777.1 Class B Shares were issued to the Adelia Shareholders, amounting to $458. The Class B Shares are exchangeable for a total of </w:t>
      </w:r>
      <w:r>
        <w:rPr>
          <w:rFonts w:ascii="Times New Roman" w:cs="Times New Roman" w:eastAsia="Times New Roman" w:hAnsi="Times New Roman"/>
          <w:sz w:val="19"/>
          <w:szCs w:val="19"/>
          <w:color w:val="auto"/>
        </w:rPr>
        <w:t>4,152</w:t>
      </w:r>
      <w:r>
        <w:rPr>
          <w:rFonts w:ascii="Times New Roman" w:cs="Times New Roman" w:eastAsia="Times New Roman" w:hAnsi="Times New Roman"/>
          <w:sz w:val="18"/>
          <w:szCs w:val="18"/>
          <w:color w:val="auto"/>
        </w:rPr>
        <w:t xml:space="preserve"> Common Shares, representing an effective issue price of </w:t>
      </w:r>
      <w:r>
        <w:rPr>
          <w:rFonts w:ascii="Times New Roman" w:cs="Times New Roman" w:eastAsia="Times New Roman" w:hAnsi="Times New Roman"/>
          <w:sz w:val="19"/>
          <w:szCs w:val="19"/>
          <w:color w:val="auto"/>
        </w:rPr>
        <w:t>$110.20</w:t>
      </w:r>
      <w:r>
        <w:rPr>
          <w:rFonts w:ascii="Times New Roman" w:cs="Times New Roman" w:eastAsia="Times New Roman" w:hAnsi="Times New Roman"/>
          <w:sz w:val="18"/>
          <w:szCs w:val="18"/>
          <w:color w:val="auto"/>
        </w:rPr>
        <w:t xml:space="preserve"> per Common Share.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66</w:t>
      </w:r>
    </w:p>
    <w:p>
      <w:pPr>
        <w:sectPr>
          <w:pgSz w:w="11900" w:h="16838" w:orient="portrait"/>
          <w:cols w:equalWidth="0" w:num="1">
            <w:col w:w="11260"/>
          </w:cols>
          <w:pgMar w:left="320" w:top="1303" w:right="319" w:bottom="1440" w:gutter="0" w:footer="0" w:header="0"/>
        </w:sectPr>
      </w:pPr>
    </w:p>
    <w:bookmarkStart w:id="92" w:name="page93"/>
    <w:bookmarkEnd w:id="92"/>
    <w:p>
      <w:pPr>
        <w:jc w:val="both"/>
        <w:spacing w:after="0" w:line="316" w:lineRule="auto"/>
        <w:rPr>
          <w:sz w:val="20"/>
          <w:szCs w:val="20"/>
          <w:color w:val="auto"/>
        </w:rPr>
      </w:pPr>
      <w:r>
        <w:rPr>
          <w:rFonts w:ascii="Times New Roman" w:cs="Times New Roman" w:eastAsia="Times New Roman" w:hAnsi="Times New Roman"/>
          <w:sz w:val="18"/>
          <w:szCs w:val="18"/>
          <w:color w:val="auto"/>
        </w:rPr>
        <w:t xml:space="preserve">On August 17, 2021, an additional 18,788.5 Class B Shares were issued to the Adelia Shareholders due to the achievement of certain requirements of the third and fourth Milestones, amounting to $633. The Class B Shares are exchangeable for a total of </w:t>
      </w:r>
      <w:r>
        <w:rPr>
          <w:rFonts w:ascii="Times New Roman" w:cs="Times New Roman" w:eastAsia="Times New Roman" w:hAnsi="Times New Roman"/>
          <w:sz w:val="19"/>
          <w:szCs w:val="19"/>
          <w:color w:val="auto"/>
        </w:rPr>
        <w:t>4,944</w:t>
      </w:r>
      <w:r>
        <w:rPr>
          <w:rFonts w:ascii="Times New Roman" w:cs="Times New Roman" w:eastAsia="Times New Roman" w:hAnsi="Times New Roman"/>
          <w:sz w:val="18"/>
          <w:szCs w:val="18"/>
          <w:color w:val="auto"/>
        </w:rPr>
        <w:t xml:space="preserve"> Common Shares, representing an effective issue price of </w:t>
      </w:r>
      <w:r>
        <w:rPr>
          <w:rFonts w:ascii="Times New Roman" w:cs="Times New Roman" w:eastAsia="Times New Roman" w:hAnsi="Times New Roman"/>
          <w:sz w:val="19"/>
          <w:szCs w:val="19"/>
          <w:color w:val="auto"/>
        </w:rPr>
        <w:t xml:space="preserve">$128.06 </w:t>
      </w:r>
      <w:r>
        <w:rPr>
          <w:rFonts w:ascii="Times New Roman" w:cs="Times New Roman" w:eastAsia="Times New Roman" w:hAnsi="Times New Roman"/>
          <w:sz w:val="17"/>
          <w:szCs w:val="17"/>
          <w:color w:val="auto"/>
        </w:rPr>
        <w:t>per Common Share.</w:t>
      </w:r>
    </w:p>
    <w:p>
      <w:pPr>
        <w:spacing w:after="0" w:line="168" w:lineRule="exact"/>
        <w:rPr>
          <w:sz w:val="20"/>
          <w:szCs w:val="20"/>
          <w:color w:val="auto"/>
        </w:rPr>
      </w:pPr>
    </w:p>
    <w:p>
      <w:pPr>
        <w:jc w:val="both"/>
        <w:spacing w:after="0" w:line="293" w:lineRule="auto"/>
        <w:rPr>
          <w:sz w:val="20"/>
          <w:szCs w:val="20"/>
          <w:color w:val="auto"/>
        </w:rPr>
      </w:pPr>
      <w:r>
        <w:rPr>
          <w:rFonts w:ascii="Times New Roman" w:cs="Times New Roman" w:eastAsia="Times New Roman" w:hAnsi="Times New Roman"/>
          <w:sz w:val="18"/>
          <w:szCs w:val="18"/>
          <w:color w:val="auto"/>
        </w:rPr>
        <w:t xml:space="preserve">On August 31, 2021, the remaining requirements of the third Milestone were achieved. Accordingly, 9,392.6 Class B Shares were issued to the Adelia Shareholders, amounting to $317. The Class B Shares are exchangeable for a total of </w:t>
      </w:r>
      <w:r>
        <w:rPr>
          <w:rFonts w:ascii="Times New Roman" w:cs="Times New Roman" w:eastAsia="Times New Roman" w:hAnsi="Times New Roman"/>
          <w:sz w:val="19"/>
          <w:szCs w:val="19"/>
          <w:color w:val="auto"/>
        </w:rPr>
        <w:t>2,472</w:t>
      </w:r>
      <w:r>
        <w:rPr>
          <w:rFonts w:ascii="Times New Roman" w:cs="Times New Roman" w:eastAsia="Times New Roman" w:hAnsi="Times New Roman"/>
          <w:sz w:val="18"/>
          <w:szCs w:val="18"/>
          <w:color w:val="auto"/>
        </w:rPr>
        <w:t xml:space="preserve"> Common Shares, representing an effective issue price of </w:t>
      </w:r>
      <w:r>
        <w:rPr>
          <w:rFonts w:ascii="Times New Roman" w:cs="Times New Roman" w:eastAsia="Times New Roman" w:hAnsi="Times New Roman"/>
          <w:sz w:val="19"/>
          <w:szCs w:val="19"/>
          <w:color w:val="auto"/>
        </w:rPr>
        <w:t>$128.44</w:t>
      </w:r>
      <w:r>
        <w:rPr>
          <w:rFonts w:ascii="Times New Roman" w:cs="Times New Roman" w:eastAsia="Times New Roman" w:hAnsi="Times New Roman"/>
          <w:sz w:val="18"/>
          <w:szCs w:val="18"/>
          <w:color w:val="auto"/>
        </w:rPr>
        <w:t xml:space="preserve"> per Common Share.</w:t>
      </w:r>
    </w:p>
    <w:p>
      <w:pPr>
        <w:spacing w:after="0" w:line="193" w:lineRule="exact"/>
        <w:rPr>
          <w:sz w:val="20"/>
          <w:szCs w:val="20"/>
          <w:color w:val="auto"/>
        </w:rPr>
      </w:pPr>
    </w:p>
    <w:p>
      <w:pPr>
        <w:jc w:val="both"/>
        <w:spacing w:after="0" w:line="303" w:lineRule="auto"/>
        <w:rPr>
          <w:sz w:val="20"/>
          <w:szCs w:val="20"/>
          <w:color w:val="auto"/>
        </w:rPr>
      </w:pPr>
      <w:r>
        <w:rPr>
          <w:rFonts w:ascii="Times New Roman" w:cs="Times New Roman" w:eastAsia="Times New Roman" w:hAnsi="Times New Roman"/>
          <w:sz w:val="18"/>
          <w:szCs w:val="18"/>
          <w:color w:val="auto"/>
        </w:rPr>
        <w:t xml:space="preserve">On November 18, 2021, an additional 28,903 Class B Shares were issued to the Adelia Shareholders due to the achievement of certain requirements of the fourth and fifth Milestones, amounting to $706. These Class B Shares are exchangeable for a total of </w:t>
      </w:r>
      <w:r>
        <w:rPr>
          <w:rFonts w:ascii="Times New Roman" w:cs="Times New Roman" w:eastAsia="Times New Roman" w:hAnsi="Times New Roman"/>
          <w:sz w:val="19"/>
          <w:szCs w:val="19"/>
          <w:color w:val="auto"/>
        </w:rPr>
        <w:t>7,606</w:t>
      </w:r>
      <w:r>
        <w:rPr>
          <w:rFonts w:ascii="Times New Roman" w:cs="Times New Roman" w:eastAsia="Times New Roman" w:hAnsi="Times New Roman"/>
          <w:sz w:val="18"/>
          <w:szCs w:val="18"/>
          <w:color w:val="auto"/>
        </w:rPr>
        <w:t xml:space="preserve"> Common Shares, representing an effective issue price of </w:t>
      </w:r>
      <w:r>
        <w:rPr>
          <w:rFonts w:ascii="Times New Roman" w:cs="Times New Roman" w:eastAsia="Times New Roman" w:hAnsi="Times New Roman"/>
          <w:sz w:val="19"/>
          <w:szCs w:val="19"/>
          <w:color w:val="auto"/>
        </w:rPr>
        <w:t>$92.72</w:t>
      </w:r>
      <w:r>
        <w:rPr>
          <w:rFonts w:ascii="Times New Roman" w:cs="Times New Roman" w:eastAsia="Times New Roman" w:hAnsi="Times New Roman"/>
          <w:sz w:val="18"/>
          <w:szCs w:val="18"/>
          <w:color w:val="auto"/>
        </w:rPr>
        <w:t xml:space="preserve"> per Common Share.</w:t>
      </w:r>
    </w:p>
    <w:p>
      <w:pPr>
        <w:spacing w:after="0" w:line="190" w:lineRule="exact"/>
        <w:rPr>
          <w:sz w:val="20"/>
          <w:szCs w:val="20"/>
          <w:color w:val="auto"/>
        </w:rPr>
      </w:pPr>
    </w:p>
    <w:p>
      <w:pPr>
        <w:jc w:val="both"/>
        <w:spacing w:after="0" w:line="303" w:lineRule="auto"/>
        <w:rPr>
          <w:sz w:val="20"/>
          <w:szCs w:val="20"/>
          <w:color w:val="auto"/>
        </w:rPr>
      </w:pPr>
      <w:r>
        <w:rPr>
          <w:rFonts w:ascii="Times New Roman" w:cs="Times New Roman" w:eastAsia="Times New Roman" w:hAnsi="Times New Roman"/>
          <w:sz w:val="18"/>
          <w:szCs w:val="18"/>
          <w:color w:val="auto"/>
        </w:rPr>
        <w:t xml:space="preserve">On November 29, 2021, an additional 31,721.5 Class B Shares were issued to the Adelia Shareholders due to the achievement of certain requirements of the fourth and fifth Milestones, amounting to $629. These Class B Shares are exchangeable for a total of </w:t>
      </w:r>
      <w:r>
        <w:rPr>
          <w:rFonts w:ascii="Times New Roman" w:cs="Times New Roman" w:eastAsia="Times New Roman" w:hAnsi="Times New Roman"/>
          <w:sz w:val="19"/>
          <w:szCs w:val="19"/>
          <w:color w:val="auto"/>
        </w:rPr>
        <w:t>8,348</w:t>
      </w:r>
      <w:r>
        <w:rPr>
          <w:rFonts w:ascii="Times New Roman" w:cs="Times New Roman" w:eastAsia="Times New Roman" w:hAnsi="Times New Roman"/>
          <w:sz w:val="18"/>
          <w:szCs w:val="18"/>
          <w:color w:val="auto"/>
        </w:rPr>
        <w:t xml:space="preserve"> Common Shares, representing an effective issue price of </w:t>
      </w:r>
      <w:r>
        <w:rPr>
          <w:rFonts w:ascii="Times New Roman" w:cs="Times New Roman" w:eastAsia="Times New Roman" w:hAnsi="Times New Roman"/>
          <w:sz w:val="19"/>
          <w:szCs w:val="19"/>
          <w:color w:val="auto"/>
        </w:rPr>
        <w:t>$75.24</w:t>
      </w:r>
      <w:r>
        <w:rPr>
          <w:rFonts w:ascii="Times New Roman" w:cs="Times New Roman" w:eastAsia="Times New Roman" w:hAnsi="Times New Roman"/>
          <w:sz w:val="18"/>
          <w:szCs w:val="18"/>
          <w:color w:val="auto"/>
        </w:rPr>
        <w:t xml:space="preserve"> per Common Share.</w:t>
      </w:r>
    </w:p>
    <w:p>
      <w:pPr>
        <w:spacing w:after="0" w:line="190" w:lineRule="exact"/>
        <w:rPr>
          <w:sz w:val="20"/>
          <w:szCs w:val="20"/>
          <w:color w:val="auto"/>
        </w:rPr>
      </w:pPr>
    </w:p>
    <w:p>
      <w:pPr>
        <w:jc w:val="both"/>
        <w:spacing w:after="0" w:line="309" w:lineRule="auto"/>
        <w:rPr>
          <w:sz w:val="20"/>
          <w:szCs w:val="20"/>
          <w:color w:val="auto"/>
        </w:rPr>
      </w:pPr>
      <w:r>
        <w:rPr>
          <w:rFonts w:ascii="Times New Roman" w:cs="Times New Roman" w:eastAsia="Times New Roman" w:hAnsi="Times New Roman"/>
          <w:sz w:val="18"/>
          <w:szCs w:val="18"/>
          <w:color w:val="auto"/>
        </w:rPr>
        <w:t xml:space="preserve">On January 6, 2022, an additional 15,611.4 Class B Shares were issued to the Adelia Shareholders due to the achievement of the Milestone identified as Year 2 Q1 (v), as contemplated by the terms of the Contribution Agreement, amounting to $236. These Class B Shares are exchangeable for a total of </w:t>
      </w:r>
      <w:r>
        <w:rPr>
          <w:rFonts w:ascii="Times New Roman" w:cs="Times New Roman" w:eastAsia="Times New Roman" w:hAnsi="Times New Roman"/>
          <w:sz w:val="19"/>
          <w:szCs w:val="19"/>
          <w:color w:val="auto"/>
        </w:rPr>
        <w:t>4,108</w:t>
      </w:r>
      <w:r>
        <w:rPr>
          <w:rFonts w:ascii="Times New Roman" w:cs="Times New Roman" w:eastAsia="Times New Roman" w:hAnsi="Times New Roman"/>
          <w:sz w:val="18"/>
          <w:szCs w:val="18"/>
          <w:color w:val="auto"/>
        </w:rPr>
        <w:t xml:space="preserve"> Common Shares, representing an effective issue price of </w:t>
      </w:r>
      <w:r>
        <w:rPr>
          <w:rFonts w:ascii="Times New Roman" w:cs="Times New Roman" w:eastAsia="Times New Roman" w:hAnsi="Times New Roman"/>
          <w:sz w:val="19"/>
          <w:szCs w:val="19"/>
          <w:color w:val="auto"/>
        </w:rPr>
        <w:t>$57.38</w:t>
      </w:r>
      <w:r>
        <w:rPr>
          <w:rFonts w:ascii="Times New Roman" w:cs="Times New Roman" w:eastAsia="Times New Roman" w:hAnsi="Times New Roman"/>
          <w:sz w:val="18"/>
          <w:szCs w:val="18"/>
          <w:color w:val="auto"/>
        </w:rPr>
        <w:t xml:space="preserve"> per Common Share.</w:t>
      </w:r>
    </w:p>
    <w:p>
      <w:pPr>
        <w:spacing w:after="0" w:line="177" w:lineRule="exact"/>
        <w:rPr>
          <w:sz w:val="20"/>
          <w:szCs w:val="20"/>
          <w:color w:val="auto"/>
        </w:rPr>
      </w:pPr>
    </w:p>
    <w:p>
      <w:pPr>
        <w:jc w:val="both"/>
        <w:spacing w:after="0" w:line="302" w:lineRule="auto"/>
        <w:rPr>
          <w:sz w:val="20"/>
          <w:szCs w:val="20"/>
          <w:color w:val="auto"/>
        </w:rPr>
      </w:pPr>
      <w:r>
        <w:rPr>
          <w:rFonts w:ascii="Times New Roman" w:cs="Times New Roman" w:eastAsia="Times New Roman" w:hAnsi="Times New Roman"/>
          <w:sz w:val="18"/>
          <w:szCs w:val="18"/>
          <w:color w:val="auto"/>
        </w:rPr>
        <w:t xml:space="preserve">On February 14, 2022, an additional 41,028.2 Class B Shares were issued to the Adelia Shareholders due to the achievement of the Milestones identified as Y1, Q4 (iv), Y1, Q4 (v) and Y2, Q1 (vi), as contemplated by the terms of the Contribution Agreement, amounting to $551 at a price per Class B Share of $13.43. These Class B Shares are exchangeable for a total of </w:t>
      </w:r>
      <w:r>
        <w:rPr>
          <w:rFonts w:ascii="Times New Roman" w:cs="Times New Roman" w:eastAsia="Times New Roman" w:hAnsi="Times New Roman"/>
          <w:sz w:val="19"/>
          <w:szCs w:val="19"/>
          <w:color w:val="auto"/>
        </w:rPr>
        <w:t>10,797</w:t>
      </w:r>
      <w:r>
        <w:rPr>
          <w:rFonts w:ascii="Times New Roman" w:cs="Times New Roman" w:eastAsia="Times New Roman" w:hAnsi="Times New Roman"/>
          <w:sz w:val="18"/>
          <w:szCs w:val="18"/>
          <w:color w:val="auto"/>
        </w:rPr>
        <w:t xml:space="preserve"> Common Shares, representing an effective issue price of </w:t>
      </w:r>
      <w:r>
        <w:rPr>
          <w:rFonts w:ascii="Times New Roman" w:cs="Times New Roman" w:eastAsia="Times New Roman" w:hAnsi="Times New Roman"/>
          <w:sz w:val="19"/>
          <w:szCs w:val="19"/>
          <w:color w:val="auto"/>
        </w:rPr>
        <w:t>$50.92</w:t>
      </w:r>
      <w:r>
        <w:rPr>
          <w:rFonts w:ascii="Times New Roman" w:cs="Times New Roman" w:eastAsia="Times New Roman" w:hAnsi="Times New Roman"/>
          <w:sz w:val="18"/>
          <w:szCs w:val="18"/>
          <w:color w:val="auto"/>
        </w:rPr>
        <w:t xml:space="preserve"> per Common Share.</w:t>
      </w:r>
    </w:p>
    <w:p>
      <w:pPr>
        <w:spacing w:after="0" w:line="183" w:lineRule="exact"/>
        <w:rPr>
          <w:sz w:val="20"/>
          <w:szCs w:val="20"/>
          <w:color w:val="auto"/>
        </w:rPr>
      </w:pPr>
    </w:p>
    <w:p>
      <w:pPr>
        <w:jc w:val="both"/>
        <w:spacing w:after="0" w:line="302" w:lineRule="auto"/>
        <w:rPr>
          <w:sz w:val="20"/>
          <w:szCs w:val="20"/>
          <w:color w:val="auto"/>
        </w:rPr>
      </w:pPr>
      <w:r>
        <w:rPr>
          <w:rFonts w:ascii="Times New Roman" w:cs="Times New Roman" w:eastAsia="Times New Roman" w:hAnsi="Times New Roman"/>
          <w:sz w:val="18"/>
          <w:szCs w:val="18"/>
          <w:color w:val="auto"/>
        </w:rPr>
        <w:t xml:space="preserve">On February 18, 2022, an additional 17,239.5 Class B Shares were issued to the Adelia Shareholders due to the achievement of certain Milestones identified as Y2, Q2 (iii), as contemplated by the terms of the Contribution Agreement, having an aggregate value of $233 at a price per Class B Share of $13.54. These Class B Shares are exchangeable for a total of </w:t>
      </w:r>
      <w:r>
        <w:rPr>
          <w:rFonts w:ascii="Times New Roman" w:cs="Times New Roman" w:eastAsia="Times New Roman" w:hAnsi="Times New Roman"/>
          <w:sz w:val="19"/>
          <w:szCs w:val="19"/>
          <w:color w:val="auto"/>
        </w:rPr>
        <w:t>4,537</w:t>
      </w:r>
      <w:r>
        <w:rPr>
          <w:rFonts w:ascii="Times New Roman" w:cs="Times New Roman" w:eastAsia="Times New Roman" w:hAnsi="Times New Roman"/>
          <w:sz w:val="18"/>
          <w:szCs w:val="18"/>
          <w:color w:val="auto"/>
        </w:rPr>
        <w:t xml:space="preserve"> Common Shares, representing an effective issue price of </w:t>
      </w:r>
      <w:r>
        <w:rPr>
          <w:rFonts w:ascii="Times New Roman" w:cs="Times New Roman" w:eastAsia="Times New Roman" w:hAnsi="Times New Roman"/>
          <w:sz w:val="19"/>
          <w:szCs w:val="19"/>
          <w:color w:val="auto"/>
        </w:rPr>
        <w:t>$51.30</w:t>
      </w:r>
      <w:r>
        <w:rPr>
          <w:rFonts w:ascii="Times New Roman" w:cs="Times New Roman" w:eastAsia="Times New Roman" w:hAnsi="Times New Roman"/>
          <w:sz w:val="18"/>
          <w:szCs w:val="18"/>
          <w:color w:val="auto"/>
        </w:rPr>
        <w:t xml:space="preserve"> per Common Share.</w:t>
      </w:r>
    </w:p>
    <w:p>
      <w:pPr>
        <w:spacing w:after="0" w:line="195" w:lineRule="exact"/>
        <w:rPr>
          <w:sz w:val="20"/>
          <w:szCs w:val="20"/>
          <w:color w:val="auto"/>
        </w:rPr>
      </w:pPr>
    </w:p>
    <w:p>
      <w:pPr>
        <w:jc w:val="both"/>
        <w:spacing w:after="0" w:line="304" w:lineRule="auto"/>
        <w:rPr>
          <w:sz w:val="20"/>
          <w:szCs w:val="20"/>
          <w:color w:val="auto"/>
        </w:rPr>
      </w:pPr>
      <w:r>
        <w:rPr>
          <w:rFonts w:ascii="Times New Roman" w:cs="Times New Roman" w:eastAsia="Times New Roman" w:hAnsi="Times New Roman"/>
          <w:sz w:val="18"/>
          <w:szCs w:val="18"/>
          <w:color w:val="auto"/>
        </w:rPr>
        <w:t xml:space="preserve">On March 25, 2022, an additional 90,546.0 Class B Shares were issued to Adelia Shareholders due to the achievement of certain Milestones identified as Year 1 Q4 (vi); Year 2 Q2 (ii); Year 2 Q2 (v) and Year 2, Q3 (iii), as contemplated by the terms of the Contribution Agreement, having an aggregate value of $905 at a price per Class B Share of $9.994. These Class B Shares are exchangeable for a total of </w:t>
      </w:r>
      <w:r>
        <w:rPr>
          <w:rFonts w:ascii="Times New Roman" w:cs="Times New Roman" w:eastAsia="Times New Roman" w:hAnsi="Times New Roman"/>
          <w:sz w:val="19"/>
          <w:szCs w:val="19"/>
          <w:color w:val="auto"/>
        </w:rPr>
        <w:t>23,828</w:t>
      </w:r>
      <w:r>
        <w:rPr>
          <w:rFonts w:ascii="Times New Roman" w:cs="Times New Roman" w:eastAsia="Times New Roman" w:hAnsi="Times New Roman"/>
          <w:sz w:val="18"/>
          <w:szCs w:val="18"/>
          <w:color w:val="auto"/>
        </w:rPr>
        <w:t xml:space="preserve"> Common Shares, representing an effective issue price of </w:t>
      </w:r>
      <w:r>
        <w:rPr>
          <w:rFonts w:ascii="Times New Roman" w:cs="Times New Roman" w:eastAsia="Times New Roman" w:hAnsi="Times New Roman"/>
          <w:sz w:val="19"/>
          <w:szCs w:val="19"/>
          <w:color w:val="auto"/>
        </w:rPr>
        <w:t xml:space="preserve">$38.00 </w:t>
      </w:r>
      <w:r>
        <w:rPr>
          <w:rFonts w:ascii="Times New Roman" w:cs="Times New Roman" w:eastAsia="Times New Roman" w:hAnsi="Times New Roman"/>
          <w:sz w:val="17"/>
          <w:szCs w:val="17"/>
          <w:color w:val="auto"/>
        </w:rPr>
        <w:t>per Common Share.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67</w:t>
      </w:r>
    </w:p>
    <w:p>
      <w:pPr>
        <w:sectPr>
          <w:pgSz w:w="11900" w:h="16838" w:orient="portrait"/>
          <w:cols w:equalWidth="0" w:num="1">
            <w:col w:w="11240"/>
          </w:cols>
          <w:pgMar w:left="320" w:top="1315" w:right="339" w:bottom="1440" w:gutter="0" w:footer="0" w:header="0"/>
        </w:sectPr>
      </w:pPr>
    </w:p>
    <w:bookmarkStart w:id="93" w:name="page94"/>
    <w:bookmarkEnd w:id="93"/>
    <w:p>
      <w:pPr>
        <w:jc w:val="both"/>
        <w:ind w:right="20"/>
        <w:spacing w:after="0" w:line="326" w:lineRule="auto"/>
        <w:rPr>
          <w:sz w:val="20"/>
          <w:szCs w:val="20"/>
          <w:color w:val="auto"/>
        </w:rPr>
      </w:pPr>
      <w:r>
        <w:rPr>
          <w:rFonts w:ascii="Times New Roman" w:cs="Times New Roman" w:eastAsia="Times New Roman" w:hAnsi="Times New Roman"/>
          <w:sz w:val="17"/>
          <w:szCs w:val="17"/>
          <w:color w:val="auto"/>
        </w:rPr>
        <w:t xml:space="preserve">On April 1, 2022, an additional 22,428.3 Class B Shares were issued to Former Adelia Shareholders due to the achievement of the Milestone identified as Year 2 Q2 (iv), as contemplated by the terms of the Contribution Agreement, having an aggregate value of $229 at a price per Class B Share of $10.20. These Class B Shares are exchangeable for a total of </w:t>
      </w:r>
      <w:r>
        <w:rPr>
          <w:rFonts w:ascii="Times New Roman" w:cs="Times New Roman" w:eastAsia="Times New Roman" w:hAnsi="Times New Roman"/>
          <w:sz w:val="18"/>
          <w:szCs w:val="18"/>
          <w:color w:val="auto"/>
        </w:rPr>
        <w:t>5,902</w:t>
      </w:r>
      <w:r>
        <w:rPr>
          <w:rFonts w:ascii="Times New Roman" w:cs="Times New Roman" w:eastAsia="Times New Roman" w:hAnsi="Times New Roman"/>
          <w:sz w:val="17"/>
          <w:szCs w:val="17"/>
          <w:color w:val="auto"/>
        </w:rPr>
        <w:t xml:space="preserve"> Common Shares, representing an effective issue price of </w:t>
      </w:r>
      <w:r>
        <w:rPr>
          <w:rFonts w:ascii="Times New Roman" w:cs="Times New Roman" w:eastAsia="Times New Roman" w:hAnsi="Times New Roman"/>
          <w:sz w:val="18"/>
          <w:szCs w:val="18"/>
          <w:color w:val="auto"/>
        </w:rPr>
        <w:t>$38.76</w:t>
      </w:r>
      <w:r>
        <w:rPr>
          <w:rFonts w:ascii="Times New Roman" w:cs="Times New Roman" w:eastAsia="Times New Roman" w:hAnsi="Times New Roman"/>
          <w:sz w:val="17"/>
          <w:szCs w:val="17"/>
          <w:color w:val="auto"/>
        </w:rPr>
        <w:t xml:space="preserve"> per Common Share. In consideration for the Milestone achieved, on June 22, 2022, an additional 456.5 Class B shares having an aggregate value of $5 were issued to Former Adelia Shareholders.</w:t>
      </w:r>
    </w:p>
    <w:p>
      <w:pPr>
        <w:spacing w:after="0" w:line="167" w:lineRule="exact"/>
        <w:rPr>
          <w:sz w:val="20"/>
          <w:szCs w:val="20"/>
          <w:color w:val="auto"/>
        </w:rPr>
      </w:pPr>
    </w:p>
    <w:p>
      <w:pPr>
        <w:jc w:val="both"/>
        <w:spacing w:after="0" w:line="304" w:lineRule="auto"/>
        <w:rPr>
          <w:sz w:val="20"/>
          <w:szCs w:val="20"/>
          <w:color w:val="auto"/>
        </w:rPr>
      </w:pPr>
      <w:r>
        <w:rPr>
          <w:rFonts w:ascii="Times New Roman" w:cs="Times New Roman" w:eastAsia="Times New Roman" w:hAnsi="Times New Roman"/>
          <w:sz w:val="18"/>
          <w:szCs w:val="18"/>
          <w:color w:val="auto"/>
        </w:rPr>
        <w:t xml:space="preserve">On June 24, 2022, an additional 266,933.1 Class B Shares were issued to Former Adelia Shareholders due to the achievement of certain Milestones identified as Y2, Q2 (i), (vi), Y2, Q3 (ii), Year 2 Q4 (i) and Year 3 Q1 (i), (ii), (iii), as contemplated by the terms of the Adelia Contribution Agreement, having an aggregate value of $2,034 at a price per Class B Share of $7.62. These Class B Shares are exchangeable for a total of </w:t>
      </w:r>
      <w:r>
        <w:rPr>
          <w:rFonts w:ascii="Times New Roman" w:cs="Times New Roman" w:eastAsia="Times New Roman" w:hAnsi="Times New Roman"/>
          <w:sz w:val="19"/>
          <w:szCs w:val="19"/>
          <w:color w:val="auto"/>
        </w:rPr>
        <w:t>70,246</w:t>
      </w:r>
      <w:r>
        <w:rPr>
          <w:rFonts w:ascii="Times New Roman" w:cs="Times New Roman" w:eastAsia="Times New Roman" w:hAnsi="Times New Roman"/>
          <w:sz w:val="18"/>
          <w:szCs w:val="18"/>
          <w:color w:val="auto"/>
        </w:rPr>
        <w:t xml:space="preserve"> Common Shares, representing an effective issue price of </w:t>
      </w:r>
      <w:r>
        <w:rPr>
          <w:rFonts w:ascii="Times New Roman" w:cs="Times New Roman" w:eastAsia="Times New Roman" w:hAnsi="Times New Roman"/>
          <w:sz w:val="19"/>
          <w:szCs w:val="19"/>
          <w:color w:val="auto"/>
        </w:rPr>
        <w:t>$28.96</w:t>
      </w:r>
      <w:r>
        <w:rPr>
          <w:rFonts w:ascii="Times New Roman" w:cs="Times New Roman" w:eastAsia="Times New Roman" w:hAnsi="Times New Roman"/>
          <w:sz w:val="18"/>
          <w:szCs w:val="18"/>
          <w:color w:val="auto"/>
        </w:rPr>
        <w:t xml:space="preserve"> per Common Share.</w:t>
      </w:r>
    </w:p>
    <w:p>
      <w:pPr>
        <w:spacing w:after="0" w:line="191" w:lineRule="exact"/>
        <w:rPr>
          <w:sz w:val="20"/>
          <w:szCs w:val="20"/>
          <w:color w:val="auto"/>
        </w:rPr>
      </w:pPr>
    </w:p>
    <w:p>
      <w:pPr>
        <w:jc w:val="both"/>
        <w:ind w:right="20"/>
        <w:spacing w:after="0" w:line="309" w:lineRule="auto"/>
        <w:rPr>
          <w:sz w:val="20"/>
          <w:szCs w:val="20"/>
          <w:color w:val="auto"/>
        </w:rPr>
      </w:pPr>
      <w:r>
        <w:rPr>
          <w:rFonts w:ascii="Times New Roman" w:cs="Times New Roman" w:eastAsia="Times New Roman" w:hAnsi="Times New Roman"/>
          <w:sz w:val="18"/>
          <w:szCs w:val="18"/>
          <w:color w:val="auto"/>
        </w:rPr>
        <w:t xml:space="preserve">On June 27, 2022, an additional 37,366.2 Class B Shares were issued to Former Adelia Shareholders due to the achievement of the Milestone identified as Y2, Q3 (i), as contemplated by the terms of the Adelia Contribution Agreement, having an aggregate value of $280 at a price per Class B Share of $7.50. These Class B Shares are exchangeable for a total of </w:t>
      </w:r>
      <w:r>
        <w:rPr>
          <w:rFonts w:ascii="Times New Roman" w:cs="Times New Roman" w:eastAsia="Times New Roman" w:hAnsi="Times New Roman"/>
          <w:sz w:val="19"/>
          <w:szCs w:val="19"/>
          <w:color w:val="auto"/>
        </w:rPr>
        <w:t>9,833</w:t>
      </w:r>
      <w:r>
        <w:rPr>
          <w:rFonts w:ascii="Times New Roman" w:cs="Times New Roman" w:eastAsia="Times New Roman" w:hAnsi="Times New Roman"/>
          <w:sz w:val="18"/>
          <w:szCs w:val="18"/>
          <w:color w:val="auto"/>
        </w:rPr>
        <w:t xml:space="preserve"> Common Shares, representing an effective issue price of $</w:t>
      </w:r>
      <w:r>
        <w:rPr>
          <w:rFonts w:ascii="Times New Roman" w:cs="Times New Roman" w:eastAsia="Times New Roman" w:hAnsi="Times New Roman"/>
          <w:sz w:val="19"/>
          <w:szCs w:val="19"/>
          <w:color w:val="auto"/>
        </w:rPr>
        <w:t>28.50</w:t>
      </w:r>
      <w:r>
        <w:rPr>
          <w:rFonts w:ascii="Times New Roman" w:cs="Times New Roman" w:eastAsia="Times New Roman" w:hAnsi="Times New Roman"/>
          <w:sz w:val="18"/>
          <w:szCs w:val="18"/>
          <w:color w:val="auto"/>
        </w:rPr>
        <w:t xml:space="preserve"> per Common Share.</w:t>
      </w:r>
    </w:p>
    <w:p>
      <w:pPr>
        <w:spacing w:after="0" w:line="177" w:lineRule="exact"/>
        <w:rPr>
          <w:sz w:val="20"/>
          <w:szCs w:val="20"/>
          <w:color w:val="auto"/>
        </w:rPr>
      </w:pPr>
    </w:p>
    <w:p>
      <w:pPr>
        <w:jc w:val="both"/>
        <w:ind w:right="20"/>
        <w:spacing w:after="0" w:line="302" w:lineRule="auto"/>
        <w:rPr>
          <w:sz w:val="20"/>
          <w:szCs w:val="20"/>
          <w:color w:val="auto"/>
        </w:rPr>
      </w:pPr>
      <w:r>
        <w:rPr>
          <w:rFonts w:ascii="Times New Roman" w:cs="Times New Roman" w:eastAsia="Times New Roman" w:hAnsi="Times New Roman"/>
          <w:sz w:val="18"/>
          <w:szCs w:val="18"/>
          <w:color w:val="auto"/>
        </w:rPr>
        <w:t xml:space="preserve">On August 31, 2022, an additional 33,190.1 Class B Shares were issued to Former Adelia Shareholders due to the achievement of the Milestone identified as Y2, Q4 (ii), as contemplated by the terms of the Adelia Contribution Agreement, having an aggregate value of $468 at a price per Class B Share of $14.10. These Class B Shares are exchangeable for a total of </w:t>
      </w:r>
      <w:r>
        <w:rPr>
          <w:rFonts w:ascii="Times New Roman" w:cs="Times New Roman" w:eastAsia="Times New Roman" w:hAnsi="Times New Roman"/>
          <w:sz w:val="19"/>
          <w:szCs w:val="19"/>
          <w:color w:val="auto"/>
        </w:rPr>
        <w:t>8,734</w:t>
      </w:r>
      <w:r>
        <w:rPr>
          <w:rFonts w:ascii="Times New Roman" w:cs="Times New Roman" w:eastAsia="Times New Roman" w:hAnsi="Times New Roman"/>
          <w:sz w:val="18"/>
          <w:szCs w:val="18"/>
          <w:color w:val="auto"/>
        </w:rPr>
        <w:t xml:space="preserve"> Common Shares, representing an effective issue price of $</w:t>
      </w:r>
      <w:r>
        <w:rPr>
          <w:rFonts w:ascii="Times New Roman" w:cs="Times New Roman" w:eastAsia="Times New Roman" w:hAnsi="Times New Roman"/>
          <w:sz w:val="19"/>
          <w:szCs w:val="19"/>
          <w:color w:val="auto"/>
        </w:rPr>
        <w:t>53.58</w:t>
      </w:r>
      <w:r>
        <w:rPr>
          <w:rFonts w:ascii="Times New Roman" w:cs="Times New Roman" w:eastAsia="Times New Roman" w:hAnsi="Times New Roman"/>
          <w:sz w:val="18"/>
          <w:szCs w:val="18"/>
          <w:color w:val="auto"/>
        </w:rPr>
        <w:t xml:space="preserve"> per Common Share.</w:t>
      </w:r>
    </w:p>
    <w:p>
      <w:pPr>
        <w:spacing w:after="0" w:line="183" w:lineRule="exact"/>
        <w:rPr>
          <w:sz w:val="20"/>
          <w:szCs w:val="20"/>
          <w:color w:val="auto"/>
        </w:rPr>
      </w:pPr>
    </w:p>
    <w:p>
      <w:pPr>
        <w:jc w:val="both"/>
        <w:spacing w:after="0" w:line="316" w:lineRule="auto"/>
        <w:rPr>
          <w:sz w:val="20"/>
          <w:szCs w:val="20"/>
          <w:color w:val="auto"/>
        </w:rPr>
      </w:pPr>
      <w:r>
        <w:rPr>
          <w:rFonts w:ascii="Times New Roman" w:cs="Times New Roman" w:eastAsia="Times New Roman" w:hAnsi="Times New Roman"/>
          <w:sz w:val="17"/>
          <w:szCs w:val="17"/>
          <w:color w:val="auto"/>
        </w:rPr>
        <w:t>As of August 31, 2022, all of the Milestones contemplated by the terms of the Adelia Contribution Agreement were successfully achieved. The Milestones focused on bringing Cybin’s psychedelic programs from the lab to the clinic. As Cybin has advanced its research and development pipeline, these milestone achievements have contributed to discovering potential new drug formulations and delivery methods, creating clinical protocols for psychedelic compounds, and most recently, supporting clinical-stage development of the Company’s CYB003 and CYB004 programs for MDD and anxiety disorders, respectively.</w:t>
      </w:r>
    </w:p>
    <w:p>
      <w:pPr>
        <w:spacing w:after="0" w:line="179" w:lineRule="exact"/>
        <w:rPr>
          <w:sz w:val="20"/>
          <w:szCs w:val="20"/>
          <w:color w:val="auto"/>
        </w:rPr>
      </w:pPr>
    </w:p>
    <w:p>
      <w:pPr>
        <w:jc w:val="both"/>
        <w:ind w:right="20"/>
        <w:spacing w:after="0" w:line="303" w:lineRule="auto"/>
        <w:rPr>
          <w:sz w:val="20"/>
          <w:szCs w:val="20"/>
          <w:color w:val="auto"/>
        </w:rPr>
      </w:pPr>
      <w:r>
        <w:rPr>
          <w:rFonts w:ascii="Times New Roman" w:cs="Times New Roman" w:eastAsia="Times New Roman" w:hAnsi="Times New Roman"/>
          <w:sz w:val="18"/>
          <w:szCs w:val="18"/>
          <w:color w:val="auto"/>
        </w:rPr>
        <w:t xml:space="preserve">Pursuant to the Contribution Agreement certain members of Adelia entered into advisory and/or executive employment arrangements with Cybin upon the Closing and, in such capacity, received, in the aggregate, a grant of options to purchase up to </w:t>
      </w:r>
      <w:r>
        <w:rPr>
          <w:rFonts w:ascii="Times New Roman" w:cs="Times New Roman" w:eastAsia="Times New Roman" w:hAnsi="Times New Roman"/>
          <w:sz w:val="19"/>
          <w:szCs w:val="19"/>
          <w:color w:val="auto"/>
        </w:rPr>
        <w:t>59,055</w:t>
      </w:r>
      <w:r>
        <w:rPr>
          <w:rFonts w:ascii="Times New Roman" w:cs="Times New Roman" w:eastAsia="Times New Roman" w:hAnsi="Times New Roman"/>
          <w:sz w:val="18"/>
          <w:szCs w:val="18"/>
          <w:color w:val="auto"/>
        </w:rPr>
        <w:t xml:space="preserve"> to acquire Common Shares, pursuant to Cybin’s equity incentive plan, exercisable for a period of five (5) years and subject to vesting, at an exercise price of $</w:t>
      </w:r>
      <w:r>
        <w:rPr>
          <w:rFonts w:ascii="Times New Roman" w:cs="Times New Roman" w:eastAsia="Times New Roman" w:hAnsi="Times New Roman"/>
          <w:sz w:val="19"/>
          <w:szCs w:val="19"/>
          <w:color w:val="auto"/>
        </w:rPr>
        <w:t>66.12</w:t>
      </w:r>
      <w:r>
        <w:rPr>
          <w:rFonts w:ascii="Times New Roman" w:cs="Times New Roman" w:eastAsia="Times New Roman" w:hAnsi="Times New Roman"/>
          <w:sz w:val="18"/>
          <w:szCs w:val="18"/>
          <w:color w:val="auto"/>
        </w:rPr>
        <w:t xml:space="preserve"> per Cybin Share. An additional </w:t>
      </w:r>
      <w:r>
        <w:rPr>
          <w:rFonts w:ascii="Times New Roman" w:cs="Times New Roman" w:eastAsia="Times New Roman" w:hAnsi="Times New Roman"/>
          <w:sz w:val="19"/>
          <w:szCs w:val="19"/>
          <w:color w:val="auto"/>
        </w:rPr>
        <w:t>14,629</w:t>
      </w:r>
      <w:r>
        <w:rPr>
          <w:rFonts w:ascii="Times New Roman" w:cs="Times New Roman" w:eastAsia="Times New Roman" w:hAnsi="Times New Roman"/>
          <w:sz w:val="18"/>
          <w:szCs w:val="18"/>
          <w:color w:val="auto"/>
        </w:rPr>
        <w:t xml:space="preserve"> options to acquire Common Shares were issued to eligible participants at the direction of the Adelia Shareholders following the Closing.</w:t>
      </w:r>
    </w:p>
    <w:p>
      <w:pPr>
        <w:spacing w:after="0" w:line="171" w:lineRule="exact"/>
        <w:rPr>
          <w:sz w:val="20"/>
          <w:szCs w:val="20"/>
          <w:color w:val="auto"/>
        </w:rPr>
      </w:pPr>
    </w:p>
    <w:p>
      <w:pPr>
        <w:jc w:val="both"/>
        <w:ind w:right="20"/>
        <w:spacing w:after="0" w:line="309" w:lineRule="auto"/>
        <w:rPr>
          <w:sz w:val="20"/>
          <w:szCs w:val="20"/>
          <w:color w:val="auto"/>
        </w:rPr>
      </w:pPr>
      <w:r>
        <w:rPr>
          <w:rFonts w:ascii="Times New Roman" w:cs="Times New Roman" w:eastAsia="Times New Roman" w:hAnsi="Times New Roman"/>
          <w:sz w:val="18"/>
          <w:szCs w:val="18"/>
          <w:color w:val="auto"/>
        </w:rPr>
        <w:t>Following the achievement of the final milestones as contemplated by the terms of the Contribution Agreement, Michael Palfreyman Ph.D. and Brett Greene, who joined the Company following the Adelia Transaction, left their roles as Chief R&amp;D Officer and Chief Innovations Officer, respectively,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68</w:t>
      </w:r>
    </w:p>
    <w:p>
      <w:pPr>
        <w:sectPr>
          <w:pgSz w:w="11900" w:h="16838" w:orient="portrait"/>
          <w:cols w:equalWidth="0" w:num="1">
            <w:col w:w="11260"/>
          </w:cols>
          <w:pgMar w:left="320" w:top="1315" w:right="319" w:bottom="1440" w:gutter="0" w:footer="0" w:header="0"/>
        </w:sectPr>
      </w:pPr>
    </w:p>
    <w:bookmarkStart w:id="94" w:name="page95"/>
    <w:bookmarkEnd w:id="94"/>
    <w:p>
      <w:pPr>
        <w:jc w:val="both"/>
        <w:spacing w:after="0" w:line="323" w:lineRule="auto"/>
        <w:rPr>
          <w:sz w:val="20"/>
          <w:szCs w:val="20"/>
          <w:color w:val="auto"/>
        </w:rPr>
      </w:pPr>
      <w:r>
        <w:rPr>
          <w:rFonts w:ascii="Times New Roman" w:cs="Times New Roman" w:eastAsia="Times New Roman" w:hAnsi="Times New Roman"/>
          <w:sz w:val="18"/>
          <w:szCs w:val="18"/>
          <w:color w:val="auto"/>
        </w:rPr>
        <w:t>and transition into advisory roles at the Company. Alex Nivorozhkin Ph.D., one of Adelia’s founders, is continuing in his role as Chief Scientific Officer of Cybin.</w:t>
      </w:r>
    </w:p>
    <w:p>
      <w:pPr>
        <w:spacing w:after="0" w:line="1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Small Pharma Acquisition</w:t>
      </w:r>
    </w:p>
    <w:p>
      <w:pPr>
        <w:spacing w:after="0" w:line="232" w:lineRule="exact"/>
        <w:rPr>
          <w:sz w:val="20"/>
          <w:szCs w:val="20"/>
          <w:color w:val="auto"/>
        </w:rPr>
      </w:pPr>
    </w:p>
    <w:p>
      <w:pPr>
        <w:jc w:val="both"/>
        <w:spacing w:after="0" w:line="301" w:lineRule="auto"/>
        <w:rPr>
          <w:sz w:val="20"/>
          <w:szCs w:val="20"/>
          <w:color w:val="auto"/>
        </w:rPr>
      </w:pPr>
      <w:r>
        <w:rPr>
          <w:rFonts w:ascii="Times New Roman" w:cs="Times New Roman" w:eastAsia="Times New Roman" w:hAnsi="Times New Roman"/>
          <w:sz w:val="18"/>
          <w:szCs w:val="18"/>
          <w:color w:val="auto"/>
        </w:rPr>
        <w:t>On August 28, 2023, the Company entered into the Arrangement Agreement with Small Pharma pursuant to which Cybin agreed to acquire all of the issued and outstanding shares of Small Pharma (each, a “</w:t>
      </w:r>
      <w:r>
        <w:rPr>
          <w:rFonts w:ascii="Times New Roman" w:cs="Times New Roman" w:eastAsia="Times New Roman" w:hAnsi="Times New Roman"/>
          <w:sz w:val="18"/>
          <w:szCs w:val="18"/>
          <w:b w:val="1"/>
          <w:bCs w:val="1"/>
          <w:color w:val="auto"/>
        </w:rPr>
        <w:t>Small Pharma Share</w:t>
      </w:r>
      <w:r>
        <w:rPr>
          <w:rFonts w:ascii="Times New Roman" w:cs="Times New Roman" w:eastAsia="Times New Roman" w:hAnsi="Times New Roman"/>
          <w:sz w:val="18"/>
          <w:szCs w:val="18"/>
          <w:color w:val="auto"/>
        </w:rPr>
        <w:t>”) in an all-equity business combination transaction to be completed by way the Arrangement.</w:t>
      </w:r>
    </w:p>
    <w:p>
      <w:pPr>
        <w:spacing w:after="0" w:line="186" w:lineRule="exact"/>
        <w:rPr>
          <w:sz w:val="20"/>
          <w:szCs w:val="20"/>
          <w:color w:val="auto"/>
        </w:rPr>
      </w:pPr>
    </w:p>
    <w:p>
      <w:pPr>
        <w:jc w:val="both"/>
        <w:spacing w:after="0" w:line="295" w:lineRule="auto"/>
        <w:rPr>
          <w:sz w:val="20"/>
          <w:szCs w:val="20"/>
          <w:color w:val="auto"/>
        </w:rPr>
      </w:pPr>
      <w:r>
        <w:rPr>
          <w:rFonts w:ascii="Times New Roman" w:cs="Times New Roman" w:eastAsia="Times New Roman" w:hAnsi="Times New Roman"/>
          <w:sz w:val="18"/>
          <w:szCs w:val="18"/>
          <w:color w:val="auto"/>
        </w:rPr>
        <w:t>On September 13, 2023, Small Pharma was granted an interim order (the “</w:t>
      </w:r>
      <w:r>
        <w:rPr>
          <w:rFonts w:ascii="Times New Roman" w:cs="Times New Roman" w:eastAsia="Times New Roman" w:hAnsi="Times New Roman"/>
          <w:sz w:val="18"/>
          <w:szCs w:val="18"/>
          <w:b w:val="1"/>
          <w:bCs w:val="1"/>
          <w:color w:val="auto"/>
        </w:rPr>
        <w:t>Interim Order</w:t>
      </w:r>
      <w:r>
        <w:rPr>
          <w:rFonts w:ascii="Times New Roman" w:cs="Times New Roman" w:eastAsia="Times New Roman" w:hAnsi="Times New Roman"/>
          <w:sz w:val="18"/>
          <w:szCs w:val="18"/>
          <w:color w:val="auto"/>
        </w:rPr>
        <w:t>”) by the Supreme Court of British Columbia (the “</w:t>
      </w:r>
      <w:r>
        <w:rPr>
          <w:rFonts w:ascii="Times New Roman" w:cs="Times New Roman" w:eastAsia="Times New Roman" w:hAnsi="Times New Roman"/>
          <w:sz w:val="18"/>
          <w:szCs w:val="18"/>
          <w:b w:val="1"/>
          <w:bCs w:val="1"/>
          <w:color w:val="auto"/>
        </w:rPr>
        <w:t>Court</w:t>
      </w:r>
      <w:r>
        <w:rPr>
          <w:rFonts w:ascii="Times New Roman" w:cs="Times New Roman" w:eastAsia="Times New Roman" w:hAnsi="Times New Roman"/>
          <w:sz w:val="18"/>
          <w:szCs w:val="18"/>
          <w:color w:val="auto"/>
        </w:rPr>
        <w:t>”) regarding the Arrangement. The Interim Order authorized Small Pharma to proceed with various matters relating to the Arrangement, including the holding of a special meeting of Small Pharma shareholders to consider and vote on the Arrangement. Completion of the Arrangement was conditional upon receipt of a final order by the Court. Small Pharma was granted a final order by the Court on October 17, 2023.</w:t>
      </w:r>
    </w:p>
    <w:p>
      <w:pPr>
        <w:spacing w:after="0" w:line="179" w:lineRule="exact"/>
        <w:rPr>
          <w:sz w:val="20"/>
          <w:szCs w:val="20"/>
          <w:color w:val="auto"/>
        </w:rPr>
      </w:pPr>
    </w:p>
    <w:p>
      <w:pPr>
        <w:jc w:val="both"/>
        <w:spacing w:after="0" w:line="302" w:lineRule="auto"/>
        <w:rPr>
          <w:sz w:val="20"/>
          <w:szCs w:val="20"/>
          <w:color w:val="auto"/>
        </w:rPr>
      </w:pPr>
      <w:r>
        <w:rPr>
          <w:rFonts w:ascii="Times New Roman" w:cs="Times New Roman" w:eastAsia="Times New Roman" w:hAnsi="Times New Roman"/>
          <w:sz w:val="18"/>
          <w:szCs w:val="18"/>
          <w:color w:val="auto"/>
        </w:rPr>
        <w:t>On October 12, 2023, the Company held an annual and special meeting of shareholders (the “</w:t>
      </w:r>
      <w:r>
        <w:rPr>
          <w:rFonts w:ascii="Times New Roman" w:cs="Times New Roman" w:eastAsia="Times New Roman" w:hAnsi="Times New Roman"/>
          <w:sz w:val="18"/>
          <w:szCs w:val="18"/>
          <w:b w:val="1"/>
          <w:bCs w:val="1"/>
          <w:color w:val="auto"/>
        </w:rPr>
        <w:t>Special Meeting</w:t>
      </w:r>
      <w:r>
        <w:rPr>
          <w:rFonts w:ascii="Times New Roman" w:cs="Times New Roman" w:eastAsia="Times New Roman" w:hAnsi="Times New Roman"/>
          <w:sz w:val="18"/>
          <w:szCs w:val="18"/>
          <w:color w:val="auto"/>
        </w:rPr>
        <w:t>”) in connection with, among other things, the Arrangement. At the Special Meeting, shareholders of the Company passed an ordinary resolution approving the issuance by the Company of up to such number of Common Shares as may be required to be issued pursuant to the Arrangement in accordance with the terms of the Arrangement Agreement.</w:t>
      </w:r>
    </w:p>
    <w:p>
      <w:pPr>
        <w:spacing w:after="0" w:line="176" w:lineRule="exact"/>
        <w:rPr>
          <w:sz w:val="20"/>
          <w:szCs w:val="20"/>
          <w:color w:val="auto"/>
        </w:rPr>
      </w:pPr>
    </w:p>
    <w:p>
      <w:pPr>
        <w:jc w:val="both"/>
        <w:spacing w:after="0" w:line="280" w:lineRule="auto"/>
        <w:rPr>
          <w:sz w:val="20"/>
          <w:szCs w:val="20"/>
          <w:color w:val="auto"/>
        </w:rPr>
      </w:pPr>
      <w:r>
        <w:rPr>
          <w:rFonts w:ascii="Times New Roman" w:cs="Times New Roman" w:eastAsia="Times New Roman" w:hAnsi="Times New Roman"/>
          <w:sz w:val="18"/>
          <w:szCs w:val="18"/>
          <w:color w:val="auto"/>
        </w:rPr>
        <w:t>On October 23, 2023, the Company completed the Arrangement and issued 0.00634 Common Shares for every one Small Pharma Share outstanding, resulting in a total of 2,130,138 Common Shares being issued to Small Pharma shareholders. As a result of the Arrangement, Small Pharma is now a wholly-owned subsidiary of Cybin.</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Off-Balance Sheet Arrangements</w:t>
      </w:r>
    </w:p>
    <w:p>
      <w:pPr>
        <w:spacing w:after="0" w:line="232" w:lineRule="exact"/>
        <w:rPr>
          <w:sz w:val="20"/>
          <w:szCs w:val="20"/>
          <w:color w:val="auto"/>
        </w:rPr>
      </w:pPr>
    </w:p>
    <w:p>
      <w:pPr>
        <w:jc w:val="both"/>
        <w:spacing w:after="0" w:line="301" w:lineRule="auto"/>
        <w:rPr>
          <w:sz w:val="20"/>
          <w:szCs w:val="20"/>
          <w:color w:val="auto"/>
        </w:rPr>
      </w:pPr>
      <w:r>
        <w:rPr>
          <w:rFonts w:ascii="Times New Roman" w:cs="Times New Roman" w:eastAsia="Times New Roman" w:hAnsi="Times New Roman"/>
          <w:sz w:val="18"/>
          <w:szCs w:val="18"/>
          <w:color w:val="auto"/>
        </w:rPr>
        <w:t>As at September 30, 2024 and the date of this MD&amp;A, other than these contractual obligations and commitments disclosed in note 11 of the Financial Statements, the Company does not have any off-balance sheet arrangements that have or are reasonably likely to have a current or future effect on the results of operations or financial condition of the Company.</w:t>
      </w:r>
    </w:p>
    <w:p>
      <w:pPr>
        <w:spacing w:after="0" w:line="1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Transactions Between Related Parties</w:t>
      </w:r>
    </w:p>
    <w:p>
      <w:pPr>
        <w:spacing w:after="0" w:line="230" w:lineRule="exact"/>
        <w:rPr>
          <w:sz w:val="20"/>
          <w:szCs w:val="20"/>
          <w:color w:val="auto"/>
        </w:rPr>
      </w:pPr>
    </w:p>
    <w:p>
      <w:pPr>
        <w:jc w:val="both"/>
        <w:spacing w:after="0" w:line="297" w:lineRule="auto"/>
        <w:rPr>
          <w:sz w:val="20"/>
          <w:szCs w:val="20"/>
          <w:color w:val="auto"/>
        </w:rPr>
      </w:pPr>
      <w:r>
        <w:rPr>
          <w:rFonts w:ascii="Times New Roman" w:cs="Times New Roman" w:eastAsia="Times New Roman" w:hAnsi="Times New Roman"/>
          <w:sz w:val="18"/>
          <w:szCs w:val="18"/>
          <w:color w:val="auto"/>
        </w:rPr>
        <w:t>Key management personnel of the Company are the board of directors of the Company (the “</w:t>
      </w:r>
      <w:r>
        <w:rPr>
          <w:rFonts w:ascii="Times New Roman" w:cs="Times New Roman" w:eastAsia="Times New Roman" w:hAnsi="Times New Roman"/>
          <w:sz w:val="18"/>
          <w:szCs w:val="18"/>
          <w:b w:val="1"/>
          <w:bCs w:val="1"/>
          <w:color w:val="auto"/>
        </w:rPr>
        <w:t>Board</w:t>
      </w:r>
      <w:r>
        <w:rPr>
          <w:rFonts w:ascii="Times New Roman" w:cs="Times New Roman" w:eastAsia="Times New Roman" w:hAnsi="Times New Roman"/>
          <w:sz w:val="18"/>
          <w:szCs w:val="18"/>
          <w:color w:val="auto"/>
        </w:rPr>
        <w:t>”), the President, Chief Executive Officer, Chief Financial Officer, Chief Operating Officer, Chief Growth Officer, Chief Legal Officer, and Chief Business Officer.</w:t>
      </w:r>
    </w:p>
    <w:p>
      <w:pPr>
        <w:spacing w:after="0" w:line="191" w:lineRule="exact"/>
        <w:rPr>
          <w:sz w:val="20"/>
          <w:szCs w:val="20"/>
          <w:color w:val="auto"/>
        </w:rPr>
      </w:pPr>
    </w:p>
    <w:p>
      <w:pPr>
        <w:jc w:val="both"/>
        <w:spacing w:after="0" w:line="301" w:lineRule="auto"/>
        <w:rPr>
          <w:sz w:val="20"/>
          <w:szCs w:val="20"/>
          <w:color w:val="auto"/>
        </w:rPr>
      </w:pPr>
      <w:r>
        <w:rPr>
          <w:rFonts w:ascii="Times New Roman" w:cs="Times New Roman" w:eastAsia="Times New Roman" w:hAnsi="Times New Roman"/>
          <w:sz w:val="18"/>
          <w:szCs w:val="18"/>
          <w:color w:val="auto"/>
        </w:rPr>
        <w:t>Compensation for key management personnel of the Company for the three and six month periods ended September 30, 2024 consisted of consulting fees, short term benefits and other compensation of $23,406 and $27,977, respectively (three and six-month periods ended September 30, 2023 - $1,329 and $2,509).</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69</w:t>
      </w:r>
    </w:p>
    <w:p>
      <w:pPr>
        <w:sectPr>
          <w:pgSz w:w="11900" w:h="16838" w:orient="portrait"/>
          <w:cols w:equalWidth="0" w:num="1">
            <w:col w:w="11240"/>
          </w:cols>
          <w:pgMar w:left="320" w:top="1303" w:right="339" w:bottom="1440" w:gutter="0" w:footer="0" w:header="0"/>
        </w:sectPr>
      </w:pPr>
    </w:p>
    <w:bookmarkStart w:id="95" w:name="page96"/>
    <w:bookmarkEnd w:id="95"/>
    <w:p>
      <w:pPr>
        <w:spacing w:after="0"/>
        <w:rPr>
          <w:sz w:val="20"/>
          <w:szCs w:val="20"/>
          <w:color w:val="auto"/>
        </w:rPr>
      </w:pPr>
      <w:r>
        <w:rPr>
          <w:rFonts w:ascii="Times New Roman" w:cs="Times New Roman" w:eastAsia="Times New Roman" w:hAnsi="Times New Roman"/>
          <w:sz w:val="18"/>
          <w:szCs w:val="18"/>
          <w:b w:val="1"/>
          <w:bCs w:val="1"/>
          <w:i w:val="1"/>
          <w:iCs w:val="1"/>
          <w:color w:val="auto"/>
        </w:rPr>
        <w:t>Critical Accounting Estimates</w:t>
      </w:r>
    </w:p>
    <w:p>
      <w:pPr>
        <w:spacing w:after="0" w:line="244" w:lineRule="exact"/>
        <w:rPr>
          <w:sz w:val="20"/>
          <w:szCs w:val="20"/>
          <w:color w:val="auto"/>
        </w:rPr>
      </w:pPr>
    </w:p>
    <w:p>
      <w:pPr>
        <w:jc w:val="both"/>
        <w:spacing w:after="0" w:line="288" w:lineRule="auto"/>
        <w:rPr>
          <w:sz w:val="20"/>
          <w:szCs w:val="20"/>
          <w:color w:val="auto"/>
        </w:rPr>
      </w:pPr>
      <w:r>
        <w:rPr>
          <w:rFonts w:ascii="Times New Roman" w:cs="Times New Roman" w:eastAsia="Times New Roman" w:hAnsi="Times New Roman"/>
          <w:sz w:val="18"/>
          <w:szCs w:val="18"/>
          <w:color w:val="auto"/>
        </w:rPr>
        <w:t xml:space="preserve">The preparation of the Financial Statements require management to make certain estimates, judgments and assumptions that affect the reported amounts of assets and liabilities at the date of the consolidated financial statements and reported amounts of expenses during the reporting year. Actual outcomes could differ from these estimates. The consolidated financial statements include estimates which, by their nature, are uncertain. The impacts of such estimates are pervasive throughout the consolidated financial statements and may require accounting adjustments based on future occurrences. Revisions to accounting estimates are recognized in the year in which the estimate is revised and future years if the revision affects both current and future years. These estimates are based on historical experience, current and future economic conditions and other factors, including expectations of future events that are believed to be reasonable under the circumstances. The Company’s significant accounting estimates and assumptions are reported in note 3 of the Company's annual consolidated financial statements for the year ended March 31, 2024, found on SEDAR+ at </w:t>
      </w:r>
      <w:r>
        <w:rPr>
          <w:rFonts w:ascii="Times New Roman" w:cs="Times New Roman" w:eastAsia="Times New Roman" w:hAnsi="Times New Roman"/>
          <w:sz w:val="18"/>
          <w:szCs w:val="18"/>
          <w:i w:val="1"/>
          <w:iCs w:val="1"/>
          <w:color w:val="auto"/>
        </w:rPr>
        <w:t>www.sedarplus.ca.</w:t>
      </w:r>
    </w:p>
    <w:p>
      <w:pPr>
        <w:spacing w:after="0" w:line="19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Summary Of Significant Accounting Policies</w:t>
      </w:r>
    </w:p>
    <w:p>
      <w:pPr>
        <w:spacing w:after="0" w:line="256" w:lineRule="exact"/>
        <w:rPr>
          <w:sz w:val="20"/>
          <w:szCs w:val="20"/>
          <w:color w:val="auto"/>
        </w:rPr>
      </w:pPr>
    </w:p>
    <w:p>
      <w:pPr>
        <w:jc w:val="both"/>
        <w:spacing w:after="0" w:line="294" w:lineRule="auto"/>
        <w:rPr>
          <w:sz w:val="20"/>
          <w:szCs w:val="20"/>
          <w:color w:val="auto"/>
        </w:rPr>
      </w:pPr>
      <w:r>
        <w:rPr>
          <w:rFonts w:ascii="Times New Roman" w:cs="Times New Roman" w:eastAsia="Times New Roman" w:hAnsi="Times New Roman"/>
          <w:sz w:val="18"/>
          <w:szCs w:val="18"/>
          <w:color w:val="auto"/>
        </w:rPr>
        <w:t xml:space="preserve">The Company’s significant accounting policies are set out in note 2 of the Company's annual consolidated financial statements for the year ended March 31, 2024, found on SEDAR+ at </w:t>
      </w:r>
      <w:r>
        <w:rPr>
          <w:rFonts w:ascii="Times New Roman" w:cs="Times New Roman" w:eastAsia="Times New Roman" w:hAnsi="Times New Roman"/>
          <w:sz w:val="18"/>
          <w:szCs w:val="18"/>
          <w:i w:val="1"/>
          <w:iCs w:val="1"/>
          <w:color w:val="auto"/>
        </w:rPr>
        <w:t>www.sedarplus.ca</w:t>
      </w:r>
      <w:r>
        <w:rPr>
          <w:rFonts w:ascii="Times New Roman" w:cs="Times New Roman" w:eastAsia="Times New Roman" w:hAnsi="Times New Roman"/>
          <w:sz w:val="18"/>
          <w:szCs w:val="18"/>
          <w:color w:val="auto"/>
        </w:rPr>
        <w:t>. This MD&amp;A should be read in conjunction with the Financial Statements. Other accounting standards or amendments to existing accounting standards that have been issued, but have future effective dates, are either not applicable or are not expected to have a significant impact on the Financial Statements.</w:t>
      </w:r>
    </w:p>
    <w:p>
      <w:pPr>
        <w:spacing w:after="0" w:line="1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Disclosure Controls and Procedures</w:t>
      </w:r>
    </w:p>
    <w:p>
      <w:pPr>
        <w:spacing w:after="0" w:line="256" w:lineRule="exact"/>
        <w:rPr>
          <w:sz w:val="20"/>
          <w:szCs w:val="20"/>
          <w:color w:val="auto"/>
        </w:rPr>
      </w:pPr>
    </w:p>
    <w:p>
      <w:pPr>
        <w:jc w:val="both"/>
        <w:ind w:right="20"/>
        <w:spacing w:after="0" w:line="315" w:lineRule="auto"/>
        <w:rPr>
          <w:sz w:val="20"/>
          <w:szCs w:val="20"/>
          <w:color w:val="auto"/>
        </w:rPr>
      </w:pPr>
      <w:r>
        <w:rPr>
          <w:rFonts w:ascii="Times New Roman" w:cs="Times New Roman" w:eastAsia="Times New Roman" w:hAnsi="Times New Roman"/>
          <w:sz w:val="17"/>
          <w:szCs w:val="17"/>
          <w:color w:val="auto"/>
        </w:rPr>
        <w:t>Management maintains appropriate information systems, procedures and controls to provide reasonable assurance that information that is publicly disclosed is complete, reliable and timely. The Chief Executive Officer (the “CEO”) and Chief Financial Officer (the “</w:t>
      </w:r>
      <w:r>
        <w:rPr>
          <w:rFonts w:ascii="Times New Roman" w:cs="Times New Roman" w:eastAsia="Times New Roman" w:hAnsi="Times New Roman"/>
          <w:sz w:val="17"/>
          <w:szCs w:val="17"/>
          <w:b w:val="1"/>
          <w:bCs w:val="1"/>
          <w:color w:val="auto"/>
        </w:rPr>
        <w:t>CFO</w:t>
      </w:r>
      <w:r>
        <w:rPr>
          <w:rFonts w:ascii="Times New Roman" w:cs="Times New Roman" w:eastAsia="Times New Roman" w:hAnsi="Times New Roman"/>
          <w:sz w:val="17"/>
          <w:szCs w:val="17"/>
          <w:color w:val="auto"/>
        </w:rPr>
        <w:t>”) of the Company, along with the assistance of senior management under their supervision, have designed disclosure controls and procedures to provide reasonable assurance that material information relating to the Company is made known to the CEO and CFO, and have designed internal controls over financial reporting to provide reasonable assurance regarding the reliability of financial reporting and the preparation of financial statements for external purposes in accordance with IFRS.</w:t>
      </w:r>
    </w:p>
    <w:p>
      <w:pPr>
        <w:spacing w:after="0" w:line="1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Internal Control Over Financial Reporting</w:t>
      </w:r>
    </w:p>
    <w:p>
      <w:pPr>
        <w:spacing w:after="0" w:line="256" w:lineRule="exact"/>
        <w:rPr>
          <w:sz w:val="20"/>
          <w:szCs w:val="20"/>
          <w:color w:val="auto"/>
        </w:rPr>
      </w:pPr>
    </w:p>
    <w:p>
      <w:pPr>
        <w:jc w:val="both"/>
        <w:ind w:right="20"/>
        <w:spacing w:after="0" w:line="301" w:lineRule="auto"/>
        <w:rPr>
          <w:sz w:val="20"/>
          <w:szCs w:val="20"/>
          <w:color w:val="auto"/>
        </w:rPr>
      </w:pPr>
      <w:r>
        <w:rPr>
          <w:rFonts w:ascii="Times New Roman" w:cs="Times New Roman" w:eastAsia="Times New Roman" w:hAnsi="Times New Roman"/>
          <w:sz w:val="18"/>
          <w:szCs w:val="18"/>
          <w:color w:val="auto"/>
        </w:rPr>
        <w:t>Internal control over financial reporting is a process designed to provide reasonable assurance regarding the reliability of financial reporting and the preparation of financial statements for external purposes in accordance with applicable IFRS. Internal control over financial reporting should include those policies and procedures that establish the following:</w:t>
      </w:r>
    </w:p>
    <w:p>
      <w:pPr>
        <w:spacing w:after="0" w:line="188" w:lineRule="exact"/>
        <w:rPr>
          <w:sz w:val="20"/>
          <w:szCs w:val="20"/>
          <w:color w:val="auto"/>
        </w:rPr>
      </w:pPr>
    </w:p>
    <w:p>
      <w:pPr>
        <w:ind w:left="560" w:hanging="276"/>
        <w:spacing w:after="0"/>
        <w:tabs>
          <w:tab w:leader="none" w:pos="560" w:val="left"/>
        </w:tabs>
        <w:numPr>
          <w:ilvl w:val="0"/>
          <w:numId w:val="44"/>
        </w:numPr>
        <w:rPr>
          <w:rFonts w:ascii="Calibri" w:cs="Calibri" w:eastAsia="Calibri" w:hAnsi="Calibri"/>
          <w:sz w:val="18"/>
          <w:szCs w:val="18"/>
          <w:color w:val="auto"/>
        </w:rPr>
      </w:pPr>
      <w:r>
        <w:rPr>
          <w:rFonts w:ascii="Times New Roman" w:cs="Times New Roman" w:eastAsia="Times New Roman" w:hAnsi="Times New Roman"/>
          <w:sz w:val="18"/>
          <w:szCs w:val="18"/>
          <w:color w:val="auto"/>
        </w:rPr>
        <w:t>maintenance of records in reasonable detail, that accurately and fairly reflect the transactions and dispositions of assets;</w:t>
      </w:r>
    </w:p>
    <w:p>
      <w:pPr>
        <w:spacing w:after="0" w:line="200" w:lineRule="exact"/>
        <w:rPr>
          <w:rFonts w:ascii="Calibri" w:cs="Calibri" w:eastAsia="Calibri" w:hAnsi="Calibri"/>
          <w:sz w:val="18"/>
          <w:szCs w:val="18"/>
          <w:color w:val="auto"/>
        </w:rPr>
      </w:pPr>
    </w:p>
    <w:p>
      <w:pPr>
        <w:spacing w:after="0" w:line="200" w:lineRule="exact"/>
        <w:rPr>
          <w:rFonts w:ascii="Calibri" w:cs="Calibri" w:eastAsia="Calibri" w:hAnsi="Calibri"/>
          <w:sz w:val="18"/>
          <w:szCs w:val="18"/>
          <w:color w:val="auto"/>
        </w:rPr>
      </w:pPr>
    </w:p>
    <w:p>
      <w:pPr>
        <w:spacing w:after="0" w:line="200" w:lineRule="exact"/>
        <w:rPr>
          <w:rFonts w:ascii="Calibri" w:cs="Calibri" w:eastAsia="Calibri" w:hAnsi="Calibri"/>
          <w:sz w:val="18"/>
          <w:szCs w:val="18"/>
          <w:color w:val="auto"/>
        </w:rPr>
      </w:pPr>
    </w:p>
    <w:p>
      <w:pPr>
        <w:spacing w:after="0" w:line="364" w:lineRule="exact"/>
        <w:rPr>
          <w:rFonts w:ascii="Calibri" w:cs="Calibri" w:eastAsia="Calibri" w:hAnsi="Calibri"/>
          <w:sz w:val="18"/>
          <w:szCs w:val="18"/>
          <w:color w:val="auto"/>
        </w:rPr>
      </w:pPr>
    </w:p>
    <w:p>
      <w:pPr>
        <w:ind w:left="5540"/>
        <w:spacing w:after="0"/>
        <w:rPr>
          <w:rFonts w:ascii="Calibri" w:cs="Calibri" w:eastAsia="Calibri" w:hAnsi="Calibri"/>
          <w:sz w:val="18"/>
          <w:szCs w:val="18"/>
          <w:color w:val="auto"/>
        </w:rPr>
      </w:pPr>
      <w:r>
        <w:rPr>
          <w:rFonts w:ascii="Times New Roman" w:cs="Times New Roman" w:eastAsia="Times New Roman" w:hAnsi="Times New Roman"/>
          <w:sz w:val="18"/>
          <w:szCs w:val="18"/>
          <w:color w:val="auto"/>
        </w:rPr>
        <w:t>70</w:t>
      </w:r>
    </w:p>
    <w:p>
      <w:pPr>
        <w:sectPr>
          <w:pgSz w:w="11900" w:h="16838" w:orient="portrait"/>
          <w:cols w:equalWidth="0" w:num="1">
            <w:col w:w="11260"/>
          </w:cols>
          <w:pgMar w:left="320" w:top="1299" w:right="319" w:bottom="1440" w:gutter="0" w:footer="0" w:header="0"/>
        </w:sectPr>
      </w:pPr>
    </w:p>
    <w:bookmarkStart w:id="96" w:name="page97"/>
    <w:bookmarkEnd w:id="96"/>
    <w:p>
      <w:pPr>
        <w:ind w:left="560" w:hanging="276"/>
        <w:spacing w:after="0"/>
        <w:tabs>
          <w:tab w:leader="none" w:pos="560" w:val="left"/>
        </w:tabs>
        <w:numPr>
          <w:ilvl w:val="0"/>
          <w:numId w:val="45"/>
        </w:numPr>
        <w:rPr>
          <w:rFonts w:ascii="Calibri" w:cs="Calibri" w:eastAsia="Calibri" w:hAnsi="Calibri"/>
          <w:sz w:val="18"/>
          <w:szCs w:val="18"/>
          <w:color w:val="auto"/>
        </w:rPr>
      </w:pPr>
      <w:r>
        <w:rPr>
          <w:rFonts w:ascii="Times New Roman" w:cs="Times New Roman" w:eastAsia="Times New Roman" w:hAnsi="Times New Roman"/>
          <w:sz w:val="18"/>
          <w:szCs w:val="18"/>
          <w:color w:val="auto"/>
        </w:rPr>
        <w:t>reasonable assurance that transactions are recorded as necessary to permit preparation of financial statements in accordance with applicable IFRS;</w:t>
      </w:r>
    </w:p>
    <w:p>
      <w:pPr>
        <w:spacing w:after="0" w:line="58" w:lineRule="exact"/>
        <w:rPr>
          <w:rFonts w:ascii="Calibri" w:cs="Calibri" w:eastAsia="Calibri" w:hAnsi="Calibri"/>
          <w:sz w:val="18"/>
          <w:szCs w:val="18"/>
          <w:color w:val="auto"/>
        </w:rPr>
      </w:pPr>
    </w:p>
    <w:p>
      <w:pPr>
        <w:ind w:left="560" w:hanging="276"/>
        <w:spacing w:after="0"/>
        <w:tabs>
          <w:tab w:leader="none" w:pos="560" w:val="left"/>
        </w:tabs>
        <w:numPr>
          <w:ilvl w:val="0"/>
          <w:numId w:val="45"/>
        </w:numPr>
        <w:rPr>
          <w:rFonts w:ascii="Calibri" w:cs="Calibri" w:eastAsia="Calibri" w:hAnsi="Calibri"/>
          <w:sz w:val="18"/>
          <w:szCs w:val="18"/>
          <w:color w:val="auto"/>
        </w:rPr>
      </w:pPr>
      <w:r>
        <w:rPr>
          <w:rFonts w:ascii="Times New Roman" w:cs="Times New Roman" w:eastAsia="Times New Roman" w:hAnsi="Times New Roman"/>
          <w:sz w:val="18"/>
          <w:szCs w:val="18"/>
          <w:color w:val="auto"/>
        </w:rPr>
        <w:t>receipts and expenditures are only being made in accordance with authorizations of management or the Board; and</w:t>
      </w:r>
    </w:p>
    <w:p>
      <w:pPr>
        <w:spacing w:after="0" w:line="46" w:lineRule="exact"/>
        <w:rPr>
          <w:rFonts w:ascii="Calibri" w:cs="Calibri" w:eastAsia="Calibri" w:hAnsi="Calibri"/>
          <w:sz w:val="18"/>
          <w:szCs w:val="18"/>
          <w:color w:val="auto"/>
        </w:rPr>
      </w:pPr>
    </w:p>
    <w:p>
      <w:pPr>
        <w:ind w:left="580" w:right="20" w:hanging="296"/>
        <w:spacing w:after="0" w:line="322" w:lineRule="auto"/>
        <w:tabs>
          <w:tab w:leader="none" w:pos="576" w:val="left"/>
        </w:tabs>
        <w:numPr>
          <w:ilvl w:val="0"/>
          <w:numId w:val="45"/>
        </w:numPr>
        <w:rPr>
          <w:rFonts w:ascii="Calibri" w:cs="Calibri" w:eastAsia="Calibri" w:hAnsi="Calibri"/>
          <w:sz w:val="18"/>
          <w:szCs w:val="18"/>
          <w:color w:val="auto"/>
        </w:rPr>
      </w:pPr>
      <w:r>
        <w:rPr>
          <w:rFonts w:ascii="Times New Roman" w:cs="Times New Roman" w:eastAsia="Times New Roman" w:hAnsi="Times New Roman"/>
          <w:sz w:val="18"/>
          <w:szCs w:val="18"/>
          <w:color w:val="auto"/>
        </w:rPr>
        <w:t>reasonable assurance regarding prevention or timely detection of unauthorized acquisition, use or disposition of the Company’s assets that could have a material effect on the financial instruments.</w:t>
      </w:r>
    </w:p>
    <w:p>
      <w:pPr>
        <w:spacing w:after="0" w:line="153" w:lineRule="exact"/>
        <w:rPr>
          <w:sz w:val="20"/>
          <w:szCs w:val="20"/>
          <w:color w:val="auto"/>
        </w:rPr>
      </w:pPr>
    </w:p>
    <w:p>
      <w:pPr>
        <w:jc w:val="both"/>
        <w:ind w:right="20"/>
        <w:spacing w:after="0" w:line="295" w:lineRule="auto"/>
        <w:rPr>
          <w:sz w:val="20"/>
          <w:szCs w:val="20"/>
          <w:color w:val="auto"/>
        </w:rPr>
      </w:pPr>
      <w:r>
        <w:rPr>
          <w:rFonts w:ascii="Times New Roman" w:cs="Times New Roman" w:eastAsia="Times New Roman" w:hAnsi="Times New Roman"/>
          <w:sz w:val="18"/>
          <w:szCs w:val="18"/>
          <w:color w:val="auto"/>
        </w:rPr>
        <w:t>During the period ended September 30, 2024, the Company did not make any significant changes to its internal controls over financial reporting that would have materially affected, or reasonably likely to materially affect, its internal controls over financial reporting.</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Limitations of Disclosure Controls and Procedures and Internal Control Over Financial Reporting</w:t>
      </w:r>
    </w:p>
    <w:p>
      <w:pPr>
        <w:spacing w:after="0" w:line="256" w:lineRule="exact"/>
        <w:rPr>
          <w:sz w:val="20"/>
          <w:szCs w:val="20"/>
          <w:color w:val="auto"/>
        </w:rPr>
      </w:pPr>
    </w:p>
    <w:p>
      <w:pPr>
        <w:jc w:val="both"/>
        <w:spacing w:after="0" w:line="289" w:lineRule="auto"/>
        <w:rPr>
          <w:sz w:val="20"/>
          <w:szCs w:val="20"/>
          <w:color w:val="auto"/>
        </w:rPr>
      </w:pPr>
      <w:r>
        <w:rPr>
          <w:rFonts w:ascii="Times New Roman" w:cs="Times New Roman" w:eastAsia="Times New Roman" w:hAnsi="Times New Roman"/>
          <w:sz w:val="18"/>
          <w:szCs w:val="18"/>
          <w:color w:val="auto"/>
        </w:rPr>
        <w:t>The Company’s management, including the CEO and the CFO, believe that due to inherent limitations, any disclosure controls and procedures or internal control over financial reporting, no matter how well designed and operated, can provide only reasonable, not absolute, assurance of achieving the desired control objectives. These inherent limitations include, among other items: (i) that management’s assumptions and judgments could ultimately prove to be incorrect under varying conditions and circumstances; (ii) the impact of any undetected errors; and (iii) that controls may be circumvented by the unauthorized acts of individuals, by collusion of two or more people, or by management override. Further, the design of a control system must reflect the fact that there are resource constraints, and the benefits of controls must be considered relative to their costs. Accordingly, because of the inherent limitations in a cost effective control system, misstatements due to error or fraud may occur and not be detected.</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New Accounting Standards and Interpretations Not Yet Adopted</w:t>
      </w:r>
    </w:p>
    <w:p>
      <w:pPr>
        <w:spacing w:after="0" w:line="256" w:lineRule="exact"/>
        <w:rPr>
          <w:sz w:val="20"/>
          <w:szCs w:val="20"/>
          <w:color w:val="auto"/>
        </w:rPr>
      </w:pPr>
    </w:p>
    <w:p>
      <w:pPr>
        <w:jc w:val="both"/>
        <w:ind w:right="20"/>
        <w:spacing w:after="0" w:line="301" w:lineRule="auto"/>
        <w:rPr>
          <w:sz w:val="20"/>
          <w:szCs w:val="20"/>
          <w:color w:val="auto"/>
        </w:rPr>
      </w:pPr>
      <w:r>
        <w:rPr>
          <w:rFonts w:ascii="Times New Roman" w:cs="Times New Roman" w:eastAsia="Times New Roman" w:hAnsi="Times New Roman"/>
          <w:sz w:val="18"/>
          <w:szCs w:val="18"/>
          <w:color w:val="auto"/>
        </w:rPr>
        <w:t>A number of new standards, amendments to standards and interpretations are not yet effective at September 30, 2024, and have not been applied in preparing the condensed interim consolidated financial statements. Management has determined that none of these will have a significant effect on the Financial Statements.</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Financial and Risk Management</w:t>
      </w:r>
    </w:p>
    <w:p>
      <w:pPr>
        <w:spacing w:after="0" w:line="266" w:lineRule="exact"/>
        <w:rPr>
          <w:sz w:val="20"/>
          <w:szCs w:val="20"/>
          <w:color w:val="auto"/>
        </w:rPr>
      </w:pPr>
    </w:p>
    <w:p>
      <w:pPr>
        <w:jc w:val="both"/>
        <w:ind w:right="20"/>
        <w:spacing w:after="0" w:line="291" w:lineRule="auto"/>
        <w:rPr>
          <w:sz w:val="20"/>
          <w:szCs w:val="20"/>
          <w:color w:val="auto"/>
        </w:rPr>
      </w:pPr>
      <w:r>
        <w:rPr>
          <w:rFonts w:ascii="Times New Roman" w:cs="Times New Roman" w:eastAsia="Times New Roman" w:hAnsi="Times New Roman"/>
          <w:sz w:val="18"/>
          <w:szCs w:val="18"/>
          <w:color w:val="auto"/>
        </w:rPr>
        <w:t xml:space="preserve">The Company is exposed to a variety of financial instrument related risks and is exposed to liquidity risk, credit risk, interest rate risk, foreign exchange risk, equity price risk, asset forfeiture risk and banking risk. Management, in conjunction with the Board, mitigates these risks by assessing, monitoring and approving the Company’s risk management processes. See note 13, </w:t>
      </w:r>
      <w:r>
        <w:rPr>
          <w:rFonts w:ascii="Times New Roman" w:cs="Times New Roman" w:eastAsia="Times New Roman" w:hAnsi="Times New Roman"/>
          <w:sz w:val="18"/>
          <w:szCs w:val="18"/>
          <w:i w:val="1"/>
          <w:iCs w:val="1"/>
          <w:color w:val="auto"/>
        </w:rPr>
        <w:t>Financial Instruments</w:t>
      </w:r>
      <w:r>
        <w:rPr>
          <w:rFonts w:ascii="Times New Roman" w:cs="Times New Roman" w:eastAsia="Times New Roman" w:hAnsi="Times New Roman"/>
          <w:sz w:val="18"/>
          <w:szCs w:val="18"/>
          <w:color w:val="auto"/>
        </w:rPr>
        <w:t xml:space="preserve"> in the Financial Statements for the Company’s financial instruments, financial risk factors, and other instruments. The Company’s financial risk activities are governed by the appropriate policy and procedures and financial risks are identified, measured and managed in accordance with the Company’s policies and risk appetite.</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addition, the Company noted the following risks specific to the psychedelic industry that it is exposed to: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71</w:t>
      </w:r>
    </w:p>
    <w:p>
      <w:pPr>
        <w:sectPr>
          <w:pgSz w:w="11900" w:h="16838" w:orient="portrait"/>
          <w:cols w:equalWidth="0" w:num="1">
            <w:col w:w="11260"/>
          </w:cols>
          <w:pgMar w:left="320" w:top="1303" w:right="319" w:bottom="1440" w:gutter="0" w:footer="0" w:header="0"/>
        </w:sectPr>
      </w:pPr>
    </w:p>
    <w:bookmarkStart w:id="97" w:name="page98"/>
    <w:bookmarkEnd w:id="97"/>
    <w:p>
      <w:pPr>
        <w:spacing w:after="0" w:line="2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Liquidity Risk</w:t>
      </w:r>
    </w:p>
    <w:p>
      <w:pPr>
        <w:spacing w:after="0" w:line="232" w:lineRule="exact"/>
        <w:rPr>
          <w:sz w:val="20"/>
          <w:szCs w:val="20"/>
          <w:color w:val="auto"/>
        </w:rPr>
      </w:pPr>
    </w:p>
    <w:p>
      <w:pPr>
        <w:jc w:val="both"/>
        <w:ind w:right="20"/>
        <w:spacing w:after="0" w:line="294" w:lineRule="auto"/>
        <w:rPr>
          <w:sz w:val="20"/>
          <w:szCs w:val="20"/>
          <w:color w:val="auto"/>
        </w:rPr>
      </w:pPr>
      <w:r>
        <w:rPr>
          <w:rFonts w:ascii="Times New Roman" w:cs="Times New Roman" w:eastAsia="Times New Roman" w:hAnsi="Times New Roman"/>
          <w:sz w:val="18"/>
          <w:szCs w:val="18"/>
          <w:color w:val="auto"/>
        </w:rPr>
        <w:t>Liquidity risk is the risk that the Company will not be able to meet its financial obligations as they fall due. The Company is a development stage company and is reliant on external fundraising to support its operations. Once funds have been raised, the Company manages liquidity risk by continuously monitoring actual and projected cash flows. The Board reviews and approves the Company’s operating and capital budgets, as well as any material transactions not in the ordinary course of business.</w:t>
      </w:r>
    </w:p>
    <w:p>
      <w:pPr>
        <w:spacing w:after="0" w:line="1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Regulatory risk</w:t>
      </w:r>
    </w:p>
    <w:p>
      <w:pPr>
        <w:spacing w:after="0" w:line="266" w:lineRule="exact"/>
        <w:rPr>
          <w:sz w:val="20"/>
          <w:szCs w:val="20"/>
          <w:color w:val="auto"/>
        </w:rPr>
      </w:pPr>
    </w:p>
    <w:p>
      <w:pPr>
        <w:jc w:val="both"/>
        <w:ind w:right="20"/>
        <w:spacing w:after="0" w:line="294" w:lineRule="auto"/>
        <w:rPr>
          <w:sz w:val="20"/>
          <w:szCs w:val="20"/>
          <w:color w:val="auto"/>
        </w:rPr>
      </w:pPr>
      <w:r>
        <w:rPr>
          <w:rFonts w:ascii="Times New Roman" w:cs="Times New Roman" w:eastAsia="Times New Roman" w:hAnsi="Times New Roman"/>
          <w:sz w:val="18"/>
          <w:szCs w:val="18"/>
          <w:color w:val="auto"/>
        </w:rPr>
        <w:t>Regulatory risk pertains to the risk that the Company’s business objectives are contingent, in part, upon the compliance with regulatory requirements. Due to the nature of the industry, regulatory requirements can be more stringent than other industries and may also be punitive in nature. Any delays in obtaining, or failure to obtain regulatory approvals can significantly delay operational and product development and can have a material adverse effect on the Company’s business, results of operation, and financial condition.</w:t>
      </w:r>
    </w:p>
    <w:p>
      <w:pPr>
        <w:spacing w:after="0" w:line="183" w:lineRule="exact"/>
        <w:rPr>
          <w:sz w:val="20"/>
          <w:szCs w:val="20"/>
          <w:color w:val="auto"/>
        </w:rPr>
      </w:pPr>
    </w:p>
    <w:p>
      <w:pPr>
        <w:jc w:val="both"/>
        <w:ind w:right="20"/>
        <w:spacing w:after="0" w:line="301" w:lineRule="auto"/>
        <w:rPr>
          <w:sz w:val="20"/>
          <w:szCs w:val="20"/>
          <w:color w:val="auto"/>
        </w:rPr>
      </w:pPr>
      <w:r>
        <w:rPr>
          <w:rFonts w:ascii="Times New Roman" w:cs="Times New Roman" w:eastAsia="Times New Roman" w:hAnsi="Times New Roman"/>
          <w:sz w:val="18"/>
          <w:szCs w:val="18"/>
          <w:color w:val="auto"/>
        </w:rPr>
        <w:t>The Company routinely monitors regulatory changes occurring in the psychedelic industry at the city, state, and national levels. Although the general regulatory outlook for the psychedelic industry has been moving in a positive direction, unforeseen regulatory changes could have a material adverse effect on the business as a whole.</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Currency risk</w:t>
      </w:r>
    </w:p>
    <w:p>
      <w:pPr>
        <w:spacing w:after="0" w:line="268" w:lineRule="exact"/>
        <w:rPr>
          <w:sz w:val="20"/>
          <w:szCs w:val="20"/>
          <w:color w:val="auto"/>
        </w:rPr>
      </w:pPr>
    </w:p>
    <w:p>
      <w:pPr>
        <w:jc w:val="both"/>
        <w:ind w:right="20"/>
        <w:spacing w:after="0" w:line="309" w:lineRule="auto"/>
        <w:rPr>
          <w:sz w:val="20"/>
          <w:szCs w:val="20"/>
          <w:color w:val="auto"/>
        </w:rPr>
      </w:pPr>
      <w:r>
        <w:rPr>
          <w:rFonts w:ascii="Times New Roman" w:cs="Times New Roman" w:eastAsia="Times New Roman" w:hAnsi="Times New Roman"/>
          <w:sz w:val="18"/>
          <w:szCs w:val="18"/>
          <w:color w:val="auto"/>
        </w:rPr>
        <w:t>The Company is exposed to currency risk related to the fluctuation of foreign exchange rates and the degree of volatility of those rates. Currency risk is limited to the portion of the Company’s business transactions and balances denominated in currencies other than the Canadian dollar.</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Subsequent Events</w:t>
      </w:r>
    </w:p>
    <w:p>
      <w:pPr>
        <w:spacing w:after="0" w:line="254" w:lineRule="exact"/>
        <w:rPr>
          <w:sz w:val="20"/>
          <w:szCs w:val="20"/>
          <w:color w:val="auto"/>
        </w:rPr>
      </w:pPr>
    </w:p>
    <w:p>
      <w:pPr>
        <w:jc w:val="both"/>
        <w:spacing w:after="0" w:line="309" w:lineRule="auto"/>
        <w:rPr>
          <w:sz w:val="20"/>
          <w:szCs w:val="20"/>
          <w:color w:val="auto"/>
        </w:rPr>
      </w:pPr>
      <w:r>
        <w:rPr>
          <w:rFonts w:ascii="Times New Roman" w:cs="Times New Roman" w:eastAsia="Times New Roman" w:hAnsi="Times New Roman"/>
          <w:sz w:val="18"/>
          <w:szCs w:val="18"/>
          <w:color w:val="auto"/>
        </w:rPr>
        <w:t>On October 1, 2024, the Company announced the appointment of senior clinical team leaders, Dr. Mirza Rahman as Senior Vice President, Patient Safety &amp; Pharmacovigilance and Dr. Marcelo Gutierrez, Vice President, Clinical Pharmacology, as well as the expansion of its clinical operations team.</w:t>
      </w:r>
    </w:p>
    <w:p>
      <w:pPr>
        <w:spacing w:after="0" w:line="180" w:lineRule="exact"/>
        <w:rPr>
          <w:sz w:val="20"/>
          <w:szCs w:val="20"/>
          <w:color w:val="auto"/>
        </w:rPr>
      </w:pPr>
    </w:p>
    <w:p>
      <w:pPr>
        <w:jc w:val="both"/>
        <w:ind w:right="20"/>
        <w:spacing w:after="0" w:line="309" w:lineRule="auto"/>
        <w:rPr>
          <w:sz w:val="20"/>
          <w:szCs w:val="20"/>
          <w:color w:val="auto"/>
        </w:rPr>
      </w:pPr>
      <w:r>
        <w:rPr>
          <w:rFonts w:ascii="Times New Roman" w:cs="Times New Roman" w:eastAsia="Times New Roman" w:hAnsi="Times New Roman"/>
          <w:sz w:val="18"/>
          <w:szCs w:val="18"/>
          <w:color w:val="auto"/>
        </w:rPr>
        <w:t>On October 24, 2024, the Company announced that the USPTO has granted U.S. patent 12,122,741 (‘741) with claims to the composition of matter of lead preclinical candidates in the Company's CYB005 phenethylamines program.</w:t>
      </w:r>
    </w:p>
    <w:p>
      <w:pPr>
        <w:spacing w:after="0" w:line="1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RISK FACTORS</w:t>
      </w:r>
    </w:p>
    <w:p>
      <w:pPr>
        <w:spacing w:after="0" w:line="240" w:lineRule="exact"/>
        <w:rPr>
          <w:sz w:val="20"/>
          <w:szCs w:val="20"/>
          <w:color w:val="auto"/>
        </w:rPr>
      </w:pPr>
    </w:p>
    <w:p>
      <w:pPr>
        <w:jc w:val="both"/>
        <w:ind w:right="20"/>
        <w:spacing w:after="0" w:line="311" w:lineRule="auto"/>
        <w:rPr>
          <w:sz w:val="20"/>
          <w:szCs w:val="20"/>
          <w:color w:val="auto"/>
        </w:rPr>
      </w:pPr>
      <w:r>
        <w:rPr>
          <w:rFonts w:ascii="Times New Roman" w:cs="Times New Roman" w:eastAsia="Times New Roman" w:hAnsi="Times New Roman"/>
          <w:sz w:val="18"/>
          <w:szCs w:val="18"/>
          <w:color w:val="auto"/>
        </w:rPr>
        <w:t>In addition to the risks described herein, reference is made to the section entitled “</w:t>
      </w:r>
      <w:r>
        <w:rPr>
          <w:rFonts w:ascii="Times New Roman" w:cs="Times New Roman" w:eastAsia="Times New Roman" w:hAnsi="Times New Roman"/>
          <w:sz w:val="18"/>
          <w:szCs w:val="18"/>
          <w:i w:val="1"/>
          <w:iCs w:val="1"/>
          <w:color w:val="auto"/>
        </w:rPr>
        <w:t>Risk Factors</w:t>
      </w:r>
      <w:r>
        <w:rPr>
          <w:rFonts w:ascii="Times New Roman" w:cs="Times New Roman" w:eastAsia="Times New Roman" w:hAnsi="Times New Roman"/>
          <w:sz w:val="18"/>
          <w:szCs w:val="18"/>
          <w:color w:val="auto"/>
        </w:rPr>
        <w:t>” in the AIF, which is incorporated herein by reference. The risks described herein are not the only risks faced by the Company and securityholders of the Company. Additional risks and uncertainties not currently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72</w:t>
      </w:r>
    </w:p>
    <w:p>
      <w:pPr>
        <w:sectPr>
          <w:pgSz w:w="11900" w:h="16838" w:orient="portrait"/>
          <w:cols w:equalWidth="0" w:num="1">
            <w:col w:w="11260"/>
          </w:cols>
          <w:pgMar w:left="320" w:top="1440" w:right="319" w:bottom="1440" w:gutter="0" w:footer="0" w:header="0"/>
        </w:sectPr>
      </w:pPr>
    </w:p>
    <w:bookmarkStart w:id="98" w:name="page99"/>
    <w:bookmarkEnd w:id="98"/>
    <w:p>
      <w:pPr>
        <w:jc w:val="both"/>
        <w:spacing w:after="0" w:line="289" w:lineRule="auto"/>
        <w:rPr>
          <w:sz w:val="20"/>
          <w:szCs w:val="20"/>
          <w:color w:val="auto"/>
        </w:rPr>
      </w:pPr>
      <w:r>
        <w:rPr>
          <w:rFonts w:ascii="Times New Roman" w:cs="Times New Roman" w:eastAsia="Times New Roman" w:hAnsi="Times New Roman"/>
          <w:sz w:val="18"/>
          <w:szCs w:val="18"/>
          <w:color w:val="auto"/>
        </w:rPr>
        <w:t>known to the Company, or that the Company currently deems immaterial, may also materially and adversely affect its business. The business, financial condition, revenues or profitability of the Company could be materially adversely affected by any of the risks set forth in this MD&amp;A. The trading price of the Common Shares could decline due to any of these risks and investors could lose all or part of their investment. This MD&amp;A contains forward-looking statements that involve risks and uncertainties. The Company’s actual results could differ materially from those anticipated in these forward-looking statements as a result of certain factors, including the risks faced by the Company described below and elsewhere in this MD&amp;A. No inference should be drawn, nor should an investor place undue importance on, the risk factors that are included in this MD&amp;A as compared to those included in other documents publicly filed by the Company, as all risk factors are important and should be carefully considered by a potential investor.</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Risks Related to the Company’s Business and Industry</w:t>
      </w:r>
    </w:p>
    <w:p>
      <w:pPr>
        <w:spacing w:after="0" w:line="2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Limited Operating History</w:t>
      </w:r>
    </w:p>
    <w:p>
      <w:pPr>
        <w:spacing w:after="0" w:line="268" w:lineRule="exact"/>
        <w:rPr>
          <w:sz w:val="20"/>
          <w:szCs w:val="20"/>
          <w:color w:val="auto"/>
        </w:rPr>
      </w:pPr>
    </w:p>
    <w:p>
      <w:pPr>
        <w:jc w:val="both"/>
        <w:spacing w:after="0" w:line="288" w:lineRule="auto"/>
        <w:rPr>
          <w:sz w:val="20"/>
          <w:szCs w:val="20"/>
          <w:color w:val="auto"/>
        </w:rPr>
      </w:pPr>
      <w:r>
        <w:rPr>
          <w:rFonts w:ascii="Times New Roman" w:cs="Times New Roman" w:eastAsia="Times New Roman" w:hAnsi="Times New Roman"/>
          <w:sz w:val="18"/>
          <w:szCs w:val="18"/>
          <w:color w:val="auto"/>
        </w:rPr>
        <w:t>The Common Shares commenced trading on the Exchange on November 10, 2020 on a post-Reverse Takeover basis and therefore the Company has a limited operating history as a public company. To operate effectively, the Company will be required to continue to implement changes in certain aspects of its business, improve information systems and develop, manage and train management-level and other employees to comply with ongoing public company requirements. Failure to take such actions, or delay in implementation thereof, could adversely affect the business, financial condition, liquidity and results of operations of the Company and, more specifically, could result in regulatory penalties, market criticism or the imposition of cease trade orders in respect of the Common Shares.</w:t>
      </w:r>
    </w:p>
    <w:p>
      <w:pPr>
        <w:spacing w:after="0" w:line="202" w:lineRule="exact"/>
        <w:rPr>
          <w:sz w:val="20"/>
          <w:szCs w:val="20"/>
          <w:color w:val="auto"/>
        </w:rPr>
      </w:pPr>
    </w:p>
    <w:p>
      <w:pPr>
        <w:jc w:val="both"/>
        <w:spacing w:after="0" w:line="291" w:lineRule="auto"/>
        <w:rPr>
          <w:sz w:val="20"/>
          <w:szCs w:val="20"/>
          <w:color w:val="auto"/>
        </w:rPr>
      </w:pPr>
      <w:r>
        <w:rPr>
          <w:rFonts w:ascii="Times New Roman" w:cs="Times New Roman" w:eastAsia="Times New Roman" w:hAnsi="Times New Roman"/>
          <w:sz w:val="18"/>
          <w:szCs w:val="18"/>
          <w:color w:val="auto"/>
        </w:rPr>
        <w:t>The Company will be subject to all of the business risks and uncertainties associated with any new business enterprise, including the risk that it will not achieve its operating goals. In order for the Company to meet future operating and debt service requirements, it will need to be successful in its growth, marketing and sales efforts. Additionally, where the Company experiences increased production and future sales, its current operational infrastructure may require changes to scale its business efficiently and effectively to keep pace with demand and achieve long-term profitability. If the Company’s products and services are not accepted by new customers, the Company’s operating results may be materially and adversely affected.</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Achieving Publicly Announced Milestones</w:t>
      </w:r>
    </w:p>
    <w:p>
      <w:pPr>
        <w:spacing w:after="0" w:line="256" w:lineRule="exact"/>
        <w:rPr>
          <w:sz w:val="20"/>
          <w:szCs w:val="20"/>
          <w:color w:val="auto"/>
        </w:rPr>
      </w:pPr>
    </w:p>
    <w:p>
      <w:pPr>
        <w:jc w:val="both"/>
        <w:spacing w:after="0" w:line="291" w:lineRule="auto"/>
        <w:rPr>
          <w:sz w:val="20"/>
          <w:szCs w:val="20"/>
          <w:color w:val="auto"/>
        </w:rPr>
      </w:pPr>
      <w:r>
        <w:rPr>
          <w:rFonts w:ascii="Times New Roman" w:cs="Times New Roman" w:eastAsia="Times New Roman" w:hAnsi="Times New Roman"/>
          <w:sz w:val="18"/>
          <w:szCs w:val="18"/>
          <w:color w:val="auto"/>
        </w:rPr>
        <w:t>From time to time, the Company may announce the timing of certain events it expects to occur, such as the anticipated timing of results from clinical trials. These statements are forward-looking and are based on the best estimates of management at the time relating to the occurrence of such events. However, the actual timing of such events may differ from what has been publicly disclosed. The timing of events such as initiation or completion of a clinical trial, filing of an application to obtain regulatory approval, or announcement of additional clinical trials for a prescription drug product candidate may ultimately vary from what is publicly disclosed. See “Commercial Scale Product Manufacturing”, “Safety and Efficacy of Products”, “Clinical Testing and Commercializing Product Candidates”, “Completion of Clinical Trials”, and “Nature of Regulatory Approvals” as discussed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73</w:t>
      </w:r>
    </w:p>
    <w:p>
      <w:pPr>
        <w:sectPr>
          <w:pgSz w:w="11900" w:h="16838" w:orient="portrait"/>
          <w:cols w:equalWidth="0" w:num="1">
            <w:col w:w="11260"/>
          </w:cols>
          <w:pgMar w:left="320" w:top="1303" w:right="319" w:bottom="1440" w:gutter="0" w:footer="0" w:header="0"/>
        </w:sectPr>
      </w:pPr>
    </w:p>
    <w:bookmarkStart w:id="99" w:name="page100"/>
    <w:bookmarkEnd w:id="99"/>
    <w:p>
      <w:pPr>
        <w:spacing w:after="0"/>
        <w:rPr>
          <w:sz w:val="20"/>
          <w:szCs w:val="20"/>
          <w:color w:val="auto"/>
        </w:rPr>
      </w:pPr>
      <w:r>
        <w:rPr>
          <w:rFonts w:ascii="Times New Roman" w:cs="Times New Roman" w:eastAsia="Times New Roman" w:hAnsi="Times New Roman"/>
          <w:sz w:val="18"/>
          <w:szCs w:val="18"/>
          <w:color w:val="auto"/>
        </w:rPr>
        <w:t>under this heading “Risk Factors” for further disclosure of risks and events that may affect the timing of certain events the Company may announce.</w:t>
      </w:r>
    </w:p>
    <w:p>
      <w:pPr>
        <w:spacing w:after="0" w:line="264" w:lineRule="exact"/>
        <w:rPr>
          <w:sz w:val="20"/>
          <w:szCs w:val="20"/>
          <w:color w:val="auto"/>
        </w:rPr>
      </w:pPr>
    </w:p>
    <w:p>
      <w:pPr>
        <w:jc w:val="both"/>
        <w:ind w:right="20"/>
        <w:spacing w:after="0" w:line="294" w:lineRule="auto"/>
        <w:rPr>
          <w:sz w:val="20"/>
          <w:szCs w:val="20"/>
          <w:color w:val="auto"/>
        </w:rPr>
      </w:pPr>
      <w:r>
        <w:rPr>
          <w:rFonts w:ascii="Times New Roman" w:cs="Times New Roman" w:eastAsia="Times New Roman" w:hAnsi="Times New Roman"/>
          <w:sz w:val="18"/>
          <w:szCs w:val="18"/>
          <w:color w:val="auto"/>
        </w:rPr>
        <w:t>The Company undertakes no obligation to update or revise any forward-looking information or statements, whether as a result of new information, future events or otherwise, except as otherwise required by-law. Any variation in the timing of previously announced milestones could have a material adverse effect on the Company’s business plan, financial condition or operating results and the trading price of the Common Shares.</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Speculative Nature of Investment Risk</w:t>
      </w:r>
    </w:p>
    <w:p>
      <w:pPr>
        <w:spacing w:after="0" w:line="256" w:lineRule="exact"/>
        <w:rPr>
          <w:sz w:val="20"/>
          <w:szCs w:val="20"/>
          <w:color w:val="auto"/>
        </w:rPr>
      </w:pPr>
    </w:p>
    <w:p>
      <w:pPr>
        <w:jc w:val="both"/>
        <w:ind w:right="20"/>
        <w:spacing w:after="0" w:line="309" w:lineRule="auto"/>
        <w:rPr>
          <w:sz w:val="20"/>
          <w:szCs w:val="20"/>
          <w:color w:val="auto"/>
        </w:rPr>
      </w:pPr>
      <w:r>
        <w:rPr>
          <w:rFonts w:ascii="Times New Roman" w:cs="Times New Roman" w:eastAsia="Times New Roman" w:hAnsi="Times New Roman"/>
          <w:sz w:val="18"/>
          <w:szCs w:val="18"/>
          <w:color w:val="auto"/>
        </w:rPr>
        <w:t>An investment in the securities of the Company carries a high degree of risk and should be considered as a speculative investment. The Company has no history of earnings, limited cash reserves, limited operating history, has not paid dividends, and is unlikely to pay dividends in the immediate or near future.</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Early Stage of the Industry and Product Development</w:t>
      </w:r>
    </w:p>
    <w:p>
      <w:pPr>
        <w:spacing w:after="0" w:line="256" w:lineRule="exact"/>
        <w:rPr>
          <w:sz w:val="20"/>
          <w:szCs w:val="20"/>
          <w:color w:val="auto"/>
        </w:rPr>
      </w:pPr>
    </w:p>
    <w:p>
      <w:pPr>
        <w:jc w:val="both"/>
        <w:spacing w:after="0" w:line="291" w:lineRule="auto"/>
        <w:rPr>
          <w:sz w:val="20"/>
          <w:szCs w:val="20"/>
          <w:color w:val="auto"/>
        </w:rPr>
      </w:pPr>
      <w:r>
        <w:rPr>
          <w:rFonts w:ascii="Times New Roman" w:cs="Times New Roman" w:eastAsia="Times New Roman" w:hAnsi="Times New Roman"/>
          <w:sz w:val="18"/>
          <w:szCs w:val="18"/>
          <w:color w:val="auto"/>
        </w:rPr>
        <w:t>Given the early stage of its prescription drug product development, the Company can make no assurance that its research and development programs will result in regulatory approval or commercially viable products. To achieve profitable operations, the Company, alone or with others, must successfully develop, gain regulatory approval for, and market its future products. The Company currently has no products that have been approved by Health Canada, the FDA, the MHRA, the EMA, the Pharmaceutical Drugs Directorate (formerly the Therapeutic Drugs Directorate) (the “</w:t>
      </w:r>
      <w:r>
        <w:rPr>
          <w:rFonts w:ascii="Times New Roman" w:cs="Times New Roman" w:eastAsia="Times New Roman" w:hAnsi="Times New Roman"/>
          <w:sz w:val="18"/>
          <w:szCs w:val="18"/>
          <w:b w:val="1"/>
          <w:bCs w:val="1"/>
          <w:color w:val="auto"/>
        </w:rPr>
        <w:t>PDD</w:t>
      </w:r>
      <w:r>
        <w:rPr>
          <w:rFonts w:ascii="Times New Roman" w:cs="Times New Roman" w:eastAsia="Times New Roman" w:hAnsi="Times New Roman"/>
          <w:sz w:val="18"/>
          <w:szCs w:val="18"/>
          <w:color w:val="auto"/>
        </w:rPr>
        <w:t>”) or any similar regulatory authority. To obtain regulatory approvals for its prescription drug product candidates being developed and to achieve commercial success, clinical trials must demonstrate that the prescription drug product candidates are safe for human use and that they demonstrate efficacy.</w:t>
      </w:r>
    </w:p>
    <w:p>
      <w:pPr>
        <w:spacing w:after="0" w:line="187" w:lineRule="exact"/>
        <w:rPr>
          <w:sz w:val="20"/>
          <w:szCs w:val="20"/>
          <w:color w:val="auto"/>
        </w:rPr>
      </w:pPr>
    </w:p>
    <w:p>
      <w:pPr>
        <w:jc w:val="both"/>
        <w:spacing w:after="0" w:line="292" w:lineRule="auto"/>
        <w:rPr>
          <w:sz w:val="20"/>
          <w:szCs w:val="20"/>
          <w:color w:val="auto"/>
        </w:rPr>
      </w:pPr>
      <w:r>
        <w:rPr>
          <w:rFonts w:ascii="Times New Roman" w:cs="Times New Roman" w:eastAsia="Times New Roman" w:hAnsi="Times New Roman"/>
          <w:sz w:val="18"/>
          <w:szCs w:val="18"/>
          <w:color w:val="auto"/>
        </w:rPr>
        <w:t>Many prescription drug product candidates never reach the stage of clinical testing and even those that do have only a small chance of successfully completing clinical development and gaining regulatory approval. Prescription drug product candidates can fail for a number of reasons, including, but not limited to, being unsafe for human use or due to the failure to provide therapeutic benefits equal to or better than the current standard of treatment at the time of testing. Unsatisfactory results obtained from a particular study relating to a research and development program may cause the Company or its collaborators to abandon commitments to that program. Positive results of early preclinical research may not be indicative of the results that will be obtained in later stages of preclinical or clinical research. Similarly, positive results from early-stage clinical trials may not be indicative of favourable outcomes in later-stage clinical trials, and the Company can make no assurance that any future studies, if undertaken, will yield favourable results.</w:t>
      </w:r>
    </w:p>
    <w:p>
      <w:pPr>
        <w:spacing w:after="0" w:line="183" w:lineRule="exact"/>
        <w:rPr>
          <w:sz w:val="20"/>
          <w:szCs w:val="20"/>
          <w:color w:val="auto"/>
        </w:rPr>
      </w:pPr>
    </w:p>
    <w:p>
      <w:pPr>
        <w:jc w:val="both"/>
        <w:spacing w:after="0" w:line="294" w:lineRule="auto"/>
        <w:rPr>
          <w:sz w:val="20"/>
          <w:szCs w:val="20"/>
          <w:color w:val="auto"/>
        </w:rPr>
      </w:pPr>
      <w:r>
        <w:rPr>
          <w:rFonts w:ascii="Times New Roman" w:cs="Times New Roman" w:eastAsia="Times New Roman" w:hAnsi="Times New Roman"/>
          <w:sz w:val="18"/>
          <w:szCs w:val="18"/>
          <w:color w:val="auto"/>
        </w:rPr>
        <w:t>The early stage of the Company’s product development makes it particularly uncertain whether any of its product development efforts will prove to be successful and meet applicable regulatory requirements, and whether any of its prescription drug product candidates will receive the requisite regulatory approvals, be capable of being manufactured at a reasonable cost or be successfully marketed. If the Company is successful in developing its current and future prescription drug product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74</w:t>
      </w:r>
    </w:p>
    <w:p>
      <w:pPr>
        <w:sectPr>
          <w:pgSz w:w="11900" w:h="16838" w:orient="portrait"/>
          <w:cols w:equalWidth="0" w:num="1">
            <w:col w:w="11260"/>
          </w:cols>
          <w:pgMar w:left="320" w:top="1303" w:right="319" w:bottom="1440" w:gutter="0" w:footer="0" w:header="0"/>
        </w:sectPr>
      </w:pPr>
    </w:p>
    <w:bookmarkStart w:id="100" w:name="page101"/>
    <w:bookmarkEnd w:id="100"/>
    <w:p>
      <w:pPr>
        <w:jc w:val="both"/>
        <w:ind w:right="20"/>
        <w:spacing w:after="0" w:line="294" w:lineRule="auto"/>
        <w:rPr>
          <w:sz w:val="20"/>
          <w:szCs w:val="20"/>
          <w:color w:val="auto"/>
        </w:rPr>
      </w:pPr>
      <w:r>
        <w:rPr>
          <w:rFonts w:ascii="Times New Roman" w:cs="Times New Roman" w:eastAsia="Times New Roman" w:hAnsi="Times New Roman"/>
          <w:sz w:val="18"/>
          <w:szCs w:val="18"/>
          <w:color w:val="auto"/>
        </w:rPr>
        <w:t>candidates into approved products, it will still experience many potential obstacles, which would affect its ability to successfully market and commercialize such approved products, such as the need to develop or obtain manufacturing, marketing and distribution capabilities, price pressures from third-party payors, or proposed changes in health care systems. If the Company is unable to successfully market and commercialize any of its products, its financial condition and results of operations may be materially and adversely affected.</w:t>
      </w:r>
    </w:p>
    <w:p>
      <w:pPr>
        <w:spacing w:after="0" w:line="195" w:lineRule="exact"/>
        <w:rPr>
          <w:sz w:val="20"/>
          <w:szCs w:val="20"/>
          <w:color w:val="auto"/>
        </w:rPr>
      </w:pPr>
    </w:p>
    <w:p>
      <w:pPr>
        <w:jc w:val="both"/>
        <w:spacing w:after="0" w:line="285" w:lineRule="auto"/>
        <w:rPr>
          <w:sz w:val="20"/>
          <w:szCs w:val="20"/>
          <w:color w:val="auto"/>
        </w:rPr>
      </w:pPr>
      <w:r>
        <w:rPr>
          <w:rFonts w:ascii="Times New Roman" w:cs="Times New Roman" w:eastAsia="Times New Roman" w:hAnsi="Times New Roman"/>
          <w:sz w:val="18"/>
          <w:szCs w:val="18"/>
          <w:color w:val="auto"/>
        </w:rPr>
        <w:t>The Company can make no assurance that any future studies, if undertaken, will yield favorable results. Many companies in the pharmaceutical and biotechnology industries have suffered significant setbacks in later-stage clinical trials after achieving positive results in early-stage development, and the Company cannot be certain that it will not face similar setbacks. These setbacks have been caused by, among other things, preclinical findings made while clinical trials were underway or safety or efficacy observations made in clinical trials, including previously unreported adverse events or latent defects in the manufactured drug product or the formulation or stability thereof. Moreover, preclinical and clinical data are often susceptible to varying interpretations and analyses, and many companies that believed their prescription drug product candidates performed satisfactorily in preclinical studies and clinical trials nonetheless failed to obtain Health Canada, FDA or EMA approval. If the Company fails to produce positive results in future clinical trials and other programs, the development timeline and regulatory approval and commercialization prospects for the Company’s leading prescription drug product candidates, and, correspondingly, its business and financial prospects, would be materially adversely affected.</w:t>
      </w:r>
    </w:p>
    <w:p>
      <w:pPr>
        <w:jc w:val="both"/>
        <w:ind w:right="20"/>
        <w:spacing w:after="0" w:line="294" w:lineRule="auto"/>
        <w:rPr>
          <w:sz w:val="20"/>
          <w:szCs w:val="20"/>
          <w:color w:val="auto"/>
        </w:rPr>
      </w:pPr>
      <w:r>
        <w:rPr>
          <w:rFonts w:ascii="Times New Roman" w:cs="Times New Roman" w:eastAsia="Times New Roman" w:hAnsi="Times New Roman"/>
          <w:sz w:val="18"/>
          <w:szCs w:val="18"/>
          <w:color w:val="auto"/>
        </w:rPr>
        <w:t>Preclinical testing and clinical trials for the Company’s products may not achieve the desired results. The results of preclinical testing and clinical trials are uncertain. Product approvals are subject to a number of contingencies and may not be obtained in the time expected or at all. The Company’s products may not attract a following among patients, retailers and/or providers. The Company expects to face an inherent risk of exposure to product liability claims, regulatory action and litigation if the products it plans to distribute are alleged to have caused loss or injury. There can be no assurance that the Company will be able to obtain or maintain product liability insurance on acceptable terms or with adequate coverage against potential liabilities.</w:t>
      </w:r>
    </w:p>
    <w:p>
      <w:pPr>
        <w:spacing w:after="0" w:line="183" w:lineRule="exact"/>
        <w:rPr>
          <w:sz w:val="20"/>
          <w:szCs w:val="20"/>
          <w:color w:val="auto"/>
        </w:rPr>
      </w:pPr>
    </w:p>
    <w:p>
      <w:pPr>
        <w:jc w:val="both"/>
        <w:spacing w:after="0" w:line="289" w:lineRule="auto"/>
        <w:rPr>
          <w:sz w:val="20"/>
          <w:szCs w:val="20"/>
          <w:color w:val="auto"/>
        </w:rPr>
      </w:pPr>
      <w:r>
        <w:rPr>
          <w:rFonts w:ascii="Times New Roman" w:cs="Times New Roman" w:eastAsia="Times New Roman" w:hAnsi="Times New Roman"/>
          <w:sz w:val="18"/>
          <w:szCs w:val="18"/>
          <w:color w:val="auto"/>
        </w:rPr>
        <w:t xml:space="preserve">The Company’s business relies on its ability to access, develop, and sell psilocybin, psilocin, DMT-based compounds and other psychedelic compounds. Psilocybin, psilocin, DMT-based compounds and other psychedelic compounds are controlled substances in many jurisdictions, including in Canada under Schedule III of the </w:t>
      </w:r>
      <w:r>
        <w:rPr>
          <w:rFonts w:ascii="Times New Roman" w:cs="Times New Roman" w:eastAsia="Times New Roman" w:hAnsi="Times New Roman"/>
          <w:sz w:val="18"/>
          <w:szCs w:val="18"/>
          <w:i w:val="1"/>
          <w:iCs w:val="1"/>
          <w:color w:val="auto"/>
        </w:rPr>
        <w:t>Controlled Drugs and Substances Act</w:t>
      </w:r>
      <w:r>
        <w:rPr>
          <w:rFonts w:ascii="Times New Roman" w:cs="Times New Roman" w:eastAsia="Times New Roman" w:hAnsi="Times New Roman"/>
          <w:sz w:val="18"/>
          <w:szCs w:val="18"/>
          <w:color w:val="auto"/>
        </w:rPr>
        <w:t xml:space="preserve"> and in the United States. The Company may face difficulty accessing the public capital markets in Canada as a result of the response of regulators, stock exchanges, and other market participants to the Company’s development and sale of a controlled substance. The Company may also have limited access to traditional banking services, as well as limited access to debt financing from traditional institutional lenders. The medical efficacy of psilocybin, DMT-based compounds and other psychedelic compounds has not been confirmed and requires further study and scientific rigour.</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Regulatory Risks and Uncertainties</w:t>
      </w:r>
    </w:p>
    <w:p>
      <w:pPr>
        <w:spacing w:after="0" w:line="244" w:lineRule="exact"/>
        <w:rPr>
          <w:sz w:val="20"/>
          <w:szCs w:val="20"/>
          <w:color w:val="auto"/>
        </w:rPr>
      </w:pPr>
    </w:p>
    <w:p>
      <w:pPr>
        <w:jc w:val="both"/>
        <w:spacing w:after="0" w:line="295" w:lineRule="auto"/>
        <w:rPr>
          <w:sz w:val="20"/>
          <w:szCs w:val="20"/>
          <w:color w:val="auto"/>
        </w:rPr>
      </w:pPr>
      <w:r>
        <w:rPr>
          <w:rFonts w:ascii="Times New Roman" w:cs="Times New Roman" w:eastAsia="Times New Roman" w:hAnsi="Times New Roman"/>
          <w:sz w:val="18"/>
          <w:szCs w:val="18"/>
          <w:color w:val="auto"/>
        </w:rPr>
        <w:t>In Canada, certain psychedelic drugs, including psilocybin/psilocin, are classified as Schedule III drugs under the CDSA and as such, medical and recreational use is illegal under Canadian federal laws. In the United States, certain psychedelic drugs, including psilocybin, psilocin, DMT, and 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75</w:t>
      </w:r>
    </w:p>
    <w:p>
      <w:pPr>
        <w:sectPr>
          <w:pgSz w:w="11900" w:h="16838" w:orient="portrait"/>
          <w:cols w:equalWidth="0" w:num="1">
            <w:col w:w="11260"/>
          </w:cols>
          <w:pgMar w:left="320" w:top="1303" w:right="319" w:bottom="1440" w:gutter="0" w:footer="0" w:header="0"/>
        </w:sectPr>
      </w:pPr>
    </w:p>
    <w:bookmarkStart w:id="101" w:name="page102"/>
    <w:bookmarkEnd w:id="101"/>
    <w:p>
      <w:pPr>
        <w:jc w:val="both"/>
        <w:spacing w:after="0" w:line="271" w:lineRule="auto"/>
        <w:rPr>
          <w:sz w:val="20"/>
          <w:szCs w:val="20"/>
          <w:color w:val="auto"/>
        </w:rPr>
      </w:pPr>
      <w:r>
        <w:rPr>
          <w:rFonts w:ascii="Times New Roman" w:cs="Times New Roman" w:eastAsia="Times New Roman" w:hAnsi="Times New Roman"/>
          <w:sz w:val="18"/>
          <w:szCs w:val="18"/>
          <w:color w:val="auto"/>
        </w:rPr>
        <w:t>Methoxy-DMT, are classified as Schedule I drugs under the CSA and the Controlled Substances Import and Export Act and as such, medical and recreational use is illegal under the U.S. federal laws. Anyone wishing to conduct research on substances listed in Schedule I under the CSA must register with the DEA and obtain DEA approval of the research proposal. The EU member states currently classify DMT as a Schedule I substance under the UN 71 and, as such, a licence is required to produce, dispense, import or export any Schedule I substances, but the specific requirements vary from country to country. Currently in the Netherlands, DMT is classified as a List 1 Drug under the Dutch Opium Act and, as such, subject to express authorization being obtained, the production, trade and possession of DMT are prohibited. In the United Kingdom, “Fungus (of any kind) which contains psilocin or an ester of psilocin” is controlled as a Class A drug under the MDA and Schedule 1 drug under the MDR. As psilocybin is a phosphate ester of psilocin, even if it is isolated from psilocin, it will still be treated as a Class A drug under the MDA and as a Schedule 1 drug under the MDR. Schedule 1 drugs can only be lawfully manufactured, produced, possessed and supplied under a controlled drugs domestic licence issued by the UK Home Office.</w:t>
      </w:r>
    </w:p>
    <w:p>
      <w:pPr>
        <w:spacing w:after="0" w:line="205" w:lineRule="exact"/>
        <w:rPr>
          <w:sz w:val="20"/>
          <w:szCs w:val="20"/>
          <w:color w:val="auto"/>
        </w:rPr>
      </w:pPr>
    </w:p>
    <w:p>
      <w:pPr>
        <w:jc w:val="both"/>
        <w:spacing w:after="0" w:line="288" w:lineRule="auto"/>
        <w:rPr>
          <w:sz w:val="20"/>
          <w:szCs w:val="20"/>
          <w:color w:val="auto"/>
        </w:rPr>
      </w:pPr>
      <w:r>
        <w:rPr>
          <w:rFonts w:ascii="Times New Roman" w:cs="Times New Roman" w:eastAsia="Times New Roman" w:hAnsi="Times New Roman"/>
          <w:sz w:val="18"/>
          <w:szCs w:val="18"/>
          <w:color w:val="auto"/>
        </w:rPr>
        <w:t>There is no guarantee that psychedelic drugs or psychedelic inspired drugs will ever be approved as medicines in any jurisdiction in which the Company operates. All activities involving such substances by or on behalf of the Company are conducted in accordance with applicable federal, provincial, state and local laws. Further, all facilities engaged with such substances by or on behalf of the Company do so under current licences and permits issued by appropriate federal, provincial and local governmental agencies. While the Company is focused on programs using psychedelic inspired compounds, the Company does not have any direct or indirect involvement with the illegal selling, production or distribution of any substances in the jurisdictions in which it operates and does not intend to have any such involvement. However, the laws and regulations generally applicable to the industry in which the Company is involved in may change in ways currently unforeseen. Any amendment to or replacement of existing laws or regulations, including the classification or re-classification of the substances the Company is developing or working with, which are matters beyond the Company’s control, may cause the Company’s business, financial condition, results of operations and prospects to be adversely affected or may cause the Company to incur significant costs in complying with such changes or it may be unable to comply therewith. A violation of any applicable laws and regulations of the jurisdictions in which the Company operates could result in significant fines, penalties, administrative sanctions, convictions or settlements arising from civil proceedings initiated by either government entities in the jurisdictions in which the Company operates, or private citizens or criminal charges.</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loss of the necessary licences and permits for any of the above scheduled drugs could have an adverse effect on the Company’s operations.</w:t>
      </w:r>
    </w:p>
    <w:p>
      <w:pPr>
        <w:spacing w:after="0" w:line="264" w:lineRule="exact"/>
        <w:rPr>
          <w:sz w:val="20"/>
          <w:szCs w:val="20"/>
          <w:color w:val="auto"/>
        </w:rPr>
      </w:pPr>
    </w:p>
    <w:p>
      <w:pPr>
        <w:jc w:val="both"/>
        <w:spacing w:after="0" w:line="291" w:lineRule="auto"/>
        <w:rPr>
          <w:sz w:val="20"/>
          <w:szCs w:val="20"/>
          <w:color w:val="auto"/>
        </w:rPr>
      </w:pPr>
      <w:r>
        <w:rPr>
          <w:rFonts w:ascii="Times New Roman" w:cs="Times New Roman" w:eastAsia="Times New Roman" w:hAnsi="Times New Roman"/>
          <w:sz w:val="18"/>
          <w:szCs w:val="18"/>
          <w:color w:val="auto"/>
        </w:rPr>
        <w:t>The psychedelic drug industry is a fairly new industry and the Company cannot predict the impact of the ever-evolving compliance regime in respect of this industry. Similarly, the Company cannot predict the time required to secure all appropriate regulatory approvals for future products, or the extent of testing and documentation that may, from time to time, be required by governmental authorities. The impact of compliance regimes, any delays in obtaining, or failure to obtain regulatory approvals may significantly delay or impact the development of markets, its business and products, and sales initiatives and could have a material adverse effect on the business, financial condition and operating results of the Company.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76</w:t>
      </w:r>
    </w:p>
    <w:p>
      <w:pPr>
        <w:sectPr>
          <w:pgSz w:w="11900" w:h="16838" w:orient="portrait"/>
          <w:cols w:equalWidth="0" w:num="1">
            <w:col w:w="11260"/>
          </w:cols>
          <w:pgMar w:left="320" w:top="1291" w:right="319" w:bottom="1440" w:gutter="0" w:footer="0" w:header="0"/>
        </w:sectPr>
      </w:pPr>
    </w:p>
    <w:bookmarkStart w:id="102" w:name="page103"/>
    <w:bookmarkEnd w:id="102"/>
    <w:p>
      <w:pPr>
        <w:jc w:val="both"/>
        <w:ind w:right="20"/>
        <w:spacing w:after="0" w:line="301" w:lineRule="auto"/>
        <w:rPr>
          <w:sz w:val="20"/>
          <w:szCs w:val="20"/>
          <w:color w:val="auto"/>
        </w:rPr>
      </w:pPr>
      <w:r>
        <w:rPr>
          <w:rFonts w:ascii="Times New Roman" w:cs="Times New Roman" w:eastAsia="Times New Roman" w:hAnsi="Times New Roman"/>
          <w:sz w:val="18"/>
          <w:szCs w:val="18"/>
          <w:color w:val="auto"/>
        </w:rPr>
        <w:t>The success of the Company’s business is dependent on the reform of controlled substances laws pertaining to psilocybin. If controlled substances laws are not favourably reformed in Canada, the United States, the Netherlands, the UK, and other global jurisdictions, the commercial opportunity that the Company is pursuing may be highly limited.</w:t>
      </w:r>
    </w:p>
    <w:p>
      <w:pPr>
        <w:spacing w:after="0" w:line="176" w:lineRule="exact"/>
        <w:rPr>
          <w:sz w:val="20"/>
          <w:szCs w:val="20"/>
          <w:color w:val="auto"/>
        </w:rPr>
      </w:pPr>
    </w:p>
    <w:p>
      <w:pPr>
        <w:jc w:val="both"/>
        <w:ind w:right="20"/>
        <w:spacing w:after="0" w:line="292" w:lineRule="auto"/>
        <w:rPr>
          <w:sz w:val="20"/>
          <w:szCs w:val="20"/>
          <w:color w:val="auto"/>
        </w:rPr>
      </w:pPr>
      <w:r>
        <w:rPr>
          <w:rFonts w:ascii="Times New Roman" w:cs="Times New Roman" w:eastAsia="Times New Roman" w:hAnsi="Times New Roman"/>
          <w:sz w:val="18"/>
          <w:szCs w:val="18"/>
          <w:color w:val="auto"/>
        </w:rPr>
        <w:t>The Company makes no medical, treatment or health benefit claims about the Company’s proposed products. The FDA, Health Canada, the EMA or other similar regulatory authorities have not evaluated claims regarding psilocybin, DMT, psilocybin analogues, or other psychedelic compounds. The efficacy of such products have not been confirmed by approved research. There is no assurance that the use of psilocybin, DMT, psilocybin analogues, or other psychedelic compounds can diagnose, treat, cure or prevent any disease or condition. Vigorous scientific research and clinical trials are needed. The Company has not conducted clinical trials for the use of its proposed products. Any references to quality, consistency, efficacy and safety of potential products do not imply that the Company verified such in clinical trials or that the Company will complete such trials. If the Company cannot obtain the approvals or research necessary to commercialize its business, it may have a material adverse effect on the Company’s performance and operations.</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Risks of Operating in European Countries</w:t>
      </w:r>
    </w:p>
    <w:p>
      <w:pPr>
        <w:spacing w:after="0" w:line="256" w:lineRule="exact"/>
        <w:rPr>
          <w:sz w:val="20"/>
          <w:szCs w:val="20"/>
          <w:color w:val="auto"/>
        </w:rPr>
      </w:pPr>
    </w:p>
    <w:p>
      <w:pPr>
        <w:jc w:val="both"/>
        <w:spacing w:after="0" w:line="289" w:lineRule="auto"/>
        <w:rPr>
          <w:sz w:val="20"/>
          <w:szCs w:val="20"/>
          <w:color w:val="auto"/>
        </w:rPr>
      </w:pPr>
      <w:r>
        <w:rPr>
          <w:rFonts w:ascii="Times New Roman" w:cs="Times New Roman" w:eastAsia="Times New Roman" w:hAnsi="Times New Roman"/>
          <w:sz w:val="18"/>
          <w:szCs w:val="18"/>
          <w:color w:val="auto"/>
        </w:rPr>
        <w:t>The Company is subject to additional risks related to operating in countries in Europe including: (i) differing regulatory requirements in Europe; (ii) unexpected changes in price and exchange controls and other regulatory requirements; (iii) increased difficulties in managing the logistics and transportation of collecting and shipping patient material; (iv) import and export requirements and restrictions; (v) compliance with tax, employment, immigration and labour laws for employees living or traveling abroad; (vi) foreign taxes, including withholding of payroll taxes; (vii) foreign currency fluctuations, which could result in increased operating expenses, and other obligations incident to doing business in another country; (viii) difficulties staffing and managing foreign operations; (ix) potential liability under the Corruption of Foreign Public Officials Act of Canada or comparable foreign regulations; (x) challenges enforcing its contractual and intellectual property rights, especially in those European countries that do not respect and protect intellectual property rights to the same extent as Canada or the United States; (xi) production shortages resulting from any events affecting raw material supply or manufacturing capabilities abroad; and (xii) business interruptions resulting from geo-political actions, including war and terrorism.</w:t>
      </w:r>
    </w:p>
    <w:p>
      <w:pPr>
        <w:spacing w:after="0" w:line="187" w:lineRule="exact"/>
        <w:rPr>
          <w:sz w:val="20"/>
          <w:szCs w:val="20"/>
          <w:color w:val="auto"/>
        </w:rPr>
      </w:pPr>
    </w:p>
    <w:p>
      <w:pPr>
        <w:jc w:val="both"/>
        <w:spacing w:after="0" w:line="323" w:lineRule="auto"/>
        <w:rPr>
          <w:sz w:val="20"/>
          <w:szCs w:val="20"/>
          <w:color w:val="auto"/>
        </w:rPr>
      </w:pPr>
      <w:r>
        <w:rPr>
          <w:rFonts w:ascii="Times New Roman" w:cs="Times New Roman" w:eastAsia="Times New Roman" w:hAnsi="Times New Roman"/>
          <w:sz w:val="18"/>
          <w:szCs w:val="18"/>
          <w:color w:val="auto"/>
        </w:rPr>
        <w:t>These and other risks associated with the Company’s international operations may materially adversely affect its ability to attain or maintain profitable operations.</w:t>
      </w:r>
    </w:p>
    <w:p>
      <w:pPr>
        <w:spacing w:after="0" w:line="1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“Foreign Private Issuer” Status Under the U.S. Securities Laws</w:t>
      </w:r>
    </w:p>
    <w:p>
      <w:pPr>
        <w:spacing w:after="0" w:line="244" w:lineRule="exact"/>
        <w:rPr>
          <w:sz w:val="20"/>
          <w:szCs w:val="20"/>
          <w:color w:val="auto"/>
        </w:rPr>
      </w:pPr>
    </w:p>
    <w:p>
      <w:pPr>
        <w:jc w:val="both"/>
        <w:spacing w:after="0" w:line="277" w:lineRule="auto"/>
        <w:rPr>
          <w:sz w:val="20"/>
          <w:szCs w:val="20"/>
          <w:color w:val="auto"/>
        </w:rPr>
      </w:pPr>
      <w:r>
        <w:rPr>
          <w:rFonts w:ascii="Times New Roman" w:cs="Times New Roman" w:eastAsia="Times New Roman" w:hAnsi="Times New Roman"/>
          <w:sz w:val="18"/>
          <w:szCs w:val="18"/>
          <w:color w:val="auto"/>
        </w:rPr>
        <w:t>The Company is a “foreign private issuer”, under applicable U.S. federal securities laws, and is, therefore, not subject to the same requirements that are imposed upon U.S. domestic issuers by the Securities and Exchange Commission (“</w:t>
      </w:r>
      <w:r>
        <w:rPr>
          <w:rFonts w:ascii="Times New Roman" w:cs="Times New Roman" w:eastAsia="Times New Roman" w:hAnsi="Times New Roman"/>
          <w:sz w:val="18"/>
          <w:szCs w:val="18"/>
          <w:b w:val="1"/>
          <w:bCs w:val="1"/>
          <w:color w:val="auto"/>
        </w:rPr>
        <w:t>SEC</w:t>
      </w:r>
      <w:r>
        <w:rPr>
          <w:rFonts w:ascii="Times New Roman" w:cs="Times New Roman" w:eastAsia="Times New Roman" w:hAnsi="Times New Roman"/>
          <w:sz w:val="18"/>
          <w:szCs w:val="18"/>
          <w:color w:val="auto"/>
        </w:rPr>
        <w:t>”). Under the Exchange Act, the Company is subject to reporting obligations that, in certain respects, are less detailed and less frequent than those of U.S. domestic reporting companies. As a result, the Company does not file the same reports that a U.S. domestic issuer would file with the SEC, although the Company is required to file with or furnish to the SEC the continuous disclosure documents that it is required to file in Canada under Canadian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77</w:t>
      </w:r>
    </w:p>
    <w:p>
      <w:pPr>
        <w:sectPr>
          <w:pgSz w:w="11900" w:h="16838" w:orient="portrait"/>
          <w:cols w:equalWidth="0" w:num="1">
            <w:col w:w="11260"/>
          </w:cols>
          <w:pgMar w:left="320" w:top="1303" w:right="319" w:bottom="1440" w:gutter="0" w:footer="0" w:header="0"/>
        </w:sectPr>
      </w:pPr>
    </w:p>
    <w:bookmarkStart w:id="103" w:name="page104"/>
    <w:bookmarkEnd w:id="103"/>
    <w:p>
      <w:pPr>
        <w:jc w:val="both"/>
        <w:ind w:right="20"/>
        <w:spacing w:after="0" w:line="275" w:lineRule="auto"/>
        <w:rPr>
          <w:sz w:val="20"/>
          <w:szCs w:val="20"/>
          <w:color w:val="auto"/>
        </w:rPr>
      </w:pPr>
      <w:r>
        <w:rPr>
          <w:rFonts w:ascii="Times New Roman" w:cs="Times New Roman" w:eastAsia="Times New Roman" w:hAnsi="Times New Roman"/>
          <w:sz w:val="18"/>
          <w:szCs w:val="18"/>
          <w:color w:val="auto"/>
        </w:rPr>
        <w:t>securities laws. In addition, the Company’s officers, directors, and principal shareholders are exempt from the reporting and short-swing profit recovery provisions of Section 16 of the Exchange Act. Therefore, the Company’s shareholders may not know on as timely a basis when the Company’s officers, directors and principal shareholders purchase or sell Common Shares, as the reporting periods under the corresponding Canadian insider reporting requirements are longer.</w:t>
      </w:r>
    </w:p>
    <w:p>
      <w:pPr>
        <w:spacing w:after="0" w:line="188" w:lineRule="exact"/>
        <w:rPr>
          <w:sz w:val="20"/>
          <w:szCs w:val="20"/>
          <w:color w:val="auto"/>
        </w:rPr>
      </w:pPr>
    </w:p>
    <w:p>
      <w:pPr>
        <w:jc w:val="both"/>
        <w:spacing w:after="0" w:line="273" w:lineRule="auto"/>
        <w:rPr>
          <w:sz w:val="20"/>
          <w:szCs w:val="20"/>
          <w:color w:val="auto"/>
        </w:rPr>
      </w:pPr>
      <w:r>
        <w:rPr>
          <w:rFonts w:ascii="Times New Roman" w:cs="Times New Roman" w:eastAsia="Times New Roman" w:hAnsi="Times New Roman"/>
          <w:sz w:val="18"/>
          <w:szCs w:val="18"/>
          <w:color w:val="auto"/>
        </w:rPr>
        <w:t>As a foreign private issuer, the Company is exempt from the rules and regulations under the Exchange Act related to the furnishing and content of proxy statements. The Company is also exempt from Regulation FD, which prohibits issuers from making selective disclosures of material non-public information. While the Company complies with the corresponding requirements relating to proxy statements and disclosure of material non-public information under Canadian securities laws, these requirements differ from those under the Exchange Act and Regulation FD and shareholders should not expect to receive the same information at the same time as such information is provided by U.S. domestic companies. In addition, the Company may not be required under the Exchange Act to file annual and quarterly reports with the SEC as promptly as U.S. domestic companies whose securities are registered under the Exchange Act.</w:t>
      </w:r>
    </w:p>
    <w:p>
      <w:pPr>
        <w:spacing w:after="0" w:line="19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Plans for Growth</w:t>
      </w:r>
    </w:p>
    <w:p>
      <w:pPr>
        <w:spacing w:after="0" w:line="256" w:lineRule="exact"/>
        <w:rPr>
          <w:sz w:val="20"/>
          <w:szCs w:val="20"/>
          <w:color w:val="auto"/>
        </w:rPr>
      </w:pPr>
    </w:p>
    <w:p>
      <w:pPr>
        <w:jc w:val="both"/>
        <w:spacing w:after="0" w:line="291" w:lineRule="auto"/>
        <w:rPr>
          <w:sz w:val="20"/>
          <w:szCs w:val="20"/>
          <w:color w:val="auto"/>
        </w:rPr>
      </w:pPr>
      <w:r>
        <w:rPr>
          <w:rFonts w:ascii="Times New Roman" w:cs="Times New Roman" w:eastAsia="Times New Roman" w:hAnsi="Times New Roman"/>
          <w:sz w:val="18"/>
          <w:szCs w:val="18"/>
          <w:color w:val="auto"/>
        </w:rPr>
        <w:t>The Company intends to continue to advance its research and development programs and operations over the next 12 to 24 months. This advancement will place a significant strain on the Company’s management systems and resources. The Company may not be able to implement its business strategy in a rapidly evolving market. In particular, the Company may be required to manage multiple relationships with various strategic industry participants and other third parties, which relationships could be strained. Similarly, an increase in the number of third-party relationships the Company has, may lead to management of the Company being unable to manage growth effectively. The occurrence of such events may result in the Company being unable to successfully identify, manage and exploit existing and potential market opportunities.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Limited Products</w:t>
      </w:r>
    </w:p>
    <w:p>
      <w:pPr>
        <w:spacing w:after="0" w:line="268" w:lineRule="exact"/>
        <w:rPr>
          <w:sz w:val="20"/>
          <w:szCs w:val="20"/>
          <w:color w:val="auto"/>
        </w:rPr>
      </w:pPr>
    </w:p>
    <w:p>
      <w:pPr>
        <w:jc w:val="both"/>
        <w:ind w:right="20"/>
        <w:spacing w:after="0" w:line="309" w:lineRule="auto"/>
        <w:rPr>
          <w:sz w:val="20"/>
          <w:szCs w:val="20"/>
          <w:color w:val="auto"/>
        </w:rPr>
      </w:pPr>
      <w:r>
        <w:rPr>
          <w:rFonts w:ascii="Times New Roman" w:cs="Times New Roman" w:eastAsia="Times New Roman" w:hAnsi="Times New Roman"/>
          <w:sz w:val="18"/>
          <w:szCs w:val="18"/>
          <w:color w:val="auto"/>
        </w:rPr>
        <w:t>The Company will be heavily reliant on the production and distribution of psychedelics and related products. If they do not achieve sufficient market acceptance, it will be difficult for the Company to achieve profitability.</w:t>
      </w:r>
    </w:p>
    <w:p>
      <w:pPr>
        <w:spacing w:after="0" w:line="180" w:lineRule="exact"/>
        <w:rPr>
          <w:sz w:val="20"/>
          <w:szCs w:val="20"/>
          <w:color w:val="auto"/>
        </w:rPr>
      </w:pPr>
    </w:p>
    <w:p>
      <w:pPr>
        <w:jc w:val="both"/>
        <w:ind w:right="20"/>
        <w:spacing w:after="0" w:line="294" w:lineRule="auto"/>
        <w:rPr>
          <w:sz w:val="20"/>
          <w:szCs w:val="20"/>
          <w:color w:val="auto"/>
        </w:rPr>
      </w:pPr>
      <w:r>
        <w:rPr>
          <w:rFonts w:ascii="Times New Roman" w:cs="Times New Roman" w:eastAsia="Times New Roman" w:hAnsi="Times New Roman"/>
          <w:sz w:val="18"/>
          <w:szCs w:val="18"/>
          <w:color w:val="auto"/>
        </w:rPr>
        <w:t>The Company’s revenue will be derived almost exclusively from sales of psychedelic pharmaceutical products, and the Company expects that its psychedelic pharmaceutical products will account for substantially all of its revenue for the foreseeable future. If the psychedelic pharmaceutical market declines or psychedelics fail to achieve substantially greater market acceptance than it currently enjoys, the Company will not be able to grow its revenues sufficiently for it to achieve consistent profitability.</w:t>
      </w:r>
    </w:p>
    <w:p>
      <w:pPr>
        <w:spacing w:after="0" w:line="183" w:lineRule="exact"/>
        <w:rPr>
          <w:sz w:val="20"/>
          <w:szCs w:val="20"/>
          <w:color w:val="auto"/>
        </w:rPr>
      </w:pPr>
    </w:p>
    <w:p>
      <w:pPr>
        <w:jc w:val="both"/>
        <w:ind w:right="20"/>
        <w:spacing w:after="0" w:line="301" w:lineRule="auto"/>
        <w:rPr>
          <w:sz w:val="20"/>
          <w:szCs w:val="20"/>
          <w:color w:val="auto"/>
        </w:rPr>
      </w:pPr>
      <w:r>
        <w:rPr>
          <w:rFonts w:ascii="Times New Roman" w:cs="Times New Roman" w:eastAsia="Times New Roman" w:hAnsi="Times New Roman"/>
          <w:sz w:val="18"/>
          <w:szCs w:val="18"/>
          <w:color w:val="auto"/>
        </w:rPr>
        <w:t>Even if products to be distributed by the Company conform to international safety and quality standards, sales could be adversely affected if consumers in target markets lose confidence in the safety, efficacy, and quality of psychedelic pharmaceutical products. Adverse publicity about psychedelic pharmaceutical products that the Company sells may discourage consumers from buying products distributed by the Company.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78</w:t>
      </w:r>
    </w:p>
    <w:p>
      <w:pPr>
        <w:sectPr>
          <w:pgSz w:w="11900" w:h="16838" w:orient="portrait"/>
          <w:cols w:equalWidth="0" w:num="1">
            <w:col w:w="11260"/>
          </w:cols>
          <w:pgMar w:left="320" w:top="1291" w:right="319" w:bottom="1440" w:gutter="0" w:footer="0" w:header="0"/>
        </w:sectPr>
      </w:pPr>
    </w:p>
    <w:bookmarkStart w:id="104" w:name="page105"/>
    <w:bookmarkEnd w:id="104"/>
    <w:p>
      <w:pPr>
        <w:spacing w:after="0" w:line="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Limited Marketing and Sales Capabilities</w:t>
      </w:r>
    </w:p>
    <w:p>
      <w:pPr>
        <w:spacing w:after="0" w:line="268" w:lineRule="exact"/>
        <w:rPr>
          <w:sz w:val="20"/>
          <w:szCs w:val="20"/>
          <w:color w:val="auto"/>
        </w:rPr>
      </w:pPr>
    </w:p>
    <w:p>
      <w:pPr>
        <w:jc w:val="both"/>
        <w:spacing w:after="0" w:line="289" w:lineRule="auto"/>
        <w:rPr>
          <w:sz w:val="20"/>
          <w:szCs w:val="20"/>
          <w:color w:val="auto"/>
        </w:rPr>
      </w:pPr>
      <w:r>
        <w:rPr>
          <w:rFonts w:ascii="Times New Roman" w:cs="Times New Roman" w:eastAsia="Times New Roman" w:hAnsi="Times New Roman"/>
          <w:sz w:val="18"/>
          <w:szCs w:val="18"/>
          <w:color w:val="auto"/>
        </w:rPr>
        <w:t>The Company will, for the immediate future, have limited marketing and sales capabilities, and there can be no assurance that it will be able to develop or acquire these capabilities at the level needed to produce and deliver for sale, through industry partners, its products in sufficient commercial quantities. Further, there can be no assurance that the Company, either on its own or through arrangements with other industry participants, will be able to develop or acquire such capabilities on a cost-effective basis, or at all. Finally, there can be no assurance that the Company’s industry partners will be able to market or sell the Company’s products in compliance with requisite regulatory protocols or on a cost-effective basis. The Company’s dependence upon third parties for the production, and marketing or sale, as applicable, of the Company’s products could have a material adverse effect on the Company’s business, financial condition and results of operations.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No Assurance of Commercial Success</w:t>
      </w:r>
    </w:p>
    <w:p>
      <w:pPr>
        <w:spacing w:after="0" w:line="268" w:lineRule="exact"/>
        <w:rPr>
          <w:sz w:val="20"/>
          <w:szCs w:val="20"/>
          <w:color w:val="auto"/>
        </w:rPr>
      </w:pPr>
    </w:p>
    <w:p>
      <w:pPr>
        <w:jc w:val="both"/>
        <w:ind w:right="20"/>
        <w:spacing w:after="0" w:line="291" w:lineRule="auto"/>
        <w:rPr>
          <w:sz w:val="20"/>
          <w:szCs w:val="20"/>
          <w:color w:val="auto"/>
        </w:rPr>
      </w:pPr>
      <w:r>
        <w:rPr>
          <w:rFonts w:ascii="Times New Roman" w:cs="Times New Roman" w:eastAsia="Times New Roman" w:hAnsi="Times New Roman"/>
          <w:sz w:val="18"/>
          <w:szCs w:val="18"/>
          <w:color w:val="auto"/>
        </w:rPr>
        <w:t>The successful commercialization of the Company’s products will depend on many factors, including, the Company’s ability to establish and maintain working partnerships with industry participants in order to market its products, the Company’s ability to supply a sufficient amount of its products to meet market demand, and the number of competitors within each jurisdiction within which the Company may from time to time be engaged. There can be no assurance that the Company or its industry partners will be successful in their respective efforts to develop and implement, or assist the Company in developing and implementing, a commercialization strategy for the Company’s products.</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No Profits or Significant Revenues</w:t>
      </w:r>
    </w:p>
    <w:p>
      <w:pPr>
        <w:spacing w:after="0" w:line="268" w:lineRule="exact"/>
        <w:rPr>
          <w:sz w:val="20"/>
          <w:szCs w:val="20"/>
          <w:color w:val="auto"/>
        </w:rPr>
      </w:pPr>
    </w:p>
    <w:p>
      <w:pPr>
        <w:jc w:val="both"/>
        <w:ind w:right="20"/>
        <w:spacing w:after="0" w:line="291" w:lineRule="auto"/>
        <w:rPr>
          <w:sz w:val="20"/>
          <w:szCs w:val="20"/>
          <w:color w:val="auto"/>
        </w:rPr>
      </w:pPr>
      <w:r>
        <w:rPr>
          <w:rFonts w:ascii="Times New Roman" w:cs="Times New Roman" w:eastAsia="Times New Roman" w:hAnsi="Times New Roman"/>
          <w:sz w:val="18"/>
          <w:szCs w:val="18"/>
          <w:color w:val="auto"/>
        </w:rPr>
        <w:t>The Company has no history upon which to evaluate its performance and future prospects. The Company’s proposed operations are subject to all the business risks associated with new enterprises. These include likely fluctuations in operating results as the Company makes significant investments in research, development and product opportunities, and reacts to developments in its market, including purchasing patterns of customers, and the entry of competitors into the market. The Company will only be able to pay dividends on any shares once its directors determine that it is financially able to do so. The Company cannot make any assurance that it will be profitable in the next three years or generate sufficient revenues to pay dividends to the holders of the Common Shares.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Reliance on Third Parties for Clinical Development Activities</w:t>
      </w:r>
    </w:p>
    <w:p>
      <w:pPr>
        <w:spacing w:after="0" w:line="256" w:lineRule="exact"/>
        <w:rPr>
          <w:sz w:val="20"/>
          <w:szCs w:val="20"/>
          <w:color w:val="auto"/>
        </w:rPr>
      </w:pPr>
    </w:p>
    <w:p>
      <w:pPr>
        <w:jc w:val="both"/>
        <w:ind w:right="20"/>
        <w:spacing w:after="0" w:line="291" w:lineRule="auto"/>
        <w:rPr>
          <w:sz w:val="20"/>
          <w:szCs w:val="20"/>
          <w:color w:val="auto"/>
        </w:rPr>
      </w:pPr>
      <w:r>
        <w:rPr>
          <w:rFonts w:ascii="Times New Roman" w:cs="Times New Roman" w:eastAsia="Times New Roman" w:hAnsi="Times New Roman"/>
          <w:sz w:val="18"/>
          <w:szCs w:val="18"/>
          <w:color w:val="auto"/>
        </w:rPr>
        <w:t>The Company relies and will continue to rely on third parties to conduct a significant portion of its preclinical and clinical development activities. For example, clinical development activities include trial design, regulatory submissions, clinical patient recruitment, clinical trial monitoring, clinical data management and analysis, safety monitoring and project management. If there is any dispute or disruption in its relationship with third parties, or if it is unable to provide quality services in a timely manner and at a feasible cost, the Company’s active development programs will face delays. Further, if any of these third parties fails to perform as the Company expects or if their work fails to meet regulatory requirements, the Company’s testing could be delayed, cancelled or rendered ineffective.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79</w:t>
      </w:r>
    </w:p>
    <w:p>
      <w:pPr>
        <w:sectPr>
          <w:pgSz w:w="11900" w:h="16838" w:orient="portrait"/>
          <w:cols w:equalWidth="0" w:num="1">
            <w:col w:w="11260"/>
          </w:cols>
          <w:pgMar w:left="320" w:top="1440" w:right="319" w:bottom="1440" w:gutter="0" w:footer="0" w:header="0"/>
        </w:sectPr>
      </w:pPr>
    </w:p>
    <w:bookmarkStart w:id="105" w:name="page106"/>
    <w:bookmarkEnd w:id="105"/>
    <w:p>
      <w:pPr>
        <w:spacing w:after="0" w:line="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Risks Related to Third Party Relationships</w:t>
      </w:r>
    </w:p>
    <w:p>
      <w:pPr>
        <w:spacing w:after="0" w:line="268" w:lineRule="exact"/>
        <w:rPr>
          <w:sz w:val="20"/>
          <w:szCs w:val="20"/>
          <w:color w:val="auto"/>
        </w:rPr>
      </w:pPr>
    </w:p>
    <w:p>
      <w:pPr>
        <w:jc w:val="both"/>
        <w:spacing w:after="0" w:line="288" w:lineRule="auto"/>
        <w:rPr>
          <w:sz w:val="20"/>
          <w:szCs w:val="20"/>
          <w:color w:val="auto"/>
        </w:rPr>
      </w:pPr>
      <w:r>
        <w:rPr>
          <w:rFonts w:ascii="Times New Roman" w:cs="Times New Roman" w:eastAsia="Times New Roman" w:hAnsi="Times New Roman"/>
          <w:sz w:val="18"/>
          <w:szCs w:val="18"/>
          <w:color w:val="auto"/>
        </w:rPr>
        <w:t>The Company intends to enter into strategic alliances with third parties that the Company believes will complement or augment its proposed business or will have a beneficial impact on the Company. Strategic alliances could present unforeseen integration obstacles or costs, may not enhance the Company’s business, and may involve risks that could adversely affect the Company, including significant amounts of management time that may be diverted from operations in order to pursue and complete such transactions or maintain such strategic alliances. Future strategic alliances could result in the incurrence of additional debt, costs and contingent liabilities, and there can be no assurance that future strategic alliances will achieve, or that the Company’s existing strategic alliances will continue to achieve, the expected benefits to the Company’s business or that the Company will be able to consummate future strategic alliances on satisfactory terms, or at all. Any of the foregoing could have a material adverse effect on the Company’s business, financial condition and results of operations.</w:t>
      </w:r>
    </w:p>
    <w:p>
      <w:pPr>
        <w:spacing w:after="0" w:line="201" w:lineRule="exact"/>
        <w:rPr>
          <w:sz w:val="20"/>
          <w:szCs w:val="20"/>
          <w:color w:val="auto"/>
        </w:rPr>
      </w:pPr>
    </w:p>
    <w:p>
      <w:pPr>
        <w:jc w:val="both"/>
        <w:spacing w:after="0" w:line="289" w:lineRule="auto"/>
        <w:rPr>
          <w:sz w:val="20"/>
          <w:szCs w:val="20"/>
          <w:color w:val="auto"/>
        </w:rPr>
      </w:pPr>
      <w:r>
        <w:rPr>
          <w:rFonts w:ascii="Times New Roman" w:cs="Times New Roman" w:eastAsia="Times New Roman" w:hAnsi="Times New Roman"/>
          <w:sz w:val="18"/>
          <w:szCs w:val="18"/>
          <w:color w:val="auto"/>
        </w:rPr>
        <w:t>In addition to the foregoing, the success of the Company’s business will depend, in large part, on the Company’s ability to enter into, and maintain collaborative arrangements with various participants in the psychedelic pharmaceutical industry. There can be no assurance that the Company will be able to enter into collaborative arrangements in the future on acceptable terms, if at all. There can be no assurance that such arrangements will be successful, that the parties with which the Company has or may establish arrangements will adequately or successfully perform their obligations under such arrangements, that potential partners will not compete with the Company by seeking or prioritizing alternate, competitor products. The termination or cancellation of any such collaborative arrangement or the failure of the Company and/or the other parties to these arrangements to fulfill their obligations could have a material adverse effect on the Company’s business, financial condition and results of operations. In addition, disagreements between the Company and any of its industry partners could lead to delays or time consuming and expensive legal proceedings, which could have a material adverse effect on the Company’s business, financial condition and results of operations.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Reliance on Contract Manufacturers</w:t>
      </w:r>
    </w:p>
    <w:p>
      <w:pPr>
        <w:spacing w:after="0" w:line="254" w:lineRule="exact"/>
        <w:rPr>
          <w:sz w:val="20"/>
          <w:szCs w:val="20"/>
          <w:color w:val="auto"/>
        </w:rPr>
      </w:pPr>
    </w:p>
    <w:p>
      <w:pPr>
        <w:jc w:val="both"/>
        <w:spacing w:after="0" w:line="289" w:lineRule="auto"/>
        <w:rPr>
          <w:sz w:val="20"/>
          <w:szCs w:val="20"/>
          <w:color w:val="auto"/>
        </w:rPr>
      </w:pPr>
      <w:r>
        <w:rPr>
          <w:rFonts w:ascii="Times New Roman" w:cs="Times New Roman" w:eastAsia="Times New Roman" w:hAnsi="Times New Roman"/>
          <w:sz w:val="18"/>
          <w:szCs w:val="18"/>
          <w:color w:val="auto"/>
        </w:rPr>
        <w:t>The Company has limited manufacturing experience and relies on contract manufacturing organizations (“</w:t>
      </w:r>
      <w:r>
        <w:rPr>
          <w:rFonts w:ascii="Times New Roman" w:cs="Times New Roman" w:eastAsia="Times New Roman" w:hAnsi="Times New Roman"/>
          <w:sz w:val="18"/>
          <w:szCs w:val="18"/>
          <w:b w:val="1"/>
          <w:bCs w:val="1"/>
          <w:color w:val="auto"/>
        </w:rPr>
        <w:t>CMOs</w:t>
      </w:r>
      <w:r>
        <w:rPr>
          <w:rFonts w:ascii="Times New Roman" w:cs="Times New Roman" w:eastAsia="Times New Roman" w:hAnsi="Times New Roman"/>
          <w:sz w:val="18"/>
          <w:szCs w:val="18"/>
          <w:color w:val="auto"/>
        </w:rPr>
        <w:t>”) to manufacture its prescription drug product candidates for preclinical studies and clinical trials. The Company relies on CMOs for manufacturing, filling, packaging, storing and shipping of drug product in compliance with cGMP regulations applicable to its products. All applicable jurisdictions, including Health Canada, the FDA,the MHRA the EMA,and the PDD, ensure the quality of food, drug products and dietary supplements by carefully monitoring drug manufacturers’ compliance with cGMP regulations. The cGMP regulations for drugs contain minimum requirements for the methods, facilities and controls used in manufacturing, processing and packing of a drug product. There can be no assurances that CMOs will be able to meet the Company’s timetable and requirements. The Company has not contracted with alternate suppliers for drug substance production in the event that the current provider is unable to scale up production, or if it otherwise experiences any other significant problems. If the Company is unable to arrange for alternative third-party manufacturing sources on commercially reasonable terms or in a timely manner, the Company may be delayed in the development of its prescription drug product candidates.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80</w:t>
      </w:r>
    </w:p>
    <w:p>
      <w:pPr>
        <w:sectPr>
          <w:pgSz w:w="11900" w:h="16838" w:orient="portrait"/>
          <w:cols w:equalWidth="0" w:num="1">
            <w:col w:w="11260"/>
          </w:cols>
          <w:pgMar w:left="320" w:top="1440" w:right="319" w:bottom="1440" w:gutter="0" w:footer="0" w:header="0"/>
        </w:sectPr>
      </w:pPr>
    </w:p>
    <w:bookmarkStart w:id="106" w:name="page107"/>
    <w:bookmarkEnd w:id="106"/>
    <w:p>
      <w:pPr>
        <w:jc w:val="both"/>
        <w:ind w:right="20"/>
        <w:spacing w:after="0" w:line="301" w:lineRule="auto"/>
        <w:rPr>
          <w:sz w:val="20"/>
          <w:szCs w:val="20"/>
          <w:color w:val="auto"/>
        </w:rPr>
      </w:pPr>
      <w:r>
        <w:rPr>
          <w:rFonts w:ascii="Times New Roman" w:cs="Times New Roman" w:eastAsia="Times New Roman" w:hAnsi="Times New Roman"/>
          <w:sz w:val="18"/>
          <w:szCs w:val="18"/>
          <w:color w:val="auto"/>
        </w:rPr>
        <w:t>Further, CMOs must operate in compliance with cGMP and ensure that their appropriate permits and licences remain in good standing and failure to do so could result in, among other things, the disruption of product supplies. The Company’s dependence upon third parties for the manufacture of its products may adversely affect its profit margins and its ability to develop and deliver products on a timely and competitive basis.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Safety and Efficacy of Products</w:t>
      </w:r>
    </w:p>
    <w:p>
      <w:pPr>
        <w:spacing w:after="0" w:line="268" w:lineRule="exact"/>
        <w:rPr>
          <w:sz w:val="20"/>
          <w:szCs w:val="20"/>
          <w:color w:val="auto"/>
        </w:rPr>
      </w:pPr>
    </w:p>
    <w:p>
      <w:pPr>
        <w:jc w:val="both"/>
        <w:ind w:right="20"/>
        <w:spacing w:after="0" w:line="287" w:lineRule="auto"/>
        <w:rPr>
          <w:sz w:val="20"/>
          <w:szCs w:val="20"/>
          <w:color w:val="auto"/>
        </w:rPr>
      </w:pPr>
      <w:r>
        <w:rPr>
          <w:rFonts w:ascii="Times New Roman" w:cs="Times New Roman" w:eastAsia="Times New Roman" w:hAnsi="Times New Roman"/>
          <w:sz w:val="18"/>
          <w:szCs w:val="18"/>
          <w:color w:val="auto"/>
        </w:rPr>
        <w:t>Before obtaining marketing approval from regulatory authorities for the sale of the Company’s prescription drug product candidates, the Company must conduct preclinical studies in animals and extensive clinical trials in humans to demonstrate the safety and efficacy of the prescription drug product candidates. Clinical testing is expensive and difficult to design and implement, can take many years to complete and has uncertain outcomes. The outcome of preclinical studies and early clinical trials may not predict the success of later clinical trials, and interim results of a clinical trial do not necessarily predict final results. A number of companies in the pharmaceutical and biotechnology industries have suffered significant setbacks in advanced clinical trials due to lack of efficacy or unacceptable safety profiles, notwithstanding promising results in earlier trials. The Company does not know whether the clinical trials it may conduct will demonstrate adequate efficacy and safety to result in regulatory approval to market any of its prescription drug product candidates in any jurisdiction. A prescription drug product candidate may fail for safety or efficacy reasons at any stage of the testing process. A major risk the Company faces is the possibility that none of its prescription drug product candidates under development will successfully gain market approval from Health Canada, the FDA, the MHRA, the EMA,the PDD or other regulatory authorities, resulting in the Company being unable to derive any commercial revenue from them after investing significant amounts of capital in their development.</w:t>
      </w:r>
    </w:p>
    <w:p>
      <w:pPr>
        <w:spacing w:after="0" w:line="203" w:lineRule="exact"/>
        <w:rPr>
          <w:sz w:val="20"/>
          <w:szCs w:val="20"/>
          <w:color w:val="auto"/>
        </w:rPr>
      </w:pPr>
    </w:p>
    <w:p>
      <w:pPr>
        <w:jc w:val="both"/>
        <w:spacing w:after="0" w:line="307" w:lineRule="auto"/>
        <w:rPr>
          <w:sz w:val="20"/>
          <w:szCs w:val="20"/>
          <w:color w:val="auto"/>
        </w:rPr>
      </w:pPr>
      <w:r>
        <w:rPr>
          <w:rFonts w:ascii="Times New Roman" w:cs="Times New Roman" w:eastAsia="Times New Roman" w:hAnsi="Times New Roman"/>
          <w:sz w:val="17"/>
          <w:szCs w:val="17"/>
          <w:color w:val="auto"/>
        </w:rPr>
        <w:t>Clinical trials are conducted in representative samples of the potential patient population which may have significant variability. Clinical trials are by design based on a limited number of subjects and of limited duration for exposure to the product used to determine whether, on a potentially statistically significant basis, the planned safety and efficacy of any such product can be achieved. As with the results of any statistical sampling, the Company cannot be sure that all side effects of its products may be uncovered, and it may be the case that only with a significantly larger number of patients exposed to such product for a longer duration, may a more complete safety profile be identified. Further, even larger clinical trials may not identify rare serious adverse effects, or the duration of such studies may not be sufficient to identify when those events may occur. There have been products that have been approved by the regulatory authorities but for which safety concerns have been uncovered following approval. Such safety concerns have led to labelling changes or withdrawal of such products from the market, and the Company’s products may be subject to similar risks. The Company might have to withdraw or recall its products from the marketplace. The Company may also experience a significant drop in the potential future sales of its products if and when regulatory approvals for such products are obtained, experience harm to its reputation in the marketplace or become subject to lawsuits, including class actions. Any of these results could decrease or prevent any sales of the Company’s products, or substantially increase the costs and expenses of commercializing and marketing its products.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81</w:t>
      </w:r>
    </w:p>
    <w:p>
      <w:pPr>
        <w:sectPr>
          <w:pgSz w:w="11900" w:h="16838" w:orient="portrait"/>
          <w:cols w:equalWidth="0" w:num="1">
            <w:col w:w="11260"/>
          </w:cols>
          <w:pgMar w:left="320" w:top="1303" w:right="319" w:bottom="1440" w:gutter="0" w:footer="0" w:header="0"/>
        </w:sectPr>
      </w:pPr>
    </w:p>
    <w:bookmarkStart w:id="107" w:name="page108"/>
    <w:bookmarkEnd w:id="107"/>
    <w:p>
      <w:pPr>
        <w:spacing w:after="0"/>
        <w:rPr>
          <w:sz w:val="20"/>
          <w:szCs w:val="20"/>
          <w:color w:val="auto"/>
        </w:rPr>
      </w:pPr>
      <w:r>
        <w:rPr>
          <w:rFonts w:ascii="Times New Roman" w:cs="Times New Roman" w:eastAsia="Times New Roman" w:hAnsi="Times New Roman"/>
          <w:sz w:val="18"/>
          <w:szCs w:val="18"/>
          <w:b w:val="1"/>
          <w:bCs w:val="1"/>
          <w:i w:val="1"/>
          <w:iCs w:val="1"/>
          <w:color w:val="auto"/>
        </w:rPr>
        <w:t>Clinical Testing and Commercializing Products</w:t>
      </w:r>
    </w:p>
    <w:p>
      <w:pPr>
        <w:spacing w:after="0" w:line="268"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8"/>
          <w:szCs w:val="18"/>
          <w:color w:val="auto"/>
        </w:rPr>
        <w:t>Before obtaining marketing approval from regulatory authorities for the sale of the Company’s prescription drug product candidates, it must conduct preclinical studies in animals and extensive clinical trials in humans to demonstrate the safety and efficacy of the prescription drug product candidates. Clinical testing is expensive and difficult to design and implement, can take many years to complete and has uncertain outcomes. The outcome of preclinical studies and early clinical trials may not predict the success of later clinical trials, and interim results of a clinical trial do not necessarily predict final results. A number of companies in the pharmaceutical and biotechnology industries have suffered significant setbacks in advanced clinical trials due to lack of efficacy or unacceptable safety profiles, notwithstanding promising results in earlier trails. The Company does not know whether the clinical trials it may conduct will demonstrate adequate efficacy and safety to result in regulatory approval to market any of its prescription drug product candidates in any jurisdiction. A prescription drug product candidate may fail for safety or efficacy reasons at any stage of the testing process. A major risk the Company faces is the possibility that none of its prescription drug product candidates under development will successfully gain market approval from the FDA, or other regulatory authorities, resulting in the Company being unable to derive any commercial revenue from this business segment after investing significant amounts of capital in its development.</w:t>
      </w:r>
    </w:p>
    <w:p>
      <w:pPr>
        <w:spacing w:after="0" w:line="203" w:lineRule="exact"/>
        <w:rPr>
          <w:sz w:val="20"/>
          <w:szCs w:val="20"/>
          <w:color w:val="auto"/>
        </w:rPr>
      </w:pPr>
    </w:p>
    <w:p>
      <w:pPr>
        <w:jc w:val="both"/>
        <w:spacing w:after="0" w:line="291" w:lineRule="auto"/>
        <w:rPr>
          <w:sz w:val="20"/>
          <w:szCs w:val="20"/>
          <w:color w:val="auto"/>
        </w:rPr>
      </w:pPr>
      <w:r>
        <w:rPr>
          <w:rFonts w:ascii="Times New Roman" w:cs="Times New Roman" w:eastAsia="Times New Roman" w:hAnsi="Times New Roman"/>
          <w:sz w:val="18"/>
          <w:szCs w:val="18"/>
          <w:color w:val="auto"/>
        </w:rPr>
        <w:t>The Company cannot predict whether any clinical trials will begin as planned, will need to be restructured, or will be completed on schedule, or at all. The Company’s product development costs will increase if it experiences delays in clinical testing. Significant clinical trial delays could shorten any periods during which the Company may have the exclusive right to commercialize its prescription drug product candidates or allow its competitors to bring products to market before the Company, which would impair the Company’s ability to successfully commercialize its prescription drug product candidates and may harm its financial condition, results of operations and prospects.</w:t>
      </w:r>
    </w:p>
    <w:p>
      <w:pPr>
        <w:spacing w:after="0" w:line="196" w:lineRule="exact"/>
        <w:rPr>
          <w:sz w:val="20"/>
          <w:szCs w:val="20"/>
          <w:color w:val="auto"/>
        </w:rPr>
      </w:pPr>
    </w:p>
    <w:p>
      <w:pPr>
        <w:jc w:val="both"/>
        <w:ind w:right="20"/>
        <w:spacing w:after="0" w:line="309" w:lineRule="auto"/>
        <w:rPr>
          <w:sz w:val="20"/>
          <w:szCs w:val="20"/>
          <w:color w:val="auto"/>
        </w:rPr>
      </w:pPr>
      <w:r>
        <w:rPr>
          <w:rFonts w:ascii="Times New Roman" w:cs="Times New Roman" w:eastAsia="Times New Roman" w:hAnsi="Times New Roman"/>
          <w:sz w:val="18"/>
          <w:szCs w:val="18"/>
          <w:color w:val="auto"/>
        </w:rPr>
        <w:t>The commencement and completion of clinical trials for the Company’s prescription drug product candidates may be delayed for a number of reasons, including but not limited, to:</w:t>
      </w:r>
    </w:p>
    <w:p>
      <w:pPr>
        <w:spacing w:after="0" w:line="168" w:lineRule="exact"/>
        <w:rPr>
          <w:sz w:val="20"/>
          <w:szCs w:val="20"/>
          <w:color w:val="auto"/>
        </w:rPr>
      </w:pPr>
    </w:p>
    <w:p>
      <w:pPr>
        <w:ind w:left="560" w:hanging="276"/>
        <w:spacing w:after="0"/>
        <w:tabs>
          <w:tab w:leader="none" w:pos="560" w:val="left"/>
        </w:tabs>
        <w:numPr>
          <w:ilvl w:val="0"/>
          <w:numId w:val="46"/>
        </w:numPr>
        <w:rPr>
          <w:rFonts w:ascii="Calibri" w:cs="Calibri" w:eastAsia="Calibri" w:hAnsi="Calibri"/>
          <w:sz w:val="18"/>
          <w:szCs w:val="18"/>
          <w:color w:val="auto"/>
        </w:rPr>
      </w:pPr>
      <w:r>
        <w:rPr>
          <w:rFonts w:ascii="Times New Roman" w:cs="Times New Roman" w:eastAsia="Times New Roman" w:hAnsi="Times New Roman"/>
          <w:sz w:val="18"/>
          <w:szCs w:val="18"/>
          <w:color w:val="auto"/>
        </w:rPr>
        <w:t>failure by regulatory authorities to grant permission to proceed or placing clinical trials on hold;</w:t>
      </w:r>
    </w:p>
    <w:p>
      <w:pPr>
        <w:spacing w:after="0" w:line="58" w:lineRule="exact"/>
        <w:rPr>
          <w:rFonts w:ascii="Calibri" w:cs="Calibri" w:eastAsia="Calibri" w:hAnsi="Calibri"/>
          <w:sz w:val="18"/>
          <w:szCs w:val="18"/>
          <w:color w:val="auto"/>
        </w:rPr>
      </w:pPr>
    </w:p>
    <w:p>
      <w:pPr>
        <w:ind w:left="580" w:right="20" w:hanging="296"/>
        <w:spacing w:after="0" w:line="285" w:lineRule="auto"/>
        <w:tabs>
          <w:tab w:leader="none" w:pos="576" w:val="left"/>
        </w:tabs>
        <w:numPr>
          <w:ilvl w:val="0"/>
          <w:numId w:val="46"/>
        </w:numPr>
        <w:rPr>
          <w:rFonts w:ascii="Calibri" w:cs="Calibri" w:eastAsia="Calibri" w:hAnsi="Calibri"/>
          <w:sz w:val="18"/>
          <w:szCs w:val="18"/>
          <w:color w:val="auto"/>
        </w:rPr>
      </w:pPr>
      <w:r>
        <w:rPr>
          <w:rFonts w:ascii="Times New Roman" w:cs="Times New Roman" w:eastAsia="Times New Roman" w:hAnsi="Times New Roman"/>
          <w:sz w:val="18"/>
          <w:szCs w:val="18"/>
          <w:color w:val="auto"/>
        </w:rPr>
        <w:t>suspension or termination of clinical trials by regulators for many reasons, including concerns about patient safety or failure of the Company’s CMOs to comply with cGMP requirements or latent defects in product quality;</w:t>
      </w:r>
    </w:p>
    <w:p>
      <w:pPr>
        <w:ind w:left="580" w:right="20" w:hanging="296"/>
        <w:spacing w:after="0" w:line="292" w:lineRule="auto"/>
        <w:tabs>
          <w:tab w:leader="none" w:pos="576" w:val="left"/>
        </w:tabs>
        <w:numPr>
          <w:ilvl w:val="0"/>
          <w:numId w:val="46"/>
        </w:numPr>
        <w:rPr>
          <w:rFonts w:ascii="Calibri" w:cs="Calibri" w:eastAsia="Calibri" w:hAnsi="Calibri"/>
          <w:sz w:val="18"/>
          <w:szCs w:val="18"/>
          <w:color w:val="auto"/>
        </w:rPr>
      </w:pPr>
      <w:r>
        <w:rPr>
          <w:rFonts w:ascii="Times New Roman" w:cs="Times New Roman" w:eastAsia="Times New Roman" w:hAnsi="Times New Roman"/>
          <w:sz w:val="18"/>
          <w:szCs w:val="18"/>
          <w:color w:val="auto"/>
        </w:rPr>
        <w:t>any changes to the Company’s manufacturing process that may be necessary or desired, delays or failure to obtain clinical supply from CMOs of the Company’s products necessary to conduct clinical trials;</w:t>
      </w:r>
    </w:p>
    <w:p>
      <w:pPr>
        <w:ind w:left="580" w:right="20" w:hanging="296"/>
        <w:spacing w:after="0" w:line="292" w:lineRule="auto"/>
        <w:tabs>
          <w:tab w:leader="none" w:pos="576" w:val="left"/>
        </w:tabs>
        <w:numPr>
          <w:ilvl w:val="0"/>
          <w:numId w:val="46"/>
        </w:numPr>
        <w:rPr>
          <w:rFonts w:ascii="Calibri" w:cs="Calibri" w:eastAsia="Calibri" w:hAnsi="Calibri"/>
          <w:sz w:val="18"/>
          <w:szCs w:val="18"/>
          <w:color w:val="auto"/>
        </w:rPr>
      </w:pPr>
      <w:r>
        <w:rPr>
          <w:rFonts w:ascii="Times New Roman" w:cs="Times New Roman" w:eastAsia="Times New Roman" w:hAnsi="Times New Roman"/>
          <w:sz w:val="18"/>
          <w:szCs w:val="18"/>
          <w:color w:val="auto"/>
        </w:rPr>
        <w:t>prescription drug product candidates demonstrating a lack of safety or efficacy during clinical trials, reports of clinical testing on similar technologies and products raising safety or efficacy concerns;</w:t>
      </w:r>
    </w:p>
    <w:p>
      <w:pPr>
        <w:ind w:left="560" w:hanging="276"/>
        <w:spacing w:after="0"/>
        <w:tabs>
          <w:tab w:leader="none" w:pos="560" w:val="left"/>
        </w:tabs>
        <w:numPr>
          <w:ilvl w:val="0"/>
          <w:numId w:val="46"/>
        </w:numPr>
        <w:rPr>
          <w:rFonts w:ascii="Calibri" w:cs="Calibri" w:eastAsia="Calibri" w:hAnsi="Calibri"/>
          <w:sz w:val="18"/>
          <w:szCs w:val="18"/>
          <w:color w:val="auto"/>
        </w:rPr>
      </w:pPr>
      <w:r>
        <w:rPr>
          <w:rFonts w:ascii="Times New Roman" w:cs="Times New Roman" w:eastAsia="Times New Roman" w:hAnsi="Times New Roman"/>
          <w:sz w:val="18"/>
          <w:szCs w:val="18"/>
          <w:color w:val="auto"/>
        </w:rPr>
        <w:t>clinical investigators not performing the Company’s clinical trials on their anticipated schedule, dropping out of a trial, or employing methods not</w:t>
      </w:r>
    </w:p>
    <w:p>
      <w:pPr>
        <w:spacing w:after="0" w:line="46" w:lineRule="exact"/>
        <w:rPr>
          <w:rFonts w:ascii="Calibri" w:cs="Calibri" w:eastAsia="Calibri" w:hAnsi="Calibri"/>
          <w:sz w:val="18"/>
          <w:szCs w:val="18"/>
          <w:color w:val="auto"/>
        </w:rPr>
      </w:pPr>
    </w:p>
    <w:p>
      <w:pPr>
        <w:ind w:left="580"/>
        <w:spacing w:after="0" w:line="323" w:lineRule="auto"/>
        <w:rPr>
          <w:rFonts w:ascii="Calibri" w:cs="Calibri" w:eastAsia="Calibri" w:hAnsi="Calibri"/>
          <w:sz w:val="18"/>
          <w:szCs w:val="18"/>
          <w:color w:val="auto"/>
        </w:rPr>
      </w:pPr>
      <w:r>
        <w:rPr>
          <w:rFonts w:ascii="Times New Roman" w:cs="Times New Roman" w:eastAsia="Times New Roman" w:hAnsi="Times New Roman"/>
          <w:sz w:val="18"/>
          <w:szCs w:val="18"/>
          <w:color w:val="auto"/>
        </w:rPr>
        <w:t>consistent with the clinical trial protocol, regulatory requirements or other third parties not performing data collection and analysis in a timely or accurate manner;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82</w:t>
      </w:r>
    </w:p>
    <w:p>
      <w:pPr>
        <w:sectPr>
          <w:pgSz w:w="11900" w:h="16838" w:orient="portrait"/>
          <w:cols w:equalWidth="0" w:num="1">
            <w:col w:w="11260"/>
          </w:cols>
          <w:pgMar w:left="320" w:top="1299" w:right="319" w:bottom="1440" w:gutter="0" w:footer="0" w:header="0"/>
        </w:sectPr>
      </w:pPr>
    </w:p>
    <w:bookmarkStart w:id="108" w:name="page109"/>
    <w:bookmarkEnd w:id="108"/>
    <w:p>
      <w:pPr>
        <w:ind w:left="560" w:hanging="276"/>
        <w:spacing w:after="0"/>
        <w:tabs>
          <w:tab w:leader="none" w:pos="560" w:val="left"/>
        </w:tabs>
        <w:numPr>
          <w:ilvl w:val="0"/>
          <w:numId w:val="47"/>
        </w:numPr>
        <w:rPr>
          <w:rFonts w:ascii="Calibri" w:cs="Calibri" w:eastAsia="Calibri" w:hAnsi="Calibri"/>
          <w:sz w:val="18"/>
          <w:szCs w:val="18"/>
          <w:color w:val="auto"/>
        </w:rPr>
      </w:pPr>
      <w:r>
        <w:rPr>
          <w:rFonts w:ascii="Times New Roman" w:cs="Times New Roman" w:eastAsia="Times New Roman" w:hAnsi="Times New Roman"/>
          <w:sz w:val="18"/>
          <w:szCs w:val="18"/>
          <w:color w:val="auto"/>
        </w:rPr>
        <w:t>failure of the Company’s contract research organizations to satisfy their contractual duties or meet expected deadlines;</w:t>
      </w:r>
    </w:p>
    <w:p>
      <w:pPr>
        <w:spacing w:after="0" w:line="58" w:lineRule="exact"/>
        <w:rPr>
          <w:rFonts w:ascii="Calibri" w:cs="Calibri" w:eastAsia="Calibri" w:hAnsi="Calibri"/>
          <w:sz w:val="18"/>
          <w:szCs w:val="18"/>
          <w:color w:val="auto"/>
        </w:rPr>
      </w:pPr>
    </w:p>
    <w:p>
      <w:pPr>
        <w:ind w:left="560" w:hanging="276"/>
        <w:spacing w:after="0"/>
        <w:tabs>
          <w:tab w:leader="none" w:pos="560" w:val="left"/>
        </w:tabs>
        <w:numPr>
          <w:ilvl w:val="0"/>
          <w:numId w:val="47"/>
        </w:numPr>
        <w:rPr>
          <w:rFonts w:ascii="Calibri" w:cs="Calibri" w:eastAsia="Calibri" w:hAnsi="Calibri"/>
          <w:sz w:val="18"/>
          <w:szCs w:val="18"/>
          <w:color w:val="auto"/>
        </w:rPr>
      </w:pPr>
      <w:r>
        <w:rPr>
          <w:rFonts w:ascii="Times New Roman" w:cs="Times New Roman" w:eastAsia="Times New Roman" w:hAnsi="Times New Roman"/>
          <w:sz w:val="18"/>
          <w:szCs w:val="18"/>
          <w:color w:val="auto"/>
        </w:rPr>
        <w:t>inspections of clinical trial sites by regulatory authorities;</w:t>
      </w:r>
    </w:p>
    <w:p>
      <w:pPr>
        <w:spacing w:after="0" w:line="46" w:lineRule="exact"/>
        <w:rPr>
          <w:rFonts w:ascii="Calibri" w:cs="Calibri" w:eastAsia="Calibri" w:hAnsi="Calibri"/>
          <w:sz w:val="18"/>
          <w:szCs w:val="18"/>
          <w:color w:val="auto"/>
        </w:rPr>
      </w:pPr>
    </w:p>
    <w:p>
      <w:pPr>
        <w:ind w:left="580" w:right="20" w:hanging="296"/>
        <w:spacing w:after="0" w:line="292" w:lineRule="auto"/>
        <w:tabs>
          <w:tab w:leader="none" w:pos="576" w:val="left"/>
        </w:tabs>
        <w:numPr>
          <w:ilvl w:val="0"/>
          <w:numId w:val="47"/>
        </w:numPr>
        <w:rPr>
          <w:rFonts w:ascii="Calibri" w:cs="Calibri" w:eastAsia="Calibri" w:hAnsi="Calibri"/>
          <w:sz w:val="18"/>
          <w:szCs w:val="18"/>
          <w:color w:val="auto"/>
        </w:rPr>
      </w:pPr>
      <w:r>
        <w:rPr>
          <w:rFonts w:ascii="Times New Roman" w:cs="Times New Roman" w:eastAsia="Times New Roman" w:hAnsi="Times New Roman"/>
          <w:sz w:val="18"/>
          <w:szCs w:val="18"/>
          <w:color w:val="auto"/>
        </w:rPr>
        <w:t>regulatory authorities or ethics committees finding regulatory violations that require the Company to undertake corrective action, resulting in suspension or termination of one or more sites or the imposition of a clinical hold on the entire study;</w:t>
      </w:r>
    </w:p>
    <w:p>
      <w:pPr>
        <w:ind w:left="580" w:right="20" w:hanging="296"/>
        <w:spacing w:after="0" w:line="285" w:lineRule="auto"/>
        <w:tabs>
          <w:tab w:leader="none" w:pos="576" w:val="left"/>
        </w:tabs>
        <w:numPr>
          <w:ilvl w:val="0"/>
          <w:numId w:val="47"/>
        </w:numPr>
        <w:rPr>
          <w:rFonts w:ascii="Calibri" w:cs="Calibri" w:eastAsia="Calibri" w:hAnsi="Calibri"/>
          <w:sz w:val="18"/>
          <w:szCs w:val="18"/>
          <w:color w:val="auto"/>
        </w:rPr>
      </w:pPr>
      <w:r>
        <w:rPr>
          <w:rFonts w:ascii="Times New Roman" w:cs="Times New Roman" w:eastAsia="Times New Roman" w:hAnsi="Times New Roman"/>
          <w:sz w:val="18"/>
          <w:szCs w:val="18"/>
          <w:color w:val="auto"/>
        </w:rPr>
        <w:t>one or more regulatory authorities or ethics committees rejecting, suspending or terminating the study at an investigational site, precluding enrollment of additional subjects, or withdrawing its approval of the trial; or</w:t>
      </w:r>
    </w:p>
    <w:p>
      <w:pPr>
        <w:ind w:left="560" w:hanging="276"/>
        <w:spacing w:after="0"/>
        <w:tabs>
          <w:tab w:leader="none" w:pos="560" w:val="left"/>
        </w:tabs>
        <w:numPr>
          <w:ilvl w:val="0"/>
          <w:numId w:val="47"/>
        </w:numPr>
        <w:rPr>
          <w:rFonts w:ascii="Calibri" w:cs="Calibri" w:eastAsia="Calibri" w:hAnsi="Calibri"/>
          <w:sz w:val="18"/>
          <w:szCs w:val="18"/>
          <w:color w:val="auto"/>
        </w:rPr>
      </w:pPr>
      <w:r>
        <w:rPr>
          <w:rFonts w:ascii="Times New Roman" w:cs="Times New Roman" w:eastAsia="Times New Roman" w:hAnsi="Times New Roman"/>
          <w:sz w:val="18"/>
          <w:szCs w:val="18"/>
          <w:color w:val="auto"/>
        </w:rPr>
        <w:t>failure to reach agreement on acceptable terms with prospective clinical trial sites.</w:t>
      </w:r>
    </w:p>
    <w:p>
      <w:pPr>
        <w:spacing w:after="0" w:line="276" w:lineRule="exact"/>
        <w:rPr>
          <w:sz w:val="20"/>
          <w:szCs w:val="20"/>
          <w:color w:val="auto"/>
        </w:rPr>
      </w:pPr>
    </w:p>
    <w:p>
      <w:pPr>
        <w:jc w:val="both"/>
        <w:spacing w:after="0" w:line="291" w:lineRule="auto"/>
        <w:rPr>
          <w:sz w:val="20"/>
          <w:szCs w:val="20"/>
          <w:color w:val="auto"/>
        </w:rPr>
      </w:pPr>
      <w:r>
        <w:rPr>
          <w:rFonts w:ascii="Times New Roman" w:cs="Times New Roman" w:eastAsia="Times New Roman" w:hAnsi="Times New Roman"/>
          <w:sz w:val="18"/>
          <w:szCs w:val="18"/>
          <w:color w:val="auto"/>
        </w:rPr>
        <w:t>The Company’s product development costs will increase if it experiences delays in testing or approval or if the Company needs to perform more or larger clinical trials than planned. Additionally, changes in regulatory requirements and policies may occur, and the Company may need to amend study protocols to reflect these changes. Amendments may require the Company to resubmit its study protocols to regulatory authorities or ethics committees for re-examination, which may impact the cost, timing or successful completion of that trial. Delays or increased product development costs may have a material adverse effect on the Company’s business, financial condition and prospects.</w:t>
      </w:r>
    </w:p>
    <w:p>
      <w:pPr>
        <w:spacing w:after="0" w:line="196" w:lineRule="exact"/>
        <w:rPr>
          <w:sz w:val="20"/>
          <w:szCs w:val="20"/>
          <w:color w:val="auto"/>
        </w:rPr>
      </w:pPr>
    </w:p>
    <w:p>
      <w:pPr>
        <w:jc w:val="both"/>
        <w:ind w:right="20"/>
        <w:spacing w:after="0" w:line="311" w:lineRule="auto"/>
        <w:rPr>
          <w:sz w:val="20"/>
          <w:szCs w:val="20"/>
          <w:color w:val="auto"/>
        </w:rPr>
      </w:pPr>
      <w:r>
        <w:rPr>
          <w:rFonts w:ascii="Times New Roman" w:cs="Times New Roman" w:eastAsia="Times New Roman" w:hAnsi="Times New Roman"/>
          <w:sz w:val="17"/>
          <w:szCs w:val="17"/>
          <w:color w:val="auto"/>
        </w:rPr>
        <w:t>Prior to commencing clinical trials in Canada, the United States, the UK, the Netherlands, or other jurisdictions, for any prescription drug product candidates developed by the Company, it may be required to have an IND (or equivalent) for each prescription drug product candidate and to file additional INDs prior to initiating any additional clinical trials. The Company believes that the data from its studies will support the filing of additional INDs to enable the Company to undertake additional clinical studies as it has planned. However, submission of an IND (or equivalent) may not result in the FDA (or equivalent authorities) allowing further clinical trials to begin and, once begun, issues may arise that will require the Company to suspend or terminate such clinical trials.</w:t>
      </w:r>
    </w:p>
    <w:p>
      <w:pPr>
        <w:spacing w:after="0" w:line="184" w:lineRule="exact"/>
        <w:rPr>
          <w:sz w:val="20"/>
          <w:szCs w:val="20"/>
          <w:color w:val="auto"/>
        </w:rPr>
      </w:pPr>
    </w:p>
    <w:p>
      <w:pPr>
        <w:jc w:val="both"/>
        <w:ind w:right="20"/>
        <w:spacing w:after="0" w:line="294" w:lineRule="auto"/>
        <w:rPr>
          <w:sz w:val="20"/>
          <w:szCs w:val="20"/>
          <w:color w:val="auto"/>
        </w:rPr>
      </w:pPr>
      <w:r>
        <w:rPr>
          <w:rFonts w:ascii="Times New Roman" w:cs="Times New Roman" w:eastAsia="Times New Roman" w:hAnsi="Times New Roman"/>
          <w:sz w:val="18"/>
          <w:szCs w:val="18"/>
          <w:color w:val="auto"/>
        </w:rPr>
        <w:t>Additionally, even if relevant regulatory authorities agree with the design and implementation of the clinical trials set forth in an IND, these regulatory authorities may change their requirements in the future. Failure to submit or have effective INDs (or equivalent) and commence or continue clinical programs will significantly limit its opportunity to generate revenue.</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Completion of Clinical Trials</w:t>
      </w:r>
    </w:p>
    <w:p>
      <w:pPr>
        <w:spacing w:after="0" w:line="256" w:lineRule="exact"/>
        <w:rPr>
          <w:sz w:val="20"/>
          <w:szCs w:val="20"/>
          <w:color w:val="auto"/>
        </w:rPr>
      </w:pPr>
    </w:p>
    <w:p>
      <w:pPr>
        <w:jc w:val="both"/>
        <w:ind w:right="20"/>
        <w:spacing w:after="0" w:line="291" w:lineRule="auto"/>
        <w:rPr>
          <w:sz w:val="20"/>
          <w:szCs w:val="20"/>
          <w:color w:val="auto"/>
        </w:rPr>
      </w:pPr>
      <w:r>
        <w:rPr>
          <w:rFonts w:ascii="Times New Roman" w:cs="Times New Roman" w:eastAsia="Times New Roman" w:hAnsi="Times New Roman"/>
          <w:sz w:val="18"/>
          <w:szCs w:val="18"/>
          <w:color w:val="auto"/>
        </w:rPr>
        <w:t>As the Company’s prescription drug product candidates advance from preclinical testing to clinical testing, and then through progressively larger and more complex clinical trials, the Company will need to enroll an increasing number of patients that meet its eligibility criteria. There is significant competition for recruiting patients in clinical trials, and the Company may be unable to enroll the patients it needs to complete clinical trials on a timely basis or at all. The factors that affect the Company’s ability to enroll patients are largely uncontrollable and include, but are not limited to, the size and nature of the patient population, eligibility and exclusion criteria for the trial, design of the clinical trial, competition with other companies for clinical sites or patients, perceived risks and benefits of the prescription drug product candidate, and the number, availability, location and accessibility of clinical trial sites.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83</w:t>
      </w:r>
    </w:p>
    <w:p>
      <w:pPr>
        <w:sectPr>
          <w:pgSz w:w="11900" w:h="16838" w:orient="portrait"/>
          <w:cols w:equalWidth="0" w:num="1">
            <w:col w:w="11260"/>
          </w:cols>
          <w:pgMar w:left="320" w:top="1303" w:right="319" w:bottom="1440" w:gutter="0" w:footer="0" w:header="0"/>
        </w:sectPr>
      </w:pPr>
    </w:p>
    <w:bookmarkStart w:id="109" w:name="page110"/>
    <w:bookmarkEnd w:id="109"/>
    <w:p>
      <w:pPr>
        <w:spacing w:after="0"/>
        <w:rPr>
          <w:sz w:val="20"/>
          <w:szCs w:val="20"/>
          <w:color w:val="auto"/>
        </w:rPr>
      </w:pPr>
      <w:r>
        <w:rPr>
          <w:rFonts w:ascii="Times New Roman" w:cs="Times New Roman" w:eastAsia="Times New Roman" w:hAnsi="Times New Roman"/>
          <w:sz w:val="18"/>
          <w:szCs w:val="18"/>
          <w:b w:val="1"/>
          <w:bCs w:val="1"/>
          <w:i w:val="1"/>
          <w:iCs w:val="1"/>
          <w:color w:val="auto"/>
        </w:rPr>
        <w:t>Commercial Grade Product Manufacturing</w:t>
      </w:r>
    </w:p>
    <w:p>
      <w:pPr>
        <w:spacing w:after="0" w:line="268"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8"/>
          <w:szCs w:val="18"/>
          <w:color w:val="auto"/>
        </w:rPr>
        <w:t>The Company’s prescription drug products will be manufactured in small quantities for preclinical studies and clinical trials by third party manufacturers. In order to commercialize its product, the Company needs to manufacture commercial quality drug supply for use in registration clinical trials. Most, if not all, of the clinical material used in phase III/pivotal/registration studies must be derived from the defined commercial process including scale, manufacturing site, process controls and batch size. If the Company has not scaled up and validated the commercial production of its product prior to the commencement of pivotal clinical trials, it may have to employ a bridging strategy during the trial to demonstrate equivalency of early-stage material to commercial drug product, or potentially delay the initiation or completion of the trial until drug supply is available. The manufacturing of commercial quality product may have long lead times, may be very expensive and requires significant efforts including, but not limited to, scale-up of production to anticipated commercial scale, process characterization and validation, analytical method validation, identification of critical process parameters and product quality attributes, and multiple process performance and validation runs. If the Company does not have commercial drug supply available when needed for pivotal clinical trials, the Company’s regulatory and commercial progress may be delayed, and it may incur increased product development costs. This may have a material adverse effect on the Company’s business, financial condition and prospects, and may delay marketing of the product.</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Nature of Regulatory Approvals</w:t>
      </w:r>
    </w:p>
    <w:p>
      <w:pPr>
        <w:spacing w:after="0" w:line="256" w:lineRule="exact"/>
        <w:rPr>
          <w:sz w:val="20"/>
          <w:szCs w:val="20"/>
          <w:color w:val="auto"/>
        </w:rPr>
      </w:pPr>
    </w:p>
    <w:p>
      <w:pPr>
        <w:jc w:val="both"/>
        <w:spacing w:after="0" w:line="288" w:lineRule="auto"/>
        <w:rPr>
          <w:sz w:val="20"/>
          <w:szCs w:val="20"/>
          <w:color w:val="auto"/>
        </w:rPr>
      </w:pPr>
      <w:r>
        <w:rPr>
          <w:rFonts w:ascii="Times New Roman" w:cs="Times New Roman" w:eastAsia="Times New Roman" w:hAnsi="Times New Roman"/>
          <w:sz w:val="18"/>
          <w:szCs w:val="18"/>
          <w:color w:val="auto"/>
        </w:rPr>
        <w:t>The Company’s development and commercialization activities and prescription drug product candidates are significantly regulated by a number of governmental entities, including Health Canada, the FDA, the MHRA, the EMA and the PDD. Regulatory approvals are required prior to each clinical trial and the Company may fail to obtain the necessary approvals to commence or continue clinical testing. The Company must comply with regulations concerning the manufacture, testing, safety, effectiveness, labeling, documentation, advertising, and sale of products and prescription drug product candidates and ultimately must obtain regulatory approval before it can commercialize a prescription drug product candidate. The time required to obtain approval by such regulatory authorities is unpredictable but typically takes many years following the commencement of preclinical studies and clinical trials. Any analysis of data from clinical activities the Company performs is subject to confirmation and interpretation by regulatory authorities, which could delay, limit or prevent regulatory approval. Even if the Company believes results from its sponsored clinical trials are favorable to support the marketing of its prescription drug product candidates, Health Canada, the FDA, the MHRA, the EMA the PDD or other regulatory authorities may disagree. In addition, approval policies, regulations, or the type and amount of clinical data necessary to gain approval may change during the course of a prescription drug product candidate’s clinical development and may vary among jurisdictions.</w:t>
      </w:r>
    </w:p>
    <w:p>
      <w:pPr>
        <w:spacing w:after="0" w:line="193" w:lineRule="exact"/>
        <w:rPr>
          <w:sz w:val="20"/>
          <w:szCs w:val="20"/>
          <w:color w:val="auto"/>
        </w:rPr>
      </w:pPr>
    </w:p>
    <w:p>
      <w:pPr>
        <w:jc w:val="both"/>
        <w:ind w:right="20"/>
        <w:spacing w:after="0" w:line="294" w:lineRule="auto"/>
        <w:rPr>
          <w:sz w:val="20"/>
          <w:szCs w:val="20"/>
          <w:color w:val="auto"/>
        </w:rPr>
      </w:pPr>
      <w:r>
        <w:rPr>
          <w:rFonts w:ascii="Times New Roman" w:cs="Times New Roman" w:eastAsia="Times New Roman" w:hAnsi="Times New Roman"/>
          <w:sz w:val="18"/>
          <w:szCs w:val="18"/>
          <w:color w:val="auto"/>
        </w:rPr>
        <w:t>The Company has not obtained regulatory approval for any prescription drug product candidate and it is possible that none of its existing prescription drug product candidates or any future prescription drug product candidates will ever obtain regulatory approval. The Company could fail to receive regulatory approval for its prescription drug product candidates for many reasons, including, but not limited to failure to demonstrate that a prescription drug product candidate is safe and effective for its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84</w:t>
      </w:r>
    </w:p>
    <w:p>
      <w:pPr>
        <w:sectPr>
          <w:pgSz w:w="11900" w:h="16838" w:orient="portrait"/>
          <w:cols w:equalWidth="0" w:num="1">
            <w:col w:w="11260"/>
          </w:cols>
          <w:pgMar w:left="320" w:top="1299" w:right="319" w:bottom="1440" w:gutter="0" w:footer="0" w:header="0"/>
        </w:sectPr>
      </w:pPr>
    </w:p>
    <w:bookmarkStart w:id="110" w:name="page111"/>
    <w:bookmarkEnd w:id="110"/>
    <w:p>
      <w:pPr>
        <w:jc w:val="both"/>
        <w:ind w:right="20"/>
        <w:spacing w:after="0" w:line="301" w:lineRule="auto"/>
        <w:rPr>
          <w:sz w:val="20"/>
          <w:szCs w:val="20"/>
          <w:color w:val="auto"/>
        </w:rPr>
      </w:pPr>
      <w:r>
        <w:rPr>
          <w:rFonts w:ascii="Times New Roman" w:cs="Times New Roman" w:eastAsia="Times New Roman" w:hAnsi="Times New Roman"/>
          <w:sz w:val="18"/>
          <w:szCs w:val="18"/>
          <w:color w:val="auto"/>
        </w:rPr>
        <w:t>proposed indication, failure of clinical trials to meet the level of statistical significance required for approval, failure to demonstrate that a prescription drug product candidate’s clinical and other benefits outweigh its safety risks, or deficiencies in the manufacturing processes or the failure of facilities of CMOs with whom the Company contracts for clinical and commercial supplies to pass a pre-approval inspection.</w:t>
      </w:r>
    </w:p>
    <w:p>
      <w:pPr>
        <w:spacing w:after="0" w:line="176" w:lineRule="exact"/>
        <w:rPr>
          <w:sz w:val="20"/>
          <w:szCs w:val="20"/>
          <w:color w:val="auto"/>
        </w:rPr>
      </w:pPr>
    </w:p>
    <w:p>
      <w:pPr>
        <w:jc w:val="both"/>
        <w:ind w:right="20"/>
        <w:spacing w:after="0" w:line="290" w:lineRule="auto"/>
        <w:rPr>
          <w:sz w:val="20"/>
          <w:szCs w:val="20"/>
          <w:color w:val="auto"/>
        </w:rPr>
      </w:pPr>
      <w:r>
        <w:rPr>
          <w:rFonts w:ascii="Times New Roman" w:cs="Times New Roman" w:eastAsia="Times New Roman" w:hAnsi="Times New Roman"/>
          <w:sz w:val="18"/>
          <w:szCs w:val="18"/>
          <w:color w:val="auto"/>
        </w:rPr>
        <w:t>A regulatory authority may require more information, including additional preclinical or clinical data to support approval, which may delay or prevent approval and the Company’s commercialization plans, or the Company may decide to abandon the development program. If the Company were to obtain approval, regulatory authorities may approve any of its prescription drug product candidates for fewer or more limited indications than the Company request, may grant approval contingent on the performance of costly post-marketing clinical trials, or may approve a prescription drug product candidate with a label that does not include the labeling claims necessary or desirable for the successful commercialization of that prescription drug product candidate. Moreover, depending on any safety issues associated with the Company’s prescription drug product candidates that garner approval, Health Canada, the FDA, the MHRA, the EMA,the PDD or other regulatory authorities may impose a risk evaluation and mitigation strategy, thereby imposing certain restrictions on the sale and marketability of such products.</w:t>
      </w:r>
    </w:p>
    <w:p>
      <w:pPr>
        <w:spacing w:after="0" w:line="187" w:lineRule="exact"/>
        <w:rPr>
          <w:sz w:val="20"/>
          <w:szCs w:val="20"/>
          <w:color w:val="auto"/>
        </w:rPr>
      </w:pPr>
    </w:p>
    <w:p>
      <w:pPr>
        <w:jc w:val="both"/>
        <w:spacing w:after="0" w:line="292" w:lineRule="auto"/>
        <w:rPr>
          <w:sz w:val="20"/>
          <w:szCs w:val="20"/>
          <w:color w:val="auto"/>
        </w:rPr>
      </w:pPr>
      <w:r>
        <w:rPr>
          <w:rFonts w:ascii="Times New Roman" w:cs="Times New Roman" w:eastAsia="Times New Roman" w:hAnsi="Times New Roman"/>
          <w:sz w:val="18"/>
          <w:szCs w:val="18"/>
          <w:color w:val="auto"/>
        </w:rPr>
        <w:t>If there are changes in the application of legislation, regulations or regulatory policies, or if problems are discovered with the Company products, or if one of its distributors, licensees or co-marketers fails to comply with regulatory requirements, the regulators could take various actions. These include imposing fines on the Company, imposing restrictions on the Company’s products or its manufacture and requiring the Company to recall or remove its products from the market. The regulators could also suspend or withdraw the Company’s Co-marketing authorizations, requiring it to conduct additional clinical trials, change its labeling or submit additional applications for marketing authorization. If any of these events occurs, the Company’s ability to sell its products may be impaired, and it may incur substantial additional expense to comply with regulatory requirements, which could materially adversely affect its business, financial condition and results of operations.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Market Access and Acceptance</w:t>
      </w:r>
    </w:p>
    <w:p>
      <w:pPr>
        <w:spacing w:after="0" w:line="256" w:lineRule="exact"/>
        <w:rPr>
          <w:sz w:val="20"/>
          <w:szCs w:val="20"/>
          <w:color w:val="auto"/>
        </w:rPr>
      </w:pPr>
    </w:p>
    <w:p>
      <w:pPr>
        <w:jc w:val="both"/>
        <w:spacing w:after="0" w:line="289" w:lineRule="auto"/>
        <w:rPr>
          <w:sz w:val="20"/>
          <w:szCs w:val="20"/>
          <w:color w:val="auto"/>
        </w:rPr>
      </w:pPr>
      <w:r>
        <w:rPr>
          <w:rFonts w:ascii="Times New Roman" w:cs="Times New Roman" w:eastAsia="Times New Roman" w:hAnsi="Times New Roman"/>
          <w:sz w:val="18"/>
          <w:szCs w:val="18"/>
          <w:color w:val="auto"/>
        </w:rPr>
        <w:t>The Company may never have a product that is commercially successful. To date, the Company has no product authorized for marketing. The Company’s future products require further clinical investigation, regulatory review, significant market access and marketing efforts and substantial investment before it can produce any revenue. Furthermore, if approved, the Company’s product may not achieve an adequate level of acceptance by payors, health technology assessment bodies, healthcare professionals, patients and the medical community at large, and the Company may not become profitable. The level of acceptance the Company ultimately achieves may be affected by negative public perceptions and historic media coverage of psychedelic substances. Because of this history, efforts to educate the medical community and third-party payors and health technologies assessment bodies on the benefits of company’s product compounds may require significant resources and may never be successful, which would prevent the Company from generating significant revenue or becoming profitable. Market acceptance of the Company’s future products by healthcare professionals, patients, healthcare payors and health technology assessment bodies will depend on 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85</w:t>
      </w:r>
    </w:p>
    <w:p>
      <w:pPr>
        <w:sectPr>
          <w:pgSz w:w="11900" w:h="16838" w:orient="portrait"/>
          <w:cols w:equalWidth="0" w:num="1">
            <w:col w:w="11260"/>
          </w:cols>
          <w:pgMar w:left="320" w:top="1303" w:right="319" w:bottom="1440" w:gutter="0" w:footer="0" w:header="0"/>
        </w:sectPr>
      </w:pPr>
    </w:p>
    <w:bookmarkStart w:id="111" w:name="page112"/>
    <w:bookmarkEnd w:id="111"/>
    <w:p>
      <w:pPr>
        <w:spacing w:after="0"/>
        <w:rPr>
          <w:sz w:val="20"/>
          <w:szCs w:val="20"/>
          <w:color w:val="auto"/>
        </w:rPr>
      </w:pPr>
      <w:r>
        <w:rPr>
          <w:rFonts w:ascii="Times New Roman" w:cs="Times New Roman" w:eastAsia="Times New Roman" w:hAnsi="Times New Roman"/>
          <w:sz w:val="18"/>
          <w:szCs w:val="18"/>
          <w:color w:val="auto"/>
        </w:rPr>
        <w:t>number of factors, many of which are beyond the Company’s control, including, but not limited to, the following:</w:t>
      </w:r>
    </w:p>
    <w:p>
      <w:pPr>
        <w:spacing w:after="0" w:line="264" w:lineRule="exact"/>
        <w:rPr>
          <w:sz w:val="20"/>
          <w:szCs w:val="20"/>
          <w:color w:val="auto"/>
        </w:rPr>
      </w:pPr>
    </w:p>
    <w:p>
      <w:pPr>
        <w:ind w:left="560" w:hanging="276"/>
        <w:spacing w:after="0"/>
        <w:tabs>
          <w:tab w:leader="none" w:pos="560" w:val="left"/>
        </w:tabs>
        <w:numPr>
          <w:ilvl w:val="0"/>
          <w:numId w:val="48"/>
        </w:numPr>
        <w:rPr>
          <w:rFonts w:ascii="Calibri" w:cs="Calibri" w:eastAsia="Calibri" w:hAnsi="Calibri"/>
          <w:sz w:val="18"/>
          <w:szCs w:val="18"/>
          <w:color w:val="auto"/>
        </w:rPr>
      </w:pPr>
      <w:r>
        <w:rPr>
          <w:rFonts w:ascii="Times New Roman" w:cs="Times New Roman" w:eastAsia="Times New Roman" w:hAnsi="Times New Roman"/>
          <w:sz w:val="18"/>
          <w:szCs w:val="18"/>
          <w:color w:val="auto"/>
        </w:rPr>
        <w:t>acceptance by healthcare professionals, patients and healthcare payors of each product as safe, effective and cost-effective;</w:t>
      </w:r>
    </w:p>
    <w:p>
      <w:pPr>
        <w:spacing w:after="0" w:line="46" w:lineRule="exact"/>
        <w:rPr>
          <w:rFonts w:ascii="Calibri" w:cs="Calibri" w:eastAsia="Calibri" w:hAnsi="Calibri"/>
          <w:sz w:val="18"/>
          <w:szCs w:val="18"/>
          <w:color w:val="auto"/>
        </w:rPr>
      </w:pPr>
    </w:p>
    <w:p>
      <w:pPr>
        <w:ind w:left="560" w:hanging="276"/>
        <w:spacing w:after="0"/>
        <w:tabs>
          <w:tab w:leader="none" w:pos="560" w:val="left"/>
        </w:tabs>
        <w:numPr>
          <w:ilvl w:val="0"/>
          <w:numId w:val="48"/>
        </w:numPr>
        <w:rPr>
          <w:rFonts w:ascii="Calibri" w:cs="Calibri" w:eastAsia="Calibri" w:hAnsi="Calibri"/>
          <w:sz w:val="18"/>
          <w:szCs w:val="18"/>
          <w:color w:val="auto"/>
        </w:rPr>
      </w:pPr>
      <w:r>
        <w:rPr>
          <w:rFonts w:ascii="Times New Roman" w:cs="Times New Roman" w:eastAsia="Times New Roman" w:hAnsi="Times New Roman"/>
          <w:sz w:val="18"/>
          <w:szCs w:val="18"/>
          <w:color w:val="auto"/>
        </w:rPr>
        <w:t>changes in the standard of care for the targeted indications for any product;</w:t>
      </w:r>
    </w:p>
    <w:p>
      <w:pPr>
        <w:spacing w:after="0" w:line="46" w:lineRule="exact"/>
        <w:rPr>
          <w:rFonts w:ascii="Calibri" w:cs="Calibri" w:eastAsia="Calibri" w:hAnsi="Calibri"/>
          <w:sz w:val="18"/>
          <w:szCs w:val="18"/>
          <w:color w:val="auto"/>
        </w:rPr>
      </w:pPr>
    </w:p>
    <w:p>
      <w:pPr>
        <w:ind w:left="560" w:hanging="276"/>
        <w:spacing w:after="0"/>
        <w:tabs>
          <w:tab w:leader="none" w:pos="560" w:val="left"/>
        </w:tabs>
        <w:numPr>
          <w:ilvl w:val="0"/>
          <w:numId w:val="48"/>
        </w:numPr>
        <w:rPr>
          <w:rFonts w:ascii="Calibri" w:cs="Calibri" w:eastAsia="Calibri" w:hAnsi="Calibri"/>
          <w:sz w:val="18"/>
          <w:szCs w:val="18"/>
          <w:color w:val="auto"/>
        </w:rPr>
      </w:pPr>
      <w:r>
        <w:rPr>
          <w:rFonts w:ascii="Times New Roman" w:cs="Times New Roman" w:eastAsia="Times New Roman" w:hAnsi="Times New Roman"/>
          <w:sz w:val="18"/>
          <w:szCs w:val="18"/>
          <w:color w:val="auto"/>
        </w:rPr>
        <w:t>the strength of sales, marketing and distribution support;</w:t>
      </w:r>
    </w:p>
    <w:p>
      <w:pPr>
        <w:spacing w:after="0" w:line="58" w:lineRule="exact"/>
        <w:rPr>
          <w:rFonts w:ascii="Calibri" w:cs="Calibri" w:eastAsia="Calibri" w:hAnsi="Calibri"/>
          <w:sz w:val="18"/>
          <w:szCs w:val="18"/>
          <w:color w:val="auto"/>
        </w:rPr>
      </w:pPr>
    </w:p>
    <w:p>
      <w:pPr>
        <w:ind w:left="560" w:hanging="276"/>
        <w:spacing w:after="0"/>
        <w:tabs>
          <w:tab w:leader="none" w:pos="560" w:val="left"/>
        </w:tabs>
        <w:numPr>
          <w:ilvl w:val="0"/>
          <w:numId w:val="48"/>
        </w:numPr>
        <w:rPr>
          <w:rFonts w:ascii="Calibri" w:cs="Calibri" w:eastAsia="Calibri" w:hAnsi="Calibri"/>
          <w:sz w:val="18"/>
          <w:szCs w:val="18"/>
          <w:color w:val="auto"/>
        </w:rPr>
      </w:pPr>
      <w:r>
        <w:rPr>
          <w:rFonts w:ascii="Times New Roman" w:cs="Times New Roman" w:eastAsia="Times New Roman" w:hAnsi="Times New Roman"/>
          <w:sz w:val="18"/>
          <w:szCs w:val="18"/>
          <w:color w:val="auto"/>
        </w:rPr>
        <w:t>potential product liability claims;</w:t>
      </w:r>
    </w:p>
    <w:p>
      <w:pPr>
        <w:spacing w:after="0" w:line="46" w:lineRule="exact"/>
        <w:rPr>
          <w:rFonts w:ascii="Calibri" w:cs="Calibri" w:eastAsia="Calibri" w:hAnsi="Calibri"/>
          <w:sz w:val="18"/>
          <w:szCs w:val="18"/>
          <w:color w:val="auto"/>
        </w:rPr>
      </w:pPr>
    </w:p>
    <w:p>
      <w:pPr>
        <w:ind w:left="560" w:hanging="276"/>
        <w:spacing w:after="0"/>
        <w:tabs>
          <w:tab w:leader="none" w:pos="560" w:val="left"/>
        </w:tabs>
        <w:numPr>
          <w:ilvl w:val="0"/>
          <w:numId w:val="48"/>
        </w:numPr>
        <w:rPr>
          <w:rFonts w:ascii="Calibri" w:cs="Calibri" w:eastAsia="Calibri" w:hAnsi="Calibri"/>
          <w:sz w:val="18"/>
          <w:szCs w:val="18"/>
          <w:color w:val="auto"/>
        </w:rPr>
      </w:pPr>
      <w:r>
        <w:rPr>
          <w:rFonts w:ascii="Times New Roman" w:cs="Times New Roman" w:eastAsia="Times New Roman" w:hAnsi="Times New Roman"/>
          <w:sz w:val="18"/>
          <w:szCs w:val="18"/>
          <w:color w:val="auto"/>
        </w:rPr>
        <w:t>the product’s relative convenience, ease of use, ease of administration and other perceived advantages over alternatives;</w:t>
      </w:r>
    </w:p>
    <w:p>
      <w:pPr>
        <w:spacing w:after="0" w:line="46" w:lineRule="exact"/>
        <w:rPr>
          <w:rFonts w:ascii="Calibri" w:cs="Calibri" w:eastAsia="Calibri" w:hAnsi="Calibri"/>
          <w:sz w:val="18"/>
          <w:szCs w:val="18"/>
          <w:color w:val="auto"/>
        </w:rPr>
      </w:pPr>
    </w:p>
    <w:p>
      <w:pPr>
        <w:ind w:left="560" w:hanging="276"/>
        <w:spacing w:after="0"/>
        <w:tabs>
          <w:tab w:leader="none" w:pos="560" w:val="left"/>
        </w:tabs>
        <w:numPr>
          <w:ilvl w:val="0"/>
          <w:numId w:val="48"/>
        </w:numPr>
        <w:rPr>
          <w:rFonts w:ascii="Calibri" w:cs="Calibri" w:eastAsia="Calibri" w:hAnsi="Calibri"/>
          <w:sz w:val="18"/>
          <w:szCs w:val="18"/>
          <w:color w:val="auto"/>
        </w:rPr>
      </w:pPr>
      <w:r>
        <w:rPr>
          <w:rFonts w:ascii="Times New Roman" w:cs="Times New Roman" w:eastAsia="Times New Roman" w:hAnsi="Times New Roman"/>
          <w:sz w:val="18"/>
          <w:szCs w:val="18"/>
          <w:color w:val="auto"/>
        </w:rPr>
        <w:t>the prevalence and severity of adverse events or publicity;</w:t>
      </w:r>
    </w:p>
    <w:p>
      <w:pPr>
        <w:spacing w:after="0" w:line="58" w:lineRule="exact"/>
        <w:rPr>
          <w:rFonts w:ascii="Calibri" w:cs="Calibri" w:eastAsia="Calibri" w:hAnsi="Calibri"/>
          <w:sz w:val="18"/>
          <w:szCs w:val="18"/>
          <w:color w:val="auto"/>
        </w:rPr>
      </w:pPr>
    </w:p>
    <w:p>
      <w:pPr>
        <w:ind w:left="580" w:right="20" w:hanging="296"/>
        <w:spacing w:after="0" w:line="292" w:lineRule="auto"/>
        <w:tabs>
          <w:tab w:leader="none" w:pos="576" w:val="left"/>
        </w:tabs>
        <w:numPr>
          <w:ilvl w:val="0"/>
          <w:numId w:val="48"/>
        </w:numPr>
        <w:rPr>
          <w:rFonts w:ascii="Calibri" w:cs="Calibri" w:eastAsia="Calibri" w:hAnsi="Calibri"/>
          <w:sz w:val="18"/>
          <w:szCs w:val="18"/>
          <w:color w:val="auto"/>
        </w:rPr>
      </w:pPr>
      <w:r>
        <w:rPr>
          <w:rFonts w:ascii="Times New Roman" w:cs="Times New Roman" w:eastAsia="Times New Roman" w:hAnsi="Times New Roman"/>
          <w:sz w:val="18"/>
          <w:szCs w:val="18"/>
          <w:color w:val="auto"/>
        </w:rPr>
        <w:t>limitations, precautions or warnings listed in the summary of product characteristics, patient information leaflet, package labeling or instructions for use;</w:t>
      </w:r>
    </w:p>
    <w:p>
      <w:pPr>
        <w:ind w:left="560" w:hanging="276"/>
        <w:spacing w:after="0"/>
        <w:tabs>
          <w:tab w:leader="none" w:pos="560" w:val="left"/>
        </w:tabs>
        <w:numPr>
          <w:ilvl w:val="0"/>
          <w:numId w:val="48"/>
        </w:numPr>
        <w:rPr>
          <w:rFonts w:ascii="Calibri" w:cs="Calibri" w:eastAsia="Calibri" w:hAnsi="Calibri"/>
          <w:sz w:val="18"/>
          <w:szCs w:val="18"/>
          <w:color w:val="auto"/>
        </w:rPr>
      </w:pPr>
      <w:r>
        <w:rPr>
          <w:rFonts w:ascii="Times New Roman" w:cs="Times New Roman" w:eastAsia="Times New Roman" w:hAnsi="Times New Roman"/>
          <w:sz w:val="18"/>
          <w:szCs w:val="18"/>
          <w:color w:val="auto"/>
        </w:rPr>
        <w:t>the cost of treatment with the Company’s product in relation to alternatives;</w:t>
      </w:r>
    </w:p>
    <w:p>
      <w:pPr>
        <w:spacing w:after="0" w:line="46" w:lineRule="exact"/>
        <w:rPr>
          <w:rFonts w:ascii="Calibri" w:cs="Calibri" w:eastAsia="Calibri" w:hAnsi="Calibri"/>
          <w:sz w:val="18"/>
          <w:szCs w:val="18"/>
          <w:color w:val="auto"/>
        </w:rPr>
      </w:pPr>
    </w:p>
    <w:p>
      <w:pPr>
        <w:ind w:left="560" w:hanging="276"/>
        <w:spacing w:after="0"/>
        <w:tabs>
          <w:tab w:leader="none" w:pos="560" w:val="left"/>
        </w:tabs>
        <w:numPr>
          <w:ilvl w:val="0"/>
          <w:numId w:val="48"/>
        </w:numPr>
        <w:rPr>
          <w:rFonts w:ascii="Calibri" w:cs="Calibri" w:eastAsia="Calibri" w:hAnsi="Calibri"/>
          <w:sz w:val="18"/>
          <w:szCs w:val="18"/>
          <w:color w:val="auto"/>
        </w:rPr>
      </w:pPr>
      <w:r>
        <w:rPr>
          <w:rFonts w:ascii="Times New Roman" w:cs="Times New Roman" w:eastAsia="Times New Roman" w:hAnsi="Times New Roman"/>
          <w:sz w:val="18"/>
          <w:szCs w:val="18"/>
          <w:color w:val="auto"/>
        </w:rPr>
        <w:t>the steps that prescribers and dispensers must take, as well as the perceived risks based upon its controlled substance status;</w:t>
      </w:r>
    </w:p>
    <w:p>
      <w:pPr>
        <w:spacing w:after="0" w:line="46" w:lineRule="exact"/>
        <w:rPr>
          <w:rFonts w:ascii="Calibri" w:cs="Calibri" w:eastAsia="Calibri" w:hAnsi="Calibri"/>
          <w:sz w:val="18"/>
          <w:szCs w:val="18"/>
          <w:color w:val="auto"/>
        </w:rPr>
      </w:pPr>
    </w:p>
    <w:p>
      <w:pPr>
        <w:ind w:left="560" w:hanging="276"/>
        <w:spacing w:after="0"/>
        <w:tabs>
          <w:tab w:leader="none" w:pos="560" w:val="left"/>
        </w:tabs>
        <w:numPr>
          <w:ilvl w:val="0"/>
          <w:numId w:val="48"/>
        </w:numPr>
        <w:rPr>
          <w:rFonts w:ascii="Calibri" w:cs="Calibri" w:eastAsia="Calibri" w:hAnsi="Calibri"/>
          <w:sz w:val="18"/>
          <w:szCs w:val="18"/>
          <w:color w:val="auto"/>
        </w:rPr>
      </w:pPr>
      <w:r>
        <w:rPr>
          <w:rFonts w:ascii="Times New Roman" w:cs="Times New Roman" w:eastAsia="Times New Roman" w:hAnsi="Times New Roman"/>
          <w:sz w:val="18"/>
          <w:szCs w:val="18"/>
          <w:color w:val="auto"/>
        </w:rPr>
        <w:t>the ability to manufacture the Company’s product in sufficient quantities and yields with adequate purity;</w:t>
      </w:r>
    </w:p>
    <w:p>
      <w:pPr>
        <w:spacing w:after="0" w:line="58" w:lineRule="exact"/>
        <w:rPr>
          <w:rFonts w:ascii="Calibri" w:cs="Calibri" w:eastAsia="Calibri" w:hAnsi="Calibri"/>
          <w:sz w:val="18"/>
          <w:szCs w:val="18"/>
          <w:color w:val="auto"/>
        </w:rPr>
      </w:pPr>
    </w:p>
    <w:p>
      <w:pPr>
        <w:ind w:left="580" w:hanging="296"/>
        <w:spacing w:after="0" w:line="285" w:lineRule="auto"/>
        <w:tabs>
          <w:tab w:leader="none" w:pos="576" w:val="left"/>
        </w:tabs>
        <w:numPr>
          <w:ilvl w:val="0"/>
          <w:numId w:val="48"/>
        </w:numPr>
        <w:rPr>
          <w:rFonts w:ascii="Calibri" w:cs="Calibri" w:eastAsia="Calibri" w:hAnsi="Calibri"/>
          <w:sz w:val="18"/>
          <w:szCs w:val="18"/>
          <w:color w:val="auto"/>
        </w:rPr>
      </w:pPr>
      <w:r>
        <w:rPr>
          <w:rFonts w:ascii="Times New Roman" w:cs="Times New Roman" w:eastAsia="Times New Roman" w:hAnsi="Times New Roman"/>
          <w:sz w:val="18"/>
          <w:szCs w:val="18"/>
          <w:color w:val="auto"/>
        </w:rPr>
        <w:t>the availability and amount of coverage and reimbursement from healthcare payors, and the willingness of patients to pay out of pocket in the absence of healthcare payor coverage or adequate reimbursement;</w:t>
      </w:r>
    </w:p>
    <w:p>
      <w:pPr>
        <w:ind w:left="560" w:hanging="276"/>
        <w:spacing w:after="0"/>
        <w:tabs>
          <w:tab w:leader="none" w:pos="560" w:val="left"/>
        </w:tabs>
        <w:numPr>
          <w:ilvl w:val="0"/>
          <w:numId w:val="48"/>
        </w:numPr>
        <w:rPr>
          <w:rFonts w:ascii="Calibri" w:cs="Calibri" w:eastAsia="Calibri" w:hAnsi="Calibri"/>
          <w:sz w:val="18"/>
          <w:szCs w:val="18"/>
          <w:color w:val="auto"/>
        </w:rPr>
      </w:pPr>
      <w:r>
        <w:rPr>
          <w:rFonts w:ascii="Times New Roman" w:cs="Times New Roman" w:eastAsia="Times New Roman" w:hAnsi="Times New Roman"/>
          <w:sz w:val="18"/>
          <w:szCs w:val="18"/>
          <w:color w:val="auto"/>
        </w:rPr>
        <w:t>the willingness of the target patient population to try, and of healthcare professionals to prescribe, the product;</w:t>
      </w:r>
    </w:p>
    <w:p>
      <w:pPr>
        <w:spacing w:after="0" w:line="58" w:lineRule="exact"/>
        <w:rPr>
          <w:rFonts w:ascii="Calibri" w:cs="Calibri" w:eastAsia="Calibri" w:hAnsi="Calibri"/>
          <w:sz w:val="18"/>
          <w:szCs w:val="18"/>
          <w:color w:val="auto"/>
        </w:rPr>
      </w:pPr>
    </w:p>
    <w:p>
      <w:pPr>
        <w:ind w:left="580" w:right="20" w:hanging="296"/>
        <w:spacing w:after="0" w:line="292" w:lineRule="auto"/>
        <w:tabs>
          <w:tab w:leader="none" w:pos="576" w:val="left"/>
        </w:tabs>
        <w:numPr>
          <w:ilvl w:val="0"/>
          <w:numId w:val="48"/>
        </w:numPr>
        <w:rPr>
          <w:rFonts w:ascii="Calibri" w:cs="Calibri" w:eastAsia="Calibri" w:hAnsi="Calibri"/>
          <w:sz w:val="18"/>
          <w:szCs w:val="18"/>
          <w:color w:val="auto"/>
        </w:rPr>
      </w:pPr>
      <w:r>
        <w:rPr>
          <w:rFonts w:ascii="Times New Roman" w:cs="Times New Roman" w:eastAsia="Times New Roman" w:hAnsi="Times New Roman"/>
          <w:sz w:val="18"/>
          <w:szCs w:val="18"/>
          <w:color w:val="auto"/>
        </w:rPr>
        <w:t>any potential unfavorable publicity, including negative publicity associated with recreational use or abuse of psilocybin, psilocin, DMT-based compounds and other psychedelic compounds; and</w:t>
      </w:r>
    </w:p>
    <w:p>
      <w:pPr>
        <w:ind w:left="560" w:hanging="276"/>
        <w:spacing w:after="0"/>
        <w:tabs>
          <w:tab w:leader="none" w:pos="560" w:val="left"/>
        </w:tabs>
        <w:numPr>
          <w:ilvl w:val="0"/>
          <w:numId w:val="48"/>
        </w:numPr>
        <w:rPr>
          <w:rFonts w:ascii="Calibri" w:cs="Calibri" w:eastAsia="Calibri" w:hAnsi="Calibri"/>
          <w:sz w:val="18"/>
          <w:szCs w:val="18"/>
          <w:color w:val="auto"/>
        </w:rPr>
      </w:pPr>
      <w:r>
        <w:rPr>
          <w:rFonts w:ascii="Times New Roman" w:cs="Times New Roman" w:eastAsia="Times New Roman" w:hAnsi="Times New Roman"/>
          <w:sz w:val="18"/>
          <w:szCs w:val="18"/>
          <w:color w:val="auto"/>
        </w:rPr>
        <w:t>any restrictions on the use, sale or distribution of the Company’s future products.</w:t>
      </w:r>
    </w:p>
    <w:p>
      <w:pPr>
        <w:spacing w:after="0" w:line="264" w:lineRule="exact"/>
        <w:rPr>
          <w:sz w:val="20"/>
          <w:szCs w:val="20"/>
          <w:color w:val="auto"/>
        </w:rPr>
      </w:pPr>
    </w:p>
    <w:p>
      <w:pPr>
        <w:jc w:val="both"/>
        <w:spacing w:after="0" w:line="301" w:lineRule="auto"/>
        <w:rPr>
          <w:sz w:val="20"/>
          <w:szCs w:val="20"/>
          <w:color w:val="auto"/>
        </w:rPr>
      </w:pPr>
      <w:r>
        <w:rPr>
          <w:rFonts w:ascii="Times New Roman" w:cs="Times New Roman" w:eastAsia="Times New Roman" w:hAnsi="Times New Roman"/>
          <w:sz w:val="18"/>
          <w:szCs w:val="18"/>
          <w:color w:val="auto"/>
        </w:rPr>
        <w:t>If the Company’s future products fail to gain market access and acceptance, this will have a material adverse impact on the Company’s ability to generate revenue to provide a satisfactory, or any, return on the Company’s investments. Even if some products achieve market access and acceptance, the market may prove not to be large enough to allow the Company to generate significant revenue.</w:t>
      </w:r>
    </w:p>
    <w:p>
      <w:pPr>
        <w:spacing w:after="0" w:line="176" w:lineRule="exact"/>
        <w:rPr>
          <w:sz w:val="20"/>
          <w:szCs w:val="20"/>
          <w:color w:val="auto"/>
        </w:rPr>
      </w:pPr>
    </w:p>
    <w:p>
      <w:pPr>
        <w:jc w:val="both"/>
        <w:ind w:right="20"/>
        <w:spacing w:after="0" w:line="301" w:lineRule="auto"/>
        <w:rPr>
          <w:sz w:val="20"/>
          <w:szCs w:val="20"/>
          <w:color w:val="auto"/>
        </w:rPr>
      </w:pPr>
      <w:r>
        <w:rPr>
          <w:rFonts w:ascii="Times New Roman" w:cs="Times New Roman" w:eastAsia="Times New Roman" w:hAnsi="Times New Roman"/>
          <w:sz w:val="18"/>
          <w:szCs w:val="18"/>
          <w:color w:val="auto"/>
        </w:rPr>
        <w:t>The Company must rely largely on its own market research to forecast sales as detailed forecasts are not generally obtainable from other sources at this early stage of the psychedelic industry. A failure in the demand for the Company’s psychedelic based products to materialize as a result of competition, technological change or other factors could have a material adverse effect on the business, results of operations and financial condition of the Company.</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Unfavourable Publicity or Consumer Perception</w:t>
      </w:r>
    </w:p>
    <w:p>
      <w:pPr>
        <w:spacing w:after="0" w:line="256" w:lineRule="exact"/>
        <w:rPr>
          <w:sz w:val="20"/>
          <w:szCs w:val="20"/>
          <w:color w:val="auto"/>
        </w:rPr>
      </w:pPr>
    </w:p>
    <w:p>
      <w:pPr>
        <w:jc w:val="both"/>
        <w:spacing w:after="0" w:line="301" w:lineRule="auto"/>
        <w:rPr>
          <w:sz w:val="20"/>
          <w:szCs w:val="20"/>
          <w:color w:val="auto"/>
        </w:rPr>
      </w:pPr>
      <w:r>
        <w:rPr>
          <w:rFonts w:ascii="Times New Roman" w:cs="Times New Roman" w:eastAsia="Times New Roman" w:hAnsi="Times New Roman"/>
          <w:sz w:val="18"/>
          <w:szCs w:val="18"/>
          <w:color w:val="auto"/>
        </w:rPr>
        <w:t>The Company believes the psychedelic pharmaceutical industry is highly dependent upon consumer perception regarding the safety, efficacy and quality of psychedelic pharmaceutical products. Consumer perception of the Company’s psychedelic pharmaceutical products can be significantly influenced by scientific research or findings, regulatory investigations, litigation, media attention 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86</w:t>
      </w:r>
    </w:p>
    <w:p>
      <w:pPr>
        <w:sectPr>
          <w:pgSz w:w="11900" w:h="16838" w:orient="portrait"/>
          <w:cols w:equalWidth="0" w:num="1">
            <w:col w:w="11260"/>
          </w:cols>
          <w:pgMar w:left="320" w:top="1303" w:right="319" w:bottom="1440" w:gutter="0" w:footer="0" w:header="0"/>
        </w:sectPr>
      </w:pPr>
    </w:p>
    <w:bookmarkStart w:id="112" w:name="page113"/>
    <w:bookmarkEnd w:id="112"/>
    <w:p>
      <w:pPr>
        <w:jc w:val="both"/>
        <w:spacing w:after="0" w:line="307" w:lineRule="auto"/>
        <w:rPr>
          <w:sz w:val="20"/>
          <w:szCs w:val="20"/>
          <w:color w:val="auto"/>
        </w:rPr>
      </w:pPr>
      <w:r>
        <w:rPr>
          <w:rFonts w:ascii="Times New Roman" w:cs="Times New Roman" w:eastAsia="Times New Roman" w:hAnsi="Times New Roman"/>
          <w:sz w:val="17"/>
          <w:szCs w:val="17"/>
          <w:color w:val="auto"/>
        </w:rPr>
        <w:t>other publicity regarding the consumption of psychedelics. There can be no assurance that future scientific research, findings, regulatory proceedings, litigation, media attention or other research findings or publicity will be favourable to the psychedelic pharmaceutical industry or any particular product, or consistent with earlier publicity. Future research reports, findings, regulatory proceedings, litigation, media attention or other publicity that are perceived as less favourable than, or that question, earlier research reports, findings or publicity could have a material adverse effect on the demand for the Company’s psychedelic products and the business, results of operations, financial condition and cash flows of the Company. The Company’s dependence upon consumer perceptions means that adverse scientific research reports, findings, regulatory proceedings, litigation, media attention or other publicity, whether or not accurate or with merit, could have a material adverse effect on the Company, the demand for the Company’s psychedelic products, and the business, results of operations, financial condition and cash flows of the Company. Further, adverse publicity reports or other media attention regarding the safety, efficacy and quality of psychedelic products in general, or the Company’s psychedelic products and services specifically or associating the consumption of psychedelics with illness or other negative effects or events, could have such a material adverse effect. Such adverse publicity reports or other media attention could arise even if the adverse effects associated with such products resulted from consumers’ failure to consume such products legally, appropriately or as directed.</w:t>
      </w:r>
    </w:p>
    <w:p>
      <w:pPr>
        <w:spacing w:after="0" w:line="175" w:lineRule="exact"/>
        <w:rPr>
          <w:sz w:val="20"/>
          <w:szCs w:val="20"/>
          <w:color w:val="auto"/>
        </w:rPr>
      </w:pPr>
    </w:p>
    <w:p>
      <w:pPr>
        <w:jc w:val="both"/>
        <w:ind w:right="20"/>
        <w:spacing w:after="0" w:line="316" w:lineRule="auto"/>
        <w:rPr>
          <w:sz w:val="20"/>
          <w:szCs w:val="20"/>
          <w:color w:val="auto"/>
        </w:rPr>
      </w:pPr>
      <w:r>
        <w:rPr>
          <w:rFonts w:ascii="Times New Roman" w:cs="Times New Roman" w:eastAsia="Times New Roman" w:hAnsi="Times New Roman"/>
          <w:sz w:val="17"/>
          <w:szCs w:val="17"/>
          <w:color w:val="auto"/>
        </w:rPr>
        <w:t>The psychedelic medicine industry is highly dependent upon consumer perception regarding the medical benefits, safety, efficacy and quality of the psychedelic medicine distributed for medical purposes to such consumers. There can be no assurance that future scientific research or findings on the medical benefits, viability, safety, efficacy and dosing of psilocybin, psilocin, DMT or isolated constituents, regulatory proceedings, litigation, media attention or other research findings or publicity will be favourable to the industry or the Company or any particular product, or consistent with earlier publicity.</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Social Media</w:t>
      </w:r>
    </w:p>
    <w:p>
      <w:pPr>
        <w:spacing w:after="0" w:line="256" w:lineRule="exact"/>
        <w:rPr>
          <w:sz w:val="20"/>
          <w:szCs w:val="20"/>
          <w:color w:val="auto"/>
        </w:rPr>
      </w:pPr>
    </w:p>
    <w:p>
      <w:pPr>
        <w:jc w:val="both"/>
        <w:ind w:right="20"/>
        <w:spacing w:after="0" w:line="294" w:lineRule="auto"/>
        <w:rPr>
          <w:sz w:val="20"/>
          <w:szCs w:val="20"/>
          <w:color w:val="auto"/>
        </w:rPr>
      </w:pPr>
      <w:r>
        <w:rPr>
          <w:rFonts w:ascii="Times New Roman" w:cs="Times New Roman" w:eastAsia="Times New Roman" w:hAnsi="Times New Roman"/>
          <w:sz w:val="18"/>
          <w:szCs w:val="18"/>
          <w:color w:val="auto"/>
        </w:rPr>
        <w:t>There has been a marked increase in the use of social media platforms and similar channels that provide individuals with access to a broad audience of consumers and other interested persons. The availability and impact of information on social media platforms is virtually immediate and many social media platforms publish user-generated content without filters or independent verification as to the accuracy of the content posted. Information posted about the Company may be adverse to the Company’s interests or may be inaccurate, each of which may harm the Company’s business, financial condition and results of operations.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Biotechnology and Pharmaceutical Market Competition</w:t>
      </w:r>
    </w:p>
    <w:p>
      <w:pPr>
        <w:spacing w:after="0" w:line="256" w:lineRule="exact"/>
        <w:rPr>
          <w:sz w:val="20"/>
          <w:szCs w:val="20"/>
          <w:color w:val="auto"/>
        </w:rPr>
      </w:pPr>
    </w:p>
    <w:p>
      <w:pPr>
        <w:jc w:val="both"/>
        <w:ind w:right="20"/>
        <w:spacing w:after="0" w:line="299" w:lineRule="auto"/>
        <w:rPr>
          <w:sz w:val="20"/>
          <w:szCs w:val="20"/>
          <w:color w:val="auto"/>
        </w:rPr>
      </w:pPr>
      <w:r>
        <w:rPr>
          <w:rFonts w:ascii="Times New Roman" w:cs="Times New Roman" w:eastAsia="Times New Roman" w:hAnsi="Times New Roman"/>
          <w:sz w:val="18"/>
          <w:szCs w:val="18"/>
          <w:color w:val="auto"/>
        </w:rPr>
        <w:t>The biotechnology and pharmaceutical industries are intensely competitive and subject to rapid and significant technological change. The Company’s competitors include large, well-established pharmaceutical companies, biotechnology companies, and academic and research institutions developing therapeutics for the same indications the Company is targeting and competitors with existing marketed therapies. Many other companies are developing or commercializing therapies to treat the same diseases or indications for which the Company’s prescription drug product candidates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87</w:t>
      </w:r>
    </w:p>
    <w:p>
      <w:pPr>
        <w:sectPr>
          <w:pgSz w:w="11900" w:h="16838" w:orient="portrait"/>
          <w:cols w:equalWidth="0" w:num="1">
            <w:col w:w="11260"/>
          </w:cols>
          <w:pgMar w:left="320" w:top="1303" w:right="319" w:bottom="1440" w:gutter="0" w:footer="0" w:header="0"/>
        </w:sectPr>
      </w:pPr>
    </w:p>
    <w:bookmarkStart w:id="113" w:name="page114"/>
    <w:bookmarkEnd w:id="113"/>
    <w:p>
      <w:pPr>
        <w:jc w:val="both"/>
        <w:ind w:right="20"/>
        <w:spacing w:after="0" w:line="323" w:lineRule="auto"/>
        <w:rPr>
          <w:sz w:val="20"/>
          <w:szCs w:val="20"/>
          <w:color w:val="auto"/>
        </w:rPr>
      </w:pPr>
      <w:r>
        <w:rPr>
          <w:rFonts w:ascii="Times New Roman" w:cs="Times New Roman" w:eastAsia="Times New Roman" w:hAnsi="Times New Roman"/>
          <w:sz w:val="18"/>
          <w:szCs w:val="18"/>
          <w:color w:val="auto"/>
        </w:rPr>
        <w:t>may be useful. Although there are no approved therapies that specifically target opioid addiction, some competitors use therapeutic approaches that may compete directly with the Company’s prescription drug product candidates.</w:t>
      </w:r>
    </w:p>
    <w:p>
      <w:pPr>
        <w:spacing w:after="0" w:line="156" w:lineRule="exact"/>
        <w:rPr>
          <w:sz w:val="20"/>
          <w:szCs w:val="20"/>
          <w:color w:val="auto"/>
        </w:rPr>
      </w:pPr>
    </w:p>
    <w:p>
      <w:pPr>
        <w:jc w:val="both"/>
        <w:spacing w:after="0" w:line="294" w:lineRule="auto"/>
        <w:rPr>
          <w:sz w:val="20"/>
          <w:szCs w:val="20"/>
          <w:color w:val="auto"/>
        </w:rPr>
      </w:pPr>
      <w:r>
        <w:rPr>
          <w:rFonts w:ascii="Times New Roman" w:cs="Times New Roman" w:eastAsia="Times New Roman" w:hAnsi="Times New Roman"/>
          <w:sz w:val="18"/>
          <w:szCs w:val="18"/>
          <w:color w:val="auto"/>
        </w:rPr>
        <w:t>Many of the Company’s competitors have substantially greater financial, technical and human resources than the Company does and have significantly greater experience than the Company in conducting preclinical testing and human clinical trials of product candidates, scaling up manufacturing operations and obtaining regulatory approvals of products. Accordingly, the Company’s competitors may succeed in obtaining regulatory approval for products more rapidly than the Company does. The Company’s ability to compete successfully will largely depend on:</w:t>
      </w:r>
    </w:p>
    <w:p>
      <w:pPr>
        <w:spacing w:after="0" w:line="183" w:lineRule="exact"/>
        <w:rPr>
          <w:sz w:val="20"/>
          <w:szCs w:val="20"/>
          <w:color w:val="auto"/>
        </w:rPr>
      </w:pPr>
    </w:p>
    <w:p>
      <w:pPr>
        <w:ind w:left="580" w:right="20" w:hanging="296"/>
        <w:spacing w:after="0" w:line="292" w:lineRule="auto"/>
        <w:tabs>
          <w:tab w:leader="none" w:pos="576" w:val="left"/>
        </w:tabs>
        <w:numPr>
          <w:ilvl w:val="0"/>
          <w:numId w:val="49"/>
        </w:numPr>
        <w:rPr>
          <w:rFonts w:ascii="Calibri" w:cs="Calibri" w:eastAsia="Calibri" w:hAnsi="Calibri"/>
          <w:sz w:val="18"/>
          <w:szCs w:val="18"/>
          <w:color w:val="auto"/>
        </w:rPr>
      </w:pPr>
      <w:r>
        <w:rPr>
          <w:rFonts w:ascii="Times New Roman" w:cs="Times New Roman" w:eastAsia="Times New Roman" w:hAnsi="Times New Roman"/>
          <w:sz w:val="18"/>
          <w:szCs w:val="18"/>
          <w:color w:val="auto"/>
        </w:rPr>
        <w:t>the efficacy and safety profile of its prescription drug product candidates relative to marketed products and other prescription drug product candidates in development;</w:t>
      </w:r>
    </w:p>
    <w:p>
      <w:pPr>
        <w:ind w:left="560" w:hanging="276"/>
        <w:spacing w:after="0"/>
        <w:tabs>
          <w:tab w:leader="none" w:pos="560" w:val="left"/>
        </w:tabs>
        <w:numPr>
          <w:ilvl w:val="0"/>
          <w:numId w:val="49"/>
        </w:numPr>
        <w:rPr>
          <w:rFonts w:ascii="Calibri" w:cs="Calibri" w:eastAsia="Calibri" w:hAnsi="Calibri"/>
          <w:sz w:val="18"/>
          <w:szCs w:val="18"/>
          <w:color w:val="auto"/>
        </w:rPr>
      </w:pPr>
      <w:r>
        <w:rPr>
          <w:rFonts w:ascii="Times New Roman" w:cs="Times New Roman" w:eastAsia="Times New Roman" w:hAnsi="Times New Roman"/>
          <w:sz w:val="18"/>
          <w:szCs w:val="18"/>
          <w:color w:val="auto"/>
        </w:rPr>
        <w:t>the Company’s ability to develop and maintain a competitive position in the product categories and technologies on which it focuses;</w:t>
      </w:r>
    </w:p>
    <w:p>
      <w:pPr>
        <w:spacing w:after="0" w:line="58" w:lineRule="exact"/>
        <w:rPr>
          <w:rFonts w:ascii="Calibri" w:cs="Calibri" w:eastAsia="Calibri" w:hAnsi="Calibri"/>
          <w:sz w:val="18"/>
          <w:szCs w:val="18"/>
          <w:color w:val="auto"/>
        </w:rPr>
      </w:pPr>
    </w:p>
    <w:p>
      <w:pPr>
        <w:ind w:left="560" w:hanging="276"/>
        <w:spacing w:after="0"/>
        <w:tabs>
          <w:tab w:leader="none" w:pos="560" w:val="left"/>
        </w:tabs>
        <w:numPr>
          <w:ilvl w:val="0"/>
          <w:numId w:val="49"/>
        </w:numPr>
        <w:rPr>
          <w:rFonts w:ascii="Calibri" w:cs="Calibri" w:eastAsia="Calibri" w:hAnsi="Calibri"/>
          <w:sz w:val="18"/>
          <w:szCs w:val="18"/>
          <w:color w:val="auto"/>
        </w:rPr>
      </w:pPr>
      <w:r>
        <w:rPr>
          <w:rFonts w:ascii="Times New Roman" w:cs="Times New Roman" w:eastAsia="Times New Roman" w:hAnsi="Times New Roman"/>
          <w:sz w:val="18"/>
          <w:szCs w:val="18"/>
          <w:color w:val="auto"/>
        </w:rPr>
        <w:t>the time it takes for the Company’s prescription drug product candidates to complete clinical development and receive marketing approval;</w:t>
      </w:r>
    </w:p>
    <w:p>
      <w:pPr>
        <w:spacing w:after="0" w:line="46" w:lineRule="exact"/>
        <w:rPr>
          <w:rFonts w:ascii="Calibri" w:cs="Calibri" w:eastAsia="Calibri" w:hAnsi="Calibri"/>
          <w:sz w:val="18"/>
          <w:szCs w:val="18"/>
          <w:color w:val="auto"/>
        </w:rPr>
      </w:pPr>
    </w:p>
    <w:p>
      <w:pPr>
        <w:ind w:left="560" w:hanging="276"/>
        <w:spacing w:after="0"/>
        <w:tabs>
          <w:tab w:leader="none" w:pos="560" w:val="left"/>
        </w:tabs>
        <w:numPr>
          <w:ilvl w:val="0"/>
          <w:numId w:val="49"/>
        </w:numPr>
        <w:rPr>
          <w:rFonts w:ascii="Calibri" w:cs="Calibri" w:eastAsia="Calibri" w:hAnsi="Calibri"/>
          <w:sz w:val="18"/>
          <w:szCs w:val="18"/>
          <w:color w:val="auto"/>
        </w:rPr>
      </w:pPr>
      <w:r>
        <w:rPr>
          <w:rFonts w:ascii="Times New Roman" w:cs="Times New Roman" w:eastAsia="Times New Roman" w:hAnsi="Times New Roman"/>
          <w:sz w:val="18"/>
          <w:szCs w:val="18"/>
          <w:color w:val="auto"/>
        </w:rPr>
        <w:t>the Company’s ability to obtain required regulatory approvals;</w:t>
      </w:r>
    </w:p>
    <w:p>
      <w:pPr>
        <w:spacing w:after="0" w:line="46" w:lineRule="exact"/>
        <w:rPr>
          <w:rFonts w:ascii="Calibri" w:cs="Calibri" w:eastAsia="Calibri" w:hAnsi="Calibri"/>
          <w:sz w:val="18"/>
          <w:szCs w:val="18"/>
          <w:color w:val="auto"/>
        </w:rPr>
      </w:pPr>
    </w:p>
    <w:p>
      <w:pPr>
        <w:ind w:left="560" w:hanging="276"/>
        <w:spacing w:after="0"/>
        <w:tabs>
          <w:tab w:leader="none" w:pos="560" w:val="left"/>
        </w:tabs>
        <w:numPr>
          <w:ilvl w:val="0"/>
          <w:numId w:val="49"/>
        </w:numPr>
        <w:rPr>
          <w:rFonts w:ascii="Calibri" w:cs="Calibri" w:eastAsia="Calibri" w:hAnsi="Calibri"/>
          <w:sz w:val="18"/>
          <w:szCs w:val="18"/>
          <w:color w:val="auto"/>
        </w:rPr>
      </w:pPr>
      <w:r>
        <w:rPr>
          <w:rFonts w:ascii="Times New Roman" w:cs="Times New Roman" w:eastAsia="Times New Roman" w:hAnsi="Times New Roman"/>
          <w:sz w:val="18"/>
          <w:szCs w:val="18"/>
          <w:color w:val="auto"/>
        </w:rPr>
        <w:t>the Company’s ability to commercialize any of its prescription drug product candidates that receive regulatory approval;</w:t>
      </w:r>
    </w:p>
    <w:p>
      <w:pPr>
        <w:spacing w:after="0" w:line="58" w:lineRule="exact"/>
        <w:rPr>
          <w:rFonts w:ascii="Calibri" w:cs="Calibri" w:eastAsia="Calibri" w:hAnsi="Calibri"/>
          <w:sz w:val="18"/>
          <w:szCs w:val="18"/>
          <w:color w:val="auto"/>
        </w:rPr>
      </w:pPr>
    </w:p>
    <w:p>
      <w:pPr>
        <w:ind w:left="560" w:hanging="276"/>
        <w:spacing w:after="0"/>
        <w:tabs>
          <w:tab w:leader="none" w:pos="560" w:val="left"/>
        </w:tabs>
        <w:numPr>
          <w:ilvl w:val="0"/>
          <w:numId w:val="49"/>
        </w:numPr>
        <w:rPr>
          <w:rFonts w:ascii="Calibri" w:cs="Calibri" w:eastAsia="Calibri" w:hAnsi="Calibri"/>
          <w:sz w:val="18"/>
          <w:szCs w:val="18"/>
          <w:color w:val="auto"/>
        </w:rPr>
      </w:pPr>
      <w:r>
        <w:rPr>
          <w:rFonts w:ascii="Times New Roman" w:cs="Times New Roman" w:eastAsia="Times New Roman" w:hAnsi="Times New Roman"/>
          <w:sz w:val="18"/>
          <w:szCs w:val="18"/>
          <w:color w:val="auto"/>
        </w:rPr>
        <w:t>the Company’s ability to establish, maintain and protect intellectual property rights related to its prescription drug product candidates; and</w:t>
      </w:r>
    </w:p>
    <w:p>
      <w:pPr>
        <w:spacing w:after="0" w:line="46" w:lineRule="exact"/>
        <w:rPr>
          <w:rFonts w:ascii="Calibri" w:cs="Calibri" w:eastAsia="Calibri" w:hAnsi="Calibri"/>
          <w:sz w:val="18"/>
          <w:szCs w:val="18"/>
          <w:color w:val="auto"/>
        </w:rPr>
      </w:pPr>
    </w:p>
    <w:p>
      <w:pPr>
        <w:ind w:left="580" w:right="20" w:hanging="296"/>
        <w:spacing w:after="0" w:line="322" w:lineRule="auto"/>
        <w:tabs>
          <w:tab w:leader="none" w:pos="576" w:val="left"/>
        </w:tabs>
        <w:numPr>
          <w:ilvl w:val="0"/>
          <w:numId w:val="49"/>
        </w:numPr>
        <w:rPr>
          <w:rFonts w:ascii="Calibri" w:cs="Calibri" w:eastAsia="Calibri" w:hAnsi="Calibri"/>
          <w:sz w:val="18"/>
          <w:szCs w:val="18"/>
          <w:color w:val="auto"/>
        </w:rPr>
      </w:pPr>
      <w:r>
        <w:rPr>
          <w:rFonts w:ascii="Times New Roman" w:cs="Times New Roman" w:eastAsia="Times New Roman" w:hAnsi="Times New Roman"/>
          <w:sz w:val="18"/>
          <w:szCs w:val="18"/>
          <w:color w:val="auto"/>
        </w:rPr>
        <w:t>acceptance of any of the Company’s prescription drug product candidates that receive regulatory approval by physicians and other healthcare providers and payers.</w:t>
      </w:r>
    </w:p>
    <w:p>
      <w:pPr>
        <w:spacing w:after="0" w:line="165" w:lineRule="exact"/>
        <w:rPr>
          <w:sz w:val="20"/>
          <w:szCs w:val="20"/>
          <w:color w:val="auto"/>
        </w:rPr>
      </w:pPr>
    </w:p>
    <w:p>
      <w:pPr>
        <w:jc w:val="both"/>
        <w:ind w:right="20"/>
        <w:spacing w:after="0" w:line="289" w:lineRule="auto"/>
        <w:rPr>
          <w:sz w:val="20"/>
          <w:szCs w:val="20"/>
          <w:color w:val="auto"/>
        </w:rPr>
      </w:pPr>
      <w:r>
        <w:rPr>
          <w:rFonts w:ascii="Times New Roman" w:cs="Times New Roman" w:eastAsia="Times New Roman" w:hAnsi="Times New Roman"/>
          <w:sz w:val="18"/>
          <w:szCs w:val="18"/>
          <w:color w:val="auto"/>
        </w:rPr>
        <w:t>Competitors have developed and may develop technologies that could be the basis for products that challenge the discovery research capabilities of prescription drug product candidates the Company is developing. Some of those products may have an entirely different approach or means of accomplishing the same desired therapeutic effect than the Company’s prescription drug product candidates and may be more effective or less costly than its prescription drug product candidates. The success of the Company’s competitors and their products and technologies relative to the Company’s technological capabilities and competitiveness could have a material adverse effect on the future preclinical studies and clinical trials of the Company’s prescription drug product candidates, including its ability to obtain the necessary regulatory approvals for the conduct of such clinical trials. This may further negatively impact the Company’s ability to generate future product development programs using psychedelic based compounds.</w:t>
      </w:r>
    </w:p>
    <w:p>
      <w:pPr>
        <w:spacing w:after="0" w:line="189" w:lineRule="exact"/>
        <w:rPr>
          <w:sz w:val="20"/>
          <w:szCs w:val="20"/>
          <w:color w:val="auto"/>
        </w:rPr>
      </w:pPr>
    </w:p>
    <w:p>
      <w:pPr>
        <w:jc w:val="both"/>
        <w:ind w:right="20"/>
        <w:spacing w:after="0" w:line="323" w:lineRule="auto"/>
        <w:rPr>
          <w:sz w:val="20"/>
          <w:szCs w:val="20"/>
          <w:color w:val="auto"/>
        </w:rPr>
      </w:pPr>
      <w:r>
        <w:rPr>
          <w:rFonts w:ascii="Times New Roman" w:cs="Times New Roman" w:eastAsia="Times New Roman" w:hAnsi="Times New Roman"/>
          <w:sz w:val="18"/>
          <w:szCs w:val="18"/>
          <w:color w:val="auto"/>
        </w:rPr>
        <w:t>If the Company is not able to compete effectively against its current and future competitors, the Company’s business will not grow, and its financial condition and operations will substantially suffer.</w:t>
      </w:r>
    </w:p>
    <w:p>
      <w:pPr>
        <w:spacing w:after="0" w:line="156" w:lineRule="exact"/>
        <w:rPr>
          <w:sz w:val="20"/>
          <w:szCs w:val="20"/>
          <w:color w:val="auto"/>
        </w:rPr>
      </w:pPr>
    </w:p>
    <w:p>
      <w:pPr>
        <w:jc w:val="both"/>
        <w:ind w:right="20"/>
        <w:spacing w:after="0" w:line="294" w:lineRule="auto"/>
        <w:rPr>
          <w:sz w:val="20"/>
          <w:szCs w:val="20"/>
          <w:color w:val="auto"/>
        </w:rPr>
      </w:pPr>
      <w:r>
        <w:rPr>
          <w:rFonts w:ascii="Times New Roman" w:cs="Times New Roman" w:eastAsia="Times New Roman" w:hAnsi="Times New Roman"/>
          <w:sz w:val="18"/>
          <w:szCs w:val="18"/>
          <w:color w:val="auto"/>
        </w:rPr>
        <w:t>Further, there can be no assurance that potential competitors of the Company, which may have greater financial, cultivation, production, sales and marketing experience, and personnel and resources than the Company, are not currently developing, or will not in the future develop, products and strategies that are equally or more effective and/or economical as any products or strategies developed by the Company or which would otherwise render the Company’s business, products and strategies, as applicable, ineffective, or obsolete. Increased competition by larger and better financed competitors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88</w:t>
      </w:r>
    </w:p>
    <w:p>
      <w:pPr>
        <w:sectPr>
          <w:pgSz w:w="11900" w:h="16838" w:orient="portrait"/>
          <w:cols w:equalWidth="0" w:num="1">
            <w:col w:w="11260"/>
          </w:cols>
          <w:pgMar w:left="320" w:top="1303" w:right="319" w:bottom="1440" w:gutter="0" w:footer="0" w:header="0"/>
        </w:sectPr>
      </w:pPr>
    </w:p>
    <w:bookmarkStart w:id="114" w:name="page115"/>
    <w:bookmarkEnd w:id="114"/>
    <w:p>
      <w:pPr>
        <w:spacing w:after="0"/>
        <w:rPr>
          <w:sz w:val="20"/>
          <w:szCs w:val="20"/>
          <w:color w:val="auto"/>
        </w:rPr>
      </w:pPr>
      <w:r>
        <w:rPr>
          <w:rFonts w:ascii="Times New Roman" w:cs="Times New Roman" w:eastAsia="Times New Roman" w:hAnsi="Times New Roman"/>
          <w:sz w:val="18"/>
          <w:szCs w:val="18"/>
          <w:color w:val="auto"/>
        </w:rPr>
        <w:t>could materially and adversely affect the business, financial condition and results of operations of the Company.</w:t>
      </w:r>
    </w:p>
    <w:p>
      <w:pPr>
        <w:spacing w:after="0" w:line="2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Reliance on Key Executives and Scientists</w:t>
      </w:r>
    </w:p>
    <w:p>
      <w:pPr>
        <w:spacing w:after="0" w:line="256"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8"/>
          <w:szCs w:val="18"/>
          <w:color w:val="auto"/>
        </w:rPr>
        <w:t>The loss of key members of the Company’s staff, could harm the Company. The Company does not have employment agreements with all members of its staff, although such employment agreements do not guarantee their retention. The Company also depends on its scientific and clinical collaborators and advisors, all of whom have outside commitments that may limit their availability to the Company. In addition, the Company believes that its future success will depend in large part upon its ability to attract and retain highly skilled scientific, managerial, medical, manufacturing, clinical and regulatory personnel, particularly as the Company expands its activities and seeks regulatory approvals for clinical trials. The Company enters into agreements with its scientific and clinical collaborators and advisors, key opinion leaders and academic partners in the ordinary course of its business. Should key academic and scientific personnel including employees or collaborative partners who work on the development of the Company’s research activities leave, the Company’s current and future development programs may be delayed or adversely affected. Notwithstanding these arrangements, the Company faces significant competition for these types of personnel from other companies, research and academic institutions, government entities and other organizations. The Company cannot predict its success in hiring or retaining the personnel it requires for continued growth. In addition, due to limited financial resources, the Company may not be able to successfully expand its operations due to challenges in recruiting and training qualified new staff. Expansion of personnel may result in significant diversion of management time and resources. The loss of the services of any of the Company’s executive officers or other key personnel could potentially harm its business, operating results or financial condition.</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Employee Misconduct</w:t>
      </w:r>
    </w:p>
    <w:p>
      <w:pPr>
        <w:spacing w:after="0" w:line="256" w:lineRule="exact"/>
        <w:rPr>
          <w:sz w:val="20"/>
          <w:szCs w:val="20"/>
          <w:color w:val="auto"/>
        </w:rPr>
      </w:pPr>
    </w:p>
    <w:p>
      <w:pPr>
        <w:jc w:val="both"/>
        <w:spacing w:after="0" w:line="288" w:lineRule="auto"/>
        <w:rPr>
          <w:sz w:val="20"/>
          <w:szCs w:val="20"/>
          <w:color w:val="auto"/>
        </w:rPr>
      </w:pPr>
      <w:r>
        <w:rPr>
          <w:rFonts w:ascii="Times New Roman" w:cs="Times New Roman" w:eastAsia="Times New Roman" w:hAnsi="Times New Roman"/>
          <w:sz w:val="18"/>
          <w:szCs w:val="18"/>
          <w:color w:val="auto"/>
        </w:rPr>
        <w:t>Notwithstanding having established an insider trading policy and code of ethics and business conduct (see the AIF for further details), the Company is exposed to the risk of employee fraud or other misconduct. Misconduct by employees could include failures to comply with Health Canada, the FDA the MHRA the EMA the PDD, and other comparable international authorities’ regulations, provide accurate information to Health Canada, the FDA the MHRA, the EMA, and/or the PDD provide accurate information to Health Canada, the FDA, the MHRA, the EMA and the PDD, comply with manufacturing standards the Company has established, comply with federal and provincial healthcare fraud and abuse laws and regulations, report financial information or data accurately or disclose unauthorized activities to the Company. In particular, sales, marketing and business arrangements in the healthcare industry are subject to extensive laws and regulations intended to prevent fraud, kickbacks, self-dealing, and other abusive practices. These laws and regulations may restrict or prohibit a wide range of pricing, discounting, marketing and promotion, sales commission, customer incentive programs and other business arrangements. Employee misconduct could also involve the improper use of information obtained in the course of clinical trials, which could result in regulatory sanctions and serious harm to the Company’s reputation. If any such actions are instituted against the Company, and the Company is not successful in defending itself or asserting its rights, those actions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89</w:t>
      </w:r>
    </w:p>
    <w:p>
      <w:pPr>
        <w:sectPr>
          <w:pgSz w:w="11900" w:h="16838" w:orient="portrait"/>
          <w:cols w:equalWidth="0" w:num="1">
            <w:col w:w="11260"/>
          </w:cols>
          <w:pgMar w:left="320" w:top="1303" w:right="319" w:bottom="1440" w:gutter="0" w:footer="0" w:header="0"/>
        </w:sectPr>
      </w:pPr>
    </w:p>
    <w:bookmarkStart w:id="115" w:name="page116"/>
    <w:bookmarkEnd w:id="115"/>
    <w:p>
      <w:pPr>
        <w:spacing w:after="0"/>
        <w:rPr>
          <w:sz w:val="20"/>
          <w:szCs w:val="20"/>
          <w:color w:val="auto"/>
        </w:rPr>
      </w:pPr>
      <w:r>
        <w:rPr>
          <w:rFonts w:ascii="Times New Roman" w:cs="Times New Roman" w:eastAsia="Times New Roman" w:hAnsi="Times New Roman"/>
          <w:sz w:val="18"/>
          <w:szCs w:val="18"/>
          <w:color w:val="auto"/>
        </w:rPr>
        <w:t>could have a substantial impact on the Company’s business and results of operations, including the imposition of substantial fines or other sanctions.</w:t>
      </w:r>
    </w:p>
    <w:p>
      <w:pPr>
        <w:spacing w:after="0" w:line="2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Business Expansion and Growth</w:t>
      </w:r>
    </w:p>
    <w:p>
      <w:pPr>
        <w:spacing w:after="0" w:line="256" w:lineRule="exact"/>
        <w:rPr>
          <w:sz w:val="20"/>
          <w:szCs w:val="20"/>
          <w:color w:val="auto"/>
        </w:rPr>
      </w:pPr>
    </w:p>
    <w:p>
      <w:pPr>
        <w:jc w:val="both"/>
        <w:spacing w:after="0" w:line="291" w:lineRule="auto"/>
        <w:rPr>
          <w:sz w:val="20"/>
          <w:szCs w:val="20"/>
          <w:color w:val="auto"/>
        </w:rPr>
      </w:pPr>
      <w:r>
        <w:rPr>
          <w:rFonts w:ascii="Times New Roman" w:cs="Times New Roman" w:eastAsia="Times New Roman" w:hAnsi="Times New Roman"/>
          <w:sz w:val="18"/>
          <w:szCs w:val="18"/>
          <w:color w:val="auto"/>
        </w:rPr>
        <w:t>The Company may in the future seek to expand its pipeline and capabilities by acquiring one or more companies or businesses, entering into collaborations, or in-licensing one or more prescription drug product candidates. Acquisitions, collaborations and in-licences involve numerous risks, including, but not limited to substantial cash expenditures, technology development risks, potentially dilutive issuances of equity securities, incurrence of debt and contingent liabilities, some of which may be difficult or impossible to identify at the time of acquisition, difficulties in assimilating the operations of the acquired companies, entering markets in which the Company has limited or no direct experience, and potential loss of the Company’s key employees or key employees of the acquired companies or businesses.</w:t>
      </w:r>
    </w:p>
    <w:p>
      <w:pPr>
        <w:spacing w:after="0" w:line="187" w:lineRule="exact"/>
        <w:rPr>
          <w:sz w:val="20"/>
          <w:szCs w:val="20"/>
          <w:color w:val="auto"/>
        </w:rPr>
      </w:pPr>
    </w:p>
    <w:p>
      <w:pPr>
        <w:jc w:val="both"/>
        <w:ind w:right="20"/>
        <w:spacing w:after="0" w:line="289" w:lineRule="auto"/>
        <w:rPr>
          <w:sz w:val="20"/>
          <w:szCs w:val="20"/>
          <w:color w:val="auto"/>
        </w:rPr>
      </w:pPr>
      <w:r>
        <w:rPr>
          <w:rFonts w:ascii="Times New Roman" w:cs="Times New Roman" w:eastAsia="Times New Roman" w:hAnsi="Times New Roman"/>
          <w:sz w:val="18"/>
          <w:szCs w:val="18"/>
          <w:color w:val="auto"/>
        </w:rPr>
        <w:t>The Company has experience in making acquisitions, entering collaborations and in-licensing prescription drug product candidates; however, the Company cannot provide assurance that any acquisition, collaboration or in-licence will result in short-term or long-term benefits to it. The Company may incorrectly judge the value or worth of an acquired company or business or in-licensed prescription drug product candidate. In addition, the Company’s future success would depend in part on its ability to manage the rapid growth associated with some of these acquisitions, collaborations and in-licences. The Company cannot provide assurance that it would be able to successfully combine its business with that of acquired businesses, manage a collaboration or integrate in-licensed prescription drug product candidates. Furthermore, the development or expansion of the Company’s business may require a substantial capital investment by the Company.</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Negative Results of External Clinical Trials or Studies</w:t>
      </w:r>
    </w:p>
    <w:p>
      <w:pPr>
        <w:spacing w:after="0" w:line="256" w:lineRule="exact"/>
        <w:rPr>
          <w:sz w:val="20"/>
          <w:szCs w:val="20"/>
          <w:color w:val="auto"/>
        </w:rPr>
      </w:pPr>
    </w:p>
    <w:p>
      <w:pPr>
        <w:jc w:val="both"/>
        <w:spacing w:after="0" w:line="291" w:lineRule="auto"/>
        <w:rPr>
          <w:sz w:val="20"/>
          <w:szCs w:val="20"/>
          <w:color w:val="auto"/>
        </w:rPr>
      </w:pPr>
      <w:r>
        <w:rPr>
          <w:rFonts w:ascii="Times New Roman" w:cs="Times New Roman" w:eastAsia="Times New Roman" w:hAnsi="Times New Roman"/>
          <w:sz w:val="18"/>
          <w:szCs w:val="18"/>
          <w:color w:val="auto"/>
        </w:rPr>
        <w:t>From time to time, studies or clinical trials on various aspects of breakthrough neuropsychiatry products are conducted by academic researchers, competitors or others. The results of these studies or trials, when published, may have a significant effect on the market for the breakthrough neuropsychiatry product that is the subject of the study. The publication of negative results of studies or clinical trials or adverse safety events related to the Company’s prescription drug product candidates, or the therapeutic areas in which the Company’s prescription drug product candidates compete, could adversely affect its share price and the Company’s ability to finance future development of its prescription drug product candidates, and its business and financial results could be materially and adversely affected.</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Product Liability</w:t>
      </w:r>
    </w:p>
    <w:p>
      <w:pPr>
        <w:spacing w:after="0" w:line="268" w:lineRule="exact"/>
        <w:rPr>
          <w:sz w:val="20"/>
          <w:szCs w:val="20"/>
          <w:color w:val="auto"/>
        </w:rPr>
      </w:pPr>
    </w:p>
    <w:p>
      <w:pPr>
        <w:jc w:val="both"/>
        <w:ind w:right="20"/>
        <w:spacing w:after="0" w:line="301" w:lineRule="auto"/>
        <w:rPr>
          <w:sz w:val="20"/>
          <w:szCs w:val="20"/>
          <w:color w:val="auto"/>
        </w:rPr>
      </w:pPr>
      <w:r>
        <w:rPr>
          <w:rFonts w:ascii="Times New Roman" w:cs="Times New Roman" w:eastAsia="Times New Roman" w:hAnsi="Times New Roman"/>
          <w:sz w:val="18"/>
          <w:szCs w:val="18"/>
          <w:color w:val="auto"/>
        </w:rPr>
        <w:t>The Company currently does not carry any product liability insurance coverage. Even though the Company is not aware of any product liability claims at this time, its business exposes itself to potential product liability, recalls and other liability risks that are inherent in the sale of consumer products. The Company can provide no assurance that such potential claims will not be asserted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90</w:t>
      </w:r>
    </w:p>
    <w:p>
      <w:pPr>
        <w:sectPr>
          <w:pgSz w:w="11900" w:h="16838" w:orient="portrait"/>
          <w:cols w:equalWidth="0" w:num="1">
            <w:col w:w="11260"/>
          </w:cols>
          <w:pgMar w:left="320" w:top="1303" w:right="319" w:bottom="1440" w:gutter="0" w:footer="0" w:header="0"/>
        </w:sectPr>
      </w:pPr>
    </w:p>
    <w:bookmarkStart w:id="116" w:name="page117"/>
    <w:bookmarkEnd w:id="116"/>
    <w:p>
      <w:pPr>
        <w:jc w:val="both"/>
        <w:ind w:right="20"/>
        <w:spacing w:after="0" w:line="323" w:lineRule="auto"/>
        <w:rPr>
          <w:sz w:val="20"/>
          <w:szCs w:val="20"/>
          <w:color w:val="auto"/>
        </w:rPr>
      </w:pPr>
      <w:r>
        <w:rPr>
          <w:rFonts w:ascii="Times New Roman" w:cs="Times New Roman" w:eastAsia="Times New Roman" w:hAnsi="Times New Roman"/>
          <w:sz w:val="18"/>
          <w:szCs w:val="18"/>
          <w:color w:val="auto"/>
        </w:rPr>
        <w:t>against it. A successful liability claim or series of claims brought against the Company could have a material adverse effect on its business, financial condition and results of operations.</w:t>
      </w:r>
    </w:p>
    <w:p>
      <w:pPr>
        <w:spacing w:after="0" w:line="156" w:lineRule="exact"/>
        <w:rPr>
          <w:sz w:val="20"/>
          <w:szCs w:val="20"/>
          <w:color w:val="auto"/>
        </w:rPr>
      </w:pPr>
    </w:p>
    <w:p>
      <w:pPr>
        <w:jc w:val="both"/>
        <w:ind w:right="20"/>
        <w:spacing w:after="0" w:line="294" w:lineRule="auto"/>
        <w:rPr>
          <w:sz w:val="20"/>
          <w:szCs w:val="20"/>
          <w:color w:val="auto"/>
        </w:rPr>
      </w:pPr>
      <w:r>
        <w:rPr>
          <w:rFonts w:ascii="Times New Roman" w:cs="Times New Roman" w:eastAsia="Times New Roman" w:hAnsi="Times New Roman"/>
          <w:sz w:val="18"/>
          <w:szCs w:val="18"/>
          <w:color w:val="auto"/>
        </w:rPr>
        <w:t>Although the Company intends to obtain adequate product liability insurance, it cannot provide any assurances that it will be able to obtain or maintain adequate product liability insurance of on acceptable terms, if at all, or that such insurance will provide adequate coverage against potential liabilities. Claims or losses in excess of any product liability cover that may be obtained by the Company could have a material adverse effect on its business, financial conditional and results of operations.</w:t>
      </w:r>
    </w:p>
    <w:p>
      <w:pPr>
        <w:spacing w:after="0" w:line="183" w:lineRule="exact"/>
        <w:rPr>
          <w:sz w:val="20"/>
          <w:szCs w:val="20"/>
          <w:color w:val="auto"/>
        </w:rPr>
      </w:pPr>
    </w:p>
    <w:p>
      <w:pPr>
        <w:jc w:val="both"/>
        <w:ind w:right="20"/>
        <w:spacing w:after="0" w:line="301" w:lineRule="auto"/>
        <w:rPr>
          <w:sz w:val="20"/>
          <w:szCs w:val="20"/>
          <w:color w:val="auto"/>
        </w:rPr>
      </w:pPr>
      <w:r>
        <w:rPr>
          <w:rFonts w:ascii="Times New Roman" w:cs="Times New Roman" w:eastAsia="Times New Roman" w:hAnsi="Times New Roman"/>
          <w:sz w:val="18"/>
          <w:szCs w:val="18"/>
          <w:color w:val="auto"/>
        </w:rPr>
        <w:t>Some of the Company’s agreements with third parties might require it to maintain product liability insurance. If the Company cannot obtain acceptable amounts of coverage on commercially reasonable terms in accordance with the terms set forth in these agreements, the corresponding agreements would be subject to termination, which could have a material adverse impact on its operations.</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Enforcing Contracts</w:t>
      </w:r>
    </w:p>
    <w:p>
      <w:pPr>
        <w:spacing w:after="0" w:line="256" w:lineRule="exact"/>
        <w:rPr>
          <w:sz w:val="20"/>
          <w:szCs w:val="20"/>
          <w:color w:val="auto"/>
        </w:rPr>
      </w:pPr>
    </w:p>
    <w:p>
      <w:pPr>
        <w:jc w:val="both"/>
        <w:spacing w:after="0" w:line="326" w:lineRule="auto"/>
        <w:rPr>
          <w:sz w:val="20"/>
          <w:szCs w:val="20"/>
          <w:color w:val="auto"/>
        </w:rPr>
      </w:pPr>
      <w:r>
        <w:rPr>
          <w:rFonts w:ascii="Times New Roman" w:cs="Times New Roman" w:eastAsia="Times New Roman" w:hAnsi="Times New Roman"/>
          <w:sz w:val="17"/>
          <w:szCs w:val="17"/>
          <w:color w:val="auto"/>
        </w:rPr>
        <w:t>Due to the nature of the business of the Company and the fact that certain of its contracts involve psilocybin/psilocin, the use of which is not legal under Canadian or U.S. federal law and in certain other jurisdictions, the Company may face difficulties in enforcing its contracts in Canadian or U.S. federal and state courts. The inability to enforce any of its contracts could have a material adverse effect on its business, operating results, financial condition or prospects.</w:t>
      </w:r>
    </w:p>
    <w:p>
      <w:pPr>
        <w:spacing w:after="0" w:line="158" w:lineRule="exact"/>
        <w:rPr>
          <w:sz w:val="20"/>
          <w:szCs w:val="20"/>
          <w:color w:val="auto"/>
        </w:rPr>
      </w:pPr>
    </w:p>
    <w:p>
      <w:pPr>
        <w:jc w:val="both"/>
        <w:spacing w:after="0" w:line="341" w:lineRule="auto"/>
        <w:rPr>
          <w:sz w:val="20"/>
          <w:szCs w:val="20"/>
          <w:color w:val="auto"/>
        </w:rPr>
      </w:pPr>
      <w:r>
        <w:rPr>
          <w:rFonts w:ascii="Times New Roman" w:cs="Times New Roman" w:eastAsia="Times New Roman" w:hAnsi="Times New Roman"/>
          <w:sz w:val="17"/>
          <w:szCs w:val="17"/>
          <w:color w:val="auto"/>
        </w:rPr>
        <w:t>In order to manage its contracts with contractors, the Company will ensure that such contractors are appropriately licensed. Were such contractors to operate outside the terms of these licences, the Company may experience an adverse effect on its business, including the pace of development of its product.</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Product and Material Recalls</w:t>
      </w:r>
    </w:p>
    <w:p>
      <w:pPr>
        <w:spacing w:after="0" w:line="256" w:lineRule="exact"/>
        <w:rPr>
          <w:sz w:val="20"/>
          <w:szCs w:val="20"/>
          <w:color w:val="auto"/>
        </w:rPr>
      </w:pPr>
    </w:p>
    <w:p>
      <w:pPr>
        <w:jc w:val="both"/>
        <w:ind w:right="20"/>
        <w:spacing w:after="0" w:line="289" w:lineRule="auto"/>
        <w:rPr>
          <w:sz w:val="20"/>
          <w:szCs w:val="20"/>
          <w:color w:val="auto"/>
        </w:rPr>
      </w:pPr>
      <w:r>
        <w:rPr>
          <w:rFonts w:ascii="Times New Roman" w:cs="Times New Roman" w:eastAsia="Times New Roman" w:hAnsi="Times New Roman"/>
          <w:sz w:val="18"/>
          <w:szCs w:val="18"/>
          <w:color w:val="auto"/>
        </w:rPr>
        <w:t>Manufacturers, producers and distributors of products are sometimes subject to the recall or return of their products for a variety of reasons, including product defects, such as contamination, unintended harmful side effects or interactions with other substances, packaging safety storage deficiencies and inadequate or inaccurate labelling disclosure. If any of the Company’s products are recalled due to an alleged product defect or for any other reason, the Company could be required to incur the unexpected expense of the recall and any legal proceedings that might arise in connection with the recall. Company may have to recall material being used in a clinical trial resulting in delays to the trial and additional manufacturing expenses, if further drug product is required. If the product is already commercialized, the Company may lose a significant amount of sales and may not be able to replace those sales at an acceptable margin or at all. In addition, a product recall may require significant management attention.</w:t>
      </w:r>
    </w:p>
    <w:p>
      <w:pPr>
        <w:spacing w:after="0" w:line="202" w:lineRule="exact"/>
        <w:rPr>
          <w:sz w:val="20"/>
          <w:szCs w:val="20"/>
          <w:color w:val="auto"/>
        </w:rPr>
      </w:pPr>
    </w:p>
    <w:p>
      <w:pPr>
        <w:jc w:val="both"/>
        <w:ind w:right="20"/>
        <w:spacing w:after="0" w:line="341" w:lineRule="auto"/>
        <w:rPr>
          <w:sz w:val="20"/>
          <w:szCs w:val="20"/>
          <w:color w:val="auto"/>
        </w:rPr>
      </w:pPr>
      <w:r>
        <w:rPr>
          <w:rFonts w:ascii="Times New Roman" w:cs="Times New Roman" w:eastAsia="Times New Roman" w:hAnsi="Times New Roman"/>
          <w:sz w:val="17"/>
          <w:szCs w:val="17"/>
          <w:color w:val="auto"/>
        </w:rPr>
        <w:t>Although the Company’s suppliers have detailed procedures in place for testing its products, there can be no assurance that any quality, potency or contamination problems will be detected in time to avoid unforeseen product recalls, regulatory action or lawsuits. Additionally, if the Company is subject to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91</w:t>
      </w:r>
    </w:p>
    <w:p>
      <w:pPr>
        <w:sectPr>
          <w:pgSz w:w="11900" w:h="16838" w:orient="portrait"/>
          <w:cols w:equalWidth="0" w:num="1">
            <w:col w:w="11260"/>
          </w:cols>
          <w:pgMar w:left="320" w:top="1303" w:right="319" w:bottom="1440" w:gutter="0" w:footer="0" w:header="0"/>
        </w:sectPr>
      </w:pPr>
    </w:p>
    <w:bookmarkStart w:id="117" w:name="page118"/>
    <w:bookmarkEnd w:id="117"/>
    <w:p>
      <w:pPr>
        <w:jc w:val="both"/>
        <w:ind w:right="20"/>
        <w:spacing w:after="0" w:line="294" w:lineRule="auto"/>
        <w:rPr>
          <w:sz w:val="20"/>
          <w:szCs w:val="20"/>
          <w:color w:val="auto"/>
        </w:rPr>
      </w:pPr>
      <w:r>
        <w:rPr>
          <w:rFonts w:ascii="Times New Roman" w:cs="Times New Roman" w:eastAsia="Times New Roman" w:hAnsi="Times New Roman"/>
          <w:sz w:val="18"/>
          <w:szCs w:val="18"/>
          <w:color w:val="auto"/>
        </w:rPr>
        <w:t>recall, the image of the Company could be harmed. A recall for any of the foregoing reasons could lead to decreased demand for the Company’s products and could have a material adverse effect on the results of operations and financial condition of the Company. Additionally, product recalls may lead to increased scrutiny of the Company’s operations by regulatory agencies, requiring further management attention, potential loss of applicable licences and potential legal fees and other expenses.</w:t>
      </w:r>
    </w:p>
    <w:p>
      <w:pPr>
        <w:spacing w:after="0" w:line="1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Distribution and Supply Chain Interruption</w:t>
      </w:r>
    </w:p>
    <w:p>
      <w:pPr>
        <w:spacing w:after="0" w:line="256" w:lineRule="exact"/>
        <w:rPr>
          <w:sz w:val="20"/>
          <w:szCs w:val="20"/>
          <w:color w:val="auto"/>
        </w:rPr>
      </w:pPr>
    </w:p>
    <w:p>
      <w:pPr>
        <w:jc w:val="both"/>
        <w:spacing w:after="0" w:line="291" w:lineRule="auto"/>
        <w:rPr>
          <w:sz w:val="20"/>
          <w:szCs w:val="20"/>
          <w:color w:val="auto"/>
        </w:rPr>
      </w:pPr>
      <w:r>
        <w:rPr>
          <w:rFonts w:ascii="Times New Roman" w:cs="Times New Roman" w:eastAsia="Times New Roman" w:hAnsi="Times New Roman"/>
          <w:sz w:val="18"/>
          <w:szCs w:val="18"/>
          <w:color w:val="auto"/>
        </w:rPr>
        <w:t>The Company is susceptible to risks relating to distributor and supply chain interruptions. Distribution in the U.S., Canada the EU, the UK and other jurisdictions will be largely accomplished through independent contractors, therefore, an interruption (e.g., a labour strike) for any length of time affecting such independent contractors may have a significant impact on the Company’s ability to sell or manufacture its products. Supply chain interruptions, including a production or inventory disruption, could impact product quality and availability. Inherent to producing products is a potential for shortages or surpluses in future years if demand and supply are materially different from long-term forecasts. The Company monitors category trends and regularly reviews maturing inventory levels.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Difficulty to Forecast</w:t>
      </w:r>
    </w:p>
    <w:p>
      <w:pPr>
        <w:spacing w:after="0" w:line="268" w:lineRule="exact"/>
        <w:rPr>
          <w:sz w:val="20"/>
          <w:szCs w:val="20"/>
          <w:color w:val="auto"/>
        </w:rPr>
      </w:pPr>
    </w:p>
    <w:p>
      <w:pPr>
        <w:jc w:val="both"/>
        <w:ind w:right="20"/>
        <w:spacing w:after="0" w:line="294" w:lineRule="auto"/>
        <w:rPr>
          <w:sz w:val="20"/>
          <w:szCs w:val="20"/>
          <w:color w:val="auto"/>
        </w:rPr>
      </w:pPr>
      <w:r>
        <w:rPr>
          <w:rFonts w:ascii="Times New Roman" w:cs="Times New Roman" w:eastAsia="Times New Roman" w:hAnsi="Times New Roman"/>
          <w:sz w:val="18"/>
          <w:szCs w:val="18"/>
          <w:color w:val="auto"/>
        </w:rPr>
        <w:t>The Company must rely largely on its own market research to forecast sales as detailed forecasts are not generally obtainable from other sources at this early stage of the psychedelic pharmaceutical industry. A failure in the demand for the Company’s psychedelic pharmaceutical industry products to materialize as a result of competition, technological change or other factors could have a material adverse effect on the business, results of operations and financial condition of the Company.</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Promoting the Brand</w:t>
      </w:r>
    </w:p>
    <w:p>
      <w:pPr>
        <w:spacing w:after="0" w:line="268" w:lineRule="exact"/>
        <w:rPr>
          <w:sz w:val="20"/>
          <w:szCs w:val="20"/>
          <w:color w:val="auto"/>
        </w:rPr>
      </w:pPr>
    </w:p>
    <w:p>
      <w:pPr>
        <w:jc w:val="both"/>
        <w:ind w:right="20"/>
        <w:spacing w:after="0" w:line="283" w:lineRule="auto"/>
        <w:rPr>
          <w:sz w:val="20"/>
          <w:szCs w:val="20"/>
          <w:color w:val="auto"/>
        </w:rPr>
      </w:pPr>
      <w:r>
        <w:rPr>
          <w:rFonts w:ascii="Times New Roman" w:cs="Times New Roman" w:eastAsia="Times New Roman" w:hAnsi="Times New Roman"/>
          <w:sz w:val="18"/>
          <w:szCs w:val="18"/>
          <w:color w:val="auto"/>
        </w:rPr>
        <w:t>Promoting the Company’s brand will be critical to creating and expanding a customer base. Promoting the brand will depend largely on the Company’s ability to provide psychedelic pharmaceutical products to the market. Further, the Company may, in the future, introduce new products or services that its customers do not like, which may negatively affect the brand and reputation. If the Company fails to successfully promote its brand or if it incurs excessive expenses in this effort, its business and financial results from operations could be materially adversely affected.</w:t>
      </w:r>
    </w:p>
    <w:p>
      <w:pPr>
        <w:spacing w:after="0" w:line="3" w:lineRule="exact"/>
        <w:rPr>
          <w:sz w:val="20"/>
          <w:szCs w:val="20"/>
          <w:color w:val="auto"/>
        </w:rPr>
      </w:pPr>
    </w:p>
    <w:p>
      <w:pPr>
        <w:jc w:val="both"/>
        <w:spacing w:after="0" w:line="301" w:lineRule="auto"/>
        <w:rPr>
          <w:sz w:val="20"/>
          <w:szCs w:val="20"/>
          <w:color w:val="auto"/>
        </w:rPr>
      </w:pPr>
      <w:r>
        <w:rPr>
          <w:rFonts w:ascii="Times New Roman" w:cs="Times New Roman" w:eastAsia="Times New Roman" w:hAnsi="Times New Roman"/>
          <w:sz w:val="18"/>
          <w:szCs w:val="18"/>
          <w:color w:val="auto"/>
        </w:rPr>
        <w:t>If there are changes in the applicable regulatory framework governing the promotion, branding and marketing of the Company’s products, the Company’s ability to promote and sell its products may be impaired, and it may incur substantial additional expense to comply with regulatory requirements, which could materially adversely affect its business, financial condition and results of operations.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Product Viability</w:t>
      </w:r>
    </w:p>
    <w:p>
      <w:pPr>
        <w:spacing w:after="0" w:line="268" w:lineRule="exact"/>
        <w:rPr>
          <w:sz w:val="20"/>
          <w:szCs w:val="20"/>
          <w:color w:val="auto"/>
        </w:rPr>
      </w:pPr>
    </w:p>
    <w:p>
      <w:pPr>
        <w:jc w:val="both"/>
        <w:ind w:right="20"/>
        <w:spacing w:after="0" w:line="294" w:lineRule="auto"/>
        <w:rPr>
          <w:sz w:val="20"/>
          <w:szCs w:val="20"/>
          <w:color w:val="auto"/>
        </w:rPr>
      </w:pPr>
      <w:r>
        <w:rPr>
          <w:rFonts w:ascii="Times New Roman" w:cs="Times New Roman" w:eastAsia="Times New Roman" w:hAnsi="Times New Roman"/>
          <w:sz w:val="18"/>
          <w:szCs w:val="18"/>
          <w:color w:val="auto"/>
        </w:rPr>
        <w:t>If the Company’s psychedelic pharmaceutical products are not perceived to have the effects intended by the end user, the Company’s business may suffer. In general, psychedelic pharmaceutical products have minimal long-term data with respect to efficacy, unknown side effects and/or interaction with individual human biochemistry or other supplements or medications. As a result, the Company’s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92</w:t>
      </w:r>
    </w:p>
    <w:p>
      <w:pPr>
        <w:sectPr>
          <w:pgSz w:w="11900" w:h="16838" w:orient="portrait"/>
          <w:cols w:equalWidth="0" w:num="1">
            <w:col w:w="11260"/>
          </w:cols>
          <w:pgMar w:left="320" w:top="1303" w:right="319" w:bottom="1440" w:gutter="0" w:footer="0" w:header="0"/>
        </w:sectPr>
      </w:pPr>
    </w:p>
    <w:bookmarkStart w:id="118" w:name="page119"/>
    <w:bookmarkEnd w:id="118"/>
    <w:p>
      <w:pPr>
        <w:jc w:val="both"/>
        <w:ind w:right="20"/>
        <w:spacing w:after="0" w:line="323" w:lineRule="auto"/>
        <w:rPr>
          <w:sz w:val="20"/>
          <w:szCs w:val="20"/>
          <w:color w:val="auto"/>
        </w:rPr>
      </w:pPr>
      <w:r>
        <w:rPr>
          <w:rFonts w:ascii="Times New Roman" w:cs="Times New Roman" w:eastAsia="Times New Roman" w:hAnsi="Times New Roman"/>
          <w:sz w:val="18"/>
          <w:szCs w:val="18"/>
          <w:color w:val="auto"/>
        </w:rPr>
        <w:t>psychedelic pharmaceutical products could have certain side effects if not used as directed or if taken by an end user that has certain known or unknown medical conditions.</w:t>
      </w:r>
    </w:p>
    <w:p>
      <w:pPr>
        <w:spacing w:after="0" w:line="1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Success of Quality Control Systems</w:t>
      </w:r>
    </w:p>
    <w:p>
      <w:pPr>
        <w:spacing w:after="0" w:line="256" w:lineRule="exact"/>
        <w:rPr>
          <w:sz w:val="20"/>
          <w:szCs w:val="20"/>
          <w:color w:val="auto"/>
        </w:rPr>
      </w:pPr>
    </w:p>
    <w:p>
      <w:pPr>
        <w:jc w:val="both"/>
        <w:ind w:right="20"/>
        <w:spacing w:after="0" w:line="294" w:lineRule="auto"/>
        <w:rPr>
          <w:sz w:val="20"/>
          <w:szCs w:val="20"/>
          <w:color w:val="auto"/>
        </w:rPr>
      </w:pPr>
      <w:r>
        <w:rPr>
          <w:rFonts w:ascii="Times New Roman" w:cs="Times New Roman" w:eastAsia="Times New Roman" w:hAnsi="Times New Roman"/>
          <w:sz w:val="18"/>
          <w:szCs w:val="18"/>
          <w:color w:val="auto"/>
        </w:rPr>
        <w:t>The quality and safety of the Company’s products are critical to the success of its business and operations. As such, it is imperative that the Company (and its service providers’) quality control systems operate effectively and successfully. Quality control systems can be negatively impacted by the design of the quality control systems, the quality of training programs and adherence by employees to quality control guidelines. Any significant failure or deterioration of such quality control systems could have a material adverse effect on the Company’s business and operating results.</w:t>
      </w:r>
    </w:p>
    <w:p>
      <w:pPr>
        <w:spacing w:after="0" w:line="1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Reliance on Key Inputs</w:t>
      </w:r>
    </w:p>
    <w:p>
      <w:pPr>
        <w:spacing w:after="0" w:line="256" w:lineRule="exact"/>
        <w:rPr>
          <w:sz w:val="20"/>
          <w:szCs w:val="20"/>
          <w:color w:val="auto"/>
        </w:rPr>
      </w:pPr>
    </w:p>
    <w:p>
      <w:pPr>
        <w:jc w:val="both"/>
        <w:ind w:right="20"/>
        <w:spacing w:after="0" w:line="294" w:lineRule="auto"/>
        <w:rPr>
          <w:sz w:val="20"/>
          <w:szCs w:val="20"/>
          <w:color w:val="auto"/>
        </w:rPr>
      </w:pPr>
      <w:r>
        <w:rPr>
          <w:rFonts w:ascii="Times New Roman" w:cs="Times New Roman" w:eastAsia="Times New Roman" w:hAnsi="Times New Roman"/>
          <w:sz w:val="18"/>
          <w:szCs w:val="18"/>
          <w:color w:val="auto"/>
        </w:rPr>
        <w:t>The Company’s business is expected to be dependent on a number of key inputs and their related costs including raw materials and supplies. Any significant interruption or negative change in the availability or economics of the supply chain for key inputs could materially impact the business, financial condition and operating results of the Company. Any inability to secure required supplies and services or to do so on appropriate terms could have a materially adverse impact on the business, financial condition and operating results of the Company.</w:t>
      </w:r>
    </w:p>
    <w:p>
      <w:pPr>
        <w:spacing w:after="0" w:line="1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Liability Arising from Fraudulent or Illegal Activity</w:t>
      </w:r>
    </w:p>
    <w:p>
      <w:pPr>
        <w:spacing w:after="0" w:line="256" w:lineRule="exact"/>
        <w:rPr>
          <w:sz w:val="20"/>
          <w:szCs w:val="20"/>
          <w:color w:val="auto"/>
        </w:rPr>
      </w:pPr>
    </w:p>
    <w:p>
      <w:pPr>
        <w:jc w:val="both"/>
        <w:ind w:right="20"/>
        <w:spacing w:after="0" w:line="291" w:lineRule="auto"/>
        <w:rPr>
          <w:sz w:val="20"/>
          <w:szCs w:val="20"/>
          <w:color w:val="auto"/>
        </w:rPr>
      </w:pPr>
      <w:r>
        <w:rPr>
          <w:rFonts w:ascii="Times New Roman" w:cs="Times New Roman" w:eastAsia="Times New Roman" w:hAnsi="Times New Roman"/>
          <w:sz w:val="18"/>
          <w:szCs w:val="18"/>
          <w:color w:val="auto"/>
        </w:rPr>
        <w:t>The Company is exposed to the risk that its employees, independent contractors, consultants, service providers and licensors may engage in fraudulent or other illegal activity. Misconduct by these parties could include intentional undertakings of unauthorized activities, or reckless or negligent undertakings of authorized activities, in each case on the Company’s behalf or in its service that violate (i) various laws and regulations, including healthcare laws and regulations, (ii) laws that require the true, complete and accurate reporting of financial information or data, (iii) the terms of the Company’s agreements with third parties. Such misconduct could expose the Company to, among other things, class actions and other litigation, increased regulatory inspections and related sanctions, and lost sales and revenue or reputational damage.</w:t>
      </w:r>
    </w:p>
    <w:p>
      <w:pPr>
        <w:spacing w:after="0" w:line="187" w:lineRule="exact"/>
        <w:rPr>
          <w:sz w:val="20"/>
          <w:szCs w:val="20"/>
          <w:color w:val="auto"/>
        </w:rPr>
      </w:pPr>
    </w:p>
    <w:p>
      <w:pPr>
        <w:jc w:val="both"/>
        <w:spacing w:after="0" w:line="290" w:lineRule="auto"/>
        <w:rPr>
          <w:sz w:val="20"/>
          <w:szCs w:val="20"/>
          <w:color w:val="auto"/>
        </w:rPr>
      </w:pPr>
      <w:r>
        <w:rPr>
          <w:rFonts w:ascii="Times New Roman" w:cs="Times New Roman" w:eastAsia="Times New Roman" w:hAnsi="Times New Roman"/>
          <w:sz w:val="18"/>
          <w:szCs w:val="18"/>
          <w:color w:val="auto"/>
        </w:rPr>
        <w:t>The precautions taken by the Company to detect and prevent this activity may not be effective in controlling unknown or unmanaged risks or losses or in protecting the Company from governmental investigations or other actions or lawsuits stemming from a failure to be in compliance with such laws or regulations. Such misconduct may result in legal action, significant fines or other sanctions and could result in loss of any regulatory licence held by the Company at such time. The Company may be subject to security breaches at its facilities or in respect of electronic document or data storage, which could lead to breaches of applicable privacy laws and associated sanctions or civil or criminal penalties; events, including those beyond the control of the Company, may damage its operations. In addition, these events may negatively affect customers’ demand for the Company’s products. Such events include, but are not limited to, non-performance by third party contractors; increases in materials or labour costs; breakdown or failure of equipment; failure of quality control processes; contractor or operator errors; and major incidents and/or catastrophic events such as fires, explosions,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93</w:t>
      </w:r>
    </w:p>
    <w:p>
      <w:pPr>
        <w:sectPr>
          <w:pgSz w:w="11900" w:h="16838" w:orient="portrait"/>
          <w:cols w:equalWidth="0" w:num="1">
            <w:col w:w="11260"/>
          </w:cols>
          <w:pgMar w:left="320" w:top="1303" w:right="319" w:bottom="1440" w:gutter="0" w:footer="0" w:header="0"/>
        </w:sectPr>
      </w:pPr>
    </w:p>
    <w:bookmarkStart w:id="119" w:name="page120"/>
    <w:bookmarkEnd w:id="119"/>
    <w:p>
      <w:pPr>
        <w:jc w:val="both"/>
        <w:ind w:right="20"/>
        <w:spacing w:after="0" w:line="301" w:lineRule="auto"/>
        <w:rPr>
          <w:sz w:val="20"/>
          <w:szCs w:val="20"/>
          <w:color w:val="auto"/>
        </w:rPr>
      </w:pPr>
      <w:r>
        <w:rPr>
          <w:rFonts w:ascii="Times New Roman" w:cs="Times New Roman" w:eastAsia="Times New Roman" w:hAnsi="Times New Roman"/>
          <w:sz w:val="18"/>
          <w:szCs w:val="18"/>
          <w:color w:val="auto"/>
        </w:rPr>
        <w:t>earthquakes or storms. As a result, there is a risk that the Company may not have the capacity to meet customer demand or to meet future demand when it arises. Failure to comply with health and safety laws and regulations may result in additional costs for corrective measures, penalties or in restrictions on the Company’s manufacturing operations.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Operating Risk and Insurance Coverage</w:t>
      </w:r>
    </w:p>
    <w:p>
      <w:pPr>
        <w:spacing w:after="0" w:line="268" w:lineRule="exact"/>
        <w:rPr>
          <w:sz w:val="20"/>
          <w:szCs w:val="20"/>
          <w:color w:val="auto"/>
        </w:rPr>
      </w:pPr>
    </w:p>
    <w:p>
      <w:pPr>
        <w:jc w:val="both"/>
        <w:spacing w:after="0" w:line="291" w:lineRule="auto"/>
        <w:rPr>
          <w:sz w:val="20"/>
          <w:szCs w:val="20"/>
          <w:color w:val="auto"/>
        </w:rPr>
      </w:pPr>
      <w:r>
        <w:rPr>
          <w:rFonts w:ascii="Times New Roman" w:cs="Times New Roman" w:eastAsia="Times New Roman" w:hAnsi="Times New Roman"/>
          <w:sz w:val="18"/>
          <w:szCs w:val="18"/>
          <w:color w:val="auto"/>
        </w:rPr>
        <w:t>The Company has directors and officers insurance to protect its assets, operations and employees. The Company’s insurance is subject to coverage limits and exclusions and may not be available for the risks and hazards to which the Company is expected to be exposed. In addition, no assurance can be given that such insurance will be adequate to cover the Company’s liabilities or will be generally available in the future, or if available, that premiums will be commercially justifiable. If the Company were to incur substantial liability and such damages were not covered by insurance or were in excess of policy limits, or if the Company were to incur such liability at a time when it is not able to obtain liability insurance, its business, results of operations and financial condition could be materially adversely affected.</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Costs of Operating as Public Company</w:t>
      </w:r>
    </w:p>
    <w:p>
      <w:pPr>
        <w:spacing w:after="0" w:line="256" w:lineRule="exact"/>
        <w:rPr>
          <w:sz w:val="20"/>
          <w:szCs w:val="20"/>
          <w:color w:val="auto"/>
        </w:rPr>
      </w:pPr>
    </w:p>
    <w:p>
      <w:pPr>
        <w:jc w:val="both"/>
        <w:spacing w:after="0" w:line="294" w:lineRule="auto"/>
        <w:rPr>
          <w:sz w:val="20"/>
          <w:szCs w:val="20"/>
          <w:color w:val="auto"/>
        </w:rPr>
      </w:pPr>
      <w:r>
        <w:rPr>
          <w:rFonts w:ascii="Times New Roman" w:cs="Times New Roman" w:eastAsia="Times New Roman" w:hAnsi="Times New Roman"/>
          <w:sz w:val="18"/>
          <w:szCs w:val="18"/>
          <w:color w:val="auto"/>
        </w:rPr>
        <w:t>As a public company, the Company will incur significant legal, accounting and other expenses. As a public company, the Company is subject to various securities rules and regulations, which impose various requirements on the Company, including the requirement to establish and maintain effective disclosure and financial controls and corporate governance practices. The Company’s management and other personnel need to devote a substantial amount of time to these compliance initiatives. Moreover, these rules and regulations will increase the Company’s legal and financial compliance costs and make some activities more time-consuming and costly.</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Management of Growth</w:t>
      </w:r>
    </w:p>
    <w:p>
      <w:pPr>
        <w:spacing w:after="0" w:line="268" w:lineRule="exact"/>
        <w:rPr>
          <w:sz w:val="20"/>
          <w:szCs w:val="20"/>
          <w:color w:val="auto"/>
        </w:rPr>
      </w:pPr>
    </w:p>
    <w:p>
      <w:pPr>
        <w:jc w:val="both"/>
        <w:ind w:right="20"/>
        <w:spacing w:after="0" w:line="294" w:lineRule="auto"/>
        <w:rPr>
          <w:sz w:val="20"/>
          <w:szCs w:val="20"/>
          <w:color w:val="auto"/>
        </w:rPr>
      </w:pPr>
      <w:r>
        <w:rPr>
          <w:rFonts w:ascii="Times New Roman" w:cs="Times New Roman" w:eastAsia="Times New Roman" w:hAnsi="Times New Roman"/>
          <w:sz w:val="18"/>
          <w:szCs w:val="18"/>
          <w:color w:val="auto"/>
        </w:rPr>
        <w:t>The Company may be subject to growth-related risks, including capacity constraints and pressure on its internal systems and controls. The ability of the Company to manage growth effectively will require it to continue to implement and improve its operational and financial systems and to expand, train and manage its employee base. The inability of the Company to deal with this growth may have a material adverse effect on the Company’s business, financial condition, results of operations and prospects.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Conflicts of Interest</w:t>
      </w:r>
    </w:p>
    <w:p>
      <w:pPr>
        <w:spacing w:after="0" w:line="268" w:lineRule="exact"/>
        <w:rPr>
          <w:sz w:val="20"/>
          <w:szCs w:val="20"/>
          <w:color w:val="auto"/>
        </w:rPr>
      </w:pPr>
    </w:p>
    <w:p>
      <w:pPr>
        <w:jc w:val="both"/>
        <w:ind w:right="20"/>
        <w:spacing w:after="0" w:line="294" w:lineRule="auto"/>
        <w:rPr>
          <w:sz w:val="20"/>
          <w:szCs w:val="20"/>
          <w:color w:val="auto"/>
        </w:rPr>
      </w:pPr>
      <w:r>
        <w:rPr>
          <w:rFonts w:ascii="Times New Roman" w:cs="Times New Roman" w:eastAsia="Times New Roman" w:hAnsi="Times New Roman"/>
          <w:sz w:val="18"/>
          <w:szCs w:val="18"/>
          <w:color w:val="auto"/>
        </w:rPr>
        <w:t>The Company may be subject to various potential conflicts of interest because of the fact that some of its officers and directors may be engaged in a range of business activities. The Company’s executive officers and directors may devote time to their outside business interests, so long as such activities do not materially or adversely interfere with their duties to the Company. In some cases, the Company’s executive officers and directors may have fiduciary obligations associated with these business interests that interfere with their ability to devote time to the Company’s business and affairs and that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94</w:t>
      </w:r>
    </w:p>
    <w:p>
      <w:pPr>
        <w:sectPr>
          <w:pgSz w:w="11900" w:h="16838" w:orient="portrait"/>
          <w:cols w:equalWidth="0" w:num="1">
            <w:col w:w="11260"/>
          </w:cols>
          <w:pgMar w:left="320" w:top="1303" w:right="319" w:bottom="1440" w:gutter="0" w:footer="0" w:header="0"/>
        </w:sectPr>
      </w:pPr>
    </w:p>
    <w:bookmarkStart w:id="120" w:name="page121"/>
    <w:bookmarkEnd w:id="120"/>
    <w:p>
      <w:pPr>
        <w:jc w:val="both"/>
        <w:ind w:right="20"/>
        <w:spacing w:after="0" w:line="323" w:lineRule="auto"/>
        <w:rPr>
          <w:sz w:val="20"/>
          <w:szCs w:val="20"/>
          <w:color w:val="auto"/>
        </w:rPr>
      </w:pPr>
      <w:r>
        <w:rPr>
          <w:rFonts w:ascii="Times New Roman" w:cs="Times New Roman" w:eastAsia="Times New Roman" w:hAnsi="Times New Roman"/>
          <w:sz w:val="18"/>
          <w:szCs w:val="18"/>
          <w:color w:val="auto"/>
        </w:rPr>
        <w:t>could adversely affect the Company’s operations. These outside business interests could require significant time and attention of the Company’s executive officers and directors.</w:t>
      </w:r>
    </w:p>
    <w:p>
      <w:pPr>
        <w:spacing w:after="0" w:line="156" w:lineRule="exact"/>
        <w:rPr>
          <w:sz w:val="20"/>
          <w:szCs w:val="20"/>
          <w:color w:val="auto"/>
        </w:rPr>
      </w:pPr>
    </w:p>
    <w:p>
      <w:pPr>
        <w:jc w:val="both"/>
        <w:ind w:right="20"/>
        <w:spacing w:after="0" w:line="294" w:lineRule="auto"/>
        <w:rPr>
          <w:sz w:val="20"/>
          <w:szCs w:val="20"/>
          <w:color w:val="auto"/>
        </w:rPr>
      </w:pPr>
      <w:r>
        <w:rPr>
          <w:rFonts w:ascii="Times New Roman" w:cs="Times New Roman" w:eastAsia="Times New Roman" w:hAnsi="Times New Roman"/>
          <w:sz w:val="18"/>
          <w:szCs w:val="18"/>
          <w:color w:val="auto"/>
        </w:rPr>
        <w:t>In addition, the Company may also become involved in other transactions which conflict with the interests of its directors and the officers who may from time-to-time deal with persons, firms, institutions or companies with which the Company may be dealing, or which may be seeking investments similar to those desired by it. The interests of these persons could conflict with those of the Company, and from time to time, these persons may be competing with the Company for available investment opportunities.</w:t>
      </w:r>
    </w:p>
    <w:p>
      <w:pPr>
        <w:spacing w:after="0" w:line="183" w:lineRule="exact"/>
        <w:rPr>
          <w:sz w:val="20"/>
          <w:szCs w:val="20"/>
          <w:color w:val="auto"/>
        </w:rPr>
      </w:pPr>
    </w:p>
    <w:p>
      <w:pPr>
        <w:jc w:val="both"/>
        <w:ind w:right="20"/>
        <w:spacing w:after="0" w:line="301" w:lineRule="auto"/>
        <w:rPr>
          <w:sz w:val="20"/>
          <w:szCs w:val="20"/>
          <w:color w:val="auto"/>
        </w:rPr>
      </w:pPr>
      <w:r>
        <w:rPr>
          <w:rFonts w:ascii="Times New Roman" w:cs="Times New Roman" w:eastAsia="Times New Roman" w:hAnsi="Times New Roman"/>
          <w:sz w:val="18"/>
          <w:szCs w:val="18"/>
          <w:color w:val="auto"/>
        </w:rPr>
        <w:t>Conflicts of interest, if any, will be subject to the procedures and remedies provided under applicable laws. In particular, in the event that such a conflict of interest arises at a meeting of the Company’s directors, a director who has such a conflict will abstain from voting for or against the approval of such participation or such terms. In accordance with applicable laws, the Board is required to act honestly, in good faith and in the best interests of the Company.</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Foreign Operations</w:t>
      </w:r>
    </w:p>
    <w:p>
      <w:pPr>
        <w:spacing w:after="0" w:line="256" w:lineRule="exact"/>
        <w:rPr>
          <w:sz w:val="20"/>
          <w:szCs w:val="20"/>
          <w:color w:val="auto"/>
        </w:rPr>
      </w:pPr>
    </w:p>
    <w:p>
      <w:pPr>
        <w:jc w:val="both"/>
        <w:ind w:right="20"/>
        <w:spacing w:after="0" w:line="301" w:lineRule="auto"/>
        <w:rPr>
          <w:sz w:val="20"/>
          <w:szCs w:val="20"/>
          <w:color w:val="auto"/>
        </w:rPr>
      </w:pPr>
      <w:r>
        <w:rPr>
          <w:rFonts w:ascii="Times New Roman" w:cs="Times New Roman" w:eastAsia="Times New Roman" w:hAnsi="Times New Roman"/>
          <w:sz w:val="18"/>
          <w:szCs w:val="18"/>
          <w:color w:val="auto"/>
        </w:rPr>
        <w:t>In addition to operations carried out in Canada and the UK, the Company intends to carry out international operations through an office in Ireland. As a result, the Company may be subject to political, economic and other uncertainties, including, but not limited to, additional implications that may have a material impact on the Company’s ability to operate in other jurisdictions including:</w:t>
      </w:r>
    </w:p>
    <w:p>
      <w:pPr>
        <w:spacing w:after="0" w:line="176" w:lineRule="exact"/>
        <w:rPr>
          <w:sz w:val="20"/>
          <w:szCs w:val="20"/>
          <w:color w:val="auto"/>
        </w:rPr>
      </w:pPr>
    </w:p>
    <w:p>
      <w:pPr>
        <w:ind w:left="560" w:hanging="276"/>
        <w:spacing w:after="0"/>
        <w:tabs>
          <w:tab w:leader="none" w:pos="560" w:val="left"/>
        </w:tabs>
        <w:numPr>
          <w:ilvl w:val="0"/>
          <w:numId w:val="50"/>
        </w:numPr>
        <w:rPr>
          <w:rFonts w:ascii="Calibri" w:cs="Calibri" w:eastAsia="Calibri" w:hAnsi="Calibri"/>
          <w:sz w:val="18"/>
          <w:szCs w:val="18"/>
          <w:color w:val="auto"/>
        </w:rPr>
      </w:pPr>
      <w:r>
        <w:rPr>
          <w:rFonts w:ascii="Times New Roman" w:cs="Times New Roman" w:eastAsia="Times New Roman" w:hAnsi="Times New Roman"/>
          <w:sz w:val="18"/>
          <w:szCs w:val="18"/>
          <w:color w:val="auto"/>
        </w:rPr>
        <w:t>differences in the regulatory requirements for drug approvals;</w:t>
      </w:r>
    </w:p>
    <w:p>
      <w:pPr>
        <w:spacing w:after="0" w:line="46" w:lineRule="exact"/>
        <w:rPr>
          <w:rFonts w:ascii="Calibri" w:cs="Calibri" w:eastAsia="Calibri" w:hAnsi="Calibri"/>
          <w:sz w:val="18"/>
          <w:szCs w:val="18"/>
          <w:color w:val="auto"/>
        </w:rPr>
      </w:pPr>
    </w:p>
    <w:p>
      <w:pPr>
        <w:ind w:left="560" w:hanging="276"/>
        <w:spacing w:after="0"/>
        <w:tabs>
          <w:tab w:leader="none" w:pos="560" w:val="left"/>
        </w:tabs>
        <w:numPr>
          <w:ilvl w:val="0"/>
          <w:numId w:val="50"/>
        </w:numPr>
        <w:rPr>
          <w:rFonts w:ascii="Calibri" w:cs="Calibri" w:eastAsia="Calibri" w:hAnsi="Calibri"/>
          <w:sz w:val="18"/>
          <w:szCs w:val="18"/>
          <w:color w:val="auto"/>
        </w:rPr>
      </w:pPr>
      <w:r>
        <w:rPr>
          <w:rFonts w:ascii="Times New Roman" w:cs="Times New Roman" w:eastAsia="Times New Roman" w:hAnsi="Times New Roman"/>
          <w:sz w:val="18"/>
          <w:szCs w:val="18"/>
          <w:color w:val="auto"/>
        </w:rPr>
        <w:t>differing requirements for securing, maintaining or obtaining freedom to operate;</w:t>
      </w:r>
    </w:p>
    <w:p>
      <w:pPr>
        <w:spacing w:after="0" w:line="58" w:lineRule="exact"/>
        <w:rPr>
          <w:rFonts w:ascii="Calibri" w:cs="Calibri" w:eastAsia="Calibri" w:hAnsi="Calibri"/>
          <w:sz w:val="18"/>
          <w:szCs w:val="18"/>
          <w:color w:val="auto"/>
        </w:rPr>
      </w:pPr>
    </w:p>
    <w:p>
      <w:pPr>
        <w:ind w:left="560" w:hanging="276"/>
        <w:spacing w:after="0"/>
        <w:tabs>
          <w:tab w:leader="none" w:pos="560" w:val="left"/>
        </w:tabs>
        <w:numPr>
          <w:ilvl w:val="0"/>
          <w:numId w:val="50"/>
        </w:numPr>
        <w:rPr>
          <w:rFonts w:ascii="Calibri" w:cs="Calibri" w:eastAsia="Calibri" w:hAnsi="Calibri"/>
          <w:sz w:val="18"/>
          <w:szCs w:val="18"/>
          <w:color w:val="auto"/>
        </w:rPr>
      </w:pPr>
      <w:r>
        <w:rPr>
          <w:rFonts w:ascii="Times New Roman" w:cs="Times New Roman" w:eastAsia="Times New Roman" w:hAnsi="Times New Roman"/>
          <w:sz w:val="18"/>
          <w:szCs w:val="18"/>
          <w:color w:val="auto"/>
        </w:rPr>
        <w:t>the potential for reduced protection for intellectual property rights;</w:t>
      </w:r>
    </w:p>
    <w:p>
      <w:pPr>
        <w:spacing w:after="0" w:line="46" w:lineRule="exact"/>
        <w:rPr>
          <w:rFonts w:ascii="Calibri" w:cs="Calibri" w:eastAsia="Calibri" w:hAnsi="Calibri"/>
          <w:sz w:val="18"/>
          <w:szCs w:val="18"/>
          <w:color w:val="auto"/>
        </w:rPr>
      </w:pPr>
    </w:p>
    <w:p>
      <w:pPr>
        <w:ind w:left="560" w:hanging="276"/>
        <w:spacing w:after="0"/>
        <w:tabs>
          <w:tab w:leader="none" w:pos="560" w:val="left"/>
        </w:tabs>
        <w:numPr>
          <w:ilvl w:val="0"/>
          <w:numId w:val="50"/>
        </w:numPr>
        <w:rPr>
          <w:rFonts w:ascii="Calibri" w:cs="Calibri" w:eastAsia="Calibri" w:hAnsi="Calibri"/>
          <w:sz w:val="18"/>
          <w:szCs w:val="18"/>
          <w:color w:val="auto"/>
        </w:rPr>
      </w:pPr>
      <w:r>
        <w:rPr>
          <w:rFonts w:ascii="Times New Roman" w:cs="Times New Roman" w:eastAsia="Times New Roman" w:hAnsi="Times New Roman"/>
          <w:sz w:val="18"/>
          <w:szCs w:val="18"/>
          <w:color w:val="auto"/>
        </w:rPr>
        <w:t>challenges with compliance to different regulations and court systems of multiple jurisdictions and</w:t>
      </w:r>
    </w:p>
    <w:p>
      <w:pPr>
        <w:spacing w:after="0" w:line="58" w:lineRule="exact"/>
        <w:rPr>
          <w:rFonts w:ascii="Calibri" w:cs="Calibri" w:eastAsia="Calibri" w:hAnsi="Calibri"/>
          <w:sz w:val="18"/>
          <w:szCs w:val="18"/>
          <w:color w:val="auto"/>
        </w:rPr>
      </w:pPr>
    </w:p>
    <w:p>
      <w:pPr>
        <w:ind w:left="560" w:hanging="276"/>
        <w:spacing w:after="0"/>
        <w:tabs>
          <w:tab w:leader="none" w:pos="560" w:val="left"/>
        </w:tabs>
        <w:numPr>
          <w:ilvl w:val="0"/>
          <w:numId w:val="50"/>
        </w:numPr>
        <w:rPr>
          <w:rFonts w:ascii="Calibri" w:cs="Calibri" w:eastAsia="Calibri" w:hAnsi="Calibri"/>
          <w:sz w:val="18"/>
          <w:szCs w:val="18"/>
          <w:color w:val="auto"/>
        </w:rPr>
      </w:pPr>
      <w:r>
        <w:rPr>
          <w:rFonts w:ascii="Times New Roman" w:cs="Times New Roman" w:eastAsia="Times New Roman" w:hAnsi="Times New Roman"/>
          <w:sz w:val="18"/>
          <w:szCs w:val="18"/>
          <w:color w:val="auto"/>
        </w:rPr>
        <w:t>compliance with a wide variety of foreign laws, treaties and regulations;</w:t>
      </w:r>
    </w:p>
    <w:p>
      <w:pPr>
        <w:spacing w:after="0" w:line="46" w:lineRule="exact"/>
        <w:rPr>
          <w:rFonts w:ascii="Calibri" w:cs="Calibri" w:eastAsia="Calibri" w:hAnsi="Calibri"/>
          <w:sz w:val="18"/>
          <w:szCs w:val="18"/>
          <w:color w:val="auto"/>
        </w:rPr>
      </w:pPr>
    </w:p>
    <w:p>
      <w:pPr>
        <w:ind w:left="560" w:hanging="276"/>
        <w:spacing w:after="0"/>
        <w:tabs>
          <w:tab w:leader="none" w:pos="560" w:val="left"/>
        </w:tabs>
        <w:numPr>
          <w:ilvl w:val="0"/>
          <w:numId w:val="50"/>
        </w:numPr>
        <w:rPr>
          <w:rFonts w:ascii="Calibri" w:cs="Calibri" w:eastAsia="Calibri" w:hAnsi="Calibri"/>
          <w:sz w:val="18"/>
          <w:szCs w:val="18"/>
          <w:color w:val="auto"/>
        </w:rPr>
      </w:pPr>
      <w:r>
        <w:rPr>
          <w:rFonts w:ascii="Times New Roman" w:cs="Times New Roman" w:eastAsia="Times New Roman" w:hAnsi="Times New Roman"/>
          <w:sz w:val="18"/>
          <w:szCs w:val="18"/>
          <w:color w:val="auto"/>
        </w:rPr>
        <w:t>differing reimbursement regimes and price controls in certain international markets;</w:t>
      </w:r>
    </w:p>
    <w:p>
      <w:pPr>
        <w:spacing w:after="0" w:line="46" w:lineRule="exact"/>
        <w:rPr>
          <w:rFonts w:ascii="Calibri" w:cs="Calibri" w:eastAsia="Calibri" w:hAnsi="Calibri"/>
          <w:sz w:val="18"/>
          <w:szCs w:val="18"/>
          <w:color w:val="auto"/>
        </w:rPr>
      </w:pPr>
    </w:p>
    <w:p>
      <w:pPr>
        <w:ind w:left="560" w:hanging="276"/>
        <w:spacing w:after="0"/>
        <w:tabs>
          <w:tab w:leader="none" w:pos="560" w:val="left"/>
        </w:tabs>
        <w:numPr>
          <w:ilvl w:val="0"/>
          <w:numId w:val="50"/>
        </w:numPr>
        <w:rPr>
          <w:rFonts w:ascii="Calibri" w:cs="Calibri" w:eastAsia="Calibri" w:hAnsi="Calibri"/>
          <w:sz w:val="18"/>
          <w:szCs w:val="18"/>
          <w:color w:val="auto"/>
        </w:rPr>
      </w:pPr>
      <w:r>
        <w:rPr>
          <w:rFonts w:ascii="Times New Roman" w:cs="Times New Roman" w:eastAsia="Times New Roman" w:hAnsi="Times New Roman"/>
          <w:sz w:val="18"/>
          <w:szCs w:val="18"/>
          <w:color w:val="auto"/>
        </w:rPr>
        <w:t>differing labor relations that create challenges with staffing and managing international operations; and</w:t>
      </w:r>
    </w:p>
    <w:p>
      <w:pPr>
        <w:spacing w:after="0" w:line="58" w:lineRule="exact"/>
        <w:rPr>
          <w:rFonts w:ascii="Calibri" w:cs="Calibri" w:eastAsia="Calibri" w:hAnsi="Calibri"/>
          <w:sz w:val="18"/>
          <w:szCs w:val="18"/>
          <w:color w:val="auto"/>
        </w:rPr>
      </w:pPr>
    </w:p>
    <w:p>
      <w:pPr>
        <w:ind w:left="560" w:hanging="276"/>
        <w:spacing w:after="0"/>
        <w:tabs>
          <w:tab w:leader="none" w:pos="560" w:val="left"/>
        </w:tabs>
        <w:numPr>
          <w:ilvl w:val="0"/>
          <w:numId w:val="50"/>
        </w:numPr>
        <w:rPr>
          <w:rFonts w:ascii="Calibri" w:cs="Calibri" w:eastAsia="Calibri" w:hAnsi="Calibri"/>
          <w:sz w:val="18"/>
          <w:szCs w:val="18"/>
          <w:color w:val="auto"/>
        </w:rPr>
      </w:pPr>
      <w:r>
        <w:rPr>
          <w:rFonts w:ascii="Times New Roman" w:cs="Times New Roman" w:eastAsia="Times New Roman" w:hAnsi="Times New Roman"/>
          <w:sz w:val="18"/>
          <w:szCs w:val="18"/>
          <w:color w:val="auto"/>
        </w:rPr>
        <w:t>impacts on manufacturing capabilities leading to production shortages.</w:t>
      </w:r>
    </w:p>
    <w:p>
      <w:pPr>
        <w:spacing w:after="0" w:line="264" w:lineRule="exact"/>
        <w:rPr>
          <w:sz w:val="20"/>
          <w:szCs w:val="20"/>
          <w:color w:val="auto"/>
        </w:rPr>
      </w:pPr>
    </w:p>
    <w:p>
      <w:pPr>
        <w:jc w:val="both"/>
        <w:spacing w:after="0" w:line="301" w:lineRule="auto"/>
        <w:rPr>
          <w:sz w:val="20"/>
          <w:szCs w:val="20"/>
          <w:color w:val="auto"/>
        </w:rPr>
      </w:pPr>
      <w:r>
        <w:rPr>
          <w:rFonts w:ascii="Times New Roman" w:cs="Times New Roman" w:eastAsia="Times New Roman" w:hAnsi="Times New Roman"/>
          <w:sz w:val="18"/>
          <w:szCs w:val="18"/>
          <w:color w:val="auto"/>
        </w:rPr>
        <w:t>The Company’s international operations may also be adversely affected by laws and policies of Canada affecting foreign trade, taxation and investment. In the event of a dispute arising in connection with its foreign operations, the Company may be subject to the exclusive jurisdiction of foreign courts or may not be successful in subjecting foreign persons to the jurisdiction of courts in Canada or enforcing Canadian judgments in foreign jurisdictions.</w:t>
      </w:r>
    </w:p>
    <w:p>
      <w:pPr>
        <w:spacing w:after="0" w:line="176" w:lineRule="exact"/>
        <w:rPr>
          <w:sz w:val="20"/>
          <w:szCs w:val="20"/>
          <w:color w:val="auto"/>
        </w:rPr>
      </w:pPr>
    </w:p>
    <w:p>
      <w:pPr>
        <w:jc w:val="both"/>
        <w:ind w:right="20"/>
        <w:spacing w:after="0" w:line="301" w:lineRule="auto"/>
        <w:rPr>
          <w:sz w:val="20"/>
          <w:szCs w:val="20"/>
          <w:color w:val="auto"/>
        </w:rPr>
      </w:pPr>
      <w:r>
        <w:rPr>
          <w:rFonts w:ascii="Times New Roman" w:cs="Times New Roman" w:eastAsia="Times New Roman" w:hAnsi="Times New Roman"/>
          <w:sz w:val="18"/>
          <w:szCs w:val="18"/>
          <w:color w:val="auto"/>
        </w:rPr>
        <w:t>Similarly, to the extent that the Company’s assets are located outside of Canada, investors may have difficulty collecting from the Company any judgments obtained in the Canadian courts and predicated on the civil liability provisions of securities laws. Consequently, investors may be effectively prevented from pursuing remedies against the Company under Canadian securities laws or otherwise.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95</w:t>
      </w:r>
    </w:p>
    <w:p>
      <w:pPr>
        <w:sectPr>
          <w:pgSz w:w="11900" w:h="16838" w:orient="portrait"/>
          <w:cols w:equalWidth="0" w:num="1">
            <w:col w:w="11260"/>
          </w:cols>
          <w:pgMar w:left="320" w:top="1303" w:right="319" w:bottom="1440" w:gutter="0" w:footer="0" w:header="0"/>
        </w:sectPr>
      </w:pPr>
    </w:p>
    <w:bookmarkStart w:id="121" w:name="page122"/>
    <w:bookmarkEnd w:id="121"/>
    <w:p>
      <w:pPr>
        <w:jc w:val="both"/>
        <w:ind w:right="20"/>
        <w:spacing w:after="0" w:line="323" w:lineRule="auto"/>
        <w:rPr>
          <w:sz w:val="20"/>
          <w:szCs w:val="20"/>
          <w:color w:val="auto"/>
        </w:rPr>
      </w:pPr>
      <w:r>
        <w:rPr>
          <w:rFonts w:ascii="Times New Roman" w:cs="Times New Roman" w:eastAsia="Times New Roman" w:hAnsi="Times New Roman"/>
          <w:sz w:val="18"/>
          <w:szCs w:val="18"/>
          <w:color w:val="auto"/>
        </w:rPr>
        <w:t>The Company may also be hindered or prevented from enforcing its rights with respect to a governmental entity or instrumentality because of the doctrine of sovereign immunity.</w:t>
      </w:r>
    </w:p>
    <w:p>
      <w:pPr>
        <w:spacing w:after="0" w:line="1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Exchange Rate Fluctuations</w:t>
      </w:r>
    </w:p>
    <w:p>
      <w:pPr>
        <w:spacing w:after="0" w:line="256" w:lineRule="exact"/>
        <w:rPr>
          <w:sz w:val="20"/>
          <w:szCs w:val="20"/>
          <w:color w:val="auto"/>
        </w:rPr>
      </w:pPr>
    </w:p>
    <w:p>
      <w:pPr>
        <w:jc w:val="both"/>
        <w:spacing w:after="0" w:line="290" w:lineRule="auto"/>
        <w:rPr>
          <w:sz w:val="20"/>
          <w:szCs w:val="20"/>
          <w:color w:val="auto"/>
        </w:rPr>
      </w:pPr>
      <w:r>
        <w:rPr>
          <w:rFonts w:ascii="Times New Roman" w:cs="Times New Roman" w:eastAsia="Times New Roman" w:hAnsi="Times New Roman"/>
          <w:sz w:val="18"/>
          <w:szCs w:val="18"/>
          <w:color w:val="auto"/>
        </w:rPr>
        <w:t>Due to the international scope of the Company’s current and future operations, the Company’s assets, future earnings and cash flows may be influenced by movements in exchange rates of several currencies, particularly the British Pound, the U.S. dollar, Canadian Dollar and the Euro. The Company’s reporting currency is denominated in Canadian dollars and the Company’s functional currency is the Canadian dollar and the majority of the Company’s operating expenses are paid in Canadian dollars. The Company may also regularly acquire services, consumables and materials in British Pounds, U.S. dollars, Canadian dollars and other currencies. Further, future revenue may be derived from abroad. As a result, the Company’s business and the price of the Company’s products may be affected by fluctuations in foreign exchange rates between the British Pound, the U.S. dollar, the Canadian dollar and other currencies, which may also have a significant impact on the Company’s results of operations and cash flows from period to period. Currently, the Company does not have any exchange rate hedging arrangements in place.</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Cybersecurity and Privacy Risk</w:t>
      </w:r>
    </w:p>
    <w:p>
      <w:pPr>
        <w:spacing w:after="0" w:line="268" w:lineRule="exact"/>
        <w:rPr>
          <w:sz w:val="20"/>
          <w:szCs w:val="20"/>
          <w:color w:val="auto"/>
        </w:rPr>
      </w:pPr>
    </w:p>
    <w:p>
      <w:pPr>
        <w:jc w:val="both"/>
        <w:spacing w:after="0" w:line="288" w:lineRule="auto"/>
        <w:rPr>
          <w:sz w:val="20"/>
          <w:szCs w:val="20"/>
          <w:color w:val="auto"/>
        </w:rPr>
      </w:pPr>
      <w:r>
        <w:rPr>
          <w:rFonts w:ascii="Times New Roman" w:cs="Times New Roman" w:eastAsia="Times New Roman" w:hAnsi="Times New Roman"/>
          <w:sz w:val="18"/>
          <w:szCs w:val="18"/>
          <w:color w:val="auto"/>
        </w:rPr>
        <w:t>The Company’s information systems and any third-party service providers and vendors are vulnerable to an increasing threat of continually evolving cybersecurity risks. These risks may take the form of malware, computer viruses, cyber threats, extortion, employee error, malfeasance, system errors or other types of risks, and may occur from inside or outside of the respective organizations. Cybersecurity risk is increasingly difficult to identify and quantify and cannot be fully mitigated because of the rapidly evolving nature of the threats, targets and consequences. Additionally, unauthorized parties may attempt to gain access to these systems through fraud or other means of deceiving third-party service providers, employees or vendors. The Company’s operations depend, in part, on how well networks, equipment, IT systems and software are protected against damage from a number of threats. These operations also depend on the timely maintenance, upgrade and replacement of networks, equipment, IT systems and software, as well as pre-emptive expenses to mitigate the risks of failures. However, if the Company is unable or delayed in maintaining, upgrading or replacing IT systems and software, the risk of a cybersecurity incident could materially increase. Any of these and other events could result in information system failures, delays and/or increases in capital expenses. The failure of information systems or a component of information systems could, depending on the nature of any such failure, adversely impact the Company’s reputation and results of operations.</w:t>
      </w:r>
    </w:p>
    <w:p>
      <w:pPr>
        <w:spacing w:after="0" w:line="193" w:lineRule="exact"/>
        <w:rPr>
          <w:sz w:val="20"/>
          <w:szCs w:val="20"/>
          <w:color w:val="auto"/>
        </w:rPr>
      </w:pPr>
    </w:p>
    <w:p>
      <w:pPr>
        <w:jc w:val="both"/>
        <w:ind w:right="20"/>
        <w:spacing w:after="0" w:line="294" w:lineRule="auto"/>
        <w:rPr>
          <w:sz w:val="20"/>
          <w:szCs w:val="20"/>
          <w:color w:val="auto"/>
        </w:rPr>
      </w:pPr>
      <w:r>
        <w:rPr>
          <w:rFonts w:ascii="Times New Roman" w:cs="Times New Roman" w:eastAsia="Times New Roman" w:hAnsi="Times New Roman"/>
          <w:sz w:val="18"/>
          <w:szCs w:val="18"/>
          <w:color w:val="auto"/>
        </w:rPr>
        <w:t>The Company may collect and store certain personal information about customers and are responsible for protecting such information from privacy breaches. A privacy breach may occur through procedural or process failure, information technology malfunction, or deliberate unauthorized intrusions. In addition, theft of data is an ongoing risk whether perpetrated via employee collusion or negligence or through deliberate cyber-attack. Any such privacy breach or theft could have a material adverse effect on the Company’s business, financial condition and results of operations.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96</w:t>
      </w:r>
    </w:p>
    <w:p>
      <w:pPr>
        <w:sectPr>
          <w:pgSz w:w="11900" w:h="16838" w:orient="portrait"/>
          <w:cols w:equalWidth="0" w:num="1">
            <w:col w:w="11260"/>
          </w:cols>
          <w:pgMar w:left="320" w:top="1303" w:right="319" w:bottom="1440" w:gutter="0" w:footer="0" w:header="0"/>
        </w:sectPr>
      </w:pPr>
    </w:p>
    <w:bookmarkStart w:id="122" w:name="page123"/>
    <w:bookmarkEnd w:id="122"/>
    <w:p>
      <w:pPr>
        <w:jc w:val="both"/>
        <w:spacing w:after="0" w:line="289" w:lineRule="auto"/>
        <w:rPr>
          <w:sz w:val="20"/>
          <w:szCs w:val="20"/>
          <w:color w:val="auto"/>
        </w:rPr>
      </w:pPr>
      <w:r>
        <w:rPr>
          <w:rFonts w:ascii="Times New Roman" w:cs="Times New Roman" w:eastAsia="Times New Roman" w:hAnsi="Times New Roman"/>
          <w:sz w:val="18"/>
          <w:szCs w:val="18"/>
          <w:color w:val="auto"/>
        </w:rPr>
        <w:t xml:space="preserve">In addition, there are a number of laws protecting the confidentiality of certain patient health information, including patient records, and restricting the use and disclosure of that protected information. In particular, the privacy rules under the </w:t>
      </w:r>
      <w:r>
        <w:rPr>
          <w:rFonts w:ascii="Times New Roman" w:cs="Times New Roman" w:eastAsia="Times New Roman" w:hAnsi="Times New Roman"/>
          <w:sz w:val="18"/>
          <w:szCs w:val="18"/>
          <w:i w:val="1"/>
          <w:iCs w:val="1"/>
          <w:color w:val="auto"/>
        </w:rPr>
        <w:t>Personal Information Protection and Electronics Documents Act</w:t>
      </w:r>
      <w:r>
        <w:rPr>
          <w:rFonts w:ascii="Times New Roman" w:cs="Times New Roman" w:eastAsia="Times New Roman" w:hAnsi="Times New Roman"/>
          <w:sz w:val="18"/>
          <w:szCs w:val="18"/>
          <w:color w:val="auto"/>
        </w:rPr>
        <w:t xml:space="preserve"> (Canada) (“</w:t>
      </w:r>
      <w:r>
        <w:rPr>
          <w:rFonts w:ascii="Times New Roman" w:cs="Times New Roman" w:eastAsia="Times New Roman" w:hAnsi="Times New Roman"/>
          <w:sz w:val="18"/>
          <w:szCs w:val="18"/>
          <w:b w:val="1"/>
          <w:bCs w:val="1"/>
          <w:color w:val="auto"/>
        </w:rPr>
        <w:t>PIPEDA</w:t>
      </w:r>
      <w:r>
        <w:rPr>
          <w:rFonts w:ascii="Times New Roman" w:cs="Times New Roman" w:eastAsia="Times New Roman" w:hAnsi="Times New Roman"/>
          <w:sz w:val="18"/>
          <w:szCs w:val="18"/>
          <w:color w:val="auto"/>
        </w:rPr>
        <w:t>”) and where applicable, provincial legislation governing personal health information, protect medical records and other personal health information by limiting their use and disclosure of health information to the minimum level reasonably necessary to accomplish the intended purpose. If the Company were found to be in violation of the privacy or security rules under PIPEDA or other laws protecting the confidentiality of medical patients health information, the Company could be subject to sanctions and civil or criminal penalties, which could increase its liabilities, harm its reputation and have a material adverse effect on the Company’s business, financial condition and results of operations.</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Environmental Regulation and Risks</w:t>
      </w:r>
    </w:p>
    <w:p>
      <w:pPr>
        <w:spacing w:after="0" w:line="256" w:lineRule="exact"/>
        <w:rPr>
          <w:sz w:val="20"/>
          <w:szCs w:val="20"/>
          <w:color w:val="auto"/>
        </w:rPr>
      </w:pPr>
    </w:p>
    <w:p>
      <w:pPr>
        <w:jc w:val="both"/>
        <w:spacing w:after="0" w:line="294" w:lineRule="auto"/>
        <w:rPr>
          <w:sz w:val="20"/>
          <w:szCs w:val="20"/>
          <w:color w:val="auto"/>
        </w:rPr>
      </w:pPr>
      <w:r>
        <w:rPr>
          <w:rFonts w:ascii="Times New Roman" w:cs="Times New Roman" w:eastAsia="Times New Roman" w:hAnsi="Times New Roman"/>
          <w:sz w:val="18"/>
          <w:szCs w:val="18"/>
          <w:color w:val="auto"/>
        </w:rPr>
        <w:t>The Company’s operations are subject to environmental regulations that mandate, among other things, the maintenance of air and water quality standards and land reclamation. They also set forth limitations on the generation, transportation, storage and disposal of solid and hazardous waste. Environmental legislation is evolving in a manner which could include stricter standards and enforcement, increased fines and penalties for non-compliance, more stringent environmental assessments of proposed projects and a heightened degree of responsibility for companies and their officers, directors and employees. There is no assurance that future changes in environmental regulation, if any, will not adversely affect the Company’s operations.</w:t>
      </w:r>
    </w:p>
    <w:p>
      <w:pPr>
        <w:spacing w:after="0" w:line="183" w:lineRule="exact"/>
        <w:rPr>
          <w:sz w:val="20"/>
          <w:szCs w:val="20"/>
          <w:color w:val="auto"/>
        </w:rPr>
      </w:pPr>
    </w:p>
    <w:p>
      <w:pPr>
        <w:jc w:val="both"/>
        <w:spacing w:after="0" w:line="294" w:lineRule="auto"/>
        <w:rPr>
          <w:sz w:val="20"/>
          <w:szCs w:val="20"/>
          <w:color w:val="auto"/>
        </w:rPr>
      </w:pPr>
      <w:r>
        <w:rPr>
          <w:rFonts w:ascii="Times New Roman" w:cs="Times New Roman" w:eastAsia="Times New Roman" w:hAnsi="Times New Roman"/>
          <w:sz w:val="18"/>
          <w:szCs w:val="18"/>
          <w:color w:val="auto"/>
        </w:rPr>
        <w:t>Failure to comply with applicable laws, regulations and permitting requirements may result in enforcement actions thereunder, including orders issued by regulatory or judicial authorities causing operations to cease or be curtailed, and may include corrective measures requiring capital expenditures, installation of additional equipment, or remedial actions. The Company may be required to compensate those suffering loss or damage by reason of its operations and may have civil or criminal fines or penalties imposed for violations of applicable laws or regulations.</w:t>
      </w:r>
    </w:p>
    <w:p>
      <w:pPr>
        <w:spacing w:after="0" w:line="195" w:lineRule="exact"/>
        <w:rPr>
          <w:sz w:val="20"/>
          <w:szCs w:val="20"/>
          <w:color w:val="auto"/>
        </w:rPr>
      </w:pPr>
    </w:p>
    <w:p>
      <w:pPr>
        <w:jc w:val="both"/>
        <w:ind w:right="20"/>
        <w:spacing w:after="0" w:line="294" w:lineRule="auto"/>
        <w:rPr>
          <w:sz w:val="20"/>
          <w:szCs w:val="20"/>
          <w:color w:val="auto"/>
        </w:rPr>
      </w:pPr>
      <w:r>
        <w:rPr>
          <w:rFonts w:ascii="Times New Roman" w:cs="Times New Roman" w:eastAsia="Times New Roman" w:hAnsi="Times New Roman"/>
          <w:sz w:val="18"/>
          <w:szCs w:val="18"/>
          <w:color w:val="auto"/>
        </w:rPr>
        <w:t>Amendments to current laws, regulations and permits governing psychedelics and related products, or more stringent implementation thereof, could have a material adverse impact on the Company and cause increases in expenses, capital expenditures or production costs or reduction in levels of production or require abandonment or delays in development.</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Decriminalization of Psychedelics</w:t>
      </w:r>
    </w:p>
    <w:p>
      <w:pPr>
        <w:spacing w:after="0" w:line="256" w:lineRule="exact"/>
        <w:rPr>
          <w:sz w:val="20"/>
          <w:szCs w:val="20"/>
          <w:color w:val="auto"/>
        </w:rPr>
      </w:pPr>
    </w:p>
    <w:p>
      <w:pPr>
        <w:jc w:val="both"/>
        <w:ind w:right="20"/>
        <w:spacing w:after="0" w:line="291" w:lineRule="auto"/>
        <w:rPr>
          <w:sz w:val="20"/>
          <w:szCs w:val="20"/>
          <w:color w:val="auto"/>
        </w:rPr>
      </w:pPr>
      <w:r>
        <w:rPr>
          <w:rFonts w:ascii="Times New Roman" w:cs="Times New Roman" w:eastAsia="Times New Roman" w:hAnsi="Times New Roman"/>
          <w:sz w:val="18"/>
          <w:szCs w:val="18"/>
          <w:color w:val="auto"/>
        </w:rPr>
        <w:t>Despite the current status of many psychotropic substances as a Schedule II and Schedule I controlled substances in the United States and Canada, respectively, there may be changes in the status of some of these substances under the laws of certain jurisdictions. Possession of psilocybin, for example, was voted to be decriminalized in May 2019 in Denver and in November 2020, voters in Oregon approved the legal medical use of “psilocybin products,” including magic mushrooms, to treat mental health conditions in licensed facilities with registered therapists (Measure 109). The legalization of psychedelics with inadequate regulatory oversight may lead to the development of psychotropic tourism in such states in clinics without proper therapeutic infrastructure or adequate clinical research.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97</w:t>
      </w:r>
    </w:p>
    <w:p>
      <w:pPr>
        <w:sectPr>
          <w:pgSz w:w="11900" w:h="16838" w:orient="portrait"/>
          <w:cols w:equalWidth="0" w:num="1">
            <w:col w:w="11260"/>
          </w:cols>
          <w:pgMar w:left="320" w:top="1303" w:right="319" w:bottom="1440" w:gutter="0" w:footer="0" w:header="0"/>
        </w:sectPr>
      </w:pPr>
    </w:p>
    <w:bookmarkStart w:id="123" w:name="page124"/>
    <w:bookmarkEnd w:id="123"/>
    <w:p>
      <w:pPr>
        <w:jc w:val="both"/>
        <w:spacing w:after="0" w:line="301" w:lineRule="auto"/>
        <w:rPr>
          <w:sz w:val="20"/>
          <w:szCs w:val="20"/>
          <w:color w:val="auto"/>
        </w:rPr>
      </w:pPr>
      <w:r>
        <w:rPr>
          <w:rFonts w:ascii="Times New Roman" w:cs="Times New Roman" w:eastAsia="Times New Roman" w:hAnsi="Times New Roman"/>
          <w:sz w:val="18"/>
          <w:szCs w:val="18"/>
          <w:color w:val="auto"/>
        </w:rPr>
        <w:t>The expansion of such an industry which could put patients at risk may bring reputational and regulatory risk to the entire industry, leading to challenges for the Company to achieve regulatory approval. The legalization of psilocybin, psilocin, DMT,and potentially other psychotropic compounds in the future may also impact commercial sales for the Company due to a reduced barrier to entry leading to a risk of increasing competition.</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Forward-Looking Statements May Prove to be Inaccurate</w:t>
      </w:r>
    </w:p>
    <w:p>
      <w:pPr>
        <w:spacing w:after="0" w:line="268" w:lineRule="exact"/>
        <w:rPr>
          <w:sz w:val="20"/>
          <w:szCs w:val="20"/>
          <w:color w:val="auto"/>
        </w:rPr>
      </w:pPr>
    </w:p>
    <w:p>
      <w:pPr>
        <w:jc w:val="both"/>
        <w:spacing w:after="0" w:line="294" w:lineRule="auto"/>
        <w:rPr>
          <w:sz w:val="20"/>
          <w:szCs w:val="20"/>
          <w:color w:val="auto"/>
        </w:rPr>
      </w:pPr>
      <w:r>
        <w:rPr>
          <w:rFonts w:ascii="Times New Roman" w:cs="Times New Roman" w:eastAsia="Times New Roman" w:hAnsi="Times New Roman"/>
          <w:sz w:val="18"/>
          <w:szCs w:val="18"/>
          <w:color w:val="auto"/>
        </w:rPr>
        <w:t>Investors should not place undue reliance on forward-looking statements. By their nature, forward-looking statements involve numerous assumptions, known and unknown risks and uncertainties, of both general and specific nature, that could cause actual results to differ materially from those suggested by the forward-looking statements or contribute to the possibility that predictions, forecasts or projections will prove to be materially inaccurate.</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Effects of Inflation</w:t>
      </w:r>
    </w:p>
    <w:p>
      <w:pPr>
        <w:spacing w:after="0" w:line="256" w:lineRule="exact"/>
        <w:rPr>
          <w:sz w:val="20"/>
          <w:szCs w:val="20"/>
          <w:color w:val="auto"/>
        </w:rPr>
      </w:pPr>
    </w:p>
    <w:p>
      <w:pPr>
        <w:jc w:val="both"/>
        <w:spacing w:after="0" w:line="294" w:lineRule="auto"/>
        <w:rPr>
          <w:sz w:val="20"/>
          <w:szCs w:val="20"/>
          <w:color w:val="auto"/>
        </w:rPr>
      </w:pPr>
      <w:r>
        <w:rPr>
          <w:rFonts w:ascii="Times New Roman" w:cs="Times New Roman" w:eastAsia="Times New Roman" w:hAnsi="Times New Roman"/>
          <w:sz w:val="18"/>
          <w:szCs w:val="18"/>
          <w:color w:val="auto"/>
        </w:rPr>
        <w:t>Global markets have experienced increased rates of inflation. Inflation itself, as well as certain governmental efforts to combat inflation, may have significant negative effects on any economy which the Company does business. Past governmental efforts to curb inflation have involved certain drastic economic measures, which had a materially adverse impact on the level of economic activity in these countries. Any future economic measures to curb inflation could be expected to have similar adverse effects on the level of economic activity in the market which the Company does business and, in turn, on the operations of the Company.</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Political and Economic Conditions</w:t>
      </w:r>
    </w:p>
    <w:p>
      <w:pPr>
        <w:spacing w:after="0" w:line="256" w:lineRule="exact"/>
        <w:rPr>
          <w:sz w:val="20"/>
          <w:szCs w:val="20"/>
          <w:color w:val="auto"/>
        </w:rPr>
      </w:pPr>
    </w:p>
    <w:p>
      <w:pPr>
        <w:jc w:val="both"/>
        <w:ind w:right="20"/>
        <w:spacing w:after="0" w:line="301" w:lineRule="auto"/>
        <w:rPr>
          <w:sz w:val="20"/>
          <w:szCs w:val="20"/>
          <w:color w:val="auto"/>
        </w:rPr>
      </w:pPr>
      <w:r>
        <w:rPr>
          <w:rFonts w:ascii="Times New Roman" w:cs="Times New Roman" w:eastAsia="Times New Roman" w:hAnsi="Times New Roman"/>
          <w:sz w:val="18"/>
          <w:szCs w:val="18"/>
          <w:color w:val="auto"/>
        </w:rPr>
        <w:t>Political and economic conditions directly affect the Company’s business and can result in a material adverse effect on the Company. Macroeconomic policies imposed by foreign governments could have significant impact on the Company. As certain global markets experience increased inflation, certain government actions to control inflation may have significant impact on the Company.</w:t>
      </w:r>
    </w:p>
    <w:p>
      <w:pPr>
        <w:spacing w:after="0" w:line="188" w:lineRule="exact"/>
        <w:rPr>
          <w:sz w:val="20"/>
          <w:szCs w:val="20"/>
          <w:color w:val="auto"/>
        </w:rPr>
      </w:pPr>
    </w:p>
    <w:p>
      <w:pPr>
        <w:jc w:val="both"/>
        <w:ind w:right="20"/>
        <w:spacing w:after="0" w:line="294" w:lineRule="auto"/>
        <w:rPr>
          <w:sz w:val="20"/>
          <w:szCs w:val="20"/>
          <w:color w:val="auto"/>
        </w:rPr>
      </w:pPr>
      <w:r>
        <w:rPr>
          <w:rFonts w:ascii="Times New Roman" w:cs="Times New Roman" w:eastAsia="Times New Roman" w:hAnsi="Times New Roman"/>
          <w:sz w:val="18"/>
          <w:szCs w:val="18"/>
          <w:color w:val="auto"/>
        </w:rPr>
        <w:t>The Company cannot control or predict foreign government implementation of changes to existing policies that may impact the Company’s operations in foreign markets and, consequently, its business. The Company’s business, operating results and financial condition and prospects, as well as the market price of its securities, may be adversely affected by changes in government public policies, whether federal, state or local, that affect, without limitation:</w:t>
      </w:r>
    </w:p>
    <w:p>
      <w:pPr>
        <w:spacing w:after="0" w:line="194" w:lineRule="exact"/>
        <w:rPr>
          <w:sz w:val="20"/>
          <w:szCs w:val="20"/>
          <w:color w:val="auto"/>
        </w:rPr>
      </w:pPr>
    </w:p>
    <w:p>
      <w:pPr>
        <w:ind w:left="560" w:hanging="276"/>
        <w:spacing w:after="0"/>
        <w:tabs>
          <w:tab w:leader="none" w:pos="560" w:val="left"/>
        </w:tabs>
        <w:numPr>
          <w:ilvl w:val="0"/>
          <w:numId w:val="51"/>
        </w:numPr>
        <w:rPr>
          <w:rFonts w:ascii="Calibri" w:cs="Calibri" w:eastAsia="Calibri" w:hAnsi="Calibri"/>
          <w:sz w:val="18"/>
          <w:szCs w:val="18"/>
          <w:color w:val="auto"/>
        </w:rPr>
      </w:pPr>
      <w:r>
        <w:rPr>
          <w:rFonts w:ascii="Times New Roman" w:cs="Times New Roman" w:eastAsia="Times New Roman" w:hAnsi="Times New Roman"/>
          <w:sz w:val="18"/>
          <w:szCs w:val="18"/>
          <w:color w:val="auto"/>
        </w:rPr>
        <w:t>inflation;</w:t>
      </w:r>
    </w:p>
    <w:p>
      <w:pPr>
        <w:spacing w:after="0" w:line="46" w:lineRule="exact"/>
        <w:rPr>
          <w:rFonts w:ascii="Calibri" w:cs="Calibri" w:eastAsia="Calibri" w:hAnsi="Calibri"/>
          <w:sz w:val="18"/>
          <w:szCs w:val="18"/>
          <w:color w:val="auto"/>
        </w:rPr>
      </w:pPr>
    </w:p>
    <w:p>
      <w:pPr>
        <w:ind w:left="560" w:hanging="276"/>
        <w:spacing w:after="0"/>
        <w:tabs>
          <w:tab w:leader="none" w:pos="560" w:val="left"/>
        </w:tabs>
        <w:numPr>
          <w:ilvl w:val="0"/>
          <w:numId w:val="51"/>
        </w:numPr>
        <w:rPr>
          <w:rFonts w:ascii="Calibri" w:cs="Calibri" w:eastAsia="Calibri" w:hAnsi="Calibri"/>
          <w:sz w:val="18"/>
          <w:szCs w:val="18"/>
          <w:color w:val="auto"/>
        </w:rPr>
      </w:pPr>
      <w:r>
        <w:rPr>
          <w:rFonts w:ascii="Times New Roman" w:cs="Times New Roman" w:eastAsia="Times New Roman" w:hAnsi="Times New Roman"/>
          <w:sz w:val="18"/>
          <w:szCs w:val="18"/>
          <w:color w:val="auto"/>
        </w:rPr>
        <w:t>fluctuations in exchange rates;</w:t>
      </w:r>
    </w:p>
    <w:p>
      <w:pPr>
        <w:spacing w:after="0" w:line="46" w:lineRule="exact"/>
        <w:rPr>
          <w:rFonts w:ascii="Calibri" w:cs="Calibri" w:eastAsia="Calibri" w:hAnsi="Calibri"/>
          <w:sz w:val="18"/>
          <w:szCs w:val="18"/>
          <w:color w:val="auto"/>
        </w:rPr>
      </w:pPr>
    </w:p>
    <w:p>
      <w:pPr>
        <w:ind w:left="560" w:hanging="276"/>
        <w:spacing w:after="0"/>
        <w:tabs>
          <w:tab w:leader="none" w:pos="560" w:val="left"/>
        </w:tabs>
        <w:numPr>
          <w:ilvl w:val="0"/>
          <w:numId w:val="51"/>
        </w:numPr>
        <w:rPr>
          <w:rFonts w:ascii="Calibri" w:cs="Calibri" w:eastAsia="Calibri" w:hAnsi="Calibri"/>
          <w:sz w:val="18"/>
          <w:szCs w:val="18"/>
          <w:color w:val="auto"/>
        </w:rPr>
      </w:pPr>
      <w:r>
        <w:rPr>
          <w:rFonts w:ascii="Times New Roman" w:cs="Times New Roman" w:eastAsia="Times New Roman" w:hAnsi="Times New Roman"/>
          <w:sz w:val="18"/>
          <w:szCs w:val="18"/>
          <w:color w:val="auto"/>
        </w:rPr>
        <w:t>exchange controls and restrictions on remittances abroad;</w:t>
      </w:r>
    </w:p>
    <w:p>
      <w:pPr>
        <w:spacing w:after="0" w:line="58" w:lineRule="exact"/>
        <w:rPr>
          <w:rFonts w:ascii="Calibri" w:cs="Calibri" w:eastAsia="Calibri" w:hAnsi="Calibri"/>
          <w:sz w:val="18"/>
          <w:szCs w:val="18"/>
          <w:color w:val="auto"/>
        </w:rPr>
      </w:pPr>
    </w:p>
    <w:p>
      <w:pPr>
        <w:ind w:left="560" w:hanging="276"/>
        <w:spacing w:after="0"/>
        <w:tabs>
          <w:tab w:leader="none" w:pos="560" w:val="left"/>
        </w:tabs>
        <w:numPr>
          <w:ilvl w:val="0"/>
          <w:numId w:val="51"/>
        </w:numPr>
        <w:rPr>
          <w:rFonts w:ascii="Calibri" w:cs="Calibri" w:eastAsia="Calibri" w:hAnsi="Calibri"/>
          <w:sz w:val="18"/>
          <w:szCs w:val="18"/>
          <w:color w:val="auto"/>
        </w:rPr>
      </w:pPr>
      <w:r>
        <w:rPr>
          <w:rFonts w:ascii="Times New Roman" w:cs="Times New Roman" w:eastAsia="Times New Roman" w:hAnsi="Times New Roman"/>
          <w:sz w:val="18"/>
          <w:szCs w:val="18"/>
          <w:color w:val="auto"/>
        </w:rPr>
        <w:t>interest rates and monetary policies;</w:t>
      </w:r>
    </w:p>
    <w:p>
      <w:pPr>
        <w:spacing w:after="0" w:line="46" w:lineRule="exact"/>
        <w:rPr>
          <w:rFonts w:ascii="Calibri" w:cs="Calibri" w:eastAsia="Calibri" w:hAnsi="Calibri"/>
          <w:sz w:val="18"/>
          <w:szCs w:val="18"/>
          <w:color w:val="auto"/>
        </w:rPr>
      </w:pPr>
    </w:p>
    <w:p>
      <w:pPr>
        <w:ind w:left="560" w:hanging="276"/>
        <w:spacing w:after="0"/>
        <w:tabs>
          <w:tab w:leader="none" w:pos="560" w:val="left"/>
        </w:tabs>
        <w:numPr>
          <w:ilvl w:val="0"/>
          <w:numId w:val="51"/>
        </w:numPr>
        <w:rPr>
          <w:rFonts w:ascii="Calibri" w:cs="Calibri" w:eastAsia="Calibri" w:hAnsi="Calibri"/>
          <w:sz w:val="18"/>
          <w:szCs w:val="18"/>
          <w:color w:val="auto"/>
        </w:rPr>
      </w:pPr>
      <w:r>
        <w:rPr>
          <w:rFonts w:ascii="Times New Roman" w:cs="Times New Roman" w:eastAsia="Times New Roman" w:hAnsi="Times New Roman"/>
          <w:sz w:val="18"/>
          <w:szCs w:val="18"/>
          <w:color w:val="auto"/>
        </w:rPr>
        <w:t>import and export controls;</w:t>
      </w:r>
    </w:p>
    <w:p>
      <w:pPr>
        <w:spacing w:after="0" w:line="58" w:lineRule="exact"/>
        <w:rPr>
          <w:rFonts w:ascii="Calibri" w:cs="Calibri" w:eastAsia="Calibri" w:hAnsi="Calibri"/>
          <w:sz w:val="18"/>
          <w:szCs w:val="18"/>
          <w:color w:val="auto"/>
        </w:rPr>
      </w:pPr>
    </w:p>
    <w:p>
      <w:pPr>
        <w:ind w:left="560" w:hanging="276"/>
        <w:spacing w:after="0"/>
        <w:tabs>
          <w:tab w:leader="none" w:pos="560" w:val="left"/>
        </w:tabs>
        <w:numPr>
          <w:ilvl w:val="0"/>
          <w:numId w:val="51"/>
        </w:numPr>
        <w:rPr>
          <w:rFonts w:ascii="Calibri" w:cs="Calibri" w:eastAsia="Calibri" w:hAnsi="Calibri"/>
          <w:sz w:val="18"/>
          <w:szCs w:val="18"/>
          <w:color w:val="auto"/>
        </w:rPr>
      </w:pPr>
      <w:r>
        <w:rPr>
          <w:rFonts w:ascii="Times New Roman" w:cs="Times New Roman" w:eastAsia="Times New Roman" w:hAnsi="Times New Roman"/>
          <w:sz w:val="18"/>
          <w:szCs w:val="18"/>
          <w:color w:val="auto"/>
        </w:rPr>
        <w:t>liquidity of domestic capital, credit and financial markets;</w:t>
      </w:r>
    </w:p>
    <w:p>
      <w:pPr>
        <w:spacing w:after="0" w:line="46" w:lineRule="exact"/>
        <w:rPr>
          <w:rFonts w:ascii="Calibri" w:cs="Calibri" w:eastAsia="Calibri" w:hAnsi="Calibri"/>
          <w:sz w:val="18"/>
          <w:szCs w:val="18"/>
          <w:color w:val="auto"/>
        </w:rPr>
      </w:pPr>
    </w:p>
    <w:p>
      <w:pPr>
        <w:ind w:left="560" w:hanging="276"/>
        <w:spacing w:after="0"/>
        <w:tabs>
          <w:tab w:leader="none" w:pos="560" w:val="left"/>
        </w:tabs>
        <w:numPr>
          <w:ilvl w:val="0"/>
          <w:numId w:val="51"/>
        </w:numPr>
        <w:rPr>
          <w:rFonts w:ascii="Calibri" w:cs="Calibri" w:eastAsia="Calibri" w:hAnsi="Calibri"/>
          <w:sz w:val="18"/>
          <w:szCs w:val="18"/>
          <w:color w:val="auto"/>
        </w:rPr>
      </w:pPr>
      <w:r>
        <w:rPr>
          <w:rFonts w:ascii="Times New Roman" w:cs="Times New Roman" w:eastAsia="Times New Roman" w:hAnsi="Times New Roman"/>
          <w:sz w:val="18"/>
          <w:szCs w:val="18"/>
          <w:color w:val="auto"/>
        </w:rPr>
        <w:t>expansion or contraction of foreign economies, as measured by rates of growth in gross domestic product;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98</w:t>
      </w:r>
    </w:p>
    <w:p>
      <w:pPr>
        <w:sectPr>
          <w:pgSz w:w="11900" w:h="16838" w:orient="portrait"/>
          <w:cols w:equalWidth="0" w:num="1">
            <w:col w:w="11260"/>
          </w:cols>
          <w:pgMar w:left="320" w:top="1303" w:right="319" w:bottom="1440" w:gutter="0" w:footer="0" w:header="0"/>
        </w:sectPr>
      </w:pPr>
    </w:p>
    <w:bookmarkStart w:id="124" w:name="page125"/>
    <w:bookmarkEnd w:id="124"/>
    <w:p>
      <w:pPr>
        <w:ind w:left="560" w:hanging="276"/>
        <w:spacing w:after="0"/>
        <w:tabs>
          <w:tab w:leader="none" w:pos="560" w:val="left"/>
        </w:tabs>
        <w:numPr>
          <w:ilvl w:val="0"/>
          <w:numId w:val="52"/>
        </w:numPr>
        <w:rPr>
          <w:rFonts w:ascii="Calibri" w:cs="Calibri" w:eastAsia="Calibri" w:hAnsi="Calibri"/>
          <w:sz w:val="18"/>
          <w:szCs w:val="18"/>
          <w:color w:val="auto"/>
        </w:rPr>
      </w:pPr>
      <w:r>
        <w:rPr>
          <w:rFonts w:ascii="Times New Roman" w:cs="Times New Roman" w:eastAsia="Times New Roman" w:hAnsi="Times New Roman"/>
          <w:sz w:val="18"/>
          <w:szCs w:val="18"/>
          <w:color w:val="auto"/>
        </w:rPr>
        <w:t>fiscal policies; and</w:t>
      </w:r>
    </w:p>
    <w:p>
      <w:pPr>
        <w:spacing w:after="0" w:line="58" w:lineRule="exact"/>
        <w:rPr>
          <w:rFonts w:ascii="Calibri" w:cs="Calibri" w:eastAsia="Calibri" w:hAnsi="Calibri"/>
          <w:sz w:val="18"/>
          <w:szCs w:val="18"/>
          <w:color w:val="auto"/>
        </w:rPr>
      </w:pPr>
    </w:p>
    <w:p>
      <w:pPr>
        <w:ind w:left="560" w:hanging="276"/>
        <w:spacing w:after="0"/>
        <w:tabs>
          <w:tab w:leader="none" w:pos="560" w:val="left"/>
        </w:tabs>
        <w:numPr>
          <w:ilvl w:val="0"/>
          <w:numId w:val="52"/>
        </w:numPr>
        <w:rPr>
          <w:rFonts w:ascii="Calibri" w:cs="Calibri" w:eastAsia="Calibri" w:hAnsi="Calibri"/>
          <w:sz w:val="18"/>
          <w:szCs w:val="18"/>
          <w:color w:val="auto"/>
        </w:rPr>
      </w:pPr>
      <w:r>
        <w:rPr>
          <w:rFonts w:ascii="Times New Roman" w:cs="Times New Roman" w:eastAsia="Times New Roman" w:hAnsi="Times New Roman"/>
          <w:sz w:val="18"/>
          <w:szCs w:val="18"/>
          <w:color w:val="auto"/>
        </w:rPr>
        <w:t>other political, social and economic developments in or affecting foreign markets.</w:t>
      </w:r>
    </w:p>
    <w:p>
      <w:pPr>
        <w:spacing w:after="0" w:line="264" w:lineRule="exact"/>
        <w:rPr>
          <w:sz w:val="20"/>
          <w:szCs w:val="20"/>
          <w:color w:val="auto"/>
        </w:rPr>
      </w:pPr>
    </w:p>
    <w:p>
      <w:pPr>
        <w:jc w:val="both"/>
        <w:ind w:right="20"/>
        <w:spacing w:after="0" w:line="294" w:lineRule="auto"/>
        <w:rPr>
          <w:sz w:val="20"/>
          <w:szCs w:val="20"/>
          <w:color w:val="auto"/>
        </w:rPr>
      </w:pPr>
      <w:r>
        <w:rPr>
          <w:rFonts w:ascii="Times New Roman" w:cs="Times New Roman" w:eastAsia="Times New Roman" w:hAnsi="Times New Roman"/>
          <w:sz w:val="18"/>
          <w:szCs w:val="18"/>
          <w:color w:val="auto"/>
        </w:rPr>
        <w:t>Government policies and measures to combat inflation, along with public speculation about such policies and measures, have often had adverse effects on global economies, have contributed to economic uncertainty and may increase volatility in foreign securities markets. Government action to control inflation may involve actions such as price and salary controls, currency devaluations, capital limitations, limits on imports and other actions which could significantly impact the operations of the Company.</w:t>
      </w:r>
    </w:p>
    <w:p>
      <w:pPr>
        <w:spacing w:after="0" w:line="183" w:lineRule="exact"/>
        <w:rPr>
          <w:sz w:val="20"/>
          <w:szCs w:val="20"/>
          <w:color w:val="auto"/>
        </w:rPr>
      </w:pPr>
    </w:p>
    <w:p>
      <w:pPr>
        <w:jc w:val="both"/>
        <w:spacing w:after="0" w:line="323" w:lineRule="auto"/>
        <w:rPr>
          <w:sz w:val="20"/>
          <w:szCs w:val="20"/>
          <w:color w:val="auto"/>
        </w:rPr>
      </w:pPr>
      <w:r>
        <w:rPr>
          <w:rFonts w:ascii="Times New Roman" w:cs="Times New Roman" w:eastAsia="Times New Roman" w:hAnsi="Times New Roman"/>
          <w:sz w:val="18"/>
          <w:szCs w:val="18"/>
          <w:color w:val="auto"/>
        </w:rPr>
        <w:t>Other policies and measures adopted by governments, include interest rate adjustments, intervention in the currency markets or actions to adjust or fix the value of the local currency may adversely affect the target market’s economy, the Company’s business and results of operations.</w:t>
      </w:r>
    </w:p>
    <w:p>
      <w:pPr>
        <w:spacing w:after="0" w:line="156" w:lineRule="exact"/>
        <w:rPr>
          <w:sz w:val="20"/>
          <w:szCs w:val="20"/>
          <w:color w:val="auto"/>
        </w:rPr>
      </w:pPr>
    </w:p>
    <w:p>
      <w:pPr>
        <w:jc w:val="both"/>
        <w:ind w:right="20"/>
        <w:spacing w:after="0" w:line="301" w:lineRule="auto"/>
        <w:rPr>
          <w:sz w:val="20"/>
          <w:szCs w:val="20"/>
          <w:color w:val="auto"/>
        </w:rPr>
      </w:pPr>
      <w:r>
        <w:rPr>
          <w:rFonts w:ascii="Times New Roman" w:cs="Times New Roman" w:eastAsia="Times New Roman" w:hAnsi="Times New Roman"/>
          <w:sz w:val="18"/>
          <w:szCs w:val="18"/>
          <w:color w:val="auto"/>
        </w:rPr>
        <w:t>Uncertainty over whether federal governments will implement reforms or changes in policy or regulation affecting these or other factors in the future may affect economic performance and contribute to economic uncertainty in markets that the Company operates or relies on, which may in turn have adverse effects on the Company’s operations in the market and consequently on the results of its operations.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Application and Interpretation of Tax Laws</w:t>
      </w:r>
    </w:p>
    <w:p>
      <w:pPr>
        <w:spacing w:after="0" w:line="268" w:lineRule="exact"/>
        <w:rPr>
          <w:sz w:val="20"/>
          <w:szCs w:val="20"/>
          <w:color w:val="auto"/>
        </w:rPr>
      </w:pPr>
    </w:p>
    <w:p>
      <w:pPr>
        <w:jc w:val="both"/>
        <w:ind w:right="20"/>
        <w:spacing w:after="0" w:line="307" w:lineRule="auto"/>
        <w:rPr>
          <w:sz w:val="20"/>
          <w:szCs w:val="20"/>
          <w:color w:val="auto"/>
        </w:rPr>
      </w:pPr>
      <w:r>
        <w:rPr>
          <w:rFonts w:ascii="Times New Roman" w:cs="Times New Roman" w:eastAsia="Times New Roman" w:hAnsi="Times New Roman"/>
          <w:sz w:val="17"/>
          <w:szCs w:val="17"/>
          <w:color w:val="auto"/>
        </w:rPr>
        <w:t>The Company is subject to direct and indirect taxes in various foreign jurisdictions. The amount of tax that the Company pays, directly or indirectly, is subject to the interpretation of applicable tax laws in the jurisdictions of operations in which the Company has interests. The Company has taken and will continue to take tax positions based on the application and interpretation of tax laws, but tax accounting often involves complex matters and judgment is required in determining the Company’s foreign provisions for taxes and other tax liabilities. There can be no assurance that a taxing authority will not have a different interpretation of the law and assess the Company, or the operations in which the Company has interests, with additional taxes. Further, the Company’s future effective tax rates could be impacted by changes in tax laws or regulations, and changing interpretation of existing laws or regulations. Both domestic and international tax laws, and interpretation of the tax laws, are subject to change as a result of changes in fiscal policy, changes in legislation, evolution of regulation and court rulings. The application of these tax laws and related regulations is subject to legal and factual interpretation, judgment and uncertainty.</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Enforcement of Civil Liabilities</w:t>
      </w:r>
    </w:p>
    <w:p>
      <w:pPr>
        <w:spacing w:after="0" w:line="256" w:lineRule="exact"/>
        <w:rPr>
          <w:sz w:val="20"/>
          <w:szCs w:val="20"/>
          <w:color w:val="auto"/>
        </w:rPr>
      </w:pPr>
    </w:p>
    <w:p>
      <w:pPr>
        <w:jc w:val="both"/>
        <w:ind w:right="20"/>
        <w:spacing w:after="0" w:line="326" w:lineRule="auto"/>
        <w:rPr>
          <w:sz w:val="20"/>
          <w:szCs w:val="20"/>
          <w:color w:val="auto"/>
        </w:rPr>
      </w:pPr>
      <w:r>
        <w:rPr>
          <w:rFonts w:ascii="Times New Roman" w:cs="Times New Roman" w:eastAsia="Times New Roman" w:hAnsi="Times New Roman"/>
          <w:sz w:val="17"/>
          <w:szCs w:val="17"/>
          <w:color w:val="auto"/>
        </w:rPr>
        <w:t>Certain of the Company’s subsidiaries and assets are located outside of Canada. Accordingly, it may be difficult for investors to enforce within Canada any judgments obtained against the Company, including judgments predicated upon the civil liability provisions of applicable Canadian securities laws or otherwise. Consequently, investors may be effectively prevented from pursuing remedies against the Company under Canadian securities laws or otherwise.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99</w:t>
      </w:r>
    </w:p>
    <w:p>
      <w:pPr>
        <w:sectPr>
          <w:pgSz w:w="11900" w:h="16838" w:orient="portrait"/>
          <w:cols w:equalWidth="0" w:num="1">
            <w:col w:w="11260"/>
          </w:cols>
          <w:pgMar w:left="320" w:top="1303" w:right="319" w:bottom="1440" w:gutter="0" w:footer="0" w:header="0"/>
        </w:sectPr>
      </w:pPr>
    </w:p>
    <w:bookmarkStart w:id="125" w:name="page126"/>
    <w:bookmarkEnd w:id="125"/>
    <w:p>
      <w:pPr>
        <w:jc w:val="both"/>
        <w:spacing w:after="0" w:line="309" w:lineRule="auto"/>
        <w:rPr>
          <w:sz w:val="20"/>
          <w:szCs w:val="20"/>
          <w:color w:val="auto"/>
        </w:rPr>
      </w:pPr>
      <w:r>
        <w:rPr>
          <w:rFonts w:ascii="Times New Roman" w:cs="Times New Roman" w:eastAsia="Times New Roman" w:hAnsi="Times New Roman"/>
          <w:sz w:val="17"/>
          <w:szCs w:val="17"/>
          <w:color w:val="auto"/>
        </w:rPr>
        <w:t>The Company has subsidiaries incorporated in the United States and Ireland. It may not be possible for shareholders to effect service of process outside of Canada against the directors and officers of the Company who are not resident in Canada. In the event a judgment is obtained in a Canadian court against one or more of such persons for violations of Canadian securities laws or otherwise, it may not be possible to enforce such judgment against persons not resident in Canada. Additionally, it may be difficult for an investor, or any other person or entity, to assert Canadian securities law or other claims in original actions instituted in the United States and Ireland. Courts in such jurisdictions may refuse to hear a claim based on a violation of Canadian securities laws or otherwise on the grounds that such jurisdiction is not the most appropriate forum to bring such a claim. Even if a foreign court agrees to hear a claim, it may determine that the local law, and not Canadian law, is applicable to the claim. If Canadian law is found to be applicable, the content of applicable Canadian law must be proven as a fact, which can be a time-consuming and costly process. Certain matters of procedure will also be governed by foreign law.</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Pandemics, Epidemics and Other Health Risks</w:t>
      </w:r>
    </w:p>
    <w:p>
      <w:pPr>
        <w:spacing w:after="0" w:line="268" w:lineRule="exact"/>
        <w:rPr>
          <w:sz w:val="20"/>
          <w:szCs w:val="20"/>
          <w:color w:val="auto"/>
        </w:rPr>
      </w:pPr>
    </w:p>
    <w:p>
      <w:pPr>
        <w:jc w:val="both"/>
        <w:ind w:right="20"/>
        <w:spacing w:after="0" w:line="294" w:lineRule="auto"/>
        <w:rPr>
          <w:sz w:val="20"/>
          <w:szCs w:val="20"/>
          <w:color w:val="auto"/>
        </w:rPr>
      </w:pPr>
      <w:r>
        <w:rPr>
          <w:rFonts w:ascii="Times New Roman" w:cs="Times New Roman" w:eastAsia="Times New Roman" w:hAnsi="Times New Roman"/>
          <w:sz w:val="18"/>
          <w:szCs w:val="18"/>
          <w:color w:val="auto"/>
        </w:rPr>
        <w:t>Pandemics, epidemics and other health risks could have an adverse effect on the Company’s business. Pandemics, epidemics and other health risks could occur, which could adversely affect the Company’s ability to conduct its operations as currently conducted, or the ability of suppliers to provide the Company with products and services needed to operate the business.</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Pandemics, epidemics and other health risks could have an adverse effect on the economy and financial markets, resulting in a decline of commercial activity.</w:t>
      </w:r>
    </w:p>
    <w:p>
      <w:pPr>
        <w:spacing w:after="0" w:line="4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Any of these events could have an adverse effect on the Company’s business and financial performance.</w:t>
      </w:r>
    </w:p>
    <w:p>
      <w:pPr>
        <w:spacing w:after="0" w:line="2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Risks Related to Intellectual Property</w:t>
      </w:r>
    </w:p>
    <w:p>
      <w:pPr>
        <w:spacing w:after="0" w:line="2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Trademark Protection</w:t>
      </w:r>
    </w:p>
    <w:p>
      <w:pPr>
        <w:spacing w:after="0" w:line="232" w:lineRule="exact"/>
        <w:rPr>
          <w:sz w:val="20"/>
          <w:szCs w:val="20"/>
          <w:color w:val="auto"/>
        </w:rPr>
      </w:pPr>
    </w:p>
    <w:p>
      <w:pPr>
        <w:jc w:val="both"/>
        <w:ind w:right="20"/>
        <w:spacing w:after="0" w:line="323" w:lineRule="auto"/>
        <w:rPr>
          <w:sz w:val="20"/>
          <w:szCs w:val="20"/>
          <w:color w:val="auto"/>
        </w:rPr>
      </w:pPr>
      <w:r>
        <w:rPr>
          <w:rFonts w:ascii="Times New Roman" w:cs="Times New Roman" w:eastAsia="Times New Roman" w:hAnsi="Times New Roman"/>
          <w:sz w:val="18"/>
          <w:szCs w:val="18"/>
          <w:color w:val="auto"/>
        </w:rPr>
        <w:t>Failure to register trademarks for the Company or its products could require the Company to rebrand its products resulting in a material adverse impact on its business.</w:t>
      </w:r>
    </w:p>
    <w:p>
      <w:pPr>
        <w:spacing w:after="0" w:line="12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Trade Secrets</w:t>
      </w:r>
    </w:p>
    <w:p>
      <w:pPr>
        <w:spacing w:after="0" w:line="244" w:lineRule="exact"/>
        <w:rPr>
          <w:sz w:val="20"/>
          <w:szCs w:val="20"/>
          <w:color w:val="auto"/>
        </w:rPr>
      </w:pPr>
    </w:p>
    <w:p>
      <w:pPr>
        <w:jc w:val="both"/>
        <w:spacing w:after="0" w:line="288" w:lineRule="auto"/>
        <w:rPr>
          <w:sz w:val="20"/>
          <w:szCs w:val="20"/>
          <w:color w:val="auto"/>
        </w:rPr>
      </w:pPr>
      <w:r>
        <w:rPr>
          <w:rFonts w:ascii="Times New Roman" w:cs="Times New Roman" w:eastAsia="Times New Roman" w:hAnsi="Times New Roman"/>
          <w:sz w:val="18"/>
          <w:szCs w:val="18"/>
          <w:color w:val="auto"/>
        </w:rPr>
        <w:t>The Company relies on third parties to develop its products and, as a result, must share trade secrets with them. The Company seeks to protect its proprietary technology in part by entering into confidentiality agreements and, if applicable, material transfer agreements, collaborative research agreements, consulting agreements or other similar agreements with its collaborators, advisors, employees and consultants prior to beginning research or disclosing proprietary information. These agreements typically restrict the ability of the Company’s collaborators, advisors, employees and consultants to publish data potentially relating to its trade secrets. Its academic and clinical collaborators typically have rights to publish data, provided that the Company is notified in advance and may delay publication for a specified time in order to secure any intellectual property rights arising from the collaboration. In other cases, publication rights are controlled exclusively by the Company, although in some cases the Company may share these rights with other parties. The Company may also conduct joint research and development programs which may require it to share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100</w:t>
      </w:r>
    </w:p>
    <w:p>
      <w:pPr>
        <w:sectPr>
          <w:pgSz w:w="11900" w:h="16838" w:orient="portrait"/>
          <w:cols w:equalWidth="0" w:num="1">
            <w:col w:w="11260"/>
          </w:cols>
          <w:pgMar w:left="320" w:top="1303" w:right="319" w:bottom="1440" w:gutter="0" w:footer="0" w:header="0"/>
        </w:sectPr>
      </w:pPr>
    </w:p>
    <w:bookmarkStart w:id="126" w:name="page127"/>
    <w:bookmarkEnd w:id="126"/>
    <w:p>
      <w:pPr>
        <w:jc w:val="both"/>
        <w:spacing w:after="0" w:line="294" w:lineRule="auto"/>
        <w:rPr>
          <w:sz w:val="20"/>
          <w:szCs w:val="20"/>
          <w:color w:val="auto"/>
        </w:rPr>
      </w:pPr>
      <w:r>
        <w:rPr>
          <w:rFonts w:ascii="Times New Roman" w:cs="Times New Roman" w:eastAsia="Times New Roman" w:hAnsi="Times New Roman"/>
          <w:sz w:val="18"/>
          <w:szCs w:val="18"/>
          <w:color w:val="auto"/>
        </w:rPr>
        <w:t>trade secrets under the terms of research and development collaboration or similar agreements. Despite the Company’s efforts to protect its trade secrets, the Company’s competitors may discover its trade secrets, either through breach of these agreements, independent development or publication of information. A competitor’s discovery of the Company’s trade secrets may impair its competitive position and could have a material adverse effect on its business and financial condition.</w:t>
      </w:r>
    </w:p>
    <w:p>
      <w:pPr>
        <w:spacing w:after="0" w:line="1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Patent Law Reform</w:t>
      </w:r>
    </w:p>
    <w:p>
      <w:pPr>
        <w:spacing w:after="0" w:line="220" w:lineRule="exact"/>
        <w:rPr>
          <w:sz w:val="20"/>
          <w:szCs w:val="20"/>
          <w:color w:val="auto"/>
        </w:rPr>
      </w:pPr>
    </w:p>
    <w:p>
      <w:pPr>
        <w:jc w:val="both"/>
        <w:ind w:right="20"/>
        <w:spacing w:after="0" w:line="274" w:lineRule="auto"/>
        <w:rPr>
          <w:sz w:val="20"/>
          <w:szCs w:val="20"/>
          <w:color w:val="auto"/>
        </w:rPr>
      </w:pPr>
      <w:r>
        <w:rPr>
          <w:rFonts w:ascii="Times New Roman" w:cs="Times New Roman" w:eastAsia="Times New Roman" w:hAnsi="Times New Roman"/>
          <w:sz w:val="18"/>
          <w:szCs w:val="18"/>
          <w:color w:val="auto"/>
        </w:rPr>
        <w:t>The Company’s commercial success depends in part on obtaining and maintaining patents and other forms of intellectual property rights for its current and future therapeutic candidates and associated therapies, digital therapies, methods used to manufacture the underlying therapeutic substances, and the methods for treating patients using those substances and therapies, or on licensing in such rights. Failure to obtain, maintain, protect, enforce or extend adequate patent and other intellectual property rights could materially adversely affect the Company’s ability to develop and market its current and future therapeutic candidates. The Company also relies on trade secrets and know-how to develop and maintain its proprietary and intellectual property position. Any failure to protect its trade secrets and know-how could adversely affect the Company’s operations and prospects.</w:t>
      </w:r>
    </w:p>
    <w:p>
      <w:pPr>
        <w:spacing w:after="0" w:line="190"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8"/>
          <w:szCs w:val="18"/>
          <w:color w:val="auto"/>
        </w:rPr>
        <w:t>The Company cannot be certain that patents will be issued or granted with respect to patent applications that are currently pending, or that issued or granted patents will not later be found to be invalid or unenforceable. The patent position of companies like the Company is generally uncertain because it involves complex legal and factual considerations. The standards applied by the UK Intellectual Property Office, the European Patent Office, the USPTO, the Canadian Intellectual Property Office (the “</w:t>
      </w:r>
      <w:r>
        <w:rPr>
          <w:rFonts w:ascii="Times New Roman" w:cs="Times New Roman" w:eastAsia="Times New Roman" w:hAnsi="Times New Roman"/>
          <w:sz w:val="18"/>
          <w:szCs w:val="18"/>
          <w:b w:val="1"/>
          <w:bCs w:val="1"/>
          <w:color w:val="auto"/>
        </w:rPr>
        <w:t>CIPO</w:t>
      </w:r>
      <w:r>
        <w:rPr>
          <w:rFonts w:ascii="Times New Roman" w:cs="Times New Roman" w:eastAsia="Times New Roman" w:hAnsi="Times New Roman"/>
          <w:sz w:val="18"/>
          <w:szCs w:val="18"/>
          <w:color w:val="auto"/>
        </w:rPr>
        <w:t>”) and foreign patent offices in granting patents are not always applied uniformly or predictably. For example, there is no uniform worldwide policy regarding patentable subject matter or the scope of claims allowable in pharmaceutical patents. Consequently, patents may not issue from the Company’s pending patent applications, and even if they do issue, such patents may not issue in a form that effectively prevents others from developing or commercializing competing therapies. As such, the Company does not know the degree of future protection that it will have on its proprietary therapies.</w:t>
      </w:r>
    </w:p>
    <w:p>
      <w:pPr>
        <w:spacing w:after="0" w:line="192"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8"/>
          <w:szCs w:val="18"/>
          <w:color w:val="auto"/>
        </w:rPr>
        <w:t>The patent prosecution process is expensive, complex and time-consuming, and the Company, its current or future third-party partners, licensors, licensees, or collaboration partners may not be able to prepare, file and prosecute all necessary or desirable patent applications at a reasonable cost or in a timely manner. It is also possible that the Company or its licensors, licensees or collaboration partners will fail to identify patentable aspects of inventions made in the course of research, development or commercialization activities before it is too late to pursue patent protection on them. In addition, although the Company enters into non-disclosure and confidentiality agreements with parties who have access to confidential or patentable aspects of its R&amp;D output, such as its employees, corporate collaborators, outside scientific collaborators, contract manufacturers, consultants, advisors, and other third parties, any of these parties may breach the agreements and disclose such output before a patent application is filed, thereby jeopardizing the Company’s ability to seek patent protection. Furthermore, publications of discoveries in the scientific literature often lag behind the actual discoveries, and patent applications in the UK and other jurisdictions are typically not published until 18 months after filing, or in some cases not published until and unless granted. Therefore, the Company cannot be certain that it is the first to make the inventions claimed in its patents or pending patent applications, or that it was the first to file for patent protection of such inventions. Similarly, the Company cannot be certain that for any licensed patents or pending patent applications, the named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101</w:t>
      </w:r>
    </w:p>
    <w:p>
      <w:pPr>
        <w:sectPr>
          <w:pgSz w:w="11900" w:h="16838" w:orient="portrait"/>
          <w:cols w:equalWidth="0" w:num="1">
            <w:col w:w="11260"/>
          </w:cols>
          <w:pgMar w:left="320" w:top="1303" w:right="319" w:bottom="1440" w:gutter="0" w:footer="0" w:header="0"/>
        </w:sectPr>
      </w:pPr>
    </w:p>
    <w:bookmarkStart w:id="127" w:name="page128"/>
    <w:bookmarkEnd w:id="127"/>
    <w:p>
      <w:pPr>
        <w:jc w:val="both"/>
        <w:ind w:right="20"/>
        <w:spacing w:after="0" w:line="295" w:lineRule="auto"/>
        <w:rPr>
          <w:sz w:val="20"/>
          <w:szCs w:val="20"/>
          <w:color w:val="auto"/>
        </w:rPr>
      </w:pPr>
      <w:r>
        <w:rPr>
          <w:rFonts w:ascii="Times New Roman" w:cs="Times New Roman" w:eastAsia="Times New Roman" w:hAnsi="Times New Roman"/>
          <w:sz w:val="18"/>
          <w:szCs w:val="18"/>
          <w:color w:val="auto"/>
        </w:rPr>
        <w:t>applicant(s) were the first to make the inventions claimed in such patents or pending patent applications or that the named applicant(s) were the first to file for patent protection for such inventions.</w:t>
      </w:r>
    </w:p>
    <w:p>
      <w:pPr>
        <w:spacing w:after="0" w:line="168" w:lineRule="exact"/>
        <w:rPr>
          <w:sz w:val="20"/>
          <w:szCs w:val="20"/>
          <w:color w:val="auto"/>
        </w:rPr>
      </w:pPr>
    </w:p>
    <w:p>
      <w:pPr>
        <w:jc w:val="both"/>
        <w:ind w:right="20"/>
        <w:spacing w:after="0" w:line="275" w:lineRule="auto"/>
        <w:rPr>
          <w:sz w:val="20"/>
          <w:szCs w:val="20"/>
          <w:color w:val="auto"/>
        </w:rPr>
      </w:pPr>
      <w:r>
        <w:rPr>
          <w:rFonts w:ascii="Times New Roman" w:cs="Times New Roman" w:eastAsia="Times New Roman" w:hAnsi="Times New Roman"/>
          <w:sz w:val="18"/>
          <w:szCs w:val="18"/>
          <w:color w:val="auto"/>
        </w:rPr>
        <w:t>Further, the issuance, scope, validity, enforceability and commercial value of the Company’s and its current or future licensors’, licensees’ or collaboration partners’ patent rights are highly uncertain. The Company and any potential licensors’ pending and future patent applications may not result in patents being issued that protect the Company’s therapies, in whole or in part, or that effectively prevent others from commercializing competitive technologies and therapies.</w:t>
      </w:r>
    </w:p>
    <w:p>
      <w:pPr>
        <w:spacing w:after="0" w:line="200" w:lineRule="exact"/>
        <w:rPr>
          <w:sz w:val="20"/>
          <w:szCs w:val="20"/>
          <w:color w:val="auto"/>
        </w:rPr>
      </w:pPr>
    </w:p>
    <w:p>
      <w:pPr>
        <w:jc w:val="both"/>
        <w:ind w:right="20"/>
        <w:spacing w:after="0" w:line="273" w:lineRule="auto"/>
        <w:rPr>
          <w:sz w:val="20"/>
          <w:szCs w:val="20"/>
          <w:color w:val="auto"/>
        </w:rPr>
      </w:pPr>
      <w:r>
        <w:rPr>
          <w:rFonts w:ascii="Times New Roman" w:cs="Times New Roman" w:eastAsia="Times New Roman" w:hAnsi="Times New Roman"/>
          <w:sz w:val="18"/>
          <w:szCs w:val="18"/>
          <w:color w:val="auto"/>
        </w:rPr>
        <w:t>Moreover, in some circumstances, the Company may not have the right to control the preparation, filing and prosecution of patent applications, or to maintain such patents, should the Company’s license technology from or to third parties and would be reliant on its licensors, licensees or collaboration partners. If the Company engages with licensors, licensees or collaboration partners and they fail to establish, maintain or protect such patents and other intellectual property rights, such rights may be reduced or eliminated. If such licensors, licensees or collaboration partners were not fully cooperative or disagree with the Company as to the prosecution, maintenance or enforcement of any patent rights, such patent rights could be compromised.</w:t>
      </w:r>
    </w:p>
    <w:p>
      <w:pPr>
        <w:spacing w:after="0" w:line="189" w:lineRule="exact"/>
        <w:rPr>
          <w:sz w:val="20"/>
          <w:szCs w:val="20"/>
          <w:color w:val="auto"/>
        </w:rPr>
      </w:pPr>
    </w:p>
    <w:p>
      <w:pPr>
        <w:jc w:val="both"/>
        <w:spacing w:after="0" w:line="275" w:lineRule="auto"/>
        <w:rPr>
          <w:sz w:val="20"/>
          <w:szCs w:val="20"/>
          <w:color w:val="auto"/>
        </w:rPr>
      </w:pPr>
      <w:r>
        <w:rPr>
          <w:rFonts w:ascii="Times New Roman" w:cs="Times New Roman" w:eastAsia="Times New Roman" w:hAnsi="Times New Roman"/>
          <w:sz w:val="18"/>
          <w:szCs w:val="18"/>
          <w:color w:val="auto"/>
        </w:rPr>
        <w:t>The patent examination process may require the Company or its licensors, licensees or collaboration partners to narrow the scope of the claims of the Company or the Company’s licensors’, licensees’ or collaboration partners’ pending and future patent applications, which may limit the scope of patent protection that may be obtained. The Company cannot guarantee that all of the potentially relevant prior art relating to its patents and patent applications has been found. If such prior art exists, it can invalidate a patent or prevent a patent from issuing from a pending patent application.</w:t>
      </w:r>
    </w:p>
    <w:p>
      <w:pPr>
        <w:spacing w:after="0" w:line="188" w:lineRule="exact"/>
        <w:rPr>
          <w:sz w:val="20"/>
          <w:szCs w:val="20"/>
          <w:color w:val="auto"/>
        </w:rPr>
      </w:pPr>
    </w:p>
    <w:p>
      <w:pPr>
        <w:jc w:val="both"/>
        <w:ind w:right="20"/>
        <w:spacing w:after="0" w:line="273" w:lineRule="auto"/>
        <w:rPr>
          <w:sz w:val="20"/>
          <w:szCs w:val="20"/>
          <w:color w:val="auto"/>
        </w:rPr>
      </w:pPr>
      <w:r>
        <w:rPr>
          <w:rFonts w:ascii="Times New Roman" w:cs="Times New Roman" w:eastAsia="Times New Roman" w:hAnsi="Times New Roman"/>
          <w:sz w:val="18"/>
          <w:szCs w:val="18"/>
          <w:color w:val="auto"/>
        </w:rPr>
        <w:t>The issuance of a patent is not conclusive as to its inventorship, scope, validity or enforceability, and the Company’s patents may be challenged in the courts or patent offices in the UK and abroad. Even if patents do successfully issue and even if such patents cover the Company’s current and future therapeutic candidates, third parties may initiate an opposition, interference, re-examination, post-grant review, inter parties review, nullification or derivation proceedings in court or before patent offices, or similar proceedings challenging the validity, enforceability or scope of such patents, which may result in the patent claims being narrowed or invalidated.</w:t>
      </w:r>
    </w:p>
    <w:p>
      <w:pPr>
        <w:spacing w:after="0" w:line="189" w:lineRule="exact"/>
        <w:rPr>
          <w:sz w:val="20"/>
          <w:szCs w:val="20"/>
          <w:color w:val="auto"/>
        </w:rPr>
      </w:pPr>
    </w:p>
    <w:p>
      <w:pPr>
        <w:jc w:val="both"/>
        <w:ind w:right="20"/>
        <w:spacing w:after="0" w:line="289" w:lineRule="auto"/>
        <w:rPr>
          <w:sz w:val="20"/>
          <w:szCs w:val="20"/>
          <w:color w:val="auto"/>
        </w:rPr>
      </w:pPr>
      <w:r>
        <w:rPr>
          <w:rFonts w:ascii="Times New Roman" w:cs="Times New Roman" w:eastAsia="Times New Roman" w:hAnsi="Times New Roman"/>
          <w:sz w:val="17"/>
          <w:szCs w:val="17"/>
          <w:color w:val="auto"/>
        </w:rPr>
        <w:t>The Company and the Company’s licensors’, licensees’ or collaboration partners’ patent applications cannot be enforced against third parties practicing the technology claimed in such applications unless and until a patent issues from such applications, and then only to the extent the issued claims cover the technology. In addition, patents and other intellectual property rights also will not protect the Company’s current and any future therapeutic candidates if third parties, including the Company’s competitors, design around the Company’s protected technology and the Company’s current and any future therapeutic candidates without infringing, misappropriating or otherwise violating the Company’s patents or other intellectual property rights. Moreover, some of the Company’s patents and patent applications may in the future be co-owned with third parties. If the Company is unable to obtain an exclusive license to any such third-party co-owners’ interest in such patents or patent applications, such co-owners may be able to license their rights to other third parties, including the Company’s competitors, and the Company’s competitors could market competing therapies and technology. In addition, the Company may need the cooperation of any such co-owners of its patents in order to enforce such patents against third parties, and such cooperation may not be provided. 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102</w:t>
      </w:r>
    </w:p>
    <w:p>
      <w:pPr>
        <w:sectPr>
          <w:pgSz w:w="11900" w:h="16838" w:orient="portrait"/>
          <w:cols w:equalWidth="0" w:num="1">
            <w:col w:w="11260"/>
          </w:cols>
          <w:pgMar w:left="320" w:top="1291" w:right="319" w:bottom="1440" w:gutter="0" w:footer="0" w:header="0"/>
        </w:sectPr>
      </w:pPr>
    </w:p>
    <w:bookmarkStart w:id="128" w:name="page129"/>
    <w:bookmarkEnd w:id="128"/>
    <w:p>
      <w:pPr>
        <w:jc w:val="both"/>
        <w:ind w:right="20"/>
        <w:spacing w:after="0" w:line="295" w:lineRule="auto"/>
        <w:rPr>
          <w:sz w:val="20"/>
          <w:szCs w:val="20"/>
          <w:color w:val="auto"/>
        </w:rPr>
      </w:pPr>
      <w:r>
        <w:rPr>
          <w:rFonts w:ascii="Times New Roman" w:cs="Times New Roman" w:eastAsia="Times New Roman" w:hAnsi="Times New Roman"/>
          <w:sz w:val="18"/>
          <w:szCs w:val="18"/>
          <w:color w:val="auto"/>
        </w:rPr>
        <w:t>of the foregoing could have a material adverse effect on the Company’s competitive position, business, financial conditions, results of operations, and prospects.</w:t>
      </w:r>
    </w:p>
    <w:p>
      <w:pPr>
        <w:spacing w:after="0" w:line="168"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18"/>
          <w:szCs w:val="18"/>
          <w:color w:val="auto"/>
        </w:rPr>
        <w:t>Because patent applications are confidential for a period of time after filing, and some remain so until issued, the Company cannot be certain that the Company or its current or future licensors, licensees or collaborators were or will be the first to file any patent application related to a therapeutic candidate. Even where the Company has a valid and enforceable patent, it may not be able to exclude others from practicing the Company’s invention where the other party can show that they used the invention in commerce before the Company’s filing date or the other party benefits from a compulsory license. In addition, the Company may be subject to third-party challenges regarding the Company’s exclusive ownership of the Company’s intellectual property. If a third party were successful in challenging the Company’s exclusive ownership of any of the Company’s intellectual property, the Company may lose its right to use such intellectual property, such third party may be able to license such intellectual property to other third parties, including the Company’s competitors, and the Company’s competitors could market competing therapies and technology. Any of the foregoing could have a material adverse effect on the Company’s competitive position, business, financial conditions, results of operations, and prospects.</w:t>
      </w:r>
    </w:p>
    <w:p>
      <w:pPr>
        <w:spacing w:after="0" w:line="205" w:lineRule="exact"/>
        <w:rPr>
          <w:sz w:val="20"/>
          <w:szCs w:val="20"/>
          <w:color w:val="auto"/>
        </w:rPr>
      </w:pPr>
    </w:p>
    <w:p>
      <w:pPr>
        <w:jc w:val="both"/>
        <w:spacing w:after="0" w:line="291" w:lineRule="auto"/>
        <w:rPr>
          <w:sz w:val="20"/>
          <w:szCs w:val="20"/>
          <w:color w:val="auto"/>
        </w:rPr>
      </w:pPr>
      <w:r>
        <w:rPr>
          <w:rFonts w:ascii="Times New Roman" w:cs="Times New Roman" w:eastAsia="Times New Roman" w:hAnsi="Times New Roman"/>
          <w:sz w:val="18"/>
          <w:szCs w:val="18"/>
          <w:color w:val="auto"/>
        </w:rPr>
        <w:t>As is the case with other biotechnology and pharmaceutical companies, the Company’s success is heavily dependent on intellectual property rights, particularly patents. Obtaining and enforcing patents in the breakthrough neuropsychiatry industry is a technologically and legally complex process, and obtaining and enforcing breakthrough neuropsychiatry patents is costly, time consuming and inherently uncertain. Recent patent reform legislation could increase the uncertainties and costs surrounding the prosecution of the Company’s and its licensors’ or collaborators’ patent applications and the enforcement or defense of the Company or its licensors’ or collaborators’ issued patents.</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Patent Litigation and Intellectual Property</w:t>
      </w:r>
    </w:p>
    <w:p>
      <w:pPr>
        <w:spacing w:after="0" w:line="232" w:lineRule="exact"/>
        <w:rPr>
          <w:sz w:val="20"/>
          <w:szCs w:val="20"/>
          <w:color w:val="auto"/>
        </w:rPr>
      </w:pPr>
    </w:p>
    <w:p>
      <w:pPr>
        <w:jc w:val="both"/>
        <w:ind w:right="20"/>
        <w:spacing w:after="0" w:line="294" w:lineRule="auto"/>
        <w:rPr>
          <w:sz w:val="20"/>
          <w:szCs w:val="20"/>
          <w:color w:val="auto"/>
        </w:rPr>
      </w:pPr>
      <w:r>
        <w:rPr>
          <w:rFonts w:ascii="Times New Roman" w:cs="Times New Roman" w:eastAsia="Times New Roman" w:hAnsi="Times New Roman"/>
          <w:sz w:val="18"/>
          <w:szCs w:val="18"/>
          <w:color w:val="auto"/>
        </w:rPr>
        <w:t>The Company has filed a number of provisional patent applications but even if regular patent applications are filed claiming priority to one or more of the provisional patent applications, there can be no assurance that any or all of these patent applications will issue into a valid patent. Such failure to issue could have a material adverse effect on the Company. In the event that a patent issued to the Company is challenged, any of the Company’s patents may be invalidated. The Company could also become involved in interference or impeachment proceedings in connection with one or more of its patents or patent applications to determine priority of invention.</w:t>
      </w:r>
    </w:p>
    <w:p>
      <w:pPr>
        <w:spacing w:after="0" w:line="159" w:lineRule="exact"/>
        <w:rPr>
          <w:sz w:val="20"/>
          <w:szCs w:val="20"/>
          <w:color w:val="auto"/>
        </w:rPr>
      </w:pPr>
    </w:p>
    <w:p>
      <w:pPr>
        <w:jc w:val="both"/>
        <w:spacing w:after="0" w:line="289" w:lineRule="auto"/>
        <w:rPr>
          <w:sz w:val="20"/>
          <w:szCs w:val="20"/>
          <w:color w:val="auto"/>
        </w:rPr>
      </w:pPr>
      <w:r>
        <w:rPr>
          <w:rFonts w:ascii="Times New Roman" w:cs="Times New Roman" w:eastAsia="Times New Roman" w:hAnsi="Times New Roman"/>
          <w:sz w:val="18"/>
          <w:szCs w:val="18"/>
          <w:color w:val="auto"/>
        </w:rPr>
        <w:t>Patent litigation is widespread in the pharmaceutical industry and the Company cannot predict how this will affect its efforts to form strategic alliances, conduct clinical testing, or manufacture and market any of its prescription drug product candidates that it may successfully develop. If the Company becomes involved in any litigation, interference, impeachment or other administrative proceedings, it will likely incur substantial expenses and the efforts of its technical and management personnel will be significantly diverted. The Company cannot make any assurances that it will have the financial or other resources necessary to enforce or defend a patent infringement or proprietary rights violation action. Moreover, if the Company’s products infringe patents, trademarks or proprietary rights of others, it could, in certain circumstances, become liable for substantial damages, which also could have a material adverse effect on the business of the Company, its financial condition and results of operation. Patent litigation is less likely during development as many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103</w:t>
      </w:r>
    </w:p>
    <w:p>
      <w:pPr>
        <w:sectPr>
          <w:pgSz w:w="11900" w:h="16838" w:orient="portrait"/>
          <w:cols w:equalWidth="0" w:num="1">
            <w:col w:w="11260"/>
          </w:cols>
          <w:pgMar w:left="320" w:top="1291" w:right="319" w:bottom="1440" w:gutter="0" w:footer="0" w:header="0"/>
        </w:sectPr>
      </w:pPr>
    </w:p>
    <w:bookmarkStart w:id="129" w:name="page130"/>
    <w:bookmarkEnd w:id="129"/>
    <w:p>
      <w:pPr>
        <w:jc w:val="both"/>
        <w:spacing w:after="0" w:line="289" w:lineRule="auto"/>
        <w:rPr>
          <w:sz w:val="20"/>
          <w:szCs w:val="20"/>
          <w:color w:val="auto"/>
        </w:rPr>
      </w:pPr>
      <w:r>
        <w:rPr>
          <w:rFonts w:ascii="Times New Roman" w:cs="Times New Roman" w:eastAsia="Times New Roman" w:hAnsi="Times New Roman"/>
          <w:sz w:val="18"/>
          <w:szCs w:val="18"/>
          <w:color w:val="auto"/>
        </w:rPr>
        <w:t>jurisdictions contain exemptions from patent infringement for the purpose of obtaining regulatory approval of a product. Where there is any sharing of patent rights either through co-ownership or different licensed “fields of use”, one owner’s actions could lead to the invalidity of the entire patent. If the Company is unable to avoid infringing the patent rights of others, the Company may be required to seek a licence, defend an infringement action or challenge the validity of the patents in court. Such results could have a material adverse effect on the Company. Regardless of the outcome, patent litigation is costly and time consuming. In some cases, the Company may not have sufficient resources to bring these actions to a successful conclusion, and, even if the Company is successful in these proceedings, it may incur substantial costs and divert management time and attention in pursuing these proceedings, which could have a material adverse effect on the Company.</w:t>
      </w:r>
    </w:p>
    <w:p>
      <w:pPr>
        <w:spacing w:after="0" w:line="177" w:lineRule="exact"/>
        <w:rPr>
          <w:sz w:val="20"/>
          <w:szCs w:val="20"/>
          <w:color w:val="auto"/>
        </w:rPr>
      </w:pPr>
    </w:p>
    <w:p>
      <w:pPr>
        <w:jc w:val="both"/>
        <w:spacing w:after="0" w:line="289" w:lineRule="auto"/>
        <w:rPr>
          <w:sz w:val="20"/>
          <w:szCs w:val="20"/>
          <w:color w:val="auto"/>
        </w:rPr>
      </w:pPr>
      <w:r>
        <w:rPr>
          <w:rFonts w:ascii="Times New Roman" w:cs="Times New Roman" w:eastAsia="Times New Roman" w:hAnsi="Times New Roman"/>
          <w:sz w:val="18"/>
          <w:szCs w:val="18"/>
          <w:color w:val="auto"/>
        </w:rPr>
        <w:t>Any infringement or misappropriation of the Company’s intellectual property could damage its value and limit its ability to compete. In addition, the Company’s ability to enforce and protect its intellectual property rights may be limited in certain countries outside the U.S., which could make it easier for competitors to capture market position in such countries by utilizing technologies that are similar to those developed or licensed by the Company. Competitors may also harm the Company’s sales by designing products that mirror the capabilities of its products or technology without infringing on its intellectual property rights. If the Company does not obtain sufficient protection for its intellectual property, or if it is unable to effectively enforce its intellectual property rights, its competitiveness could be impaired, which would limit its growth and future revenue. The Company may also find it necessary to bring infringement or other actions against third parties to seek to protect its intellectual property rights. Litigation of this nature, even if successful, is often expensive and time-consuming to prosecute and there can be no assurance that the Company will have the financial or other resources to enforce its rights or be able to enforce its rights or prevent other parties from developing similar technology or designing around its intellectual property.</w:t>
      </w:r>
    </w:p>
    <w:p>
      <w:pPr>
        <w:spacing w:after="0" w:line="162" w:lineRule="exact"/>
        <w:rPr>
          <w:sz w:val="20"/>
          <w:szCs w:val="20"/>
          <w:color w:val="auto"/>
        </w:rPr>
      </w:pPr>
    </w:p>
    <w:p>
      <w:pPr>
        <w:jc w:val="both"/>
        <w:spacing w:after="0" w:line="289" w:lineRule="auto"/>
        <w:rPr>
          <w:sz w:val="20"/>
          <w:szCs w:val="20"/>
          <w:color w:val="auto"/>
        </w:rPr>
      </w:pPr>
      <w:r>
        <w:rPr>
          <w:rFonts w:ascii="Times New Roman" w:cs="Times New Roman" w:eastAsia="Times New Roman" w:hAnsi="Times New Roman"/>
          <w:sz w:val="18"/>
          <w:szCs w:val="18"/>
          <w:color w:val="auto"/>
        </w:rPr>
        <w:t>The Company is not aware of any infringement by it of any person’s or entity’s intellectual property rights. In the event that products sold by the Company are deemed to infringe upon the patents or proprietary rights of others, the Company could be required to modify its products or obtain a licence for the manufacture and/or sale of such products or cease selling such products. In such event, there can be no assurance that the Company would be able to do so in a timely manner, upon acceptable terms and conditions, or at all, and the failure to do any of the foregoing could have a material adverse effect upon the Company’s business. If the Company’s products or proposed products are deemed to infringe or likely to infringe upon the patents or proprietary rights of others, the Company could be subject to injunctive relief and, under certain circumstances, become liable for damages, which could also have a material adverse effect on the Company’s business and its financial condition.</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Protection of Intellectual Property</w:t>
      </w:r>
    </w:p>
    <w:p>
      <w:pPr>
        <w:spacing w:after="0" w:line="232" w:lineRule="exact"/>
        <w:rPr>
          <w:sz w:val="20"/>
          <w:szCs w:val="20"/>
          <w:color w:val="auto"/>
        </w:rPr>
      </w:pPr>
    </w:p>
    <w:p>
      <w:pPr>
        <w:jc w:val="both"/>
        <w:ind w:right="20"/>
        <w:spacing w:after="0" w:line="301" w:lineRule="auto"/>
        <w:rPr>
          <w:sz w:val="20"/>
          <w:szCs w:val="20"/>
          <w:color w:val="auto"/>
        </w:rPr>
      </w:pPr>
      <w:r>
        <w:rPr>
          <w:rFonts w:ascii="Times New Roman" w:cs="Times New Roman" w:eastAsia="Times New Roman" w:hAnsi="Times New Roman"/>
          <w:sz w:val="18"/>
          <w:szCs w:val="18"/>
          <w:color w:val="auto"/>
        </w:rPr>
        <w:t>The Company will be able to protect its intellectual property from unauthorized use by third parties only to the extent that the Company’s proprietary technologies, key products and any future products are covered by valid and enforceable intellectual property rights including patents or are effectively maintained as trade secrets and provided the Company has the funds to enforce its rights, if necessary.</w:t>
      </w:r>
    </w:p>
    <w:p>
      <w:pPr>
        <w:spacing w:after="0" w:line="140" w:lineRule="exact"/>
        <w:rPr>
          <w:sz w:val="20"/>
          <w:szCs w:val="20"/>
          <w:color w:val="auto"/>
        </w:rPr>
      </w:pPr>
    </w:p>
    <w:p>
      <w:pPr>
        <w:jc w:val="both"/>
        <w:ind w:right="20"/>
        <w:spacing w:after="0" w:line="295" w:lineRule="auto"/>
        <w:rPr>
          <w:sz w:val="20"/>
          <w:szCs w:val="20"/>
          <w:color w:val="auto"/>
        </w:rPr>
      </w:pPr>
      <w:r>
        <w:rPr>
          <w:rFonts w:ascii="Times New Roman" w:cs="Times New Roman" w:eastAsia="Times New Roman" w:hAnsi="Times New Roman"/>
          <w:sz w:val="18"/>
          <w:szCs w:val="18"/>
          <w:color w:val="auto"/>
        </w:rPr>
        <w:t>To protect the Company’s competitive position, the Company may from time to time need to resort to litigation in order to enforce or defend any patents or other intellectual property rights owned by or licensed to the Company from time to time, or to determine or challenge the scope or validity 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104</w:t>
      </w:r>
    </w:p>
    <w:p>
      <w:pPr>
        <w:sectPr>
          <w:pgSz w:w="11900" w:h="16838" w:orient="portrait"/>
          <w:cols w:equalWidth="0" w:num="1">
            <w:col w:w="11260"/>
          </w:cols>
          <w:pgMar w:left="320" w:top="1303" w:right="319" w:bottom="1440" w:gutter="0" w:footer="0" w:header="0"/>
        </w:sectPr>
      </w:pPr>
    </w:p>
    <w:bookmarkStart w:id="130" w:name="page131"/>
    <w:bookmarkEnd w:id="130"/>
    <w:p>
      <w:pPr>
        <w:jc w:val="both"/>
        <w:spacing w:after="0" w:line="291" w:lineRule="auto"/>
        <w:rPr>
          <w:sz w:val="20"/>
          <w:szCs w:val="20"/>
          <w:color w:val="auto"/>
        </w:rPr>
      </w:pPr>
      <w:r>
        <w:rPr>
          <w:rFonts w:ascii="Times New Roman" w:cs="Times New Roman" w:eastAsia="Times New Roman" w:hAnsi="Times New Roman"/>
          <w:sz w:val="17"/>
          <w:szCs w:val="17"/>
          <w:color w:val="auto"/>
        </w:rPr>
        <w:t>patents or other intellectual property rights of third parties. Enforcement of intellectual property rights is difficult, unpredictable and expensive, and many of the Company’s or the Company’s licensors’ or collaboration partners’ adversaries in these proceedings may have the ability to dedicate substantially greater resources to prosecuting these legal actions than the Company or the Company’s licensors or collaboration partners can. Accordingly, despite the Company’s or the Company’s licensors’ or collaboration partners’ efforts, the Company or the Company’s licensors or collaboration partners may not prevent third parties from infringing upon, misappropriating or otherwise violating intellectual property rights. In the event that products sold by the Company own or control, particularly in countries where the laws may not protect those rights as fully as in the UK, EU, the US and Canada. The Company may fail in enforcing its rights, in which case the Company’s competitors and other third parties may be permitted to use the Company’s therapies without payment to the Company.</w:t>
      </w:r>
    </w:p>
    <w:p>
      <w:pPr>
        <w:spacing w:after="0" w:line="178" w:lineRule="exact"/>
        <w:rPr>
          <w:sz w:val="20"/>
          <w:szCs w:val="20"/>
          <w:color w:val="auto"/>
        </w:rPr>
      </w:pPr>
    </w:p>
    <w:p>
      <w:pPr>
        <w:jc w:val="both"/>
        <w:ind w:right="20"/>
        <w:spacing w:after="0" w:line="280" w:lineRule="auto"/>
        <w:rPr>
          <w:sz w:val="20"/>
          <w:szCs w:val="20"/>
          <w:color w:val="auto"/>
        </w:rPr>
      </w:pPr>
      <w:r>
        <w:rPr>
          <w:rFonts w:ascii="Times New Roman" w:cs="Times New Roman" w:eastAsia="Times New Roman" w:hAnsi="Times New Roman"/>
          <w:sz w:val="18"/>
          <w:szCs w:val="18"/>
          <w:color w:val="auto"/>
        </w:rPr>
        <w:t>In addition, litigation involving the Company’s licensed patents carries the risk that one or more of the Company’s licensed patents will be narrowed, held invalid (in whole or in part, on a claim-by-claim basis) or held unenforceable. Such an adverse court ruling could allow third parties to commercialize the Company’s therapies, and then compete directly with the Company, without payment to the Company.</w:t>
      </w:r>
    </w:p>
    <w:p>
      <w:pPr>
        <w:spacing w:after="0" w:line="182" w:lineRule="exact"/>
        <w:rPr>
          <w:sz w:val="20"/>
          <w:szCs w:val="20"/>
          <w:color w:val="auto"/>
        </w:rPr>
      </w:pPr>
    </w:p>
    <w:p>
      <w:pPr>
        <w:jc w:val="both"/>
        <w:spacing w:after="0" w:line="269" w:lineRule="auto"/>
        <w:rPr>
          <w:sz w:val="20"/>
          <w:szCs w:val="20"/>
          <w:color w:val="auto"/>
        </w:rPr>
      </w:pPr>
      <w:r>
        <w:rPr>
          <w:rFonts w:ascii="Times New Roman" w:cs="Times New Roman" w:eastAsia="Times New Roman" w:hAnsi="Times New Roman"/>
          <w:sz w:val="18"/>
          <w:szCs w:val="18"/>
          <w:color w:val="auto"/>
        </w:rPr>
        <w:t>If the Company were to initiate legal proceedings against a third party to enforce a patent covering one of the Company’s investigational therapies, the defendant could counterclaim that the Company’s patent is invalid or unenforceable. In patent litigation in the UK, EU, the US or Canada, defendant counterclaims alleging invalidity or unenforceability are commonplace. A claim for a validity challenge may be based on failure to meet any of several statutory requirements, for example, lack of novelty, obviousness or non-enablement. A claim for unenforceability assertion could be an allegation that someone connected with prosecution of the patent withheld relevant information from the UK Intellectual Property Office, European Patent Office, the USPTO, the CIPO or made a misleading statement, during prosecution. Third parties may also raise challenges to the validity of the Company’s patent claims before administrative bodies in the US or abroad, even outside the context of litigation. Such mechanisms include re-examination, post-grant review, inter partes review, interference proceedings, derivation proceedings, and equivalent proceedings in foreign jurisdictions (i.e., opposition proceedings). Such proceedings could result in the revocation of, cancellation of, or amendment to the Company’s patents in such a way that they no longer cover the Company’s current or any future therapeutic candidates. The outcome following legal assertions of invalidity and unenforceability during patent litigation or other proceedings is unpredictable. With respect to the validity question, for example, the Company cannot be certain that there is no invalidating prior art, of which the Company and the patent examiner were unaware during prosecution. If a defendant or third party were to prevail on a legal assertion of invalidity or unenforceability, the Company would lose at least part, and perhaps all, of the patent protection on the Company’s current or one or more of any future therapeutic candidates. Such a loss of patent protection could have a material adverse impact on the Company’s business financial condition, results of operations, and prospects. Further, litigation could result in substantial costs and diversion of management resources, regardless of the outcome, and this could harm the Company’s business and financial results.</w:t>
      </w: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Third-Party Licences</w:t>
      </w:r>
    </w:p>
    <w:p>
      <w:pPr>
        <w:spacing w:after="0" w:line="232" w:lineRule="exact"/>
        <w:rPr>
          <w:sz w:val="20"/>
          <w:szCs w:val="20"/>
          <w:color w:val="auto"/>
        </w:rPr>
      </w:pPr>
    </w:p>
    <w:p>
      <w:pPr>
        <w:jc w:val="both"/>
        <w:spacing w:after="0" w:line="323" w:lineRule="auto"/>
        <w:rPr>
          <w:sz w:val="20"/>
          <w:szCs w:val="20"/>
          <w:color w:val="auto"/>
        </w:rPr>
      </w:pPr>
      <w:r>
        <w:rPr>
          <w:rFonts w:ascii="Times New Roman" w:cs="Times New Roman" w:eastAsia="Times New Roman" w:hAnsi="Times New Roman"/>
          <w:sz w:val="18"/>
          <w:szCs w:val="18"/>
          <w:color w:val="auto"/>
        </w:rPr>
        <w:t>A substantial number of patents have already been issued to other biotechnology and pharmaceutical companies. To the extent that valid third-party patent rights cover the Company’s products 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105</w:t>
      </w:r>
    </w:p>
    <w:p>
      <w:pPr>
        <w:sectPr>
          <w:pgSz w:w="11900" w:h="16838" w:orient="portrait"/>
          <w:cols w:equalWidth="0" w:num="1">
            <w:col w:w="11260"/>
          </w:cols>
          <w:pgMar w:left="320" w:top="1291" w:right="319" w:bottom="1440" w:gutter="0" w:footer="0" w:header="0"/>
        </w:sectPr>
      </w:pPr>
    </w:p>
    <w:bookmarkStart w:id="131" w:name="page132"/>
    <w:bookmarkEnd w:id="131"/>
    <w:p>
      <w:pPr>
        <w:jc w:val="both"/>
        <w:ind w:right="20"/>
        <w:spacing w:after="0" w:line="291" w:lineRule="auto"/>
        <w:rPr>
          <w:sz w:val="20"/>
          <w:szCs w:val="20"/>
          <w:color w:val="auto"/>
        </w:rPr>
      </w:pPr>
      <w:r>
        <w:rPr>
          <w:rFonts w:ascii="Times New Roman" w:cs="Times New Roman" w:eastAsia="Times New Roman" w:hAnsi="Times New Roman"/>
          <w:sz w:val="18"/>
          <w:szCs w:val="18"/>
          <w:color w:val="auto"/>
        </w:rPr>
        <w:t>services, the Company or its strategic collaborators would be required to seek licences from the holders of these patents in order to manufacture, use or sell these products and services and payments under them would reduce the Company’s profits from these products and services. The Company is currently unable to predict the extent to which it may wish or be required to acquire rights under such patents, the availability and cost of acquiring such rights and whether a licence to such patents will be available on acceptable terms or at all. There may be patents in the U.S. or in foreign countries or patents issued in the future that are unavailable to licence on acceptable terms. The Company’s inability to obtain such licences may hinder or eliminate its ability to manufacture and market its products.</w:t>
      </w:r>
    </w:p>
    <w:p>
      <w:pPr>
        <w:spacing w:after="0" w:line="162" w:lineRule="exact"/>
        <w:rPr>
          <w:sz w:val="20"/>
          <w:szCs w:val="20"/>
          <w:color w:val="auto"/>
        </w:rPr>
      </w:pPr>
    </w:p>
    <w:p>
      <w:pPr>
        <w:jc w:val="both"/>
        <w:ind w:right="20"/>
        <w:spacing w:after="0" w:line="301" w:lineRule="auto"/>
        <w:rPr>
          <w:sz w:val="20"/>
          <w:szCs w:val="20"/>
          <w:color w:val="auto"/>
        </w:rPr>
      </w:pPr>
      <w:r>
        <w:rPr>
          <w:rFonts w:ascii="Times New Roman" w:cs="Times New Roman" w:eastAsia="Times New Roman" w:hAnsi="Times New Roman"/>
          <w:sz w:val="18"/>
          <w:szCs w:val="18"/>
          <w:color w:val="auto"/>
        </w:rPr>
        <w:t>Further, if the Company obtains third-party licences but fails to pay annual maintenance fees, development and sales milestones, or it is determined that the Company does not use commercially reasonable efforts to commercialize licensed products, the Company could lose its licences which could have a material adverse effect on its business and financial condition.</w:t>
      </w:r>
    </w:p>
    <w:p>
      <w:pPr>
        <w:spacing w:after="0" w:line="152"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color w:val="auto"/>
        </w:rPr>
        <w:t>Periodic maintenance and annuity fees on any issued patent are due to be paid to the UK Intellectual Property Office, the European Patent Office, the USPTO, the CIPO and foreign patent agencies in several stages over the lifetime of the patent. The European Patent Office, the USPTO, the CIPO and various foreign governmental patent agencies also require compliance with a number of procedural, documentary, fee payment and other similar provisions during the patent application process. In certain circumstances, the Company may rely on collaboration partners to pay these fees due to US and comparable foreign patent agencies and take the necessary action to comply with such requirements with respect to the Company’s intellectual property. While an inadvertent lapse can in many cases be cured by payment of a late fee or by other means in accordance with the applicable rules, there are situations in which noncompliance can result in abandonment or lapse of the patent or patent application, resulting in partial or complete loss of patent rights in the relevant jurisdiction. Non-compliance events that could result in abandonment or lapse of a patent or patent application include failure to respond to official actions within prescribed time limits, non-payment of fees and failure to properly legalize and submit formal documents. If the Company, its licensors or collaboration partners fail to maintain the patents and patent applications covering the Company’s investigational therapies, third parties, including its competitors might be able to enter the market with similar or identical therapies or technologies, which would have a material adverse effect on the Company’s business, financial condition, results of operations, and prospects.</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Financial and Accounting Risks</w:t>
      </w:r>
    </w:p>
    <w:p>
      <w:pPr>
        <w:spacing w:after="0" w:line="2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Substantial Number of Authorized but Unissued Common Shares</w:t>
      </w:r>
    </w:p>
    <w:p>
      <w:pPr>
        <w:spacing w:after="0" w:line="256" w:lineRule="exact"/>
        <w:rPr>
          <w:sz w:val="20"/>
          <w:szCs w:val="20"/>
          <w:color w:val="auto"/>
        </w:rPr>
      </w:pPr>
    </w:p>
    <w:p>
      <w:pPr>
        <w:jc w:val="both"/>
        <w:ind w:right="20"/>
        <w:spacing w:after="0" w:line="294" w:lineRule="auto"/>
        <w:rPr>
          <w:sz w:val="20"/>
          <w:szCs w:val="20"/>
          <w:color w:val="auto"/>
        </w:rPr>
      </w:pPr>
      <w:r>
        <w:rPr>
          <w:rFonts w:ascii="Times New Roman" w:cs="Times New Roman" w:eastAsia="Times New Roman" w:hAnsi="Times New Roman"/>
          <w:sz w:val="18"/>
          <w:szCs w:val="18"/>
          <w:color w:val="auto"/>
        </w:rPr>
        <w:t>The Company has an unlimited number of Common Shares that may be issued by the Board without further action or approval of the Shareholders. While the Board will be required to fulfill its fiduciary obligations in connection with the issuance of such Common Shares, the Common Shares may be issued in transactions with which not all of the shareholders of the Company agree, and the issuance of such Common Shares will cause dilution to the ownership interests of the shareholders of the Company.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106</w:t>
      </w:r>
    </w:p>
    <w:p>
      <w:pPr>
        <w:sectPr>
          <w:pgSz w:w="11900" w:h="16838" w:orient="portrait"/>
          <w:cols w:equalWidth="0" w:num="1">
            <w:col w:w="11260"/>
          </w:cols>
          <w:pgMar w:left="320" w:top="1303" w:right="319" w:bottom="1440" w:gutter="0" w:footer="0" w:header="0"/>
        </w:sectPr>
      </w:pPr>
    </w:p>
    <w:bookmarkStart w:id="132" w:name="page133"/>
    <w:bookmarkEnd w:id="132"/>
    <w:p>
      <w:pPr>
        <w:spacing w:after="0"/>
        <w:rPr>
          <w:sz w:val="20"/>
          <w:szCs w:val="20"/>
          <w:color w:val="auto"/>
        </w:rPr>
      </w:pPr>
      <w:r>
        <w:rPr>
          <w:rFonts w:ascii="Times New Roman" w:cs="Times New Roman" w:eastAsia="Times New Roman" w:hAnsi="Times New Roman"/>
          <w:sz w:val="18"/>
          <w:szCs w:val="18"/>
          <w:b w:val="1"/>
          <w:bCs w:val="1"/>
          <w:i w:val="1"/>
          <w:iCs w:val="1"/>
          <w:color w:val="auto"/>
        </w:rPr>
        <w:t>Dilution</w:t>
      </w:r>
    </w:p>
    <w:p>
      <w:pPr>
        <w:spacing w:after="0" w:line="268" w:lineRule="exact"/>
        <w:rPr>
          <w:sz w:val="20"/>
          <w:szCs w:val="20"/>
          <w:color w:val="auto"/>
        </w:rPr>
      </w:pPr>
    </w:p>
    <w:p>
      <w:pPr>
        <w:jc w:val="both"/>
        <w:ind w:right="20"/>
        <w:spacing w:after="0" w:line="288" w:lineRule="auto"/>
        <w:rPr>
          <w:sz w:val="20"/>
          <w:szCs w:val="20"/>
          <w:color w:val="auto"/>
        </w:rPr>
      </w:pPr>
      <w:r>
        <w:rPr>
          <w:rFonts w:ascii="Times New Roman" w:cs="Times New Roman" w:eastAsia="Times New Roman" w:hAnsi="Times New Roman"/>
          <w:sz w:val="18"/>
          <w:szCs w:val="18"/>
          <w:color w:val="auto"/>
        </w:rPr>
        <w:t>The Company may issue additional Common Shares in subsequent offerings (including through the sale of securities convertible into or exchangeable for Common Shares) and on the exercise of stock options or other securities exercisable for Common Shares. The Company cannot predict the size of future issuances of Common Shares or the effect that future issuances and sales of Common Shares will have on the market price of the Common Shares. Issuances of a substantial number of additional Common Shares, or the perception that such issuances could occur, may adversely affect prevailing market prices for the Common Shares. With any additional issuance of Common Shares, investors will suffer dilution to their voting power and the Company may experience dilution in its earnings per share.</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Negative Cash Flow from Operating Activities</w:t>
      </w:r>
    </w:p>
    <w:p>
      <w:pPr>
        <w:spacing w:after="0" w:line="244" w:lineRule="exact"/>
        <w:rPr>
          <w:sz w:val="20"/>
          <w:szCs w:val="20"/>
          <w:color w:val="auto"/>
        </w:rPr>
      </w:pPr>
    </w:p>
    <w:p>
      <w:pPr>
        <w:jc w:val="both"/>
        <w:spacing w:after="0" w:line="277" w:lineRule="auto"/>
        <w:rPr>
          <w:sz w:val="20"/>
          <w:szCs w:val="20"/>
          <w:color w:val="auto"/>
        </w:rPr>
      </w:pPr>
      <w:r>
        <w:rPr>
          <w:rFonts w:ascii="Times New Roman" w:cs="Times New Roman" w:eastAsia="Times New Roman" w:hAnsi="Times New Roman"/>
          <w:sz w:val="18"/>
          <w:szCs w:val="18"/>
          <w:color w:val="auto"/>
        </w:rPr>
        <w:t>The Company has had negative cash flow from operating activities since inception. Drug development involves long lead times, is very expensive and involves many variables of uncertainty. As such, significant capital investment will be required to achieve the Company’s existing plans. The Company’s net losses have had and will continue to have an adverse effect on, among other things, shareholder equity, total assets and working capital. The Company expects that losses may fluctuate from quarter to quarter and year to year, and that such fluctuations may be substantial based on the stage of development of its principal programs. The Company cannot predict when it will become profitable, if at all. Accordingly, the Company may be required to obtain additional financing in order to meet its future cash commitments.</w:t>
      </w:r>
    </w:p>
    <w:p>
      <w:pPr>
        <w:spacing w:after="0" w:line="19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Additional Capital Requirements</w:t>
      </w:r>
    </w:p>
    <w:p>
      <w:pPr>
        <w:spacing w:after="0" w:line="268" w:lineRule="exact"/>
        <w:rPr>
          <w:sz w:val="20"/>
          <w:szCs w:val="20"/>
          <w:color w:val="auto"/>
        </w:rPr>
      </w:pPr>
    </w:p>
    <w:p>
      <w:pPr>
        <w:jc w:val="both"/>
        <w:spacing w:after="0" w:line="288" w:lineRule="auto"/>
        <w:rPr>
          <w:sz w:val="20"/>
          <w:szCs w:val="20"/>
          <w:color w:val="auto"/>
        </w:rPr>
      </w:pPr>
      <w:r>
        <w:rPr>
          <w:rFonts w:ascii="Times New Roman" w:cs="Times New Roman" w:eastAsia="Times New Roman" w:hAnsi="Times New Roman"/>
          <w:sz w:val="18"/>
          <w:szCs w:val="18"/>
          <w:color w:val="auto"/>
        </w:rPr>
        <w:t>As a research and development company, the Company expects to spend substantial funds to continue the research, development and testing of its prescription drug product candidates and to prepare to commercialize products subject to applicable regulatory approval. Substantial additional financing may be required if the Company is to be successful in continuing to develop its business and its products. No assurances can be given that the Company will be able to raise the additional capital that it may require for its anticipated future development. Any additional equity financing may be dilutive to investors and debt financing, if available, may involve restrictions on financing and operating activities. There is no assurance that additional financing will be available on terms acceptable to the Company, if at all. If the Company is unable to obtain additional financing as needed, it may be required to reduce the scope of its operations or anticipated expansion. The Company’s ability to successfully raise additional capital and maintain liquidity may by impaired by factors outside of its control, such as a shift in consumer attitudes towards certain therapeutic methods or a downturn in the economy.</w:t>
      </w:r>
    </w:p>
    <w:p>
      <w:pPr>
        <w:spacing w:after="0" w:line="201" w:lineRule="exact"/>
        <w:rPr>
          <w:sz w:val="20"/>
          <w:szCs w:val="20"/>
          <w:color w:val="auto"/>
        </w:rPr>
      </w:pPr>
    </w:p>
    <w:p>
      <w:pPr>
        <w:jc w:val="both"/>
        <w:ind w:right="20"/>
        <w:spacing w:after="0" w:line="294" w:lineRule="auto"/>
        <w:rPr>
          <w:sz w:val="20"/>
          <w:szCs w:val="20"/>
          <w:color w:val="auto"/>
        </w:rPr>
      </w:pPr>
      <w:r>
        <w:rPr>
          <w:rFonts w:ascii="Times New Roman" w:cs="Times New Roman" w:eastAsia="Times New Roman" w:hAnsi="Times New Roman"/>
          <w:sz w:val="18"/>
          <w:szCs w:val="18"/>
          <w:color w:val="auto"/>
        </w:rPr>
        <w:t>Heightened regulatory scrutiny could have a negative impact on the Company’s ability to raise capital. The Company’s business activities rely on developing laws and regulations in multiple jurisdictions. It is impossible to determine the extent of the impact of any new laws, regulations or initiatives that may be proposed, or whether any proposals will become law. The regulatory uncertainty surrounding the Company’s current or any future products may adversely affect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107</w:t>
      </w:r>
    </w:p>
    <w:p>
      <w:pPr>
        <w:sectPr>
          <w:pgSz w:w="11900" w:h="16838" w:orient="portrait"/>
          <w:cols w:equalWidth="0" w:num="1">
            <w:col w:w="11260"/>
          </w:cols>
          <w:pgMar w:left="320" w:top="1299" w:right="319" w:bottom="1440" w:gutter="0" w:footer="0" w:header="0"/>
        </w:sectPr>
      </w:pPr>
    </w:p>
    <w:bookmarkStart w:id="133" w:name="page134"/>
    <w:bookmarkEnd w:id="133"/>
    <w:p>
      <w:pPr>
        <w:spacing w:after="0"/>
        <w:rPr>
          <w:sz w:val="20"/>
          <w:szCs w:val="20"/>
          <w:color w:val="auto"/>
        </w:rPr>
      </w:pPr>
      <w:r>
        <w:rPr>
          <w:rFonts w:ascii="Times New Roman" w:cs="Times New Roman" w:eastAsia="Times New Roman" w:hAnsi="Times New Roman"/>
          <w:sz w:val="18"/>
          <w:szCs w:val="18"/>
          <w:color w:val="auto"/>
        </w:rPr>
        <w:t>Company’s business and operations, including without limitation, the Company’s ability to raise additional capital.</w:t>
      </w:r>
    </w:p>
    <w:p>
      <w:pPr>
        <w:spacing w:after="0" w:line="264" w:lineRule="exact"/>
        <w:rPr>
          <w:sz w:val="20"/>
          <w:szCs w:val="20"/>
          <w:color w:val="auto"/>
        </w:rPr>
      </w:pPr>
    </w:p>
    <w:p>
      <w:pPr>
        <w:jc w:val="both"/>
        <w:ind w:right="20"/>
        <w:spacing w:after="0" w:line="294" w:lineRule="auto"/>
        <w:rPr>
          <w:sz w:val="20"/>
          <w:szCs w:val="20"/>
          <w:color w:val="auto"/>
        </w:rPr>
      </w:pPr>
      <w:r>
        <w:rPr>
          <w:rFonts w:ascii="Times New Roman" w:cs="Times New Roman" w:eastAsia="Times New Roman" w:hAnsi="Times New Roman"/>
          <w:sz w:val="18"/>
          <w:szCs w:val="18"/>
          <w:color w:val="auto"/>
        </w:rPr>
        <w:t>In addition, the Company may encounter unforeseen expenses, difficulties, complications, delays and other known or unknown factors in achieving its business objectives. The Company will eventually need to transition from a company with a development focus to a company capable of supporting commercial activities. The Company may not be successful in such a transition.</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Lack of Significant Product Revenue</w:t>
      </w:r>
    </w:p>
    <w:p>
      <w:pPr>
        <w:spacing w:after="0" w:line="256" w:lineRule="exact"/>
        <w:rPr>
          <w:sz w:val="20"/>
          <w:szCs w:val="20"/>
          <w:color w:val="auto"/>
        </w:rPr>
      </w:pPr>
    </w:p>
    <w:p>
      <w:pPr>
        <w:jc w:val="both"/>
        <w:spacing w:after="0" w:line="291" w:lineRule="auto"/>
        <w:rPr>
          <w:sz w:val="20"/>
          <w:szCs w:val="20"/>
          <w:color w:val="auto"/>
        </w:rPr>
      </w:pPr>
      <w:r>
        <w:rPr>
          <w:rFonts w:ascii="Times New Roman" w:cs="Times New Roman" w:eastAsia="Times New Roman" w:hAnsi="Times New Roman"/>
          <w:sz w:val="18"/>
          <w:szCs w:val="18"/>
          <w:color w:val="auto"/>
        </w:rPr>
        <w:t>To date, the Company has generated little product revenue and cannot predict when and if it will generate significant product revenue. The Company’s ability to generate significant product revenue and ultimately become profitable depends upon its ability, alone or with partners, to successfully develop its prescription drug product candidates, obtain regulatory approval and commercialize products, including any of its current prescription drug product candidates or other prescription drug product candidates that it may develop, in-license or acquire in the future. The Company does not anticipate generating revenue from the sale of products for the foreseeable future. The Company expects its research and development expenses to increase in connection with its ongoing activities, particularly as it advances its prescription drug product candidates through clinical trials.</w:t>
      </w:r>
    </w:p>
    <w:p>
      <w:pPr>
        <w:spacing w:after="0" w:line="19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Estimates or Judgments Relating to Critical Accounting Policies</w:t>
      </w:r>
    </w:p>
    <w:p>
      <w:pPr>
        <w:spacing w:after="0" w:line="256" w:lineRule="exact"/>
        <w:rPr>
          <w:sz w:val="20"/>
          <w:szCs w:val="20"/>
          <w:color w:val="auto"/>
        </w:rPr>
      </w:pPr>
    </w:p>
    <w:p>
      <w:pPr>
        <w:jc w:val="both"/>
        <w:spacing w:after="0" w:line="290" w:lineRule="auto"/>
        <w:rPr>
          <w:sz w:val="20"/>
          <w:szCs w:val="20"/>
          <w:color w:val="auto"/>
        </w:rPr>
      </w:pPr>
      <w:r>
        <w:rPr>
          <w:rFonts w:ascii="Times New Roman" w:cs="Times New Roman" w:eastAsia="Times New Roman" w:hAnsi="Times New Roman"/>
          <w:sz w:val="18"/>
          <w:szCs w:val="18"/>
          <w:color w:val="auto"/>
        </w:rPr>
        <w:t>The preparation of Financial Statements in conformity with the International Financial Reporting Standards requires management to make estimates and assumptions that affect the amounts reported in the Financial Statements and accompanying notes. The Company bases its estimates on historical experience and on various other assumptions that it believes to be reasonable under the circumstances, as provided in the notes to the Financial Statements, the results of which form the basis for making judgments about the carrying values of assets, liabilities, equity, revenue and expenses that are not readily apparent from other sources. The Company’s operating results may be adversely affected if the assumptions change or if actual circumstances differ from those in the assumptions, which could cause its operating results to fall below the expectations of securities analysts and investors, resulting in a decline in the share price of the Company. Significant assumptions and estimates used in preparing the Financial Statements include those related to income tax credits receivable, share based payments, impairment of non-financial assets, fair value of biological assets, as well as cost recognition.</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Inadequate Internal Controls</w:t>
      </w:r>
    </w:p>
    <w:p>
      <w:pPr>
        <w:spacing w:after="0" w:line="256" w:lineRule="exact"/>
        <w:rPr>
          <w:sz w:val="20"/>
          <w:szCs w:val="20"/>
          <w:color w:val="auto"/>
        </w:rPr>
      </w:pPr>
    </w:p>
    <w:p>
      <w:pPr>
        <w:jc w:val="both"/>
        <w:ind w:right="20"/>
        <w:spacing w:after="0" w:line="294" w:lineRule="auto"/>
        <w:rPr>
          <w:sz w:val="20"/>
          <w:szCs w:val="20"/>
          <w:color w:val="auto"/>
        </w:rPr>
      </w:pPr>
      <w:r>
        <w:rPr>
          <w:rFonts w:ascii="Times New Roman" w:cs="Times New Roman" w:eastAsia="Times New Roman" w:hAnsi="Times New Roman"/>
          <w:sz w:val="18"/>
          <w:szCs w:val="18"/>
          <w:color w:val="auto"/>
        </w:rPr>
        <w:t>If the Company fails to maintain an effective system of internal controls, the Company might not be able to report its financial results accurately or prevent misstatement; and in that case, the Company’s shareholders could lose confidence in its financial reporting, which would harm its business and could negatively impact the value of its shares. While the Company believes that it has sufficient personnel and review procedures to allow it to maintain an effective system of internal controls, there can be no assurance that the Company will always successfully detect misstatements or implement necessary improvements in a timely fashion.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108</w:t>
      </w:r>
    </w:p>
    <w:p>
      <w:pPr>
        <w:sectPr>
          <w:pgSz w:w="11900" w:h="16838" w:orient="portrait"/>
          <w:cols w:equalWidth="0" w:num="1">
            <w:col w:w="11260"/>
          </w:cols>
          <w:pgMar w:left="320" w:top="1303" w:right="319" w:bottom="1440" w:gutter="0" w:footer="0" w:header="0"/>
        </w:sectPr>
      </w:pPr>
    </w:p>
    <w:bookmarkStart w:id="134" w:name="page135"/>
    <w:bookmarkEnd w:id="134"/>
    <w:p>
      <w:pPr>
        <w:spacing w:after="0" w:line="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Risks Related to the Common Shares</w:t>
      </w:r>
    </w:p>
    <w:p>
      <w:pPr>
        <w:spacing w:after="0" w:line="2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Market for the Common Shares</w:t>
      </w:r>
    </w:p>
    <w:p>
      <w:pPr>
        <w:spacing w:after="0" w:line="232" w:lineRule="exact"/>
        <w:rPr>
          <w:sz w:val="20"/>
          <w:szCs w:val="20"/>
          <w:color w:val="auto"/>
        </w:rPr>
      </w:pPr>
    </w:p>
    <w:p>
      <w:pPr>
        <w:jc w:val="both"/>
        <w:spacing w:after="0" w:line="288" w:lineRule="auto"/>
        <w:rPr>
          <w:sz w:val="20"/>
          <w:szCs w:val="20"/>
          <w:color w:val="auto"/>
        </w:rPr>
      </w:pPr>
      <w:r>
        <w:rPr>
          <w:rFonts w:ascii="Times New Roman" w:cs="Times New Roman" w:eastAsia="Times New Roman" w:hAnsi="Times New Roman"/>
          <w:sz w:val="18"/>
          <w:szCs w:val="18"/>
          <w:color w:val="auto"/>
        </w:rPr>
        <w:t>There can be no assurance that an active trading market for the Common Shares will develop or, if developed, that any market will be sustained. The Company cannot predict the prices at which the Common Shares will trade. Fluctuations in the market price of the Common Shares could cause an investor to lose all or part of its investment in Common Shares. Factors that could cause fluctuations in the trading price of the Common Shares include: (i) announcements of new offerings, products, services or technologies; commercial relationships, acquisitions or other events by the Company or its competitors; (ii) price and volume fluctuations in the overall stock market from time to time; (iii) significant volatility in the market price and trading volume of companies commercializing psychedelic pharmaceuticals; (iv) fluctuations in the trading volume of the Common Shares or the size of the Company’s public float; (v) actual or anticipated changes or fluctuations in the Company’s results of operations; (vi) whether the Company’s results of operations meet the expectations of securities analysts or investors; (vii) actual or anticipated changes in the expectations of investors or securities analysts; (viii) litigation involving the Company, its industry, or both; (ix) regulatory developments; (x) general economic conditions and trends; (xi) major catastrophic events; (xii) escrow releases, sales of large blocks of the Common Shares; (xiii) departures of key employees or members of management; or (xiv) an adverse impact on the Company from any of the other risks cited herein.</w:t>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Significant Sales of the Common Shares</w:t>
      </w:r>
    </w:p>
    <w:p>
      <w:pPr>
        <w:spacing w:after="0" w:line="244" w:lineRule="exact"/>
        <w:rPr>
          <w:sz w:val="20"/>
          <w:szCs w:val="20"/>
          <w:color w:val="auto"/>
        </w:rPr>
      </w:pPr>
    </w:p>
    <w:p>
      <w:pPr>
        <w:jc w:val="both"/>
        <w:spacing w:after="0" w:line="291" w:lineRule="auto"/>
        <w:rPr>
          <w:sz w:val="20"/>
          <w:szCs w:val="20"/>
          <w:color w:val="auto"/>
        </w:rPr>
      </w:pPr>
      <w:r>
        <w:rPr>
          <w:rFonts w:ascii="Times New Roman" w:cs="Times New Roman" w:eastAsia="Times New Roman" w:hAnsi="Times New Roman"/>
          <w:sz w:val="18"/>
          <w:szCs w:val="18"/>
          <w:color w:val="auto"/>
        </w:rPr>
        <w:t>Although Common Shares held by existing shareholders of the Company will be freely tradable under applicable securities legislation, the Common Shares held by the Company’s directors, executive officers, Control persons and certain other securityholders may be subject to contractual lock-up restrictions and may also be subject to escrow restrictions pursuant to the policies of the Exchange. Sales of a substantial number of the Common Shares in the public market after the expiry of lock-up or escrow restrictions, or the perception that these sales could occur, could adversely affect the market price of the Common Shares and may make it more difficult for investors to sell Common Shares at a favourable time and price.</w:t>
      </w:r>
    </w:p>
    <w:p>
      <w:pPr>
        <w:spacing w:after="0" w:line="1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Volatile Market Price for the Common Shares</w:t>
      </w:r>
    </w:p>
    <w:p>
      <w:pPr>
        <w:spacing w:after="0" w:line="232" w:lineRule="exact"/>
        <w:rPr>
          <w:sz w:val="20"/>
          <w:szCs w:val="20"/>
          <w:color w:val="auto"/>
        </w:rPr>
      </w:pPr>
    </w:p>
    <w:p>
      <w:pPr>
        <w:jc w:val="both"/>
        <w:ind w:right="20"/>
        <w:spacing w:after="0" w:line="291" w:lineRule="auto"/>
        <w:rPr>
          <w:sz w:val="20"/>
          <w:szCs w:val="20"/>
          <w:color w:val="auto"/>
        </w:rPr>
      </w:pPr>
      <w:r>
        <w:rPr>
          <w:rFonts w:ascii="Times New Roman" w:cs="Times New Roman" w:eastAsia="Times New Roman" w:hAnsi="Times New Roman"/>
          <w:sz w:val="18"/>
          <w:szCs w:val="18"/>
          <w:color w:val="auto"/>
        </w:rPr>
        <w:t>The securities market in Canada has experienced a high level of price and volume volatility, and the market prices of securities of many companies have experienced wide fluctuations in price which have not necessarily been related to the operating performance, underlying asset values or prospects of such companies. There can be no assurance that continual fluctuations in price will not occur. It may be anticipated that any market for the Common Shares will be subject to market trends generally, notwithstanding any potential success of the Company. The value of the Common Shares distributed hereunder will be affected by such volatility.</w:t>
      </w:r>
    </w:p>
    <w:p>
      <w:pPr>
        <w:spacing w:after="0" w:line="172" w:lineRule="exact"/>
        <w:rPr>
          <w:sz w:val="20"/>
          <w:szCs w:val="20"/>
          <w:color w:val="auto"/>
        </w:rPr>
      </w:pPr>
    </w:p>
    <w:p>
      <w:pPr>
        <w:jc w:val="both"/>
        <w:ind w:right="20"/>
        <w:spacing w:after="0" w:line="309" w:lineRule="auto"/>
        <w:rPr>
          <w:sz w:val="20"/>
          <w:szCs w:val="20"/>
          <w:color w:val="auto"/>
        </w:rPr>
      </w:pPr>
      <w:r>
        <w:rPr>
          <w:rFonts w:ascii="Times New Roman" w:cs="Times New Roman" w:eastAsia="Times New Roman" w:hAnsi="Times New Roman"/>
          <w:sz w:val="18"/>
          <w:szCs w:val="18"/>
          <w:color w:val="auto"/>
        </w:rPr>
        <w:t>The volatility of the Common Shares may affect the ability of holders to sell the Common Shares at an advantageous price or at all. Market price fluctuations in the Common Shares may be adversely affected by a variety of factors relating to the Company’s business, including fluctuations in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109</w:t>
      </w:r>
    </w:p>
    <w:p>
      <w:pPr>
        <w:sectPr>
          <w:pgSz w:w="11900" w:h="16838" w:orient="portrait"/>
          <w:cols w:equalWidth="0" w:num="1">
            <w:col w:w="11260"/>
          </w:cols>
          <w:pgMar w:left="320" w:top="1440" w:right="319" w:bottom="1440" w:gutter="0" w:footer="0" w:header="0"/>
        </w:sectPr>
      </w:pPr>
    </w:p>
    <w:bookmarkStart w:id="135" w:name="page136"/>
    <w:bookmarkEnd w:id="135"/>
    <w:p>
      <w:pPr>
        <w:jc w:val="both"/>
        <w:ind w:right="20"/>
        <w:spacing w:after="0" w:line="289" w:lineRule="auto"/>
        <w:rPr>
          <w:sz w:val="20"/>
          <w:szCs w:val="20"/>
          <w:color w:val="auto"/>
        </w:rPr>
      </w:pPr>
      <w:r>
        <w:rPr>
          <w:rFonts w:ascii="Times New Roman" w:cs="Times New Roman" w:eastAsia="Times New Roman" w:hAnsi="Times New Roman"/>
          <w:sz w:val="18"/>
          <w:szCs w:val="18"/>
          <w:color w:val="auto"/>
        </w:rPr>
        <w:t>Company’s operating and financial results, such results failing to meet the expectations of securities analysts or investors and downward revisions in securities analysis’ estimates in connection therewith, sales of additional Common Shares, governmental regulatory action, adverse change in general market conditions or economic trends, acquisitions, dispositions or other material public announcements by the Company or its competitors, along with a variety of additional factors, including, without limitation, those set forth under the heading “Cautionary Note Regarding Forward-Looking Information”. In addition, the market price for securities on stock markets, including the Exchange is subject to significant price and trading fluctuations. These fluctuations have resulted in volatility in the market prices of securities that often has been unrelated or disproportionate to changes in operating performance. These broad market fluctuations may materially adversely affect the market price of the Company.</w:t>
      </w:r>
    </w:p>
    <w:p>
      <w:pPr>
        <w:spacing w:after="0" w:line="177" w:lineRule="exact"/>
        <w:rPr>
          <w:sz w:val="20"/>
          <w:szCs w:val="20"/>
          <w:color w:val="auto"/>
        </w:rPr>
      </w:pPr>
    </w:p>
    <w:p>
      <w:pPr>
        <w:jc w:val="both"/>
        <w:ind w:right="20"/>
        <w:spacing w:after="0" w:line="294" w:lineRule="auto"/>
        <w:rPr>
          <w:sz w:val="20"/>
          <w:szCs w:val="20"/>
          <w:color w:val="auto"/>
        </w:rPr>
      </w:pPr>
      <w:r>
        <w:rPr>
          <w:rFonts w:ascii="Times New Roman" w:cs="Times New Roman" w:eastAsia="Times New Roman" w:hAnsi="Times New Roman"/>
          <w:sz w:val="18"/>
          <w:szCs w:val="18"/>
          <w:color w:val="auto"/>
        </w:rPr>
        <w:t>Additionally, the value of the Common Shares is subject to market value fluctuations based upon factors that influence the Company’s operations, such as legislative or regulatory developments, competition, technological change and changes in interest rates or foreign exchange rates. There can be no assurance that the market price of the Common Shares will not experience significant fluctuations in the future, including fluctuations that are unrelated to the Company’s performance.</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Tax Issues</w:t>
      </w:r>
    </w:p>
    <w:p>
      <w:pPr>
        <w:spacing w:after="0" w:line="244" w:lineRule="exact"/>
        <w:rPr>
          <w:sz w:val="20"/>
          <w:szCs w:val="20"/>
          <w:color w:val="auto"/>
        </w:rPr>
      </w:pPr>
    </w:p>
    <w:p>
      <w:pPr>
        <w:jc w:val="both"/>
        <w:ind w:right="20"/>
        <w:spacing w:after="0" w:line="309" w:lineRule="auto"/>
        <w:rPr>
          <w:sz w:val="20"/>
          <w:szCs w:val="20"/>
          <w:color w:val="auto"/>
        </w:rPr>
      </w:pPr>
      <w:r>
        <w:rPr>
          <w:rFonts w:ascii="Times New Roman" w:cs="Times New Roman" w:eastAsia="Times New Roman" w:hAnsi="Times New Roman"/>
          <w:sz w:val="18"/>
          <w:szCs w:val="18"/>
          <w:color w:val="auto"/>
        </w:rPr>
        <w:t>There may be income tax consequences in relation to the Common Shares, which will vary according to circumstances. Independent advice from tax and legal advisers should be obtained.</w:t>
      </w:r>
    </w:p>
    <w:p>
      <w:pPr>
        <w:spacing w:after="0" w:line="14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No Dividends</w:t>
      </w:r>
    </w:p>
    <w:p>
      <w:pPr>
        <w:spacing w:after="0" w:line="244" w:lineRule="exact"/>
        <w:rPr>
          <w:sz w:val="20"/>
          <w:szCs w:val="20"/>
          <w:color w:val="auto"/>
        </w:rPr>
      </w:pPr>
    </w:p>
    <w:p>
      <w:pPr>
        <w:jc w:val="both"/>
        <w:spacing w:after="0" w:line="316" w:lineRule="auto"/>
        <w:rPr>
          <w:sz w:val="20"/>
          <w:szCs w:val="20"/>
          <w:color w:val="auto"/>
        </w:rPr>
      </w:pPr>
      <w:r>
        <w:rPr>
          <w:rFonts w:ascii="Times New Roman" w:cs="Times New Roman" w:eastAsia="Times New Roman" w:hAnsi="Times New Roman"/>
          <w:sz w:val="17"/>
          <w:szCs w:val="17"/>
          <w:color w:val="auto"/>
        </w:rPr>
        <w:t>The Company’s current policy is, and will be, to retain earnings to finance the development and enhancement of its products and to otherwise reinvest in the Company. Therefore, the Company does not anticipate paying cash dividends on the Common Shares in the foreseeable future. The Company’s dividend policy will be reviewed from time to time by the Board in the context of its earnings, financial condition and other relevant factors. Until the time that the Company does pay dividends, which it might never do, its shareholders will not be able to receive a return on their Common Shares unless they sell them.</w:t>
      </w:r>
    </w:p>
    <w:p>
      <w:pPr>
        <w:spacing w:after="0" w:line="1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ADDITIONAL INFORMATION</w:t>
      </w:r>
    </w:p>
    <w:p>
      <w:pPr>
        <w:spacing w:after="0" w:line="2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Additional information on the Company has been filed electronically through SEDAR+ and is available online at </w:t>
      </w:r>
      <w:r>
        <w:rPr>
          <w:rFonts w:ascii="Times New Roman" w:cs="Times New Roman" w:eastAsia="Times New Roman" w:hAnsi="Times New Roman"/>
          <w:sz w:val="18"/>
          <w:szCs w:val="18"/>
          <w:i w:val="1"/>
          <w:iCs w:val="1"/>
          <w:color w:val="auto"/>
        </w:rPr>
        <w:t>www.sedarplus.ca</w:t>
      </w:r>
      <w:r>
        <w:rPr>
          <w:rFonts w:ascii="Times New Roman" w:cs="Times New Roman" w:eastAsia="Times New Roman" w:hAnsi="Times New Roman"/>
          <w:sz w:val="18"/>
          <w:szCs w:val="18"/>
          <w:color w:val="auto"/>
        </w:rPr>
        <w:t>.</w:t>
      </w:r>
    </w:p>
    <w:p>
      <w:pPr>
        <w:spacing w:after="0" w:line="22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Approval</w:t>
      </w:r>
    </w:p>
    <w:p>
      <w:pPr>
        <w:spacing w:after="0" w:line="24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Board has approved the disclosure in this MD&amp;A.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110</w:t>
      </w:r>
    </w:p>
    <w:p>
      <w:pPr>
        <w:sectPr>
          <w:pgSz w:w="11900" w:h="16838" w:orient="portrait"/>
          <w:cols w:equalWidth="0" w:num="1">
            <w:col w:w="11260"/>
          </w:cols>
          <w:pgMar w:left="320" w:top="1303" w:right="319" w:bottom="1440" w:gutter="0" w:footer="0" w:header="0"/>
        </w:sectPr>
      </w:pPr>
    </w:p>
    <w:bookmarkStart w:id="136" w:name="page137"/>
    <w:bookmarkEnd w:id="136"/>
    <w:p>
      <w:pPr>
        <w:jc w:val="center"/>
        <w:spacing w:after="0"/>
        <w:rPr>
          <w:sz w:val="20"/>
          <w:szCs w:val="20"/>
          <w:color w:val="auto"/>
        </w:rPr>
      </w:pPr>
      <w:r>
        <w:rPr>
          <w:rFonts w:ascii="Times New Roman" w:cs="Times New Roman" w:eastAsia="Times New Roman" w:hAnsi="Times New Roman"/>
          <w:sz w:val="16"/>
          <w:szCs w:val="16"/>
          <w:b w:val="1"/>
          <w:bCs w:val="1"/>
          <w:color w:val="auto"/>
        </w:rPr>
        <w:t>FORM 52-109F2</w:t>
      </w:r>
    </w:p>
    <w:p>
      <w:pPr>
        <w:spacing w:after="0" w:line="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CERTIFICATION OF INTERIM FILINGS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FULL CERTIFICATE</w:t>
      </w: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I, Douglas Drysdale, as Chief Executive Officer of Cybin Inc., certify the following:</w:t>
      </w:r>
    </w:p>
    <w:p>
      <w:pPr>
        <w:spacing w:after="0" w:line="223" w:lineRule="exact"/>
        <w:rPr>
          <w:sz w:val="20"/>
          <w:szCs w:val="20"/>
          <w:color w:val="auto"/>
        </w:rPr>
      </w:pPr>
    </w:p>
    <w:p>
      <w:pPr>
        <w:ind w:left="580" w:hanging="293"/>
        <w:spacing w:after="0" w:line="290" w:lineRule="auto"/>
        <w:tabs>
          <w:tab w:leader="none" w:pos="580" w:val="left"/>
        </w:tabs>
        <w:numPr>
          <w:ilvl w:val="0"/>
          <w:numId w:val="5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b w:val="1"/>
          <w:bCs w:val="1"/>
          <w:i w:val="1"/>
          <w:iCs w:val="1"/>
          <w:color w:val="auto"/>
        </w:rPr>
        <w:t xml:space="preserve">Review: </w:t>
      </w:r>
      <w:r>
        <w:rPr>
          <w:rFonts w:ascii="Times New Roman" w:cs="Times New Roman" w:eastAsia="Times New Roman" w:hAnsi="Times New Roman"/>
          <w:sz w:val="16"/>
          <w:szCs w:val="16"/>
          <w:color w:val="auto"/>
        </w:rPr>
        <w:t>I have reviewed the interim financial statements and interim MD&amp;A (together, the “interim filings”) of Cybin Inc. (the “issuer”) for the interim period</w:t>
      </w:r>
      <w:r>
        <w:rPr>
          <w:rFonts w:ascii="Times New Roman" w:cs="Times New Roman" w:eastAsia="Times New Roman" w:hAnsi="Times New Roman"/>
          <w:sz w:val="16"/>
          <w:szCs w:val="16"/>
          <w:b w:val="1"/>
          <w:bCs w:val="1"/>
          <w:i w:val="1"/>
          <w:iCs w:val="1"/>
          <w:color w:val="auto"/>
        </w:rPr>
        <w:t xml:space="preserve"> </w:t>
      </w:r>
      <w:r>
        <w:rPr>
          <w:rFonts w:ascii="Times New Roman" w:cs="Times New Roman" w:eastAsia="Times New Roman" w:hAnsi="Times New Roman"/>
          <w:sz w:val="16"/>
          <w:szCs w:val="16"/>
          <w:color w:val="auto"/>
        </w:rPr>
        <w:t>ended September 30, 2024.</w:t>
      </w:r>
    </w:p>
    <w:p>
      <w:pPr>
        <w:spacing w:after="0" w:line="159" w:lineRule="exact"/>
        <w:rPr>
          <w:rFonts w:ascii="Times New Roman" w:cs="Times New Roman" w:eastAsia="Times New Roman" w:hAnsi="Times New Roman"/>
          <w:sz w:val="16"/>
          <w:szCs w:val="16"/>
          <w:color w:val="auto"/>
        </w:rPr>
      </w:pPr>
    </w:p>
    <w:p>
      <w:pPr>
        <w:jc w:val="both"/>
        <w:ind w:left="580" w:hanging="293"/>
        <w:spacing w:after="0" w:line="271" w:lineRule="auto"/>
        <w:tabs>
          <w:tab w:leader="none" w:pos="580" w:val="left"/>
        </w:tabs>
        <w:numPr>
          <w:ilvl w:val="0"/>
          <w:numId w:val="5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b w:val="1"/>
          <w:bCs w:val="1"/>
          <w:i w:val="1"/>
          <w:iCs w:val="1"/>
          <w:color w:val="auto"/>
        </w:rPr>
        <w:t>No misrepresentations</w:t>
      </w:r>
      <w:r>
        <w:rPr>
          <w:rFonts w:ascii="Times New Roman" w:cs="Times New Roman" w:eastAsia="Times New Roman" w:hAnsi="Times New Roman"/>
          <w:sz w:val="16"/>
          <w:szCs w:val="16"/>
          <w:color w:val="auto"/>
        </w:rPr>
        <w:t>: Based on my knowledge, having exercised reasonable diligence, the interim filings do not contain any untrue statement of a material fact or</w:t>
      </w:r>
      <w:r>
        <w:rPr>
          <w:rFonts w:ascii="Times New Roman" w:cs="Times New Roman" w:eastAsia="Times New Roman" w:hAnsi="Times New Roman"/>
          <w:sz w:val="16"/>
          <w:szCs w:val="16"/>
          <w:b w:val="1"/>
          <w:bCs w:val="1"/>
          <w:i w:val="1"/>
          <w:iCs w:val="1"/>
          <w:color w:val="auto"/>
        </w:rPr>
        <w:t xml:space="preserve"> </w:t>
      </w:r>
      <w:r>
        <w:rPr>
          <w:rFonts w:ascii="Times New Roman" w:cs="Times New Roman" w:eastAsia="Times New Roman" w:hAnsi="Times New Roman"/>
          <w:sz w:val="16"/>
          <w:szCs w:val="16"/>
          <w:color w:val="auto"/>
        </w:rPr>
        <w:t>omit to state a material fact required to be stated or that is necessary to make a statement not misleading in light of the circumstances under which it was made, with respect to the period covered by the interim filings.</w:t>
      </w:r>
    </w:p>
    <w:p>
      <w:pPr>
        <w:spacing w:after="0" w:line="174" w:lineRule="exact"/>
        <w:rPr>
          <w:rFonts w:ascii="Times New Roman" w:cs="Times New Roman" w:eastAsia="Times New Roman" w:hAnsi="Times New Roman"/>
          <w:sz w:val="16"/>
          <w:szCs w:val="16"/>
          <w:color w:val="auto"/>
        </w:rPr>
      </w:pPr>
    </w:p>
    <w:p>
      <w:pPr>
        <w:jc w:val="both"/>
        <w:ind w:left="580" w:hanging="293"/>
        <w:spacing w:after="0" w:line="271" w:lineRule="auto"/>
        <w:tabs>
          <w:tab w:leader="none" w:pos="580" w:val="left"/>
        </w:tabs>
        <w:numPr>
          <w:ilvl w:val="0"/>
          <w:numId w:val="5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b w:val="1"/>
          <w:bCs w:val="1"/>
          <w:i w:val="1"/>
          <w:iCs w:val="1"/>
          <w:color w:val="auto"/>
        </w:rPr>
        <w:t xml:space="preserve">Fair presentation: </w:t>
      </w:r>
      <w:r>
        <w:rPr>
          <w:rFonts w:ascii="Times New Roman" w:cs="Times New Roman" w:eastAsia="Times New Roman" w:hAnsi="Times New Roman"/>
          <w:sz w:val="16"/>
          <w:szCs w:val="16"/>
          <w:color w:val="auto"/>
        </w:rPr>
        <w:t>Based on my knowledge, having exercised reasonable diligence, the interim financial statements together with the other financial information</w:t>
      </w:r>
      <w:r>
        <w:rPr>
          <w:rFonts w:ascii="Times New Roman" w:cs="Times New Roman" w:eastAsia="Times New Roman" w:hAnsi="Times New Roman"/>
          <w:sz w:val="16"/>
          <w:szCs w:val="16"/>
          <w:b w:val="1"/>
          <w:bCs w:val="1"/>
          <w:i w:val="1"/>
          <w:iCs w:val="1"/>
          <w:color w:val="auto"/>
        </w:rPr>
        <w:t xml:space="preserve"> </w:t>
      </w:r>
      <w:r>
        <w:rPr>
          <w:rFonts w:ascii="Times New Roman" w:cs="Times New Roman" w:eastAsia="Times New Roman" w:hAnsi="Times New Roman"/>
          <w:sz w:val="16"/>
          <w:szCs w:val="16"/>
          <w:color w:val="auto"/>
        </w:rPr>
        <w:t>included in the interim filings fairly present in all material respects the financial condition, results of operations and cash flows of the issuer, as of the date of and for the periods presented in the interim filings.</w:t>
      </w:r>
    </w:p>
    <w:p>
      <w:pPr>
        <w:spacing w:after="0" w:line="174" w:lineRule="exact"/>
        <w:rPr>
          <w:rFonts w:ascii="Times New Roman" w:cs="Times New Roman" w:eastAsia="Times New Roman" w:hAnsi="Times New Roman"/>
          <w:sz w:val="16"/>
          <w:szCs w:val="16"/>
          <w:color w:val="auto"/>
        </w:rPr>
      </w:pPr>
    </w:p>
    <w:p>
      <w:pPr>
        <w:jc w:val="both"/>
        <w:ind w:left="580" w:hanging="293"/>
        <w:spacing w:after="0" w:line="271" w:lineRule="auto"/>
        <w:tabs>
          <w:tab w:leader="none" w:pos="580" w:val="left"/>
        </w:tabs>
        <w:numPr>
          <w:ilvl w:val="0"/>
          <w:numId w:val="5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b w:val="1"/>
          <w:bCs w:val="1"/>
          <w:i w:val="1"/>
          <w:iCs w:val="1"/>
          <w:color w:val="auto"/>
        </w:rPr>
        <w:t xml:space="preserve">Responsibility: </w:t>
      </w:r>
      <w:r>
        <w:rPr>
          <w:rFonts w:ascii="Times New Roman" w:cs="Times New Roman" w:eastAsia="Times New Roman" w:hAnsi="Times New Roman"/>
          <w:sz w:val="16"/>
          <w:szCs w:val="16"/>
          <w:color w:val="auto"/>
        </w:rPr>
        <w:t>The issuer’s other certifying officer(s) and I are responsible for establishing and maintaining disclosure controls and procedures (DC&amp;P) and internal</w:t>
      </w:r>
      <w:r>
        <w:rPr>
          <w:rFonts w:ascii="Times New Roman" w:cs="Times New Roman" w:eastAsia="Times New Roman" w:hAnsi="Times New Roman"/>
          <w:sz w:val="16"/>
          <w:szCs w:val="16"/>
          <w:b w:val="1"/>
          <w:bCs w:val="1"/>
          <w:i w:val="1"/>
          <w:iCs w:val="1"/>
          <w:color w:val="auto"/>
        </w:rPr>
        <w:t xml:space="preserve"> </w:t>
      </w:r>
      <w:r>
        <w:rPr>
          <w:rFonts w:ascii="Times New Roman" w:cs="Times New Roman" w:eastAsia="Times New Roman" w:hAnsi="Times New Roman"/>
          <w:sz w:val="16"/>
          <w:szCs w:val="16"/>
          <w:color w:val="auto"/>
        </w:rPr>
        <w:t>control over financial reporting (ICFR), as those terms are defined in National Instrument 52-109 Certification of Disclosure in Issuers’ Annual and Interim Filings, for the issuer.</w:t>
      </w:r>
    </w:p>
    <w:p>
      <w:pPr>
        <w:spacing w:after="0" w:line="174" w:lineRule="exact"/>
        <w:rPr>
          <w:rFonts w:ascii="Times New Roman" w:cs="Times New Roman" w:eastAsia="Times New Roman" w:hAnsi="Times New Roman"/>
          <w:sz w:val="16"/>
          <w:szCs w:val="16"/>
          <w:color w:val="auto"/>
        </w:rPr>
      </w:pPr>
    </w:p>
    <w:p>
      <w:pPr>
        <w:ind w:left="580" w:hanging="293"/>
        <w:spacing w:after="0" w:line="290" w:lineRule="auto"/>
        <w:tabs>
          <w:tab w:leader="none" w:pos="580" w:val="left"/>
        </w:tabs>
        <w:numPr>
          <w:ilvl w:val="0"/>
          <w:numId w:val="5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b w:val="1"/>
          <w:bCs w:val="1"/>
          <w:i w:val="1"/>
          <w:iCs w:val="1"/>
          <w:color w:val="auto"/>
        </w:rPr>
        <w:t xml:space="preserve">Design: </w:t>
      </w:r>
      <w:r>
        <w:rPr>
          <w:rFonts w:ascii="Times New Roman" w:cs="Times New Roman" w:eastAsia="Times New Roman" w:hAnsi="Times New Roman"/>
          <w:sz w:val="16"/>
          <w:szCs w:val="16"/>
          <w:color w:val="auto"/>
        </w:rPr>
        <w:t>Subject to the limitations, if any, described in paragraphs 5.2 and 5.3, the issuer’s other certifying officer(s) and I have, as at the end of the period covered by</w:t>
      </w:r>
      <w:r>
        <w:rPr>
          <w:rFonts w:ascii="Times New Roman" w:cs="Times New Roman" w:eastAsia="Times New Roman" w:hAnsi="Times New Roman"/>
          <w:sz w:val="16"/>
          <w:szCs w:val="16"/>
          <w:b w:val="1"/>
          <w:bCs w:val="1"/>
          <w:i w:val="1"/>
          <w:iCs w:val="1"/>
          <w:color w:val="auto"/>
        </w:rPr>
        <w:t xml:space="preserve"> </w:t>
      </w:r>
      <w:r>
        <w:rPr>
          <w:rFonts w:ascii="Times New Roman" w:cs="Times New Roman" w:eastAsia="Times New Roman" w:hAnsi="Times New Roman"/>
          <w:sz w:val="16"/>
          <w:szCs w:val="16"/>
          <w:color w:val="auto"/>
        </w:rPr>
        <w:t>the interim filings</w:t>
      </w:r>
    </w:p>
    <w:p>
      <w:pPr>
        <w:spacing w:after="0" w:line="163" w:lineRule="exact"/>
        <w:rPr>
          <w:rFonts w:ascii="Times New Roman" w:cs="Times New Roman" w:eastAsia="Times New Roman" w:hAnsi="Times New Roman"/>
          <w:sz w:val="16"/>
          <w:szCs w:val="16"/>
          <w:color w:val="auto"/>
        </w:rPr>
      </w:pPr>
    </w:p>
    <w:p>
      <w:pPr>
        <w:ind w:left="1160" w:hanging="293"/>
        <w:spacing w:after="0"/>
        <w:tabs>
          <w:tab w:leader="none" w:pos="1160" w:val="left"/>
        </w:tabs>
        <w:numPr>
          <w:ilvl w:val="1"/>
          <w:numId w:val="5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designed DC&amp;P, or caused it to be designed under our supervision, to provide reasonable assurance that</w:t>
      </w:r>
    </w:p>
    <w:p>
      <w:pPr>
        <w:spacing w:after="0" w:line="227" w:lineRule="exact"/>
        <w:rPr>
          <w:rFonts w:ascii="Times New Roman" w:cs="Times New Roman" w:eastAsia="Times New Roman" w:hAnsi="Times New Roman"/>
          <w:sz w:val="16"/>
          <w:szCs w:val="16"/>
          <w:color w:val="auto"/>
        </w:rPr>
      </w:pPr>
    </w:p>
    <w:p>
      <w:pPr>
        <w:ind w:left="1740" w:hanging="293"/>
        <w:spacing w:after="0" w:line="285" w:lineRule="auto"/>
        <w:tabs>
          <w:tab w:leader="none" w:pos="1740" w:val="left"/>
        </w:tabs>
        <w:numPr>
          <w:ilvl w:val="2"/>
          <w:numId w:val="5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material information relating to the issuer is made known to us by others, particularly during the period in which the interim filings are being prepared; and</w:t>
      </w:r>
    </w:p>
    <w:p>
      <w:pPr>
        <w:spacing w:after="0" w:line="167" w:lineRule="exact"/>
        <w:rPr>
          <w:rFonts w:ascii="Times New Roman" w:cs="Times New Roman" w:eastAsia="Times New Roman" w:hAnsi="Times New Roman"/>
          <w:sz w:val="16"/>
          <w:szCs w:val="16"/>
          <w:color w:val="auto"/>
        </w:rPr>
      </w:pPr>
    </w:p>
    <w:p>
      <w:pPr>
        <w:ind w:left="1740" w:hanging="293"/>
        <w:spacing w:after="0" w:line="285" w:lineRule="auto"/>
        <w:tabs>
          <w:tab w:leader="none" w:pos="1740" w:val="left"/>
        </w:tabs>
        <w:numPr>
          <w:ilvl w:val="2"/>
          <w:numId w:val="5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information required to be disclosed by the issuer in its annual filings, interim filings or other reports filed or submitted by it under securities legislation is recorded, processed, summarized and reported within the time periods specified in securities legislation; and</w:t>
      </w:r>
    </w:p>
    <w:p>
      <w:pPr>
        <w:spacing w:after="0" w:line="167" w:lineRule="exact"/>
        <w:rPr>
          <w:rFonts w:ascii="Times New Roman" w:cs="Times New Roman" w:eastAsia="Times New Roman" w:hAnsi="Times New Roman"/>
          <w:sz w:val="16"/>
          <w:szCs w:val="16"/>
          <w:color w:val="auto"/>
        </w:rPr>
      </w:pPr>
    </w:p>
    <w:p>
      <w:pPr>
        <w:ind w:left="1160" w:hanging="293"/>
        <w:spacing w:after="0" w:line="285" w:lineRule="auto"/>
        <w:tabs>
          <w:tab w:leader="none" w:pos="1160" w:val="left"/>
        </w:tabs>
        <w:numPr>
          <w:ilvl w:val="1"/>
          <w:numId w:val="5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designed ICFR, or caused it to be designed under our supervision, to provide reasonable assurance regarding the reliability of financial reporting and the preparation of financial statements for external purposes in accordance with the issuer’s GAAP.</w:t>
      </w:r>
    </w:p>
    <w:p>
      <w:pPr>
        <w:spacing w:after="0" w:line="163" w:lineRule="exact"/>
        <w:rPr>
          <w:sz w:val="20"/>
          <w:szCs w:val="20"/>
          <w:color w:val="auto"/>
        </w:rPr>
      </w:pPr>
    </w:p>
    <w:p>
      <w:pPr>
        <w:ind w:left="580" w:hanging="289"/>
        <w:spacing w:after="0" w:line="290" w:lineRule="auto"/>
        <w:tabs>
          <w:tab w:leader="none" w:pos="560" w:val="left"/>
        </w:tabs>
        <w:rPr>
          <w:sz w:val="20"/>
          <w:szCs w:val="20"/>
          <w:color w:val="auto"/>
        </w:rPr>
      </w:pPr>
      <w:r>
        <w:rPr>
          <w:rFonts w:ascii="Times New Roman" w:cs="Times New Roman" w:eastAsia="Times New Roman" w:hAnsi="Times New Roman"/>
          <w:sz w:val="16"/>
          <w:szCs w:val="16"/>
          <w:color w:val="auto"/>
        </w:rPr>
        <w:t>5.1</w:t>
      </w:r>
      <w:r>
        <w:rPr>
          <w:sz w:val="20"/>
          <w:szCs w:val="20"/>
          <w:color w:val="auto"/>
        </w:rPr>
        <w:tab/>
      </w:r>
      <w:r>
        <w:rPr>
          <w:rFonts w:ascii="Times New Roman" w:cs="Times New Roman" w:eastAsia="Times New Roman" w:hAnsi="Times New Roman"/>
          <w:sz w:val="16"/>
          <w:szCs w:val="16"/>
          <w:b w:val="1"/>
          <w:bCs w:val="1"/>
          <w:i w:val="1"/>
          <w:iCs w:val="1"/>
          <w:color w:val="auto"/>
        </w:rPr>
        <w:t xml:space="preserve">Control framework: </w:t>
      </w:r>
      <w:r>
        <w:rPr>
          <w:rFonts w:ascii="Times New Roman" w:cs="Times New Roman" w:eastAsia="Times New Roman" w:hAnsi="Times New Roman"/>
          <w:sz w:val="16"/>
          <w:szCs w:val="16"/>
          <w:color w:val="auto"/>
        </w:rPr>
        <w:t>The control framework the issuer’s other certifying officer(s) and I used to design the issuer’s ICFR is the</w:t>
      </w:r>
      <w:r>
        <w:rPr>
          <w:rFonts w:ascii="Times New Roman" w:cs="Times New Roman" w:eastAsia="Times New Roman" w:hAnsi="Times New Roman"/>
          <w:sz w:val="16"/>
          <w:szCs w:val="16"/>
          <w:b w:val="1"/>
          <w:bCs w:val="1"/>
          <w:i w:val="1"/>
          <w:iCs w:val="1"/>
          <w:color w:val="auto"/>
        </w:rPr>
        <w:t xml:space="preserve"> </w:t>
      </w:r>
      <w:r>
        <w:rPr>
          <w:rFonts w:ascii="Times New Roman" w:cs="Times New Roman" w:eastAsia="Times New Roman" w:hAnsi="Times New Roman"/>
          <w:sz w:val="16"/>
          <w:szCs w:val="16"/>
          <w:i w:val="1"/>
          <w:iCs w:val="1"/>
          <w:color w:val="auto"/>
        </w:rPr>
        <w:t>Internal Control – Integrated</w:t>
      </w:r>
      <w:r>
        <w:rPr>
          <w:rFonts w:ascii="Times New Roman" w:cs="Times New Roman" w:eastAsia="Times New Roman" w:hAnsi="Times New Roman"/>
          <w:sz w:val="16"/>
          <w:szCs w:val="16"/>
          <w:b w:val="1"/>
          <w:bCs w:val="1"/>
          <w:i w:val="1"/>
          <w:iCs w:val="1"/>
          <w:color w:val="auto"/>
        </w:rPr>
        <w:t xml:space="preserve"> </w:t>
      </w:r>
      <w:r>
        <w:rPr>
          <w:rFonts w:ascii="Times New Roman" w:cs="Times New Roman" w:eastAsia="Times New Roman" w:hAnsi="Times New Roman"/>
          <w:sz w:val="16"/>
          <w:szCs w:val="16"/>
          <w:i w:val="1"/>
          <w:iCs w:val="1"/>
          <w:color w:val="auto"/>
        </w:rPr>
        <w:t>Framework (2013) issued by The Committee of Sponsoring Organization of the Treadway Commission (COSO).</w:t>
      </w:r>
    </w:p>
    <w:p>
      <w:pPr>
        <w:spacing w:after="0" w:line="160" w:lineRule="exact"/>
        <w:rPr>
          <w:sz w:val="20"/>
          <w:szCs w:val="20"/>
          <w:color w:val="auto"/>
        </w:rPr>
      </w:pPr>
    </w:p>
    <w:p>
      <w:pPr>
        <w:ind w:left="280"/>
        <w:spacing w:after="0"/>
        <w:tabs>
          <w:tab w:leader="none" w:pos="620" w:val="left"/>
        </w:tabs>
        <w:rPr>
          <w:sz w:val="20"/>
          <w:szCs w:val="20"/>
          <w:color w:val="auto"/>
        </w:rPr>
      </w:pPr>
      <w:r>
        <w:rPr>
          <w:rFonts w:ascii="Times New Roman" w:cs="Times New Roman" w:eastAsia="Times New Roman" w:hAnsi="Times New Roman"/>
          <w:sz w:val="16"/>
          <w:szCs w:val="16"/>
          <w:color w:val="auto"/>
        </w:rPr>
        <w:t>5.2</w:t>
      </w:r>
      <w:r>
        <w:rPr>
          <w:sz w:val="20"/>
          <w:szCs w:val="20"/>
          <w:color w:val="auto"/>
        </w:rPr>
        <w:tab/>
      </w:r>
      <w:r>
        <w:rPr>
          <w:rFonts w:ascii="Times New Roman" w:cs="Times New Roman" w:eastAsia="Times New Roman" w:hAnsi="Times New Roman"/>
          <w:sz w:val="16"/>
          <w:szCs w:val="16"/>
          <w:b w:val="1"/>
          <w:bCs w:val="1"/>
          <w:i w:val="1"/>
          <w:iCs w:val="1"/>
          <w:color w:val="auto"/>
        </w:rPr>
        <w:t>N/A.</w:t>
      </w:r>
    </w:p>
    <w:p>
      <w:pPr>
        <w:spacing w:after="0" w:line="227" w:lineRule="exact"/>
        <w:rPr>
          <w:sz w:val="20"/>
          <w:szCs w:val="20"/>
          <w:color w:val="auto"/>
        </w:rPr>
      </w:pPr>
    </w:p>
    <w:p>
      <w:pPr>
        <w:ind w:left="280"/>
        <w:spacing w:after="0"/>
        <w:tabs>
          <w:tab w:leader="none" w:pos="620" w:val="left"/>
        </w:tabs>
        <w:rPr>
          <w:sz w:val="20"/>
          <w:szCs w:val="20"/>
          <w:color w:val="auto"/>
        </w:rPr>
      </w:pPr>
      <w:r>
        <w:rPr>
          <w:rFonts w:ascii="Times New Roman" w:cs="Times New Roman" w:eastAsia="Times New Roman" w:hAnsi="Times New Roman"/>
          <w:sz w:val="16"/>
          <w:szCs w:val="16"/>
          <w:color w:val="auto"/>
        </w:rPr>
        <w:t>5.3</w:t>
      </w:r>
      <w:r>
        <w:rPr>
          <w:sz w:val="20"/>
          <w:szCs w:val="20"/>
          <w:color w:val="auto"/>
        </w:rPr>
        <w:tab/>
      </w:r>
      <w:r>
        <w:rPr>
          <w:rFonts w:ascii="Times New Roman" w:cs="Times New Roman" w:eastAsia="Times New Roman" w:hAnsi="Times New Roman"/>
          <w:sz w:val="16"/>
          <w:szCs w:val="16"/>
          <w:b w:val="1"/>
          <w:bCs w:val="1"/>
          <w:i w:val="1"/>
          <w:iCs w:val="1"/>
          <w:color w:val="auto"/>
        </w:rPr>
        <w:t>N/A.</w:t>
      </w:r>
    </w:p>
    <w:p>
      <w:pPr>
        <w:spacing w:after="0" w:line="227" w:lineRule="exact"/>
        <w:rPr>
          <w:sz w:val="20"/>
          <w:szCs w:val="20"/>
          <w:color w:val="auto"/>
        </w:rPr>
      </w:pPr>
    </w:p>
    <w:p>
      <w:pPr>
        <w:ind w:left="580" w:hanging="293"/>
        <w:spacing w:after="0" w:line="290" w:lineRule="auto"/>
        <w:tabs>
          <w:tab w:leader="none" w:pos="580" w:val="left"/>
        </w:tabs>
        <w:numPr>
          <w:ilvl w:val="0"/>
          <w:numId w:val="5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b w:val="1"/>
          <w:bCs w:val="1"/>
          <w:i w:val="1"/>
          <w:iCs w:val="1"/>
          <w:color w:val="auto"/>
        </w:rPr>
        <w:t xml:space="preserve">Reporting changes in ICFR: </w:t>
      </w:r>
      <w:r>
        <w:rPr>
          <w:rFonts w:ascii="Times New Roman" w:cs="Times New Roman" w:eastAsia="Times New Roman" w:hAnsi="Times New Roman"/>
          <w:sz w:val="16"/>
          <w:szCs w:val="16"/>
          <w:color w:val="auto"/>
        </w:rPr>
        <w:t>The issuer has disclosed in its interim MD&amp;A any change in the issuer’s ICFR that occurred during the period beginning on July 1,</w:t>
      </w:r>
      <w:r>
        <w:rPr>
          <w:rFonts w:ascii="Times New Roman" w:cs="Times New Roman" w:eastAsia="Times New Roman" w:hAnsi="Times New Roman"/>
          <w:sz w:val="16"/>
          <w:szCs w:val="16"/>
          <w:b w:val="1"/>
          <w:bCs w:val="1"/>
          <w:i w:val="1"/>
          <w:iCs w:val="1"/>
          <w:color w:val="auto"/>
        </w:rPr>
        <w:t xml:space="preserve"> </w:t>
      </w:r>
      <w:r>
        <w:rPr>
          <w:rFonts w:ascii="Times New Roman" w:cs="Times New Roman" w:eastAsia="Times New Roman" w:hAnsi="Times New Roman"/>
          <w:sz w:val="16"/>
          <w:szCs w:val="16"/>
          <w:color w:val="auto"/>
        </w:rPr>
        <w:t>2024 and ended on September 30, 2024 that has materially affected, or is reasonably likely to materially affect, the issuer’s ICFR.</w:t>
      </w:r>
    </w:p>
    <w:p>
      <w:pPr>
        <w:sectPr>
          <w:pgSz w:w="11900" w:h="16838" w:orient="portrait"/>
          <w:cols w:equalWidth="0" w:num="1">
            <w:col w:w="11240"/>
          </w:cols>
          <w:pgMar w:left="320" w:top="1281" w:right="339" w:bottom="1440" w:gutter="0" w:footer="0" w:header="0"/>
        </w:sectPr>
      </w:pPr>
    </w:p>
    <w:bookmarkStart w:id="137" w:name="page138"/>
    <w:bookmarkEnd w:id="137"/>
    <w:p>
      <w:pPr>
        <w:spacing w:after="0" w:line="23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Date: November 13, 2024.</w:t>
      </w: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(signed) "Douglas Drysdale"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33020</wp:posOffset>
            </wp:positionV>
            <wp:extent cx="1957705" cy="762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1957705" cy="7620"/>
                    </a:xfrm>
                    <a:prstGeom prst="rect">
                      <a:avLst/>
                    </a:prstGeom>
                    <a:noFill/>
                  </pic:spPr>
                </pic:pic>
              </a:graphicData>
            </a:graphic>
          </wp:anchor>
        </w:drawing>
      </w:r>
    </w:p>
    <w:p>
      <w:pPr>
        <w:spacing w:after="0" w:line="40"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6"/>
          <w:szCs w:val="16"/>
          <w:color w:val="auto"/>
        </w:rPr>
        <w:t>Douglas Drysdale</w:t>
      </w:r>
    </w:p>
    <w:p>
      <w:pPr>
        <w:spacing w:after="0" w:line="2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6"/>
          <w:szCs w:val="16"/>
          <w:color w:val="auto"/>
        </w:rPr>
        <w:t>Chief Executive Officer</w:t>
      </w:r>
    </w:p>
    <w:p>
      <w:pPr>
        <w:sectPr>
          <w:pgSz w:w="11900" w:h="16838" w:orient="portrait"/>
          <w:cols w:equalWidth="0" w:num="1">
            <w:col w:w="10139"/>
          </w:cols>
          <w:pgMar w:left="320" w:top="1440" w:right="1440" w:bottom="1440" w:gutter="0" w:footer="0" w:header="0"/>
        </w:sectPr>
      </w:pPr>
    </w:p>
    <w:bookmarkStart w:id="138" w:name="page139"/>
    <w:bookmarkEnd w:id="138"/>
    <w:p>
      <w:pPr>
        <w:jc w:val="center"/>
        <w:spacing w:after="0"/>
        <w:rPr>
          <w:sz w:val="20"/>
          <w:szCs w:val="20"/>
          <w:color w:val="auto"/>
        </w:rPr>
      </w:pPr>
      <w:r>
        <w:rPr>
          <w:rFonts w:ascii="Times New Roman" w:cs="Times New Roman" w:eastAsia="Times New Roman" w:hAnsi="Times New Roman"/>
          <w:sz w:val="16"/>
          <w:szCs w:val="16"/>
          <w:b w:val="1"/>
          <w:bCs w:val="1"/>
          <w:color w:val="auto"/>
        </w:rPr>
        <w:t>FORM 52-109F2</w:t>
      </w:r>
    </w:p>
    <w:p>
      <w:pPr>
        <w:spacing w:after="0" w:line="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CERTIFICATION OF INTERIM FILINGS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FULL CERTIFICATE</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I, Greg Cavers, as Chief Financial Officer of Cybin Inc., certify the following:</w:t>
      </w:r>
    </w:p>
    <w:p>
      <w:pPr>
        <w:spacing w:after="0" w:line="199" w:lineRule="exact"/>
        <w:rPr>
          <w:sz w:val="20"/>
          <w:szCs w:val="20"/>
          <w:color w:val="auto"/>
        </w:rPr>
      </w:pPr>
    </w:p>
    <w:p>
      <w:pPr>
        <w:ind w:left="580" w:hanging="293"/>
        <w:spacing w:after="0" w:line="290" w:lineRule="auto"/>
        <w:tabs>
          <w:tab w:leader="none" w:pos="580" w:val="left"/>
        </w:tabs>
        <w:numPr>
          <w:ilvl w:val="0"/>
          <w:numId w:val="5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b w:val="1"/>
          <w:bCs w:val="1"/>
          <w:i w:val="1"/>
          <w:iCs w:val="1"/>
          <w:color w:val="auto"/>
        </w:rPr>
        <w:t xml:space="preserve">Review: </w:t>
      </w:r>
      <w:r>
        <w:rPr>
          <w:rFonts w:ascii="Times New Roman" w:cs="Times New Roman" w:eastAsia="Times New Roman" w:hAnsi="Times New Roman"/>
          <w:sz w:val="16"/>
          <w:szCs w:val="16"/>
          <w:color w:val="auto"/>
        </w:rPr>
        <w:t>I have reviewed the interim financial statements and interim MD&amp;A (together, the “interim filings”) of Cybin Inc. (the “issuer”) for the interim period</w:t>
      </w:r>
      <w:r>
        <w:rPr>
          <w:rFonts w:ascii="Times New Roman" w:cs="Times New Roman" w:eastAsia="Times New Roman" w:hAnsi="Times New Roman"/>
          <w:sz w:val="16"/>
          <w:szCs w:val="16"/>
          <w:b w:val="1"/>
          <w:bCs w:val="1"/>
          <w:i w:val="1"/>
          <w:iCs w:val="1"/>
          <w:color w:val="auto"/>
        </w:rPr>
        <w:t xml:space="preserve"> </w:t>
      </w:r>
      <w:r>
        <w:rPr>
          <w:rFonts w:ascii="Times New Roman" w:cs="Times New Roman" w:eastAsia="Times New Roman" w:hAnsi="Times New Roman"/>
          <w:sz w:val="16"/>
          <w:szCs w:val="16"/>
          <w:color w:val="auto"/>
        </w:rPr>
        <w:t>ended September 30, 2024.</w:t>
      </w:r>
    </w:p>
    <w:p>
      <w:pPr>
        <w:spacing w:after="0" w:line="159" w:lineRule="exact"/>
        <w:rPr>
          <w:rFonts w:ascii="Times New Roman" w:cs="Times New Roman" w:eastAsia="Times New Roman" w:hAnsi="Times New Roman"/>
          <w:sz w:val="16"/>
          <w:szCs w:val="16"/>
          <w:color w:val="auto"/>
        </w:rPr>
      </w:pPr>
    </w:p>
    <w:p>
      <w:pPr>
        <w:jc w:val="both"/>
        <w:ind w:left="580" w:hanging="293"/>
        <w:spacing w:after="0" w:line="271" w:lineRule="auto"/>
        <w:tabs>
          <w:tab w:leader="none" w:pos="580" w:val="left"/>
        </w:tabs>
        <w:numPr>
          <w:ilvl w:val="0"/>
          <w:numId w:val="5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b w:val="1"/>
          <w:bCs w:val="1"/>
          <w:i w:val="1"/>
          <w:iCs w:val="1"/>
          <w:color w:val="auto"/>
        </w:rPr>
        <w:t>No misrepresentations</w:t>
      </w:r>
      <w:r>
        <w:rPr>
          <w:rFonts w:ascii="Times New Roman" w:cs="Times New Roman" w:eastAsia="Times New Roman" w:hAnsi="Times New Roman"/>
          <w:sz w:val="16"/>
          <w:szCs w:val="16"/>
          <w:color w:val="auto"/>
        </w:rPr>
        <w:t>: Based on my knowledge, having exercised reasonable diligence, the interim filings do not contain any untrue statement of a material fact or</w:t>
      </w:r>
      <w:r>
        <w:rPr>
          <w:rFonts w:ascii="Times New Roman" w:cs="Times New Roman" w:eastAsia="Times New Roman" w:hAnsi="Times New Roman"/>
          <w:sz w:val="16"/>
          <w:szCs w:val="16"/>
          <w:b w:val="1"/>
          <w:bCs w:val="1"/>
          <w:i w:val="1"/>
          <w:iCs w:val="1"/>
          <w:color w:val="auto"/>
        </w:rPr>
        <w:t xml:space="preserve"> </w:t>
      </w:r>
      <w:r>
        <w:rPr>
          <w:rFonts w:ascii="Times New Roman" w:cs="Times New Roman" w:eastAsia="Times New Roman" w:hAnsi="Times New Roman"/>
          <w:sz w:val="16"/>
          <w:szCs w:val="16"/>
          <w:color w:val="auto"/>
        </w:rPr>
        <w:t>omit to state a material fact required to be stated or that is necessary to make a statement not misleading in light of the circumstances under which it was made, with respect to the period covered by the interim filings.</w:t>
      </w:r>
    </w:p>
    <w:p>
      <w:pPr>
        <w:spacing w:after="0" w:line="174" w:lineRule="exact"/>
        <w:rPr>
          <w:rFonts w:ascii="Times New Roman" w:cs="Times New Roman" w:eastAsia="Times New Roman" w:hAnsi="Times New Roman"/>
          <w:sz w:val="16"/>
          <w:szCs w:val="16"/>
          <w:color w:val="auto"/>
        </w:rPr>
      </w:pPr>
    </w:p>
    <w:p>
      <w:pPr>
        <w:jc w:val="both"/>
        <w:ind w:left="580" w:hanging="293"/>
        <w:spacing w:after="0" w:line="271" w:lineRule="auto"/>
        <w:tabs>
          <w:tab w:leader="none" w:pos="580" w:val="left"/>
        </w:tabs>
        <w:numPr>
          <w:ilvl w:val="0"/>
          <w:numId w:val="5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b w:val="1"/>
          <w:bCs w:val="1"/>
          <w:i w:val="1"/>
          <w:iCs w:val="1"/>
          <w:color w:val="auto"/>
        </w:rPr>
        <w:t xml:space="preserve">Fair presentation: </w:t>
      </w:r>
      <w:r>
        <w:rPr>
          <w:rFonts w:ascii="Times New Roman" w:cs="Times New Roman" w:eastAsia="Times New Roman" w:hAnsi="Times New Roman"/>
          <w:sz w:val="16"/>
          <w:szCs w:val="16"/>
          <w:color w:val="auto"/>
        </w:rPr>
        <w:t>Based on my knowledge, having exercised reasonable diligence, the interim financial statements together with the other financial information</w:t>
      </w:r>
      <w:r>
        <w:rPr>
          <w:rFonts w:ascii="Times New Roman" w:cs="Times New Roman" w:eastAsia="Times New Roman" w:hAnsi="Times New Roman"/>
          <w:sz w:val="16"/>
          <w:szCs w:val="16"/>
          <w:b w:val="1"/>
          <w:bCs w:val="1"/>
          <w:i w:val="1"/>
          <w:iCs w:val="1"/>
          <w:color w:val="auto"/>
        </w:rPr>
        <w:t xml:space="preserve"> </w:t>
      </w:r>
      <w:r>
        <w:rPr>
          <w:rFonts w:ascii="Times New Roman" w:cs="Times New Roman" w:eastAsia="Times New Roman" w:hAnsi="Times New Roman"/>
          <w:sz w:val="16"/>
          <w:szCs w:val="16"/>
          <w:color w:val="auto"/>
        </w:rPr>
        <w:t>included in the interim filings fairly present in all material respects the financial condition, results of operations and cash flows of the issuer, as of the date of and for the periods presented in the interim filings.</w:t>
      </w:r>
    </w:p>
    <w:p>
      <w:pPr>
        <w:spacing w:after="0" w:line="174" w:lineRule="exact"/>
        <w:rPr>
          <w:rFonts w:ascii="Times New Roman" w:cs="Times New Roman" w:eastAsia="Times New Roman" w:hAnsi="Times New Roman"/>
          <w:sz w:val="16"/>
          <w:szCs w:val="16"/>
          <w:color w:val="auto"/>
        </w:rPr>
      </w:pPr>
    </w:p>
    <w:p>
      <w:pPr>
        <w:jc w:val="both"/>
        <w:ind w:left="580" w:hanging="293"/>
        <w:spacing w:after="0" w:line="271" w:lineRule="auto"/>
        <w:tabs>
          <w:tab w:leader="none" w:pos="580" w:val="left"/>
        </w:tabs>
        <w:numPr>
          <w:ilvl w:val="0"/>
          <w:numId w:val="5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b w:val="1"/>
          <w:bCs w:val="1"/>
          <w:i w:val="1"/>
          <w:iCs w:val="1"/>
          <w:color w:val="auto"/>
        </w:rPr>
        <w:t xml:space="preserve">Responsibility: </w:t>
      </w:r>
      <w:r>
        <w:rPr>
          <w:rFonts w:ascii="Times New Roman" w:cs="Times New Roman" w:eastAsia="Times New Roman" w:hAnsi="Times New Roman"/>
          <w:sz w:val="16"/>
          <w:szCs w:val="16"/>
          <w:color w:val="auto"/>
        </w:rPr>
        <w:t>The issuer’s other certifying officer(s) and I are responsible for establishing and maintaining disclosure controls and procedures (DC&amp;P) and internal</w:t>
      </w:r>
      <w:r>
        <w:rPr>
          <w:rFonts w:ascii="Times New Roman" w:cs="Times New Roman" w:eastAsia="Times New Roman" w:hAnsi="Times New Roman"/>
          <w:sz w:val="16"/>
          <w:szCs w:val="16"/>
          <w:b w:val="1"/>
          <w:bCs w:val="1"/>
          <w:i w:val="1"/>
          <w:iCs w:val="1"/>
          <w:color w:val="auto"/>
        </w:rPr>
        <w:t xml:space="preserve"> </w:t>
      </w:r>
      <w:r>
        <w:rPr>
          <w:rFonts w:ascii="Times New Roman" w:cs="Times New Roman" w:eastAsia="Times New Roman" w:hAnsi="Times New Roman"/>
          <w:sz w:val="16"/>
          <w:szCs w:val="16"/>
          <w:color w:val="auto"/>
        </w:rPr>
        <w:t>control over financial reporting (ICFR), as those terms are defined in National Instrument 52-109 Certification of Disclosure in Issuers’ Annual and Interim Filings, for the issuer.</w:t>
      </w:r>
    </w:p>
    <w:p>
      <w:pPr>
        <w:spacing w:after="0" w:line="174" w:lineRule="exact"/>
        <w:rPr>
          <w:rFonts w:ascii="Times New Roman" w:cs="Times New Roman" w:eastAsia="Times New Roman" w:hAnsi="Times New Roman"/>
          <w:sz w:val="16"/>
          <w:szCs w:val="16"/>
          <w:color w:val="auto"/>
        </w:rPr>
      </w:pPr>
    </w:p>
    <w:p>
      <w:pPr>
        <w:ind w:left="580" w:hanging="293"/>
        <w:spacing w:after="0" w:line="290" w:lineRule="auto"/>
        <w:tabs>
          <w:tab w:leader="none" w:pos="580" w:val="left"/>
        </w:tabs>
        <w:numPr>
          <w:ilvl w:val="0"/>
          <w:numId w:val="5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b w:val="1"/>
          <w:bCs w:val="1"/>
          <w:i w:val="1"/>
          <w:iCs w:val="1"/>
          <w:color w:val="auto"/>
        </w:rPr>
        <w:t xml:space="preserve">Design: </w:t>
      </w:r>
      <w:r>
        <w:rPr>
          <w:rFonts w:ascii="Times New Roman" w:cs="Times New Roman" w:eastAsia="Times New Roman" w:hAnsi="Times New Roman"/>
          <w:sz w:val="16"/>
          <w:szCs w:val="16"/>
          <w:color w:val="auto"/>
        </w:rPr>
        <w:t>Subject to the limitations, if any, described in paragraphs 5.2 and 5.3, the issuer’s other certifying officer(s) and I have, as at the end of the period covered by</w:t>
      </w:r>
      <w:r>
        <w:rPr>
          <w:rFonts w:ascii="Times New Roman" w:cs="Times New Roman" w:eastAsia="Times New Roman" w:hAnsi="Times New Roman"/>
          <w:sz w:val="16"/>
          <w:szCs w:val="16"/>
          <w:b w:val="1"/>
          <w:bCs w:val="1"/>
          <w:i w:val="1"/>
          <w:iCs w:val="1"/>
          <w:color w:val="auto"/>
        </w:rPr>
        <w:t xml:space="preserve"> </w:t>
      </w:r>
      <w:r>
        <w:rPr>
          <w:rFonts w:ascii="Times New Roman" w:cs="Times New Roman" w:eastAsia="Times New Roman" w:hAnsi="Times New Roman"/>
          <w:sz w:val="16"/>
          <w:szCs w:val="16"/>
          <w:color w:val="auto"/>
        </w:rPr>
        <w:t>the interim filings</w:t>
      </w:r>
    </w:p>
    <w:p>
      <w:pPr>
        <w:spacing w:after="0" w:line="163" w:lineRule="exact"/>
        <w:rPr>
          <w:rFonts w:ascii="Times New Roman" w:cs="Times New Roman" w:eastAsia="Times New Roman" w:hAnsi="Times New Roman"/>
          <w:sz w:val="16"/>
          <w:szCs w:val="16"/>
          <w:color w:val="auto"/>
        </w:rPr>
      </w:pPr>
    </w:p>
    <w:p>
      <w:pPr>
        <w:ind w:left="1160" w:hanging="293"/>
        <w:spacing w:after="0"/>
        <w:tabs>
          <w:tab w:leader="none" w:pos="1160" w:val="left"/>
        </w:tabs>
        <w:numPr>
          <w:ilvl w:val="1"/>
          <w:numId w:val="5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designed DC&amp;P, or caused it to be designed under our supervision, to provide reasonable assurance that</w:t>
      </w:r>
    </w:p>
    <w:p>
      <w:pPr>
        <w:spacing w:after="0" w:line="227" w:lineRule="exact"/>
        <w:rPr>
          <w:rFonts w:ascii="Times New Roman" w:cs="Times New Roman" w:eastAsia="Times New Roman" w:hAnsi="Times New Roman"/>
          <w:sz w:val="16"/>
          <w:szCs w:val="16"/>
          <w:color w:val="auto"/>
        </w:rPr>
      </w:pPr>
    </w:p>
    <w:p>
      <w:pPr>
        <w:ind w:left="1740" w:hanging="293"/>
        <w:spacing w:after="0" w:line="285" w:lineRule="auto"/>
        <w:tabs>
          <w:tab w:leader="none" w:pos="1740" w:val="left"/>
        </w:tabs>
        <w:numPr>
          <w:ilvl w:val="2"/>
          <w:numId w:val="5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material information relating to the issuer is made known to us by others, particularly during the period in which the interim filings are being prepared; and</w:t>
      </w:r>
    </w:p>
    <w:p>
      <w:pPr>
        <w:spacing w:after="0" w:line="167" w:lineRule="exact"/>
        <w:rPr>
          <w:rFonts w:ascii="Times New Roman" w:cs="Times New Roman" w:eastAsia="Times New Roman" w:hAnsi="Times New Roman"/>
          <w:sz w:val="16"/>
          <w:szCs w:val="16"/>
          <w:color w:val="auto"/>
        </w:rPr>
      </w:pPr>
    </w:p>
    <w:p>
      <w:pPr>
        <w:ind w:left="1740" w:hanging="293"/>
        <w:spacing w:after="0" w:line="285" w:lineRule="auto"/>
        <w:tabs>
          <w:tab w:leader="none" w:pos="1740" w:val="left"/>
        </w:tabs>
        <w:numPr>
          <w:ilvl w:val="2"/>
          <w:numId w:val="5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information required to be disclosed by the issuer in its annual filings, interim filings or other reports filed or submitted by it under securities legislation is recorded, processed, summarized and reported within the time periods specified in securities legislation; and</w:t>
      </w:r>
    </w:p>
    <w:p>
      <w:pPr>
        <w:spacing w:after="0" w:line="167" w:lineRule="exact"/>
        <w:rPr>
          <w:rFonts w:ascii="Times New Roman" w:cs="Times New Roman" w:eastAsia="Times New Roman" w:hAnsi="Times New Roman"/>
          <w:sz w:val="16"/>
          <w:szCs w:val="16"/>
          <w:color w:val="auto"/>
        </w:rPr>
      </w:pPr>
    </w:p>
    <w:p>
      <w:pPr>
        <w:ind w:left="1160" w:hanging="293"/>
        <w:spacing w:after="0" w:line="285" w:lineRule="auto"/>
        <w:tabs>
          <w:tab w:leader="none" w:pos="1160" w:val="left"/>
        </w:tabs>
        <w:numPr>
          <w:ilvl w:val="1"/>
          <w:numId w:val="5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designed ICFR, or caused it to be designed under our supervision, to provide reasonable assurance regarding the reliability of financial reporting and the preparation of financial statements for external purposes in accordance with the issuer’s GAAP.</w:t>
      </w:r>
    </w:p>
    <w:p>
      <w:pPr>
        <w:spacing w:after="0" w:line="163" w:lineRule="exact"/>
        <w:rPr>
          <w:sz w:val="20"/>
          <w:szCs w:val="20"/>
          <w:color w:val="auto"/>
        </w:rPr>
      </w:pPr>
    </w:p>
    <w:p>
      <w:pPr>
        <w:ind w:left="580" w:hanging="289"/>
        <w:spacing w:after="0" w:line="290" w:lineRule="auto"/>
        <w:tabs>
          <w:tab w:leader="none" w:pos="560" w:val="left"/>
        </w:tabs>
        <w:rPr>
          <w:sz w:val="20"/>
          <w:szCs w:val="20"/>
          <w:color w:val="auto"/>
        </w:rPr>
      </w:pPr>
      <w:r>
        <w:rPr>
          <w:rFonts w:ascii="Times New Roman" w:cs="Times New Roman" w:eastAsia="Times New Roman" w:hAnsi="Times New Roman"/>
          <w:sz w:val="16"/>
          <w:szCs w:val="16"/>
          <w:color w:val="auto"/>
        </w:rPr>
        <w:t>5.1</w:t>
      </w:r>
      <w:r>
        <w:rPr>
          <w:sz w:val="20"/>
          <w:szCs w:val="20"/>
          <w:color w:val="auto"/>
        </w:rPr>
        <w:tab/>
      </w:r>
      <w:r>
        <w:rPr>
          <w:rFonts w:ascii="Times New Roman" w:cs="Times New Roman" w:eastAsia="Times New Roman" w:hAnsi="Times New Roman"/>
          <w:sz w:val="16"/>
          <w:szCs w:val="16"/>
          <w:b w:val="1"/>
          <w:bCs w:val="1"/>
          <w:i w:val="1"/>
          <w:iCs w:val="1"/>
          <w:color w:val="auto"/>
        </w:rPr>
        <w:t xml:space="preserve">Control framework: </w:t>
      </w:r>
      <w:r>
        <w:rPr>
          <w:rFonts w:ascii="Times New Roman" w:cs="Times New Roman" w:eastAsia="Times New Roman" w:hAnsi="Times New Roman"/>
          <w:sz w:val="16"/>
          <w:szCs w:val="16"/>
          <w:color w:val="auto"/>
        </w:rPr>
        <w:t>The control framework the issuer’s other certifying officer(s) and I used to design the issuer’s ICFR is the</w:t>
      </w:r>
      <w:r>
        <w:rPr>
          <w:rFonts w:ascii="Times New Roman" w:cs="Times New Roman" w:eastAsia="Times New Roman" w:hAnsi="Times New Roman"/>
          <w:sz w:val="16"/>
          <w:szCs w:val="16"/>
          <w:b w:val="1"/>
          <w:bCs w:val="1"/>
          <w:i w:val="1"/>
          <w:iCs w:val="1"/>
          <w:color w:val="auto"/>
        </w:rPr>
        <w:t xml:space="preserve"> </w:t>
      </w:r>
      <w:r>
        <w:rPr>
          <w:rFonts w:ascii="Times New Roman" w:cs="Times New Roman" w:eastAsia="Times New Roman" w:hAnsi="Times New Roman"/>
          <w:sz w:val="16"/>
          <w:szCs w:val="16"/>
          <w:i w:val="1"/>
          <w:iCs w:val="1"/>
          <w:color w:val="auto"/>
        </w:rPr>
        <w:t>Internal Control – Integrated</w:t>
      </w:r>
      <w:r>
        <w:rPr>
          <w:rFonts w:ascii="Times New Roman" w:cs="Times New Roman" w:eastAsia="Times New Roman" w:hAnsi="Times New Roman"/>
          <w:sz w:val="16"/>
          <w:szCs w:val="16"/>
          <w:b w:val="1"/>
          <w:bCs w:val="1"/>
          <w:i w:val="1"/>
          <w:iCs w:val="1"/>
          <w:color w:val="auto"/>
        </w:rPr>
        <w:t xml:space="preserve"> </w:t>
      </w:r>
      <w:r>
        <w:rPr>
          <w:rFonts w:ascii="Times New Roman" w:cs="Times New Roman" w:eastAsia="Times New Roman" w:hAnsi="Times New Roman"/>
          <w:sz w:val="16"/>
          <w:szCs w:val="16"/>
          <w:i w:val="1"/>
          <w:iCs w:val="1"/>
          <w:color w:val="auto"/>
        </w:rPr>
        <w:t>Framework (2013) issued by The Committee of Sponsoring Organization of the Treadway Commission (COSO).</w:t>
      </w:r>
    </w:p>
    <w:p>
      <w:pPr>
        <w:spacing w:after="0" w:line="160" w:lineRule="exact"/>
        <w:rPr>
          <w:sz w:val="20"/>
          <w:szCs w:val="20"/>
          <w:color w:val="auto"/>
        </w:rPr>
      </w:pPr>
    </w:p>
    <w:p>
      <w:pPr>
        <w:ind w:left="280"/>
        <w:spacing w:after="0"/>
        <w:tabs>
          <w:tab w:leader="none" w:pos="620" w:val="left"/>
        </w:tabs>
        <w:rPr>
          <w:sz w:val="20"/>
          <w:szCs w:val="20"/>
          <w:color w:val="auto"/>
        </w:rPr>
      </w:pPr>
      <w:r>
        <w:rPr>
          <w:rFonts w:ascii="Times New Roman" w:cs="Times New Roman" w:eastAsia="Times New Roman" w:hAnsi="Times New Roman"/>
          <w:sz w:val="16"/>
          <w:szCs w:val="16"/>
          <w:color w:val="auto"/>
        </w:rPr>
        <w:t>5.2</w:t>
      </w:r>
      <w:r>
        <w:rPr>
          <w:sz w:val="20"/>
          <w:szCs w:val="20"/>
          <w:color w:val="auto"/>
        </w:rPr>
        <w:tab/>
      </w:r>
      <w:r>
        <w:rPr>
          <w:rFonts w:ascii="Times New Roman" w:cs="Times New Roman" w:eastAsia="Times New Roman" w:hAnsi="Times New Roman"/>
          <w:sz w:val="16"/>
          <w:szCs w:val="16"/>
          <w:b w:val="1"/>
          <w:bCs w:val="1"/>
          <w:i w:val="1"/>
          <w:iCs w:val="1"/>
          <w:color w:val="auto"/>
        </w:rPr>
        <w:t>N/A.</w:t>
      </w:r>
    </w:p>
    <w:p>
      <w:pPr>
        <w:spacing w:after="0" w:line="227" w:lineRule="exact"/>
        <w:rPr>
          <w:sz w:val="20"/>
          <w:szCs w:val="20"/>
          <w:color w:val="auto"/>
        </w:rPr>
      </w:pPr>
    </w:p>
    <w:p>
      <w:pPr>
        <w:ind w:left="280"/>
        <w:spacing w:after="0"/>
        <w:tabs>
          <w:tab w:leader="none" w:pos="620" w:val="left"/>
        </w:tabs>
        <w:rPr>
          <w:sz w:val="20"/>
          <w:szCs w:val="20"/>
          <w:color w:val="auto"/>
        </w:rPr>
      </w:pPr>
      <w:r>
        <w:rPr>
          <w:rFonts w:ascii="Times New Roman" w:cs="Times New Roman" w:eastAsia="Times New Roman" w:hAnsi="Times New Roman"/>
          <w:sz w:val="16"/>
          <w:szCs w:val="16"/>
          <w:color w:val="auto"/>
        </w:rPr>
        <w:t>5.3</w:t>
      </w:r>
      <w:r>
        <w:rPr>
          <w:sz w:val="20"/>
          <w:szCs w:val="20"/>
          <w:color w:val="auto"/>
        </w:rPr>
        <w:tab/>
      </w:r>
      <w:r>
        <w:rPr>
          <w:rFonts w:ascii="Times New Roman" w:cs="Times New Roman" w:eastAsia="Times New Roman" w:hAnsi="Times New Roman"/>
          <w:sz w:val="16"/>
          <w:szCs w:val="16"/>
          <w:b w:val="1"/>
          <w:bCs w:val="1"/>
          <w:i w:val="1"/>
          <w:iCs w:val="1"/>
          <w:color w:val="auto"/>
        </w:rPr>
        <w:t>N/A.</w:t>
      </w:r>
    </w:p>
    <w:p>
      <w:pPr>
        <w:spacing w:after="0" w:line="227" w:lineRule="exact"/>
        <w:rPr>
          <w:sz w:val="20"/>
          <w:szCs w:val="20"/>
          <w:color w:val="auto"/>
        </w:rPr>
      </w:pPr>
    </w:p>
    <w:p>
      <w:pPr>
        <w:ind w:left="580" w:hanging="293"/>
        <w:spacing w:after="0" w:line="290" w:lineRule="auto"/>
        <w:tabs>
          <w:tab w:leader="none" w:pos="580" w:val="left"/>
        </w:tabs>
        <w:numPr>
          <w:ilvl w:val="0"/>
          <w:numId w:val="5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b w:val="1"/>
          <w:bCs w:val="1"/>
          <w:i w:val="1"/>
          <w:iCs w:val="1"/>
          <w:color w:val="auto"/>
        </w:rPr>
        <w:t xml:space="preserve">Reporting changes in ICFR: </w:t>
      </w:r>
      <w:r>
        <w:rPr>
          <w:rFonts w:ascii="Times New Roman" w:cs="Times New Roman" w:eastAsia="Times New Roman" w:hAnsi="Times New Roman"/>
          <w:sz w:val="16"/>
          <w:szCs w:val="16"/>
          <w:color w:val="auto"/>
        </w:rPr>
        <w:t>The issuer has disclosed in its interim MD&amp;A any change in the issuer’s ICFR that occurred during the period beginning on July 1,</w:t>
      </w:r>
      <w:r>
        <w:rPr>
          <w:rFonts w:ascii="Times New Roman" w:cs="Times New Roman" w:eastAsia="Times New Roman" w:hAnsi="Times New Roman"/>
          <w:sz w:val="16"/>
          <w:szCs w:val="16"/>
          <w:b w:val="1"/>
          <w:bCs w:val="1"/>
          <w:i w:val="1"/>
          <w:iCs w:val="1"/>
          <w:color w:val="auto"/>
        </w:rPr>
        <w:t xml:space="preserve"> </w:t>
      </w:r>
      <w:r>
        <w:rPr>
          <w:rFonts w:ascii="Times New Roman" w:cs="Times New Roman" w:eastAsia="Times New Roman" w:hAnsi="Times New Roman"/>
          <w:sz w:val="16"/>
          <w:szCs w:val="16"/>
          <w:color w:val="auto"/>
        </w:rPr>
        <w:t>2024 and ended on September 30, 2024 that has materially affected, or is reasonably likely to materially affect, the issuer’s ICFR.</w:t>
      </w:r>
    </w:p>
    <w:p>
      <w:pPr>
        <w:sectPr>
          <w:pgSz w:w="11900" w:h="16838" w:orient="portrait"/>
          <w:cols w:equalWidth="0" w:num="1">
            <w:col w:w="11240"/>
          </w:cols>
          <w:pgMar w:left="320" w:top="1281" w:right="339" w:bottom="1440" w:gutter="0" w:footer="0" w:header="0"/>
        </w:sectPr>
      </w:pPr>
    </w:p>
    <w:bookmarkStart w:id="139" w:name="page140"/>
    <w:bookmarkEnd w:id="139"/>
    <w:p>
      <w:pPr>
        <w:spacing w:after="0"/>
        <w:rPr>
          <w:sz w:val="20"/>
          <w:szCs w:val="20"/>
          <w:color w:val="auto"/>
        </w:rPr>
      </w:pPr>
      <w:r>
        <w:rPr>
          <w:rFonts w:ascii="Times New Roman" w:cs="Times New Roman" w:eastAsia="Times New Roman" w:hAnsi="Times New Roman"/>
          <w:sz w:val="16"/>
          <w:szCs w:val="16"/>
          <w:color w:val="auto"/>
        </w:rPr>
        <w:t>Date November 13, 2024.</w:t>
      </w: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6"/>
          <w:szCs w:val="16"/>
          <w:i w:val="1"/>
          <w:iCs w:val="1"/>
          <w:color w:val="auto"/>
        </w:rPr>
        <w:t>(signed) "Greg Cavers"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17780</wp:posOffset>
            </wp:positionV>
            <wp:extent cx="1957705" cy="762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1957705" cy="7620"/>
                    </a:xfrm>
                    <a:prstGeom prst="rect">
                      <a:avLst/>
                    </a:prstGeom>
                    <a:noFill/>
                  </pic:spPr>
                </pic:pic>
              </a:graphicData>
            </a:graphic>
          </wp:anchor>
        </w:drawing>
      </w:r>
    </w:p>
    <w:p>
      <w:pPr>
        <w:spacing w:after="0" w:line="1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6"/>
          <w:szCs w:val="16"/>
          <w:color w:val="auto"/>
        </w:rPr>
        <w:t>Greg Cavers</w:t>
      </w:r>
    </w:p>
    <w:p>
      <w:pPr>
        <w:spacing w:after="0" w:line="2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6"/>
          <w:szCs w:val="16"/>
          <w:color w:val="auto"/>
        </w:rPr>
        <w:t>Chief Financial Officer</w:t>
      </w:r>
    </w:p>
    <w:p>
      <w:pPr>
        <w:sectPr>
          <w:pgSz w:w="11900" w:h="16838" w:orient="portrait"/>
          <w:cols w:equalWidth="0" w:num="1">
            <w:col w:w="10139"/>
          </w:cols>
          <w:pgMar w:left="320" w:top="1283" w:right="1440" w:bottom="1440" w:gutter="0" w:footer="0" w:header="0"/>
        </w:sectPr>
      </w:pPr>
    </w:p>
    <w:bookmarkStart w:id="140" w:name="page141"/>
    <w:bookmarkEnd w:id="140"/>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2987675</wp:posOffset>
            </wp:positionH>
            <wp:positionV relativeFrom="page">
              <wp:posOffset>825500</wp:posOffset>
            </wp:positionV>
            <wp:extent cx="1581150" cy="92138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clrChange>
                        <a:clrFrom>
                          <a:srgbClr val="FFFFFF"/>
                        </a:clrFrom>
                        <a:clrTo>
                          <a:srgbClr val="FFFFFF">
                            <a:alpha val="0"/>
                          </a:srgbClr>
                        </a:clrTo>
                      </a:clrChange>
                      <a:extLst>
                        <a:ext uri="{28A0092B-C50C-407E-A947-70E740481C1C}"/>
                      </a:extLst>
                    </a:blip>
                    <a:srcRect/>
                    <a:stretch>
                      <a:fillRect/>
                    </a:stretch>
                  </pic:blipFill>
                  <pic:spPr bwMode="auto">
                    <a:xfrm>
                      <a:off x="0" y="0"/>
                      <a:ext cx="1581150" cy="9213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Arial" w:cs="Arial" w:eastAsia="Arial" w:hAnsi="Arial"/>
          <w:sz w:val="23"/>
          <w:szCs w:val="23"/>
          <w:b w:val="1"/>
          <w:bCs w:val="1"/>
          <w:color w:val="auto"/>
        </w:rPr>
        <w:t>Cybin Initiates PARADIGM:</w:t>
      </w:r>
    </w:p>
    <w:p>
      <w:pPr>
        <w:spacing w:after="0" w:line="46" w:lineRule="exact"/>
        <w:rPr>
          <w:sz w:val="20"/>
          <w:szCs w:val="20"/>
          <w:color w:val="auto"/>
        </w:rPr>
      </w:pPr>
    </w:p>
    <w:p>
      <w:pPr>
        <w:jc w:val="center"/>
        <w:spacing w:after="0"/>
        <w:rPr>
          <w:sz w:val="20"/>
          <w:szCs w:val="20"/>
          <w:color w:val="auto"/>
        </w:rPr>
      </w:pPr>
      <w:r>
        <w:rPr>
          <w:rFonts w:ascii="Arial" w:cs="Arial" w:eastAsia="Arial" w:hAnsi="Arial"/>
          <w:sz w:val="23"/>
          <w:szCs w:val="23"/>
          <w:b w:val="1"/>
          <w:bCs w:val="1"/>
          <w:color w:val="auto"/>
        </w:rPr>
        <w:t>A Multinational Pivotal Phase 3 Program Evaluating CYB003 for the Adjunctive Treatment of Major</w:t>
      </w:r>
    </w:p>
    <w:p>
      <w:pPr>
        <w:spacing w:after="0" w:line="26" w:lineRule="exact"/>
        <w:rPr>
          <w:sz w:val="20"/>
          <w:szCs w:val="20"/>
          <w:color w:val="auto"/>
        </w:rPr>
      </w:pPr>
    </w:p>
    <w:p>
      <w:pPr>
        <w:jc w:val="center"/>
        <w:spacing w:after="0"/>
        <w:rPr>
          <w:sz w:val="20"/>
          <w:szCs w:val="20"/>
          <w:color w:val="auto"/>
        </w:rPr>
      </w:pPr>
      <w:r>
        <w:rPr>
          <w:rFonts w:ascii="Arial" w:cs="Arial" w:eastAsia="Arial" w:hAnsi="Arial"/>
          <w:sz w:val="23"/>
          <w:szCs w:val="23"/>
          <w:b w:val="1"/>
          <w:bCs w:val="1"/>
          <w:color w:val="auto"/>
        </w:rPr>
        <w:t>Depressive Disorder</w:t>
      </w:r>
    </w:p>
    <w:p>
      <w:pPr>
        <w:spacing w:after="0" w:line="38" w:lineRule="exact"/>
        <w:rPr>
          <w:sz w:val="20"/>
          <w:szCs w:val="20"/>
          <w:color w:val="auto"/>
        </w:rPr>
      </w:pPr>
    </w:p>
    <w:p>
      <w:pPr>
        <w:jc w:val="center"/>
        <w:spacing w:after="0"/>
        <w:rPr>
          <w:sz w:val="20"/>
          <w:szCs w:val="20"/>
          <w:color w:val="auto"/>
        </w:rPr>
      </w:pPr>
      <w:r>
        <w:rPr>
          <w:rFonts w:ascii="Arial" w:cs="Arial" w:eastAsia="Arial" w:hAnsi="Arial"/>
          <w:sz w:val="23"/>
          <w:szCs w:val="23"/>
          <w:b w:val="1"/>
          <w:bCs w:val="1"/>
          <w:color w:val="auto"/>
        </w:rPr>
        <w:t>and Reports Second Quarter Financial Results</w:t>
      </w:r>
    </w:p>
    <w:p>
      <w:pPr>
        <w:spacing w:after="0" w:line="242" w:lineRule="exact"/>
        <w:rPr>
          <w:sz w:val="20"/>
          <w:szCs w:val="20"/>
          <w:color w:val="auto"/>
        </w:rPr>
      </w:pPr>
    </w:p>
    <w:p>
      <w:pPr>
        <w:ind w:left="340" w:hanging="107"/>
        <w:spacing w:after="0"/>
        <w:tabs>
          <w:tab w:leader="none" w:pos="340" w:val="left"/>
        </w:tabs>
        <w:numPr>
          <w:ilvl w:val="0"/>
          <w:numId w:val="57"/>
        </w:numPr>
        <w:rPr>
          <w:rFonts w:ascii="Arial" w:cs="Arial" w:eastAsia="Arial" w:hAnsi="Arial"/>
          <w:sz w:val="17"/>
          <w:szCs w:val="17"/>
          <w:i w:val="1"/>
          <w:iCs w:val="1"/>
          <w:color w:val="auto"/>
        </w:rPr>
      </w:pPr>
      <w:r>
        <w:rPr>
          <w:rFonts w:ascii="Arial" w:cs="Arial" w:eastAsia="Arial" w:hAnsi="Arial"/>
          <w:sz w:val="17"/>
          <w:szCs w:val="17"/>
          <w:i w:val="1"/>
          <w:iCs w:val="1"/>
          <w:color w:val="auto"/>
        </w:rPr>
        <w:t xml:space="preserve">PARADIGM </w:t>
      </w:r>
      <w:r>
        <w:rPr>
          <w:rFonts w:ascii="Arial" w:cs="Arial" w:eastAsia="Arial" w:hAnsi="Arial"/>
          <w:sz w:val="22"/>
          <w:szCs w:val="22"/>
          <w:color w:val="auto"/>
          <w:vertAlign w:val="superscript"/>
        </w:rPr>
        <w:t>TM</w:t>
      </w:r>
      <w:r>
        <w:rPr>
          <w:rFonts w:ascii="Arial" w:cs="Arial" w:eastAsia="Arial" w:hAnsi="Arial"/>
          <w:sz w:val="17"/>
          <w:szCs w:val="17"/>
          <w:i w:val="1"/>
          <w:iCs w:val="1"/>
          <w:color w:val="auto"/>
        </w:rPr>
        <w:t xml:space="preserve"> program comprises two 12-week randomized, placebo-controlled studies (APPROACH and EMBRACE) and a long-term</w:t>
      </w:r>
    </w:p>
    <w:p>
      <w:pPr>
        <w:ind w:left="4480"/>
        <w:spacing w:after="0"/>
        <w:rPr>
          <w:rFonts w:ascii="Arial" w:cs="Arial" w:eastAsia="Arial" w:hAnsi="Arial"/>
          <w:sz w:val="17"/>
          <w:szCs w:val="17"/>
          <w:i w:val="1"/>
          <w:iCs w:val="1"/>
          <w:color w:val="auto"/>
        </w:rPr>
      </w:pPr>
      <w:r>
        <w:rPr>
          <w:rFonts w:ascii="Arial" w:cs="Arial" w:eastAsia="Arial" w:hAnsi="Arial"/>
          <w:sz w:val="18"/>
          <w:szCs w:val="18"/>
          <w:i w:val="1"/>
          <w:iCs w:val="1"/>
          <w:color w:val="auto"/>
        </w:rPr>
        <w:t>extension study (EXTEND) -</w:t>
      </w:r>
    </w:p>
    <w:p>
      <w:pPr>
        <w:spacing w:after="0" w:line="236" w:lineRule="exact"/>
        <w:rPr>
          <w:sz w:val="20"/>
          <w:szCs w:val="20"/>
          <w:color w:val="auto"/>
        </w:rPr>
      </w:pPr>
    </w:p>
    <w:p>
      <w:pPr>
        <w:ind w:left="340" w:right="340" w:firstLine="150"/>
        <w:spacing w:after="0" w:line="252" w:lineRule="auto"/>
        <w:tabs>
          <w:tab w:leader="none" w:pos="608" w:val="left"/>
        </w:tabs>
        <w:numPr>
          <w:ilvl w:val="0"/>
          <w:numId w:val="58"/>
        </w:numPr>
        <w:rPr>
          <w:rFonts w:ascii="Arial" w:cs="Arial" w:eastAsia="Arial" w:hAnsi="Arial"/>
          <w:sz w:val="17"/>
          <w:szCs w:val="17"/>
          <w:i w:val="1"/>
          <w:iCs w:val="1"/>
          <w:color w:val="auto"/>
        </w:rPr>
      </w:pPr>
      <w:r>
        <w:rPr>
          <w:rFonts w:ascii="Arial" w:cs="Arial" w:eastAsia="Arial" w:hAnsi="Arial"/>
          <w:sz w:val="17"/>
          <w:szCs w:val="17"/>
          <w:i w:val="1"/>
          <w:iCs w:val="1"/>
          <w:color w:val="auto"/>
        </w:rPr>
        <w:t xml:space="preserve">APPROACH </w:t>
      </w:r>
      <w:r>
        <w:rPr>
          <w:rFonts w:ascii="Arial" w:cs="Arial" w:eastAsia="Arial" w:hAnsi="Arial"/>
          <w:sz w:val="22"/>
          <w:szCs w:val="22"/>
          <w:i w:val="1"/>
          <w:iCs w:val="1"/>
          <w:color w:val="auto"/>
          <w:vertAlign w:val="superscript"/>
        </w:rPr>
        <w:t>TM</w:t>
      </w:r>
      <w:r>
        <w:rPr>
          <w:rFonts w:ascii="Arial" w:cs="Arial" w:eastAsia="Arial" w:hAnsi="Arial"/>
          <w:sz w:val="17"/>
          <w:szCs w:val="17"/>
          <w:i w:val="1"/>
          <w:iCs w:val="1"/>
          <w:color w:val="auto"/>
        </w:rPr>
        <w:t xml:space="preserve">: </w:t>
      </w:r>
      <w:r>
        <w:rPr>
          <w:rFonts w:ascii="Arial" w:cs="Arial" w:eastAsia="Arial" w:hAnsi="Arial"/>
          <w:sz w:val="17"/>
          <w:szCs w:val="17"/>
          <w:b w:val="1"/>
          <w:bCs w:val="1"/>
          <w:i w:val="1"/>
          <w:iCs w:val="1"/>
          <w:u w:val="single" w:color="auto"/>
          <w:color w:val="auto"/>
        </w:rPr>
        <w:t>A P</w:t>
      </w:r>
      <w:r>
        <w:rPr>
          <w:rFonts w:ascii="Arial" w:cs="Arial" w:eastAsia="Arial" w:hAnsi="Arial"/>
          <w:sz w:val="17"/>
          <w:szCs w:val="17"/>
          <w:i w:val="1"/>
          <w:iCs w:val="1"/>
          <w:color w:val="auto"/>
        </w:rPr>
        <w:t xml:space="preserve">hase III, </w:t>
      </w:r>
      <w:r>
        <w:rPr>
          <w:rFonts w:ascii="Arial" w:cs="Arial" w:eastAsia="Arial" w:hAnsi="Arial"/>
          <w:sz w:val="17"/>
          <w:szCs w:val="17"/>
          <w:b w:val="1"/>
          <w:bCs w:val="1"/>
          <w:i w:val="1"/>
          <w:iCs w:val="1"/>
          <w:u w:val="single" w:color="auto"/>
          <w:color w:val="auto"/>
        </w:rPr>
        <w:t>P</w:t>
      </w:r>
      <w:r>
        <w:rPr>
          <w:rFonts w:ascii="Arial" w:cs="Arial" w:eastAsia="Arial" w:hAnsi="Arial"/>
          <w:sz w:val="17"/>
          <w:szCs w:val="17"/>
          <w:i w:val="1"/>
          <w:iCs w:val="1"/>
          <w:color w:val="auto"/>
        </w:rPr>
        <w:t xml:space="preserve">lacebo-Controlled, </w:t>
      </w:r>
      <w:r>
        <w:rPr>
          <w:rFonts w:ascii="Arial" w:cs="Arial" w:eastAsia="Arial" w:hAnsi="Arial"/>
          <w:sz w:val="17"/>
          <w:szCs w:val="17"/>
          <w:b w:val="1"/>
          <w:bCs w:val="1"/>
          <w:i w:val="1"/>
          <w:iCs w:val="1"/>
          <w:u w:val="single" w:color="auto"/>
          <w:color w:val="auto"/>
        </w:rPr>
        <w:t>R</w:t>
      </w:r>
      <w:r>
        <w:rPr>
          <w:rFonts w:ascii="Arial" w:cs="Arial" w:eastAsia="Arial" w:hAnsi="Arial"/>
          <w:sz w:val="17"/>
          <w:szCs w:val="17"/>
          <w:i w:val="1"/>
          <w:iCs w:val="1"/>
          <w:color w:val="auto"/>
        </w:rPr>
        <w:t xml:space="preserve">andomized, Double-Blind Trial of </w:t>
      </w:r>
      <w:r>
        <w:rPr>
          <w:rFonts w:ascii="Arial" w:cs="Arial" w:eastAsia="Arial" w:hAnsi="Arial"/>
          <w:sz w:val="17"/>
          <w:szCs w:val="17"/>
          <w:b w:val="1"/>
          <w:bCs w:val="1"/>
          <w:i w:val="1"/>
          <w:iCs w:val="1"/>
          <w:u w:val="single" w:color="auto"/>
          <w:color w:val="auto"/>
        </w:rPr>
        <w:t>O</w:t>
      </w:r>
      <w:r>
        <w:rPr>
          <w:rFonts w:ascii="Arial" w:cs="Arial" w:eastAsia="Arial" w:hAnsi="Arial"/>
          <w:sz w:val="17"/>
          <w:szCs w:val="17"/>
          <w:i w:val="1"/>
          <w:iCs w:val="1"/>
          <w:color w:val="auto"/>
        </w:rPr>
        <w:t xml:space="preserve">ral Doses of CYB003 to </w:t>
      </w:r>
      <w:r>
        <w:rPr>
          <w:rFonts w:ascii="Arial" w:cs="Arial" w:eastAsia="Arial" w:hAnsi="Arial"/>
          <w:sz w:val="17"/>
          <w:szCs w:val="17"/>
          <w:b w:val="1"/>
          <w:bCs w:val="1"/>
          <w:i w:val="1"/>
          <w:iCs w:val="1"/>
          <w:u w:val="single" w:color="auto"/>
          <w:color w:val="auto"/>
        </w:rPr>
        <w:t>A</w:t>
      </w:r>
      <w:r>
        <w:rPr>
          <w:rFonts w:ascii="Arial" w:cs="Arial" w:eastAsia="Arial" w:hAnsi="Arial"/>
          <w:sz w:val="17"/>
          <w:szCs w:val="17"/>
          <w:i w:val="1"/>
          <w:iCs w:val="1"/>
          <w:color w:val="auto"/>
        </w:rPr>
        <w:t xml:space="preserve">ssess </w:t>
      </w:r>
      <w:r>
        <w:rPr>
          <w:rFonts w:ascii="Arial" w:cs="Arial" w:eastAsia="Arial" w:hAnsi="Arial"/>
          <w:sz w:val="17"/>
          <w:szCs w:val="17"/>
          <w:b w:val="1"/>
          <w:bCs w:val="1"/>
          <w:i w:val="1"/>
          <w:iCs w:val="1"/>
          <w:u w:val="single" w:color="auto"/>
          <w:color w:val="auto"/>
        </w:rPr>
        <w:t>C</w:t>
      </w:r>
      <w:r>
        <w:rPr>
          <w:rFonts w:ascii="Arial" w:cs="Arial" w:eastAsia="Arial" w:hAnsi="Arial"/>
          <w:sz w:val="17"/>
          <w:szCs w:val="17"/>
          <w:i w:val="1"/>
          <w:iCs w:val="1"/>
          <w:color w:val="auto"/>
        </w:rPr>
        <w:t xml:space="preserve">ombined Safety and Efficacy in </w:t>
      </w:r>
      <w:r>
        <w:rPr>
          <w:rFonts w:ascii="Arial" w:cs="Arial" w:eastAsia="Arial" w:hAnsi="Arial"/>
          <w:sz w:val="17"/>
          <w:szCs w:val="17"/>
          <w:b w:val="1"/>
          <w:bCs w:val="1"/>
          <w:i w:val="1"/>
          <w:iCs w:val="1"/>
          <w:u w:val="single" w:color="auto"/>
          <w:color w:val="auto"/>
        </w:rPr>
        <w:t>H</w:t>
      </w:r>
      <w:r>
        <w:rPr>
          <w:rFonts w:ascii="Arial" w:cs="Arial" w:eastAsia="Arial" w:hAnsi="Arial"/>
          <w:sz w:val="17"/>
          <w:szCs w:val="17"/>
          <w:i w:val="1"/>
          <w:iCs w:val="1"/>
          <w:color w:val="auto"/>
        </w:rPr>
        <w:t>umans with Major Depressive Disorder has been initiated and will enroll 220 patients at 36 clinical sites across</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the U.S. and Europe; topline results expected in 2026 -</w:t>
      </w:r>
    </w:p>
    <w:p>
      <w:pPr>
        <w:spacing w:after="0" w:line="240" w:lineRule="exact"/>
        <w:rPr>
          <w:sz w:val="20"/>
          <w:szCs w:val="20"/>
          <w:color w:val="auto"/>
        </w:rPr>
      </w:pPr>
    </w:p>
    <w:p>
      <w:pPr>
        <w:ind w:left="1020" w:right="320" w:hanging="703"/>
        <w:spacing w:after="0" w:line="254" w:lineRule="auto"/>
        <w:tabs>
          <w:tab w:leader="none" w:pos="431" w:val="left"/>
        </w:tabs>
        <w:numPr>
          <w:ilvl w:val="0"/>
          <w:numId w:val="59"/>
        </w:numPr>
        <w:rPr>
          <w:rFonts w:ascii="Arial" w:cs="Arial" w:eastAsia="Arial" w:hAnsi="Arial"/>
          <w:sz w:val="18"/>
          <w:szCs w:val="18"/>
          <w:i w:val="1"/>
          <w:iCs w:val="1"/>
          <w:color w:val="auto"/>
        </w:rPr>
      </w:pPr>
      <w:r>
        <w:rPr>
          <w:rFonts w:ascii="Arial" w:cs="Arial" w:eastAsia="Arial" w:hAnsi="Arial"/>
          <w:sz w:val="18"/>
          <w:szCs w:val="18"/>
          <w:i w:val="1"/>
          <w:iCs w:val="1"/>
          <w:color w:val="auto"/>
        </w:rPr>
        <w:t xml:space="preserve">EMBRACE </w:t>
      </w:r>
      <w:r>
        <w:rPr>
          <w:rFonts w:ascii="Arial" w:cs="Arial" w:eastAsia="Arial" w:hAnsi="Arial"/>
          <w:sz w:val="23"/>
          <w:szCs w:val="23"/>
          <w:i w:val="1"/>
          <w:iCs w:val="1"/>
          <w:color w:val="auto"/>
          <w:vertAlign w:val="superscript"/>
        </w:rPr>
        <w:t>TM</w:t>
      </w:r>
      <w:r>
        <w:rPr>
          <w:rFonts w:ascii="Arial" w:cs="Arial" w:eastAsia="Arial" w:hAnsi="Arial"/>
          <w:sz w:val="18"/>
          <w:szCs w:val="18"/>
          <w:i w:val="1"/>
          <w:iCs w:val="1"/>
          <w:color w:val="auto"/>
        </w:rPr>
        <w:t xml:space="preserve">: An </w:t>
      </w:r>
      <w:r>
        <w:rPr>
          <w:rFonts w:ascii="Arial" w:cs="Arial" w:eastAsia="Arial" w:hAnsi="Arial"/>
          <w:sz w:val="18"/>
          <w:szCs w:val="18"/>
          <w:b w:val="1"/>
          <w:bCs w:val="1"/>
          <w:i w:val="1"/>
          <w:iCs w:val="1"/>
          <w:u w:val="single" w:color="auto"/>
          <w:color w:val="auto"/>
        </w:rPr>
        <w:t>E</w:t>
      </w:r>
      <w:r>
        <w:rPr>
          <w:rFonts w:ascii="Arial" w:cs="Arial" w:eastAsia="Arial" w:hAnsi="Arial"/>
          <w:sz w:val="18"/>
          <w:szCs w:val="18"/>
          <w:i w:val="1"/>
          <w:iCs w:val="1"/>
          <w:color w:val="auto"/>
        </w:rPr>
        <w:t xml:space="preserve">fficacy and Safety, Phase III, </w:t>
      </w:r>
      <w:r>
        <w:rPr>
          <w:rFonts w:ascii="Arial" w:cs="Arial" w:eastAsia="Arial" w:hAnsi="Arial"/>
          <w:sz w:val="18"/>
          <w:szCs w:val="18"/>
          <w:b w:val="1"/>
          <w:bCs w:val="1"/>
          <w:i w:val="1"/>
          <w:iCs w:val="1"/>
          <w:u w:val="single" w:color="auto"/>
          <w:color w:val="auto"/>
        </w:rPr>
        <w:t>M</w:t>
      </w:r>
      <w:r>
        <w:rPr>
          <w:rFonts w:ascii="Arial" w:cs="Arial" w:eastAsia="Arial" w:hAnsi="Arial"/>
          <w:sz w:val="18"/>
          <w:szCs w:val="18"/>
          <w:i w:val="1"/>
          <w:iCs w:val="1"/>
          <w:color w:val="auto"/>
        </w:rPr>
        <w:t>ulti-center, Double-</w:t>
      </w:r>
      <w:r>
        <w:rPr>
          <w:rFonts w:ascii="Arial" w:cs="Arial" w:eastAsia="Arial" w:hAnsi="Arial"/>
          <w:sz w:val="18"/>
          <w:szCs w:val="18"/>
          <w:b w:val="1"/>
          <w:bCs w:val="1"/>
          <w:i w:val="1"/>
          <w:iCs w:val="1"/>
          <w:u w:val="single" w:color="auto"/>
          <w:color w:val="auto"/>
        </w:rPr>
        <w:t>B</w:t>
      </w:r>
      <w:r>
        <w:rPr>
          <w:rFonts w:ascii="Arial" w:cs="Arial" w:eastAsia="Arial" w:hAnsi="Arial"/>
          <w:sz w:val="18"/>
          <w:szCs w:val="18"/>
          <w:i w:val="1"/>
          <w:iCs w:val="1"/>
          <w:color w:val="auto"/>
        </w:rPr>
        <w:t xml:space="preserve">lind, </w:t>
      </w:r>
      <w:r>
        <w:rPr>
          <w:rFonts w:ascii="Arial" w:cs="Arial" w:eastAsia="Arial" w:hAnsi="Arial"/>
          <w:sz w:val="18"/>
          <w:szCs w:val="18"/>
          <w:b w:val="1"/>
          <w:bCs w:val="1"/>
          <w:i w:val="1"/>
          <w:iCs w:val="1"/>
          <w:u w:val="single" w:color="auto"/>
          <w:color w:val="auto"/>
        </w:rPr>
        <w:t>R</w:t>
      </w:r>
      <w:r>
        <w:rPr>
          <w:rFonts w:ascii="Arial" w:cs="Arial" w:eastAsia="Arial" w:hAnsi="Arial"/>
          <w:sz w:val="18"/>
          <w:szCs w:val="18"/>
          <w:i w:val="1"/>
          <w:iCs w:val="1"/>
          <w:color w:val="auto"/>
        </w:rPr>
        <w:t xml:space="preserve">andomized Controlled Study Comparing 2 </w:t>
      </w:r>
      <w:r>
        <w:rPr>
          <w:rFonts w:ascii="Arial" w:cs="Arial" w:eastAsia="Arial" w:hAnsi="Arial"/>
          <w:sz w:val="18"/>
          <w:szCs w:val="18"/>
          <w:b w:val="1"/>
          <w:bCs w:val="1"/>
          <w:i w:val="1"/>
          <w:iCs w:val="1"/>
          <w:u w:val="single" w:color="auto"/>
          <w:color w:val="auto"/>
        </w:rPr>
        <w:t>A</w:t>
      </w:r>
      <w:r>
        <w:rPr>
          <w:rFonts w:ascii="Arial" w:cs="Arial" w:eastAsia="Arial" w:hAnsi="Arial"/>
          <w:sz w:val="18"/>
          <w:szCs w:val="18"/>
          <w:i w:val="1"/>
          <w:iCs w:val="1"/>
          <w:color w:val="auto"/>
        </w:rPr>
        <w:t xml:space="preserve">ctive and 1 Inactive Oral Doses of </w:t>
      </w:r>
      <w:r>
        <w:rPr>
          <w:rFonts w:ascii="Arial" w:cs="Arial" w:eastAsia="Arial" w:hAnsi="Arial"/>
          <w:sz w:val="18"/>
          <w:szCs w:val="18"/>
          <w:b w:val="1"/>
          <w:bCs w:val="1"/>
          <w:i w:val="1"/>
          <w:iCs w:val="1"/>
          <w:u w:val="single" w:color="auto"/>
          <w:color w:val="auto"/>
        </w:rPr>
        <w:t>C</w:t>
      </w:r>
      <w:r>
        <w:rPr>
          <w:rFonts w:ascii="Arial" w:cs="Arial" w:eastAsia="Arial" w:hAnsi="Arial"/>
          <w:sz w:val="18"/>
          <w:szCs w:val="18"/>
          <w:i w:val="1"/>
          <w:iCs w:val="1"/>
          <w:color w:val="auto"/>
        </w:rPr>
        <w:t xml:space="preserve">YB003 in </w:t>
      </w:r>
      <w:r>
        <w:rPr>
          <w:rFonts w:ascii="Arial" w:cs="Arial" w:eastAsia="Arial" w:hAnsi="Arial"/>
          <w:sz w:val="18"/>
          <w:szCs w:val="18"/>
          <w:b w:val="1"/>
          <w:bCs w:val="1"/>
          <w:i w:val="1"/>
          <w:iCs w:val="1"/>
          <w:u w:val="single" w:color="auto"/>
          <w:color w:val="auto"/>
        </w:rPr>
        <w:t>E</w:t>
      </w:r>
      <w:r>
        <w:rPr>
          <w:rFonts w:ascii="Arial" w:cs="Arial" w:eastAsia="Arial" w:hAnsi="Arial"/>
          <w:sz w:val="18"/>
          <w:szCs w:val="18"/>
          <w:i w:val="1"/>
          <w:iCs w:val="1"/>
          <w:color w:val="auto"/>
        </w:rPr>
        <w:t>ligible Participants with Major Depressive Disorder is expected to begin in 1H25 -</w:t>
      </w:r>
    </w:p>
    <w:p>
      <w:pPr>
        <w:spacing w:after="0" w:line="190" w:lineRule="exact"/>
        <w:rPr>
          <w:rFonts w:ascii="Arial" w:cs="Arial" w:eastAsia="Arial" w:hAnsi="Arial"/>
          <w:sz w:val="18"/>
          <w:szCs w:val="18"/>
          <w:i w:val="1"/>
          <w:iCs w:val="1"/>
          <w:color w:val="auto"/>
        </w:rPr>
      </w:pPr>
    </w:p>
    <w:p>
      <w:pPr>
        <w:ind w:left="540" w:hanging="116"/>
        <w:spacing w:after="0"/>
        <w:tabs>
          <w:tab w:leader="none" w:pos="540" w:val="left"/>
        </w:tabs>
        <w:numPr>
          <w:ilvl w:val="1"/>
          <w:numId w:val="59"/>
        </w:numPr>
        <w:rPr>
          <w:rFonts w:ascii="Arial" w:cs="Arial" w:eastAsia="Arial" w:hAnsi="Arial"/>
          <w:sz w:val="18"/>
          <w:szCs w:val="18"/>
          <w:i w:val="1"/>
          <w:iCs w:val="1"/>
          <w:color w:val="auto"/>
        </w:rPr>
      </w:pPr>
      <w:r>
        <w:rPr>
          <w:rFonts w:ascii="Arial" w:cs="Arial" w:eastAsia="Arial" w:hAnsi="Arial"/>
          <w:sz w:val="18"/>
          <w:szCs w:val="18"/>
          <w:i w:val="1"/>
          <w:iCs w:val="1"/>
          <w:color w:val="auto"/>
        </w:rPr>
        <w:t xml:space="preserve">EXTEND: a Phase III Open Label </w:t>
      </w:r>
      <w:r>
        <w:rPr>
          <w:rFonts w:ascii="Arial" w:cs="Arial" w:eastAsia="Arial" w:hAnsi="Arial"/>
          <w:sz w:val="18"/>
          <w:szCs w:val="18"/>
          <w:b w:val="1"/>
          <w:bCs w:val="1"/>
          <w:i w:val="1"/>
          <w:iCs w:val="1"/>
          <w:u w:val="single" w:color="auto"/>
          <w:color w:val="auto"/>
        </w:rPr>
        <w:t>Exten</w:t>
      </w:r>
      <w:r>
        <w:rPr>
          <w:rFonts w:ascii="Arial" w:cs="Arial" w:eastAsia="Arial" w:hAnsi="Arial"/>
          <w:sz w:val="18"/>
          <w:szCs w:val="18"/>
          <w:i w:val="1"/>
          <w:iCs w:val="1"/>
          <w:color w:val="auto"/>
        </w:rPr>
        <w:t>sion Study with Optional Additional Doses of CYB003 to Assess the Safety and Long-term</w:t>
      </w:r>
    </w:p>
    <w:p>
      <w:pPr>
        <w:spacing w:after="0" w:line="35" w:lineRule="exact"/>
        <w:rPr>
          <w:sz w:val="20"/>
          <w:szCs w:val="20"/>
          <w:color w:val="auto"/>
        </w:rPr>
      </w:pPr>
    </w:p>
    <w:p>
      <w:pPr>
        <w:jc w:val="center"/>
        <w:spacing w:after="0" w:line="295" w:lineRule="auto"/>
        <w:rPr>
          <w:sz w:val="20"/>
          <w:szCs w:val="20"/>
          <w:color w:val="auto"/>
        </w:rPr>
      </w:pPr>
      <w:r>
        <w:rPr>
          <w:rFonts w:ascii="Arial" w:cs="Arial" w:eastAsia="Arial" w:hAnsi="Arial"/>
          <w:sz w:val="18"/>
          <w:szCs w:val="18"/>
          <w:i w:val="1"/>
          <w:iCs w:val="1"/>
          <w:color w:val="auto"/>
        </w:rPr>
        <w:t xml:space="preserve">Efficacy in Participants With Major </w:t>
      </w:r>
      <w:r>
        <w:rPr>
          <w:rFonts w:ascii="Arial" w:cs="Arial" w:eastAsia="Arial" w:hAnsi="Arial"/>
          <w:sz w:val="18"/>
          <w:szCs w:val="18"/>
          <w:b w:val="1"/>
          <w:bCs w:val="1"/>
          <w:i w:val="1"/>
          <w:iCs w:val="1"/>
          <w:u w:val="single" w:color="auto"/>
          <w:color w:val="auto"/>
        </w:rPr>
        <w:t>D</w:t>
      </w:r>
      <w:r>
        <w:rPr>
          <w:rFonts w:ascii="Arial" w:cs="Arial" w:eastAsia="Arial" w:hAnsi="Arial"/>
          <w:sz w:val="18"/>
          <w:szCs w:val="18"/>
          <w:i w:val="1"/>
          <w:iCs w:val="1"/>
          <w:color w:val="auto"/>
        </w:rPr>
        <w:t>epressive Disorder is expected to begin 12 weeks after commencement of APPROACH and EMBRACE, respectively -</w:t>
      </w:r>
    </w:p>
    <w:p>
      <w:pPr>
        <w:spacing w:after="0" w:line="180"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-12-month efficacy data from Phase 2 CYB003 MDD study expected in Q4 2024 -</w:t>
      </w:r>
    </w:p>
    <w:p>
      <w:pPr>
        <w:spacing w:after="0" w:line="240"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 CYB003 in development for the treatment of MDD has a total addressable market of &gt;300 million people worldwide</w:t>
      </w:r>
      <w:r>
        <w:rPr>
          <w:rFonts w:ascii="Arial" w:cs="Arial" w:eastAsia="Arial" w:hAnsi="Arial"/>
          <w:sz w:val="22"/>
          <w:szCs w:val="22"/>
          <w:i w:val="1"/>
          <w:iCs w:val="1"/>
          <w:color w:val="auto"/>
          <w:vertAlign w:val="superscript"/>
        </w:rPr>
        <w:t>1</w:t>
      </w:r>
      <w:r>
        <w:rPr>
          <w:rFonts w:ascii="Arial" w:cs="Arial" w:eastAsia="Arial" w:hAnsi="Arial"/>
          <w:sz w:val="17"/>
          <w:szCs w:val="17"/>
          <w:i w:val="1"/>
          <w:iCs w:val="1"/>
          <w:color w:val="auto"/>
        </w:rPr>
        <w:t xml:space="preserve"> and 21 million in the U.S.</w:t>
      </w:r>
    </w:p>
    <w:p>
      <w:pPr>
        <w:ind w:left="5620" w:hanging="122"/>
        <w:spacing w:after="0" w:line="200" w:lineRule="auto"/>
        <w:tabs>
          <w:tab w:leader="none" w:pos="5620" w:val="left"/>
        </w:tabs>
        <w:numPr>
          <w:ilvl w:val="1"/>
          <w:numId w:val="60"/>
        </w:numPr>
        <w:rPr>
          <w:rFonts w:ascii="Arial" w:cs="Arial" w:eastAsia="Arial" w:hAnsi="Arial"/>
          <w:sz w:val="23"/>
          <w:szCs w:val="23"/>
          <w:i w:val="1"/>
          <w:iCs w:val="1"/>
          <w:color w:val="auto"/>
          <w:vertAlign w:val="superscript"/>
        </w:rPr>
      </w:pPr>
      <w:r>
        <w:rPr>
          <w:rFonts w:ascii="Arial" w:cs="Arial" w:eastAsia="Arial" w:hAnsi="Arial"/>
          <w:sz w:val="18"/>
          <w:szCs w:val="18"/>
          <w:i w:val="1"/>
          <w:iCs w:val="1"/>
          <w:color w:val="auto"/>
        </w:rPr>
        <w:t>-</w:t>
      </w:r>
    </w:p>
    <w:p>
      <w:pPr>
        <w:spacing w:after="0" w:line="203" w:lineRule="exact"/>
        <w:rPr>
          <w:rFonts w:ascii="Arial" w:cs="Arial" w:eastAsia="Arial" w:hAnsi="Arial"/>
          <w:sz w:val="23"/>
          <w:szCs w:val="23"/>
          <w:i w:val="1"/>
          <w:iCs w:val="1"/>
          <w:color w:val="auto"/>
          <w:vertAlign w:val="superscript"/>
        </w:rPr>
      </w:pPr>
    </w:p>
    <w:p>
      <w:pPr>
        <w:ind w:left="3380" w:hanging="101"/>
        <w:spacing w:after="0"/>
        <w:tabs>
          <w:tab w:leader="none" w:pos="3380" w:val="left"/>
        </w:tabs>
        <w:numPr>
          <w:ilvl w:val="0"/>
          <w:numId w:val="60"/>
        </w:numPr>
        <w:rPr>
          <w:rFonts w:ascii="Arial" w:cs="Arial" w:eastAsia="Arial" w:hAnsi="Arial"/>
          <w:sz w:val="18"/>
          <w:szCs w:val="18"/>
          <w:i w:val="1"/>
          <w:iCs w:val="1"/>
          <w:color w:val="auto"/>
        </w:rPr>
      </w:pPr>
      <w:r>
        <w:rPr>
          <w:rFonts w:ascii="Arial" w:cs="Arial" w:eastAsia="Arial" w:hAnsi="Arial"/>
          <w:sz w:val="18"/>
          <w:szCs w:val="18"/>
          <w:i w:val="1"/>
          <w:iCs w:val="1"/>
          <w:color w:val="auto"/>
        </w:rPr>
        <w:t>Cash totaled C$154.3 million as of September 30, 2024 –</w:t>
      </w:r>
    </w:p>
    <w:p>
      <w:pPr>
        <w:spacing w:after="0" w:line="228" w:lineRule="exact"/>
        <w:rPr>
          <w:sz w:val="20"/>
          <w:szCs w:val="20"/>
          <w:color w:val="auto"/>
        </w:rPr>
      </w:pPr>
    </w:p>
    <w:p>
      <w:pPr>
        <w:jc w:val="center"/>
        <w:spacing w:after="0" w:line="293" w:lineRule="auto"/>
        <w:rPr>
          <w:sz w:val="20"/>
          <w:szCs w:val="20"/>
          <w:color w:val="auto"/>
        </w:rPr>
      </w:pPr>
      <w:r>
        <w:rPr>
          <w:rFonts w:ascii="Arial" w:cs="Arial" w:eastAsia="Arial" w:hAnsi="Arial"/>
          <w:sz w:val="18"/>
          <w:szCs w:val="18"/>
          <w:b w:val="1"/>
          <w:bCs w:val="1"/>
          <w:i w:val="1"/>
          <w:iCs w:val="1"/>
          <w:color w:val="auto"/>
        </w:rPr>
        <w:t>This news release constitutes a “designated news release” for the purposes of Cybin’s prospectus supplements each dated August 23, 2023, to its short form base shelf prospectus dated August 17, 2023, as amended December 22, 2023 and April 8, 2024.</w:t>
      </w:r>
    </w:p>
    <w:p>
      <w:pPr>
        <w:sectPr>
          <w:pgSz w:w="11900" w:h="16838" w:orient="portrait"/>
          <w:cols w:equalWidth="0" w:num="1">
            <w:col w:w="11180"/>
          </w:cols>
          <w:pgMar w:left="360" w:top="1440" w:right="359" w:bottom="1440" w:gutter="0" w:footer="0" w:header="0"/>
        </w:sectPr>
      </w:pPr>
    </w:p>
    <w:bookmarkStart w:id="141" w:name="page142"/>
    <w:bookmarkEnd w:id="141"/>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201295</wp:posOffset>
            </wp:positionH>
            <wp:positionV relativeFrom="page">
              <wp:posOffset>825500</wp:posOffset>
            </wp:positionV>
            <wp:extent cx="4789805" cy="247205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clrChange>
                        <a:clrFrom>
                          <a:srgbClr val="FFFFFF"/>
                        </a:clrFrom>
                        <a:clrTo>
                          <a:srgbClr val="FFFFFF">
                            <a:alpha val="0"/>
                          </a:srgbClr>
                        </a:clrTo>
                      </a:clrChange>
                      <a:extLst>
                        <a:ext uri="{28A0092B-C50C-407E-A947-70E740481C1C}"/>
                      </a:extLst>
                    </a:blip>
                    <a:srcRect/>
                    <a:stretch>
                      <a:fillRect/>
                    </a:stretch>
                  </pic:blipFill>
                  <pic:spPr bwMode="auto">
                    <a:xfrm>
                      <a:off x="0" y="0"/>
                      <a:ext cx="4789805" cy="24720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Phase 3 PARADIGM Pivotal Program Design</w:t>
      </w:r>
    </w:p>
    <w:p>
      <w:pPr>
        <w:spacing w:after="0" w:line="252" w:lineRule="exact"/>
        <w:rPr>
          <w:sz w:val="20"/>
          <w:szCs w:val="20"/>
          <w:color w:val="auto"/>
        </w:rPr>
      </w:pPr>
    </w:p>
    <w:p>
      <w:pPr>
        <w:jc w:val="both"/>
        <w:spacing w:after="0" w:line="266" w:lineRule="auto"/>
        <w:rPr>
          <w:sz w:val="20"/>
          <w:szCs w:val="20"/>
          <w:color w:val="auto"/>
        </w:rPr>
      </w:pPr>
      <w:r>
        <w:rPr>
          <w:rFonts w:ascii="Arial" w:cs="Arial" w:eastAsia="Arial" w:hAnsi="Arial"/>
          <w:sz w:val="18"/>
          <w:szCs w:val="18"/>
          <w:b w:val="1"/>
          <w:bCs w:val="1"/>
          <w:color w:val="auto"/>
        </w:rPr>
        <w:t xml:space="preserve">TORONTO, CANADA </w:t>
      </w:r>
      <w:r>
        <w:rPr>
          <w:rFonts w:ascii="Arial" w:cs="Arial" w:eastAsia="Arial" w:hAnsi="Arial"/>
          <w:sz w:val="18"/>
          <w:szCs w:val="18"/>
          <w:color w:val="auto"/>
        </w:rPr>
        <w:t>– November 13, 2024 –</w:t>
      </w:r>
      <w:r>
        <w:rPr>
          <w:rFonts w:ascii="Arial" w:cs="Arial" w:eastAsia="Arial" w:hAnsi="Arial"/>
          <w:sz w:val="18"/>
          <w:szCs w:val="18"/>
          <w:b w:val="1"/>
          <w:bCs w:val="1"/>
          <w:color w:val="auto"/>
        </w:rPr>
        <w:t xml:space="preserve"> </w:t>
      </w:r>
      <w:r>
        <w:rPr>
          <w:rFonts w:ascii="Arial" w:cs="Arial" w:eastAsia="Arial" w:hAnsi="Arial"/>
          <w:sz w:val="18"/>
          <w:szCs w:val="18"/>
          <w:u w:val="single" w:color="auto"/>
          <w:color w:val="0563C1"/>
        </w:rPr>
        <w:t>Cybin Inc.</w:t>
      </w:r>
      <w:r>
        <w:rPr>
          <w:rFonts w:ascii="Arial" w:cs="Arial" w:eastAsia="Arial" w:hAnsi="Arial"/>
          <w:sz w:val="18"/>
          <w:szCs w:val="18"/>
          <w:b w:val="1"/>
          <w:bCs w:val="1"/>
          <w:color w:val="auto"/>
        </w:rPr>
        <w:t xml:space="preserve"> </w:t>
      </w:r>
      <w:r>
        <w:rPr>
          <w:rFonts w:ascii="Arial" w:cs="Arial" w:eastAsia="Arial" w:hAnsi="Arial"/>
          <w:sz w:val="18"/>
          <w:szCs w:val="18"/>
          <w:color w:val="auto"/>
        </w:rPr>
        <w:t>(NYSE American:CYBN) (Cboe CA:CYBN) (“</w:t>
      </w:r>
      <w:r>
        <w:rPr>
          <w:rFonts w:ascii="Arial" w:cs="Arial" w:eastAsia="Arial" w:hAnsi="Arial"/>
          <w:sz w:val="18"/>
          <w:szCs w:val="18"/>
          <w:b w:val="1"/>
          <w:bCs w:val="1"/>
          <w:color w:val="auto"/>
        </w:rPr>
        <w:t>Cybin</w:t>
      </w:r>
      <w:r>
        <w:rPr>
          <w:rFonts w:ascii="Arial" w:cs="Arial" w:eastAsia="Arial" w:hAnsi="Arial"/>
          <w:sz w:val="18"/>
          <w:szCs w:val="18"/>
          <w:color w:val="auto"/>
        </w:rPr>
        <w:t>” or the “</w:t>
      </w:r>
      <w:r>
        <w:rPr>
          <w:rFonts w:ascii="Arial" w:cs="Arial" w:eastAsia="Arial" w:hAnsi="Arial"/>
          <w:sz w:val="18"/>
          <w:szCs w:val="18"/>
          <w:b w:val="1"/>
          <w:bCs w:val="1"/>
          <w:color w:val="auto"/>
        </w:rPr>
        <w:t>Company</w:t>
      </w:r>
      <w:r>
        <w:rPr>
          <w:rFonts w:ascii="Arial" w:cs="Arial" w:eastAsia="Arial" w:hAnsi="Arial"/>
          <w:sz w:val="18"/>
          <w:szCs w:val="18"/>
          <w:color w:val="auto"/>
        </w:rPr>
        <w:t>”), a clinical-stage breakthrough neuropsychiatry company committed to revolutionizing mental healthcare by developing new and innovative next-generation treatment options, today announced the initiation of PARADIGM</w:t>
      </w:r>
      <w:r>
        <w:rPr>
          <w:rFonts w:ascii="Arial" w:cs="Arial" w:eastAsia="Arial" w:hAnsi="Arial"/>
          <w:sz w:val="23"/>
          <w:szCs w:val="23"/>
          <w:color w:val="auto"/>
          <w:vertAlign w:val="superscript"/>
        </w:rPr>
        <w:t>TM</w:t>
      </w:r>
      <w:r>
        <w:rPr>
          <w:rFonts w:ascii="Arial" w:cs="Arial" w:eastAsia="Arial" w:hAnsi="Arial"/>
          <w:sz w:val="18"/>
          <w:szCs w:val="18"/>
          <w:color w:val="auto"/>
        </w:rPr>
        <w:t>, its Phase 3 pivotal program evaluating the efficacy and safety of CYB003 for the adjunctive treatment of Major Depressive Disorder (“</w:t>
      </w:r>
      <w:r>
        <w:rPr>
          <w:rFonts w:ascii="Arial" w:cs="Arial" w:eastAsia="Arial" w:hAnsi="Arial"/>
          <w:sz w:val="18"/>
          <w:szCs w:val="18"/>
          <w:b w:val="1"/>
          <w:bCs w:val="1"/>
          <w:color w:val="auto"/>
        </w:rPr>
        <w:t>MDD</w:t>
      </w:r>
      <w:r>
        <w:rPr>
          <w:rFonts w:ascii="Arial" w:cs="Arial" w:eastAsia="Arial" w:hAnsi="Arial"/>
          <w:sz w:val="18"/>
          <w:szCs w:val="18"/>
          <w:color w:val="auto"/>
        </w:rPr>
        <w:t>”). The program name, PARADIGM, represents the Company's belief that CYB003 could have the potential for a paradigm shift in the treatment of depression. The Company also today reported unaudited financial results for its second quarter ended September 30, 2024.</w:t>
      </w:r>
    </w:p>
    <w:p>
      <w:pPr>
        <w:spacing w:after="0" w:line="19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“Just three years after filing an Investigational New Drug application for CYB003, the initiation of our Phase 3 program is a truly significant and gratifying milestone,” said Doug Drysdale, Chief Executive Officer of Cybin. “Following a highly collaborative and thorough design and review process with the U.S. Food and Drug Administration, we believe that PARADIGM incorporates appropriate protocols that proactively address some of the challenges encountered by peers developing molecules with similar mechanisms of action by (i) recruiting from the larger MDD population; (ii) administering CYB003 as an adjunctive treatment and not requiring patients to titrate off their existing antidepressants; and (iii) utilizing a 12-week blinded period to maximize the number of patients that remain in the study through the blinded stage. Our innovative approach represents a potential ‘paradigm’ shift, moving away from the daily treatment of depression symptoms and toward an intermittent, more durable treatment like CYB003 that could potentially change the course of the disease. Our clinical team has accomplished an extraordinary amount in a short time, and we are eager to continue investigating CYB003’s</w:t>
      </w:r>
    </w:p>
    <w:p>
      <w:pPr>
        <w:sectPr>
          <w:pgSz w:w="11900" w:h="16838" w:orient="portrait"/>
          <w:cols w:equalWidth="0" w:num="1">
            <w:col w:w="11260"/>
          </w:cols>
          <w:pgMar w:left="320" w:top="1440" w:right="319" w:bottom="1440" w:gutter="0" w:footer="0" w:header="0"/>
        </w:sectPr>
      </w:pPr>
    </w:p>
    <w:bookmarkStart w:id="142" w:name="page143"/>
    <w:bookmarkEnd w:id="142"/>
    <w:p>
      <w:pPr>
        <w:spacing w:after="0"/>
        <w:rPr>
          <w:sz w:val="20"/>
          <w:szCs w:val="20"/>
          <w:color w:val="auto"/>
        </w:rPr>
      </w:pPr>
      <w:r>
        <w:rPr>
          <w:rFonts w:ascii="Arial" w:cs="Arial" w:eastAsia="Arial" w:hAnsi="Arial"/>
          <w:sz w:val="18"/>
          <w:szCs w:val="18"/>
          <w:color w:val="auto"/>
        </w:rPr>
        <w:t>potential to provide long-lasting relief from depressive symptoms and disrupt the standard of care in MDD,” concluded Drysdale.</w:t>
      </w:r>
    </w:p>
    <w:p>
      <w:pPr>
        <w:spacing w:after="0" w:line="2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the Phase 3 PARADIGM Pivotal Program</w:t>
      </w:r>
    </w:p>
    <w:p>
      <w:pPr>
        <w:spacing w:after="0" w:line="242" w:lineRule="exact"/>
        <w:rPr>
          <w:sz w:val="20"/>
          <w:szCs w:val="20"/>
          <w:color w:val="auto"/>
        </w:rPr>
      </w:pPr>
    </w:p>
    <w:p>
      <w:pPr>
        <w:spacing w:after="0"/>
        <w:rPr>
          <w:sz w:val="20"/>
          <w:szCs w:val="20"/>
          <w:color w:val="auto"/>
        </w:rPr>
      </w:pPr>
      <w:r>
        <w:rPr>
          <w:rFonts w:ascii="Arial" w:cs="Arial" w:eastAsia="Arial" w:hAnsi="Arial"/>
          <w:sz w:val="18"/>
          <w:szCs w:val="18"/>
          <w:color w:val="auto"/>
        </w:rPr>
        <w:t>The Company’s Phase 3 program comprises three pivotal efficacy studies:</w:t>
      </w:r>
    </w:p>
    <w:p>
      <w:pPr>
        <w:spacing w:after="0" w:line="2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Pivotal study 1 (APPROACH):</w:t>
      </w:r>
    </w:p>
    <w:p>
      <w:pPr>
        <w:spacing w:after="0" w:line="37" w:lineRule="exact"/>
        <w:rPr>
          <w:sz w:val="20"/>
          <w:szCs w:val="20"/>
          <w:color w:val="auto"/>
        </w:rPr>
      </w:pPr>
    </w:p>
    <w:p>
      <w:pPr>
        <w:jc w:val="both"/>
        <w:ind w:left="580" w:right="20" w:hanging="293"/>
        <w:spacing w:after="0" w:line="269" w:lineRule="auto"/>
        <w:tabs>
          <w:tab w:leader="none" w:pos="569" w:val="left"/>
        </w:tabs>
        <w:numPr>
          <w:ilvl w:val="0"/>
          <w:numId w:val="61"/>
        </w:numPr>
        <w:rPr>
          <w:rFonts w:ascii="Times New Roman" w:cs="Times New Roman" w:eastAsia="Times New Roman" w:hAnsi="Times New Roman"/>
          <w:sz w:val="18"/>
          <w:szCs w:val="18"/>
          <w:color w:val="auto"/>
        </w:rPr>
      </w:pPr>
      <w:r>
        <w:rPr>
          <w:rFonts w:ascii="Arial" w:cs="Arial" w:eastAsia="Arial" w:hAnsi="Arial"/>
          <w:sz w:val="18"/>
          <w:szCs w:val="18"/>
          <w:color w:val="auto"/>
        </w:rPr>
        <w:t>Participants (n=220) will be randomized 1:1 to receive either 16 mg of CYB003 (n=110) or inactive placebo (n=110). Each study arm will evaluate a two-dose regimen, with doses administered three weeks apart. The study will enroll patients suffering from moderate to severe MDD (MADRS≥24) who are on a stable dose of antidepressant medication but are responding inadequately.</w:t>
      </w:r>
    </w:p>
    <w:p>
      <w:pPr>
        <w:spacing w:after="0" w:line="3" w:lineRule="exact"/>
        <w:rPr>
          <w:rFonts w:ascii="Times New Roman" w:cs="Times New Roman" w:eastAsia="Times New Roman" w:hAnsi="Times New Roman"/>
          <w:sz w:val="18"/>
          <w:szCs w:val="18"/>
          <w:color w:val="auto"/>
        </w:rPr>
      </w:pPr>
    </w:p>
    <w:p>
      <w:pPr>
        <w:ind w:left="580" w:right="20" w:hanging="293"/>
        <w:spacing w:after="0" w:line="294" w:lineRule="auto"/>
        <w:tabs>
          <w:tab w:leader="none" w:pos="569" w:val="left"/>
        </w:tabs>
        <w:numPr>
          <w:ilvl w:val="0"/>
          <w:numId w:val="61"/>
        </w:numPr>
        <w:rPr>
          <w:rFonts w:ascii="Times New Roman" w:cs="Times New Roman" w:eastAsia="Times New Roman" w:hAnsi="Times New Roman"/>
          <w:sz w:val="18"/>
          <w:szCs w:val="18"/>
          <w:color w:val="auto"/>
        </w:rPr>
      </w:pPr>
      <w:r>
        <w:rPr>
          <w:rFonts w:ascii="Arial" w:cs="Arial" w:eastAsia="Arial" w:hAnsi="Arial"/>
          <w:sz w:val="18"/>
          <w:szCs w:val="18"/>
          <w:color w:val="auto"/>
        </w:rPr>
        <w:t>The primary endpoint will be change in depressive symptoms as measured by change in MADRS from baseline at six weeks after the first dose.</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APPROACH will enroll participants at 36 clinical sites across the U.S. and Europe.</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Pivotal study 2 (EMBRACE):</w:t>
      </w:r>
    </w:p>
    <w:p>
      <w:pPr>
        <w:spacing w:after="0" w:line="37" w:lineRule="exact"/>
        <w:rPr>
          <w:sz w:val="20"/>
          <w:szCs w:val="20"/>
          <w:color w:val="auto"/>
        </w:rPr>
      </w:pPr>
    </w:p>
    <w:p>
      <w:pPr>
        <w:jc w:val="both"/>
        <w:ind w:left="580" w:right="20" w:hanging="293"/>
        <w:spacing w:after="0" w:line="287" w:lineRule="auto"/>
        <w:tabs>
          <w:tab w:leader="none" w:pos="569" w:val="left"/>
        </w:tabs>
        <w:numPr>
          <w:ilvl w:val="0"/>
          <w:numId w:val="62"/>
        </w:numPr>
        <w:rPr>
          <w:rFonts w:ascii="Times New Roman" w:cs="Times New Roman" w:eastAsia="Times New Roman" w:hAnsi="Times New Roman"/>
          <w:sz w:val="17"/>
          <w:szCs w:val="17"/>
          <w:color w:val="auto"/>
        </w:rPr>
      </w:pPr>
      <w:r>
        <w:rPr>
          <w:rFonts w:ascii="Arial" w:cs="Arial" w:eastAsia="Arial" w:hAnsi="Arial"/>
          <w:sz w:val="17"/>
          <w:szCs w:val="17"/>
          <w:color w:val="auto"/>
        </w:rPr>
        <w:t>Participants (n=330) will be randomized 1:1:1 to receive 16 mg of CYB003 (n=110), 8 mg of CYB003 (n=110), or inactive placebo (n=110). Each arm will evaluate a two-dose regimen, with doses administered three weeks apart. The study will enroll patients suffering from moderate to severe MDD (MADRS≥24) who are on a stable dose of antidepressant medication but are responding inadequately.</w:t>
      </w:r>
    </w:p>
    <w:p>
      <w:pPr>
        <w:spacing w:after="0" w:line="1" w:lineRule="exact"/>
        <w:rPr>
          <w:rFonts w:ascii="Times New Roman" w:cs="Times New Roman" w:eastAsia="Times New Roman" w:hAnsi="Times New Roman"/>
          <w:sz w:val="17"/>
          <w:szCs w:val="17"/>
          <w:color w:val="auto"/>
        </w:rPr>
      </w:pPr>
    </w:p>
    <w:p>
      <w:pPr>
        <w:ind w:left="580" w:right="20" w:hanging="293"/>
        <w:spacing w:after="0" w:line="305" w:lineRule="auto"/>
        <w:tabs>
          <w:tab w:leader="none" w:pos="569" w:val="left"/>
        </w:tabs>
        <w:numPr>
          <w:ilvl w:val="0"/>
          <w:numId w:val="62"/>
        </w:numPr>
        <w:rPr>
          <w:rFonts w:ascii="Times New Roman" w:cs="Times New Roman" w:eastAsia="Times New Roman" w:hAnsi="Times New Roman"/>
          <w:sz w:val="18"/>
          <w:szCs w:val="18"/>
          <w:color w:val="auto"/>
        </w:rPr>
      </w:pPr>
      <w:r>
        <w:rPr>
          <w:rFonts w:ascii="Arial" w:cs="Arial" w:eastAsia="Arial" w:hAnsi="Arial"/>
          <w:sz w:val="18"/>
          <w:szCs w:val="18"/>
          <w:color w:val="auto"/>
        </w:rPr>
        <w:t>The primary endpoint will be change in depressive symptoms as measured by change in MADRS from baseline at six weeks after the first dose.</w:t>
      </w:r>
    </w:p>
    <w:p>
      <w:pPr>
        <w:spacing w:after="0" w:line="159" w:lineRule="exact"/>
        <w:rPr>
          <w:sz w:val="20"/>
          <w:szCs w:val="20"/>
          <w:color w:val="auto"/>
        </w:rPr>
      </w:pPr>
    </w:p>
    <w:p>
      <w:pPr>
        <w:spacing w:after="0"/>
        <w:rPr>
          <w:sz w:val="20"/>
          <w:szCs w:val="20"/>
          <w:color w:val="auto"/>
        </w:rPr>
      </w:pPr>
      <w:r>
        <w:rPr>
          <w:rFonts w:ascii="Arial" w:cs="Arial" w:eastAsia="Arial" w:hAnsi="Arial"/>
          <w:sz w:val="18"/>
          <w:szCs w:val="18"/>
          <w:color w:val="auto"/>
        </w:rPr>
        <w:t>EMBRACE is expected to enroll at 48 clinical sites, with minimal site overlap with the APPROACH study.</w:t>
      </w:r>
    </w:p>
    <w:p>
      <w:pPr>
        <w:spacing w:after="0" w:line="2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Pivotal study 3 (EXTEND):</w:t>
      </w:r>
    </w:p>
    <w:p>
      <w:pPr>
        <w:spacing w:after="0" w:line="37" w:lineRule="exact"/>
        <w:rPr>
          <w:sz w:val="20"/>
          <w:szCs w:val="20"/>
          <w:color w:val="auto"/>
        </w:rPr>
      </w:pPr>
    </w:p>
    <w:p>
      <w:pPr>
        <w:jc w:val="both"/>
        <w:ind w:left="580" w:hanging="293"/>
        <w:spacing w:after="0" w:line="276" w:lineRule="auto"/>
        <w:tabs>
          <w:tab w:leader="none" w:pos="569" w:val="left"/>
        </w:tabs>
        <w:numPr>
          <w:ilvl w:val="0"/>
          <w:numId w:val="63"/>
        </w:numPr>
        <w:rPr>
          <w:rFonts w:ascii="Times New Roman" w:cs="Times New Roman" w:eastAsia="Times New Roman" w:hAnsi="Times New Roman"/>
          <w:sz w:val="18"/>
          <w:szCs w:val="18"/>
          <w:color w:val="auto"/>
        </w:rPr>
      </w:pPr>
      <w:r>
        <w:rPr>
          <w:rFonts w:ascii="Arial" w:cs="Arial" w:eastAsia="Arial" w:hAnsi="Arial"/>
          <w:sz w:val="18"/>
          <w:szCs w:val="18"/>
          <w:color w:val="auto"/>
        </w:rPr>
        <w:t>Participants from APPROACH and EMBRACE will roll over into EXTEND (up to n=550) after the completion of the 12-week, double-blind, placebo-controlled treatment periods. During EXTEND, all participants who did not respond to treatment in the APPROACH and EMBRACE studies or who relapse during the EXTEND study will be eligible to receive an additional two doses of CYB003 (16 mg) administered three weeks apart. Participants who do not respond to these two doses or relapse again will be eligible to receive an additional single 16 mg dose of CYB003.</w:t>
      </w:r>
    </w:p>
    <w:p>
      <w:pPr>
        <w:spacing w:after="0" w:line="174" w:lineRule="exact"/>
        <w:rPr>
          <w:sz w:val="20"/>
          <w:szCs w:val="20"/>
          <w:color w:val="auto"/>
        </w:rPr>
      </w:pPr>
    </w:p>
    <w:p>
      <w:pPr>
        <w:ind w:right="20"/>
        <w:spacing w:after="0" w:line="295" w:lineRule="auto"/>
        <w:rPr>
          <w:sz w:val="20"/>
          <w:szCs w:val="20"/>
          <w:color w:val="auto"/>
        </w:rPr>
      </w:pPr>
      <w:r>
        <w:rPr>
          <w:rFonts w:ascii="Arial" w:cs="Arial" w:eastAsia="Arial" w:hAnsi="Arial"/>
          <w:sz w:val="18"/>
          <w:szCs w:val="18"/>
          <w:color w:val="auto"/>
        </w:rPr>
        <w:t>Across all three studies, raters will be remote, independent, and blinded with no information on the dose received or the participant’s dosing experience. Effects during the dosing session will be firewalled to ensure that the study team stays blinded.</w:t>
      </w:r>
    </w:p>
    <w:p>
      <w:pPr>
        <w:sectPr>
          <w:pgSz w:w="11900" w:h="16838" w:orient="portrait"/>
          <w:cols w:equalWidth="0" w:num="1">
            <w:col w:w="11260"/>
          </w:cols>
          <w:pgMar w:left="320" w:top="1293" w:right="319" w:bottom="1440" w:gutter="0" w:footer="0" w:header="0"/>
        </w:sectPr>
      </w:pPr>
    </w:p>
    <w:bookmarkStart w:id="143" w:name="page144"/>
    <w:bookmarkEnd w:id="143"/>
    <w:p>
      <w:pPr>
        <w:spacing w:after="0" w:line="47" w:lineRule="exact"/>
        <w:rPr>
          <w:sz w:val="20"/>
          <w:szCs w:val="20"/>
          <w:color w:val="auto"/>
        </w:rPr>
      </w:pPr>
    </w:p>
    <w:p>
      <w:pPr>
        <w:jc w:val="both"/>
        <w:spacing w:after="0" w:line="278" w:lineRule="auto"/>
        <w:rPr>
          <w:sz w:val="20"/>
          <w:szCs w:val="20"/>
          <w:color w:val="auto"/>
        </w:rPr>
      </w:pPr>
      <w:r>
        <w:rPr>
          <w:rFonts w:ascii="Arial" w:cs="Arial" w:eastAsia="Arial" w:hAnsi="Arial"/>
          <w:sz w:val="18"/>
          <w:szCs w:val="18"/>
          <w:color w:val="auto"/>
        </w:rPr>
        <w:t>“Our unique Phase 3 pivotal program design has been informed by the impressive Phase 2 (four-month) data showing rapid, robust improvements in symptoms of depression with a single dose of CYB003, and durable effects four months after two doses with a 75% remission rate in the 16mg dose group. For our pivotal program, we have preserved the two-dose regimen used in our Phase 2 study, given the strong durability results seen to date,” said Amir Inamdar, Chief Medical Officer of Cybin. “The need for improved treatments for mental health disorders has never been greater. We believe that our Phase 3 program can build on the positive results demonstrated in Phase 2 to-date and could potentially lead to the approval and commercialization of a novel treatment modality whose effects are consistent and durable for patients with MDD.”</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Positive Phase 2 Four-Month Efficacy Data for CYB003 in MDD</w:t>
      </w:r>
    </w:p>
    <w:p>
      <w:pPr>
        <w:spacing w:after="0" w:line="242" w:lineRule="exact"/>
        <w:rPr>
          <w:sz w:val="20"/>
          <w:szCs w:val="20"/>
          <w:color w:val="auto"/>
        </w:rPr>
      </w:pPr>
    </w:p>
    <w:p>
      <w:pPr>
        <w:ind w:left="560" w:hanging="273"/>
        <w:spacing w:after="0"/>
        <w:tabs>
          <w:tab w:leader="none" w:pos="560" w:val="left"/>
        </w:tabs>
        <w:numPr>
          <w:ilvl w:val="0"/>
          <w:numId w:val="64"/>
        </w:numPr>
        <w:rPr>
          <w:rFonts w:ascii="Times New Roman" w:cs="Times New Roman" w:eastAsia="Times New Roman" w:hAnsi="Times New Roman"/>
          <w:sz w:val="18"/>
          <w:szCs w:val="18"/>
          <w:color w:val="auto"/>
        </w:rPr>
      </w:pPr>
      <w:r>
        <w:rPr>
          <w:rFonts w:ascii="Arial" w:cs="Arial" w:eastAsia="Arial" w:hAnsi="Arial"/>
          <w:sz w:val="18"/>
          <w:szCs w:val="18"/>
          <w:color w:val="auto"/>
        </w:rPr>
        <w:t>Robust and sustained improvements in symptoms of depression with two doses of 12 mg or 16 mg of CYB003:</w:t>
      </w:r>
    </w:p>
    <w:p>
      <w:pPr>
        <w:spacing w:after="0" w:line="34" w:lineRule="exact"/>
        <w:rPr>
          <w:sz w:val="20"/>
          <w:szCs w:val="20"/>
          <w:color w:val="auto"/>
        </w:rPr>
      </w:pPr>
    </w:p>
    <w:p>
      <w:pPr>
        <w:ind w:left="1160" w:hanging="293"/>
        <w:spacing w:after="0"/>
        <w:tabs>
          <w:tab w:leader="none" w:pos="1160" w:val="left"/>
        </w:tabs>
        <w:numPr>
          <w:ilvl w:val="0"/>
          <w:numId w:val="65"/>
        </w:numPr>
        <w:rPr>
          <w:rFonts w:ascii="Courier New" w:cs="Courier New" w:eastAsia="Courier New" w:hAnsi="Courier New"/>
          <w:sz w:val="18"/>
          <w:szCs w:val="18"/>
          <w:color w:val="auto"/>
        </w:rPr>
      </w:pPr>
      <w:r>
        <w:rPr>
          <w:rFonts w:ascii="Arial" w:cs="Arial" w:eastAsia="Arial" w:hAnsi="Arial"/>
          <w:sz w:val="18"/>
          <w:szCs w:val="18"/>
          <w:color w:val="auto"/>
        </w:rPr>
        <w:t>Mean reduction from baseline in the MADRS total score was approximately 22 points from baseline in both dosing cohorts.</w:t>
      </w:r>
    </w:p>
    <w:p>
      <w:pPr>
        <w:spacing w:after="0" w:line="34" w:lineRule="exact"/>
        <w:rPr>
          <w:rFonts w:ascii="Courier New" w:cs="Courier New" w:eastAsia="Courier New" w:hAnsi="Courier New"/>
          <w:sz w:val="18"/>
          <w:szCs w:val="18"/>
          <w:color w:val="auto"/>
        </w:rPr>
      </w:pPr>
    </w:p>
    <w:p>
      <w:pPr>
        <w:ind w:left="1160" w:hanging="293"/>
        <w:spacing w:after="0" w:line="232" w:lineRule="auto"/>
        <w:tabs>
          <w:tab w:leader="none" w:pos="1160" w:val="left"/>
        </w:tabs>
        <w:numPr>
          <w:ilvl w:val="0"/>
          <w:numId w:val="65"/>
        </w:numPr>
        <w:rPr>
          <w:rFonts w:ascii="Courier New" w:cs="Courier New" w:eastAsia="Courier New" w:hAnsi="Courier New"/>
          <w:sz w:val="18"/>
          <w:szCs w:val="18"/>
          <w:color w:val="auto"/>
        </w:rPr>
      </w:pPr>
      <w:r>
        <w:rPr>
          <w:rFonts w:ascii="Arial" w:cs="Arial" w:eastAsia="Arial" w:hAnsi="Arial"/>
          <w:sz w:val="18"/>
          <w:szCs w:val="18"/>
          <w:color w:val="auto"/>
        </w:rPr>
        <w:t>Approximately 75% of the patients were responders (&gt;/= 50% improvement in MADRS scores) following two doses of 16mg.</w:t>
      </w:r>
    </w:p>
    <w:p>
      <w:pPr>
        <w:spacing w:after="0" w:line="38" w:lineRule="exact"/>
        <w:rPr>
          <w:rFonts w:ascii="Courier New" w:cs="Courier New" w:eastAsia="Courier New" w:hAnsi="Courier New"/>
          <w:sz w:val="18"/>
          <w:szCs w:val="18"/>
          <w:color w:val="auto"/>
        </w:rPr>
      </w:pPr>
    </w:p>
    <w:p>
      <w:pPr>
        <w:ind w:left="1160" w:hanging="293"/>
        <w:spacing w:after="0" w:line="229" w:lineRule="auto"/>
        <w:tabs>
          <w:tab w:leader="none" w:pos="1160" w:val="left"/>
        </w:tabs>
        <w:numPr>
          <w:ilvl w:val="0"/>
          <w:numId w:val="65"/>
        </w:numPr>
        <w:rPr>
          <w:rFonts w:ascii="Courier New" w:cs="Courier New" w:eastAsia="Courier New" w:hAnsi="Courier New"/>
          <w:sz w:val="19"/>
          <w:szCs w:val="19"/>
          <w:color w:val="auto"/>
        </w:rPr>
      </w:pPr>
      <w:r>
        <w:rPr>
          <w:rFonts w:ascii="Arial" w:cs="Arial" w:eastAsia="Arial" w:hAnsi="Arial"/>
          <w:sz w:val="18"/>
          <w:szCs w:val="18"/>
          <w:color w:val="auto"/>
        </w:rPr>
        <w:t>75% of patients on 16 mg were in remission from depression following 2 doses (MADRS score &lt;/= 10).</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Safety and tolerability:</w:t>
      </w:r>
    </w:p>
    <w:p>
      <w:pPr>
        <w:spacing w:after="0" w:line="37" w:lineRule="exact"/>
        <w:rPr>
          <w:sz w:val="20"/>
          <w:szCs w:val="20"/>
          <w:color w:val="auto"/>
        </w:rPr>
      </w:pPr>
    </w:p>
    <w:p>
      <w:pPr>
        <w:ind w:left="560" w:hanging="273"/>
        <w:spacing w:after="0"/>
        <w:tabs>
          <w:tab w:leader="none" w:pos="560" w:val="left"/>
        </w:tabs>
        <w:numPr>
          <w:ilvl w:val="0"/>
          <w:numId w:val="66"/>
        </w:numPr>
        <w:rPr>
          <w:rFonts w:ascii="Times New Roman" w:cs="Times New Roman" w:eastAsia="Times New Roman" w:hAnsi="Times New Roman"/>
          <w:sz w:val="18"/>
          <w:szCs w:val="18"/>
          <w:color w:val="auto"/>
        </w:rPr>
      </w:pPr>
      <w:r>
        <w:rPr>
          <w:rFonts w:ascii="Arial" w:cs="Arial" w:eastAsia="Arial" w:hAnsi="Arial"/>
          <w:sz w:val="18"/>
          <w:szCs w:val="18"/>
          <w:color w:val="auto"/>
        </w:rPr>
        <w:t>CYB003 was well tolerated with no drug-related serious adverse events.</w:t>
      </w:r>
    </w:p>
    <w:p>
      <w:pPr>
        <w:spacing w:after="0" w:line="21" w:lineRule="exact"/>
        <w:rPr>
          <w:rFonts w:ascii="Times New Roman" w:cs="Times New Roman" w:eastAsia="Times New Roman" w:hAnsi="Times New Roman"/>
          <w:sz w:val="18"/>
          <w:szCs w:val="18"/>
          <w:color w:val="auto"/>
        </w:rPr>
      </w:pPr>
    </w:p>
    <w:p>
      <w:pPr>
        <w:ind w:left="560" w:hanging="273"/>
        <w:spacing w:after="0"/>
        <w:tabs>
          <w:tab w:leader="none" w:pos="560" w:val="left"/>
        </w:tabs>
        <w:numPr>
          <w:ilvl w:val="0"/>
          <w:numId w:val="66"/>
        </w:numPr>
        <w:rPr>
          <w:rFonts w:ascii="Times New Roman" w:cs="Times New Roman" w:eastAsia="Times New Roman" w:hAnsi="Times New Roman"/>
          <w:sz w:val="18"/>
          <w:szCs w:val="18"/>
          <w:color w:val="auto"/>
        </w:rPr>
      </w:pPr>
      <w:r>
        <w:rPr>
          <w:rFonts w:ascii="Arial" w:cs="Arial" w:eastAsia="Arial" w:hAnsi="Arial"/>
          <w:sz w:val="18"/>
          <w:szCs w:val="18"/>
          <w:color w:val="auto"/>
        </w:rPr>
        <w:t>All adverse events were mild or moderate in intensity.</w:t>
      </w:r>
    </w:p>
    <w:p>
      <w:pPr>
        <w:spacing w:after="0" w:line="24" w:lineRule="exact"/>
        <w:rPr>
          <w:rFonts w:ascii="Times New Roman" w:cs="Times New Roman" w:eastAsia="Times New Roman" w:hAnsi="Times New Roman"/>
          <w:sz w:val="18"/>
          <w:szCs w:val="18"/>
          <w:color w:val="auto"/>
        </w:rPr>
      </w:pPr>
    </w:p>
    <w:p>
      <w:pPr>
        <w:ind w:left="560" w:hanging="273"/>
        <w:spacing w:after="0"/>
        <w:tabs>
          <w:tab w:leader="none" w:pos="560" w:val="left"/>
        </w:tabs>
        <w:numPr>
          <w:ilvl w:val="0"/>
          <w:numId w:val="66"/>
        </w:numPr>
        <w:rPr>
          <w:rFonts w:ascii="Times New Roman" w:cs="Times New Roman" w:eastAsia="Times New Roman" w:hAnsi="Times New Roman"/>
          <w:sz w:val="18"/>
          <w:szCs w:val="18"/>
          <w:color w:val="auto"/>
        </w:rPr>
      </w:pPr>
      <w:r>
        <w:rPr>
          <w:rFonts w:ascii="Arial" w:cs="Arial" w:eastAsia="Arial" w:hAnsi="Arial"/>
          <w:sz w:val="18"/>
          <w:szCs w:val="18"/>
          <w:color w:val="auto"/>
        </w:rPr>
        <w:t>No incidents of suicidal ideation or behavior.</w:t>
      </w:r>
    </w:p>
    <w:p>
      <w:pPr>
        <w:spacing w:after="0" w:line="31" w:lineRule="exact"/>
        <w:rPr>
          <w:rFonts w:ascii="Times New Roman" w:cs="Times New Roman" w:eastAsia="Times New Roman" w:hAnsi="Times New Roman"/>
          <w:sz w:val="18"/>
          <w:szCs w:val="18"/>
          <w:color w:val="auto"/>
        </w:rPr>
      </w:pPr>
    </w:p>
    <w:p>
      <w:pPr>
        <w:ind w:left="560" w:hanging="273"/>
        <w:spacing w:after="0"/>
        <w:tabs>
          <w:tab w:leader="none" w:pos="560" w:val="left"/>
        </w:tabs>
        <w:numPr>
          <w:ilvl w:val="0"/>
          <w:numId w:val="66"/>
        </w:numPr>
        <w:rPr>
          <w:rFonts w:ascii="Times New Roman" w:cs="Times New Roman" w:eastAsia="Times New Roman" w:hAnsi="Times New Roman"/>
          <w:sz w:val="18"/>
          <w:szCs w:val="18"/>
          <w:color w:val="auto"/>
        </w:rPr>
      </w:pPr>
      <w:r>
        <w:rPr>
          <w:rFonts w:ascii="Arial" w:cs="Arial" w:eastAsia="Arial" w:hAnsi="Arial"/>
          <w:sz w:val="18"/>
          <w:szCs w:val="18"/>
          <w:color w:val="auto"/>
        </w:rPr>
        <w:t>No discontinuations due to adverse events.</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Upcoming Clinical Milestones and Future Studies Across Cybin’s Pipeline:</w:t>
      </w:r>
    </w:p>
    <w:p>
      <w:pPr>
        <w:spacing w:after="0" w:line="23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CYB003 - Deuterated Psilocin Program</w:t>
      </w:r>
      <w:r>
        <w:rPr>
          <w:rFonts w:ascii="Arial" w:cs="Arial" w:eastAsia="Arial" w:hAnsi="Arial"/>
          <w:sz w:val="23"/>
          <w:szCs w:val="23"/>
          <w:b w:val="1"/>
          <w:bCs w:val="1"/>
          <w:color w:val="auto"/>
          <w:vertAlign w:val="superscript"/>
        </w:rPr>
        <w:t>3</w:t>
      </w:r>
    </w:p>
    <w:p>
      <w:pPr>
        <w:ind w:left="580" w:hanging="293"/>
        <w:spacing w:after="0"/>
        <w:tabs>
          <w:tab w:leader="none" w:pos="580" w:val="left"/>
        </w:tabs>
        <w:numPr>
          <w:ilvl w:val="0"/>
          <w:numId w:val="67"/>
        </w:numPr>
        <w:rPr>
          <w:rFonts w:ascii="Times New Roman" w:cs="Times New Roman" w:eastAsia="Times New Roman" w:hAnsi="Times New Roman"/>
          <w:sz w:val="16"/>
          <w:szCs w:val="16"/>
          <w:color w:val="auto"/>
        </w:rPr>
      </w:pPr>
      <w:r>
        <w:rPr>
          <w:rFonts w:ascii="Arial" w:cs="Arial" w:eastAsia="Arial" w:hAnsi="Arial"/>
          <w:sz w:val="18"/>
          <w:szCs w:val="18"/>
          <w:color w:val="auto"/>
        </w:rPr>
        <w:t>12-month efficacy data from Phase 2 MDD study expected Q4 2024.</w:t>
      </w:r>
    </w:p>
    <w:p>
      <w:pPr>
        <w:spacing w:after="0" w:line="18" w:lineRule="exact"/>
        <w:rPr>
          <w:rFonts w:ascii="Times New Roman" w:cs="Times New Roman" w:eastAsia="Times New Roman" w:hAnsi="Times New Roman"/>
          <w:sz w:val="16"/>
          <w:szCs w:val="16"/>
          <w:color w:val="auto"/>
        </w:rPr>
      </w:pPr>
    </w:p>
    <w:p>
      <w:pPr>
        <w:ind w:left="580" w:hanging="293"/>
        <w:spacing w:after="0"/>
        <w:tabs>
          <w:tab w:leader="none" w:pos="580" w:val="left"/>
        </w:tabs>
        <w:numPr>
          <w:ilvl w:val="0"/>
          <w:numId w:val="67"/>
        </w:numPr>
        <w:rPr>
          <w:rFonts w:ascii="Times New Roman" w:cs="Times New Roman" w:eastAsia="Times New Roman" w:hAnsi="Times New Roman"/>
          <w:sz w:val="16"/>
          <w:szCs w:val="16"/>
          <w:color w:val="auto"/>
        </w:rPr>
      </w:pPr>
      <w:r>
        <w:rPr>
          <w:rFonts w:ascii="Arial" w:cs="Arial" w:eastAsia="Arial" w:hAnsi="Arial"/>
          <w:sz w:val="18"/>
          <w:szCs w:val="18"/>
          <w:color w:val="auto"/>
        </w:rPr>
        <w:t>The first pivotal study APPROACH has been initiated, with topline results expected in 2026.</w:t>
      </w:r>
    </w:p>
    <w:p>
      <w:pPr>
        <w:spacing w:after="0" w:line="25" w:lineRule="exact"/>
        <w:rPr>
          <w:rFonts w:ascii="Times New Roman" w:cs="Times New Roman" w:eastAsia="Times New Roman" w:hAnsi="Times New Roman"/>
          <w:sz w:val="16"/>
          <w:szCs w:val="16"/>
          <w:color w:val="auto"/>
        </w:rPr>
      </w:pPr>
    </w:p>
    <w:p>
      <w:pPr>
        <w:ind w:left="580" w:hanging="293"/>
        <w:spacing w:after="0"/>
        <w:tabs>
          <w:tab w:leader="none" w:pos="580" w:val="left"/>
        </w:tabs>
        <w:numPr>
          <w:ilvl w:val="0"/>
          <w:numId w:val="67"/>
        </w:numPr>
        <w:rPr>
          <w:rFonts w:ascii="Times New Roman" w:cs="Times New Roman" w:eastAsia="Times New Roman" w:hAnsi="Times New Roman"/>
          <w:sz w:val="16"/>
          <w:szCs w:val="16"/>
          <w:color w:val="auto"/>
        </w:rPr>
      </w:pPr>
      <w:r>
        <w:rPr>
          <w:rFonts w:ascii="Arial" w:cs="Arial" w:eastAsia="Arial" w:hAnsi="Arial"/>
          <w:sz w:val="18"/>
          <w:szCs w:val="18"/>
          <w:color w:val="auto"/>
        </w:rPr>
        <w:t>The second pivotal study EMBRACE is expected to begin in the first half of 2025.</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CYB004 – Deuterated DMT Program</w:t>
      </w:r>
      <w:r>
        <w:rPr>
          <w:rFonts w:ascii="Arial" w:cs="Arial" w:eastAsia="Arial" w:hAnsi="Arial"/>
          <w:sz w:val="23"/>
          <w:szCs w:val="23"/>
          <w:b w:val="1"/>
          <w:bCs w:val="1"/>
          <w:color w:val="auto"/>
          <w:vertAlign w:val="superscript"/>
        </w:rPr>
        <w:t>3</w:t>
      </w:r>
    </w:p>
    <w:p>
      <w:pPr>
        <w:ind w:left="580" w:right="20" w:hanging="293"/>
        <w:spacing w:after="0" w:line="291" w:lineRule="auto"/>
        <w:tabs>
          <w:tab w:leader="none" w:pos="576" w:val="left"/>
        </w:tabs>
        <w:numPr>
          <w:ilvl w:val="0"/>
          <w:numId w:val="68"/>
        </w:numPr>
        <w:rPr>
          <w:rFonts w:ascii="Times New Roman" w:cs="Times New Roman" w:eastAsia="Times New Roman" w:hAnsi="Times New Roman"/>
          <w:sz w:val="16"/>
          <w:szCs w:val="16"/>
          <w:color w:val="auto"/>
        </w:rPr>
      </w:pPr>
      <w:r>
        <w:rPr>
          <w:rFonts w:ascii="Arial" w:cs="Arial" w:eastAsia="Arial" w:hAnsi="Arial"/>
          <w:sz w:val="18"/>
          <w:szCs w:val="18"/>
          <w:color w:val="auto"/>
        </w:rPr>
        <w:t>Dosing is underway in a Phase 2 study in generalized anxiety disorder with topline safety and efficacy results expected in Q1 2025. CYB004 is being developed as a novel intramuscular formulation expected to deliver an experience lasting approximately 90 minutes.</w:t>
      </w:r>
    </w:p>
    <w:p>
      <w:pPr>
        <w:sectPr>
          <w:pgSz w:w="11900" w:h="16838" w:orient="portrait"/>
          <w:cols w:equalWidth="0" w:num="1">
            <w:col w:w="11260"/>
          </w:cols>
          <w:pgMar w:left="320" w:top="1440" w:right="319" w:bottom="1440" w:gutter="0" w:footer="0" w:header="0"/>
        </w:sectPr>
      </w:pPr>
    </w:p>
    <w:bookmarkStart w:id="144" w:name="page145"/>
    <w:bookmarkEnd w:id="144"/>
    <w:p>
      <w:pPr>
        <w:spacing w:after="0"/>
        <w:rPr>
          <w:sz w:val="20"/>
          <w:szCs w:val="20"/>
          <w:color w:val="auto"/>
        </w:rPr>
      </w:pPr>
      <w:r>
        <w:rPr>
          <w:rFonts w:ascii="Arial" w:cs="Arial" w:eastAsia="Arial" w:hAnsi="Arial"/>
          <w:sz w:val="18"/>
          <w:szCs w:val="18"/>
          <w:b w:val="1"/>
          <w:bCs w:val="1"/>
          <w:color w:val="auto"/>
        </w:rPr>
        <w:t>Second Quarter Fiscal Year 2025 Financial Information</w:t>
      </w:r>
    </w:p>
    <w:p>
      <w:pPr>
        <w:spacing w:after="0" w:line="254" w:lineRule="exact"/>
        <w:rPr>
          <w:sz w:val="20"/>
          <w:szCs w:val="20"/>
          <w:color w:val="auto"/>
        </w:rPr>
      </w:pPr>
    </w:p>
    <w:p>
      <w:pPr>
        <w:ind w:left="560" w:hanging="273"/>
        <w:spacing w:after="0"/>
        <w:tabs>
          <w:tab w:leader="none" w:pos="560" w:val="left"/>
        </w:tabs>
        <w:numPr>
          <w:ilvl w:val="0"/>
          <w:numId w:val="69"/>
        </w:numPr>
        <w:rPr>
          <w:rFonts w:ascii="Times New Roman" w:cs="Times New Roman" w:eastAsia="Times New Roman" w:hAnsi="Times New Roman"/>
          <w:sz w:val="18"/>
          <w:szCs w:val="18"/>
          <w:color w:val="auto"/>
        </w:rPr>
      </w:pPr>
      <w:r>
        <w:rPr>
          <w:rFonts w:ascii="Arial" w:cs="Arial" w:eastAsia="Arial" w:hAnsi="Arial"/>
          <w:sz w:val="18"/>
          <w:szCs w:val="18"/>
          <w:color w:val="auto"/>
        </w:rPr>
        <w:t>Cash totaled C$154.3 million as of September 30, 2024.</w:t>
      </w:r>
    </w:p>
    <w:p>
      <w:pPr>
        <w:spacing w:after="0" w:line="24" w:lineRule="exact"/>
        <w:rPr>
          <w:rFonts w:ascii="Times New Roman" w:cs="Times New Roman" w:eastAsia="Times New Roman" w:hAnsi="Times New Roman"/>
          <w:sz w:val="18"/>
          <w:szCs w:val="18"/>
          <w:color w:val="auto"/>
        </w:rPr>
      </w:pPr>
    </w:p>
    <w:p>
      <w:pPr>
        <w:ind w:left="580" w:right="100" w:hanging="293"/>
        <w:spacing w:after="0" w:line="272" w:lineRule="auto"/>
        <w:tabs>
          <w:tab w:leader="none" w:pos="569" w:val="left"/>
        </w:tabs>
        <w:numPr>
          <w:ilvl w:val="0"/>
          <w:numId w:val="69"/>
        </w:numPr>
        <w:rPr>
          <w:rFonts w:ascii="Times New Roman" w:cs="Times New Roman" w:eastAsia="Times New Roman" w:hAnsi="Times New Roman"/>
          <w:sz w:val="18"/>
          <w:szCs w:val="18"/>
          <w:color w:val="auto"/>
        </w:rPr>
      </w:pPr>
      <w:r>
        <w:rPr>
          <w:rFonts w:ascii="Arial" w:cs="Arial" w:eastAsia="Arial" w:hAnsi="Arial"/>
          <w:sz w:val="18"/>
          <w:szCs w:val="18"/>
          <w:color w:val="auto"/>
        </w:rPr>
        <w:t>With the completion of offerings and a combination of the Company's current cash position, and assuming the exercise in full of warrants issued pursuant to certain of the Company’s offerings, the Company has access to over C$217.7 million.</w:t>
      </w:r>
    </w:p>
    <w:p>
      <w:pPr>
        <w:spacing w:after="0" w:line="1" w:lineRule="exact"/>
        <w:rPr>
          <w:rFonts w:ascii="Times New Roman" w:cs="Times New Roman" w:eastAsia="Times New Roman" w:hAnsi="Times New Roman"/>
          <w:sz w:val="18"/>
          <w:szCs w:val="18"/>
          <w:color w:val="auto"/>
        </w:rPr>
      </w:pPr>
    </w:p>
    <w:p>
      <w:pPr>
        <w:ind w:left="580" w:right="100" w:hanging="293"/>
        <w:spacing w:after="0" w:line="272" w:lineRule="auto"/>
        <w:tabs>
          <w:tab w:leader="none" w:pos="569" w:val="left"/>
        </w:tabs>
        <w:numPr>
          <w:ilvl w:val="0"/>
          <w:numId w:val="69"/>
        </w:numPr>
        <w:rPr>
          <w:rFonts w:ascii="Times New Roman" w:cs="Times New Roman" w:eastAsia="Times New Roman" w:hAnsi="Times New Roman"/>
          <w:sz w:val="18"/>
          <w:szCs w:val="18"/>
          <w:color w:val="auto"/>
        </w:rPr>
      </w:pPr>
      <w:r>
        <w:rPr>
          <w:rFonts w:ascii="Arial" w:cs="Arial" w:eastAsia="Arial" w:hAnsi="Arial"/>
          <w:sz w:val="18"/>
          <w:szCs w:val="18"/>
          <w:color w:val="auto"/>
        </w:rPr>
        <w:t>Cash-based operating expenses consisting of research, general and administrative costs totaled C$24.8 million for the quarter ended September 30, 2024, compared to C$12.4 million in the same period last year.</w:t>
      </w:r>
    </w:p>
    <w:p>
      <w:pPr>
        <w:spacing w:after="0" w:line="1" w:lineRule="exact"/>
        <w:rPr>
          <w:rFonts w:ascii="Times New Roman" w:cs="Times New Roman" w:eastAsia="Times New Roman" w:hAnsi="Times New Roman"/>
          <w:sz w:val="18"/>
          <w:szCs w:val="18"/>
          <w:color w:val="auto"/>
        </w:rPr>
      </w:pPr>
    </w:p>
    <w:p>
      <w:pPr>
        <w:ind w:left="580" w:right="100" w:hanging="293"/>
        <w:spacing w:after="0" w:line="272" w:lineRule="auto"/>
        <w:tabs>
          <w:tab w:leader="none" w:pos="569" w:val="left"/>
        </w:tabs>
        <w:numPr>
          <w:ilvl w:val="0"/>
          <w:numId w:val="69"/>
        </w:numPr>
        <w:rPr>
          <w:rFonts w:ascii="Times New Roman" w:cs="Times New Roman" w:eastAsia="Times New Roman" w:hAnsi="Times New Roman"/>
          <w:sz w:val="18"/>
          <w:szCs w:val="18"/>
          <w:color w:val="auto"/>
        </w:rPr>
      </w:pPr>
      <w:r>
        <w:rPr>
          <w:rFonts w:ascii="Arial" w:cs="Arial" w:eastAsia="Arial" w:hAnsi="Arial"/>
          <w:sz w:val="18"/>
          <w:szCs w:val="18"/>
          <w:color w:val="auto"/>
        </w:rPr>
        <w:t>Net loss was C$57.2 million for the quarter ended September 30, 2024, which includes a non-recurring, non-cash component related to share-based compensation, compared to a net loss of C$11.9 million in the same period last year.</w:t>
      </w:r>
    </w:p>
    <w:p>
      <w:pPr>
        <w:spacing w:after="0" w:line="1" w:lineRule="exact"/>
        <w:rPr>
          <w:rFonts w:ascii="Times New Roman" w:cs="Times New Roman" w:eastAsia="Times New Roman" w:hAnsi="Times New Roman"/>
          <w:sz w:val="18"/>
          <w:szCs w:val="18"/>
          <w:color w:val="auto"/>
        </w:rPr>
      </w:pPr>
    </w:p>
    <w:p>
      <w:pPr>
        <w:ind w:left="580" w:right="100" w:hanging="293"/>
        <w:spacing w:after="0" w:line="305" w:lineRule="auto"/>
        <w:tabs>
          <w:tab w:leader="none" w:pos="569" w:val="left"/>
        </w:tabs>
        <w:numPr>
          <w:ilvl w:val="0"/>
          <w:numId w:val="69"/>
        </w:numPr>
        <w:rPr>
          <w:rFonts w:ascii="Times New Roman" w:cs="Times New Roman" w:eastAsia="Times New Roman" w:hAnsi="Times New Roman"/>
          <w:sz w:val="18"/>
          <w:szCs w:val="18"/>
          <w:color w:val="auto"/>
        </w:rPr>
      </w:pPr>
      <w:r>
        <w:rPr>
          <w:rFonts w:ascii="Arial" w:cs="Arial" w:eastAsia="Arial" w:hAnsi="Arial"/>
          <w:sz w:val="18"/>
          <w:szCs w:val="18"/>
          <w:color w:val="auto"/>
        </w:rPr>
        <w:t>Cash flows used in operating activities were C$25.9 million for the quarter ended September 30, 2024, compared to C$11.5 million in the same period last year.</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Cybin</w:t>
      </w:r>
    </w:p>
    <w:p>
      <w:pPr>
        <w:spacing w:after="0" w:line="254" w:lineRule="exact"/>
        <w:rPr>
          <w:sz w:val="20"/>
          <w:szCs w:val="20"/>
          <w:color w:val="auto"/>
        </w:rPr>
      </w:pPr>
    </w:p>
    <w:p>
      <w:pPr>
        <w:jc w:val="both"/>
        <w:ind w:right="20"/>
        <w:spacing w:after="0" w:line="295" w:lineRule="auto"/>
        <w:rPr>
          <w:sz w:val="20"/>
          <w:szCs w:val="20"/>
          <w:color w:val="auto"/>
        </w:rPr>
      </w:pPr>
      <w:r>
        <w:rPr>
          <w:rFonts w:ascii="Arial" w:cs="Arial" w:eastAsia="Arial" w:hAnsi="Arial"/>
          <w:sz w:val="18"/>
          <w:szCs w:val="18"/>
          <w:color w:val="auto"/>
        </w:rPr>
        <w:t>Cybin is a late-stage breakthrough neuropsychiatry company committed to revolutionizing mental healthcare by developing new and innovative next-generation treatment options to address the large unmet need for people who suffer from mental health conditions.</w:t>
      </w:r>
    </w:p>
    <w:p>
      <w:pPr>
        <w:spacing w:after="0" w:line="180" w:lineRule="exact"/>
        <w:rPr>
          <w:sz w:val="20"/>
          <w:szCs w:val="20"/>
          <w:color w:val="auto"/>
        </w:rPr>
      </w:pPr>
    </w:p>
    <w:p>
      <w:pPr>
        <w:jc w:val="both"/>
        <w:ind w:right="20"/>
        <w:spacing w:after="0" w:line="280" w:lineRule="auto"/>
        <w:rPr>
          <w:sz w:val="20"/>
          <w:szCs w:val="20"/>
          <w:color w:val="auto"/>
        </w:rPr>
      </w:pPr>
      <w:r>
        <w:rPr>
          <w:rFonts w:ascii="Arial" w:cs="Arial" w:eastAsia="Arial" w:hAnsi="Arial"/>
          <w:sz w:val="18"/>
          <w:szCs w:val="18"/>
          <w:color w:val="auto"/>
        </w:rPr>
        <w:t>With industry leading proof-of-concept data, Cybin is working to change the mental health treatment landscape through the introduction of intermittent treatments that provide long lasting results. The Company is currently developing CYB003, a proprietary deuterated psilocin program, in Phase 3 development for the adjunctive treatment of MDD and CYB004, a proprietary deuterated DMT program in a Phase 2 study for generalized anxiety disorder. The Company also has a research pipeline of investigational, 5-HT-receptor focused compounds.</w:t>
      </w:r>
    </w:p>
    <w:p>
      <w:pPr>
        <w:spacing w:after="0" w:line="195" w:lineRule="exact"/>
        <w:rPr>
          <w:sz w:val="20"/>
          <w:szCs w:val="20"/>
          <w:color w:val="auto"/>
        </w:rPr>
      </w:pPr>
    </w:p>
    <w:p>
      <w:pPr>
        <w:jc w:val="both"/>
        <w:ind w:right="20"/>
        <w:spacing w:after="0" w:line="295" w:lineRule="auto"/>
        <w:rPr>
          <w:sz w:val="20"/>
          <w:szCs w:val="20"/>
          <w:color w:val="auto"/>
        </w:rPr>
      </w:pPr>
      <w:r>
        <w:rPr>
          <w:rFonts w:ascii="Arial" w:cs="Arial" w:eastAsia="Arial" w:hAnsi="Arial"/>
          <w:sz w:val="18"/>
          <w:szCs w:val="18"/>
          <w:color w:val="auto"/>
        </w:rPr>
        <w:t>Founded in 2019, Cybin is operational in Canada, the United States, the United Kingdom, the Netherlands and Ireland. For company updates and to learn more about Cybin, visit www.cybin.com or follow the team on X, LinkedIn, YouTube and Instagram.</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w:t>
      </w:r>
    </w:p>
    <w:p>
      <w:pPr>
        <w:spacing w:after="0" w:line="242" w:lineRule="exact"/>
        <w:rPr>
          <w:sz w:val="20"/>
          <w:szCs w:val="20"/>
          <w:color w:val="auto"/>
        </w:rPr>
      </w:pPr>
    </w:p>
    <w:p>
      <w:pPr>
        <w:ind w:left="580" w:hanging="293"/>
        <w:spacing w:after="0" w:line="274" w:lineRule="auto"/>
        <w:tabs>
          <w:tab w:leader="none" w:pos="571" w:val="left"/>
        </w:tabs>
        <w:numPr>
          <w:ilvl w:val="0"/>
          <w:numId w:val="70"/>
        </w:numPr>
        <w:rPr>
          <w:rFonts w:ascii="Arial" w:cs="Arial" w:eastAsia="Arial" w:hAnsi="Arial"/>
          <w:sz w:val="18"/>
          <w:szCs w:val="18"/>
          <w:color w:val="auto"/>
        </w:rPr>
      </w:pPr>
      <w:r>
        <w:rPr>
          <w:rFonts w:ascii="Arial" w:cs="Arial" w:eastAsia="Arial" w:hAnsi="Arial"/>
          <w:sz w:val="18"/>
          <w:szCs w:val="18"/>
          <w:color w:val="auto"/>
        </w:rPr>
        <w:t>World Health Organization. (2017). Depression and other common mental disorders: global health estimates. World Health Organization. https://iris.who.int/handle/10665/254610.</w:t>
      </w:r>
    </w:p>
    <w:p>
      <w:pPr>
        <w:spacing w:after="0" w:line="1" w:lineRule="exact"/>
        <w:rPr>
          <w:rFonts w:ascii="Arial" w:cs="Arial" w:eastAsia="Arial" w:hAnsi="Arial"/>
          <w:sz w:val="18"/>
          <w:szCs w:val="18"/>
          <w:color w:val="auto"/>
        </w:rPr>
      </w:pPr>
    </w:p>
    <w:p>
      <w:pPr>
        <w:ind w:left="560" w:hanging="273"/>
        <w:spacing w:after="0"/>
        <w:tabs>
          <w:tab w:leader="none" w:pos="560" w:val="left"/>
        </w:tabs>
        <w:numPr>
          <w:ilvl w:val="0"/>
          <w:numId w:val="70"/>
        </w:numPr>
        <w:rPr>
          <w:rFonts w:ascii="Arial" w:cs="Arial" w:eastAsia="Arial" w:hAnsi="Arial"/>
          <w:sz w:val="18"/>
          <w:szCs w:val="18"/>
          <w:color w:val="auto"/>
        </w:rPr>
      </w:pPr>
      <w:r>
        <w:rPr>
          <w:rFonts w:ascii="Arial" w:cs="Arial" w:eastAsia="Arial" w:hAnsi="Arial"/>
          <w:sz w:val="18"/>
          <w:szCs w:val="18"/>
          <w:color w:val="auto"/>
        </w:rPr>
        <w:t>https://www.nimh.nih.gov/health/statistics/major-depression</w:t>
      </w:r>
    </w:p>
    <w:p>
      <w:pPr>
        <w:spacing w:after="0" w:line="32" w:lineRule="exact"/>
        <w:rPr>
          <w:rFonts w:ascii="Arial" w:cs="Arial" w:eastAsia="Arial" w:hAnsi="Arial"/>
          <w:sz w:val="18"/>
          <w:szCs w:val="18"/>
          <w:color w:val="auto"/>
        </w:rPr>
      </w:pPr>
    </w:p>
    <w:p>
      <w:pPr>
        <w:ind w:left="580" w:right="20" w:hanging="293"/>
        <w:spacing w:after="0" w:line="295" w:lineRule="auto"/>
        <w:tabs>
          <w:tab w:leader="none" w:pos="571" w:val="left"/>
        </w:tabs>
        <w:numPr>
          <w:ilvl w:val="0"/>
          <w:numId w:val="70"/>
        </w:numPr>
        <w:rPr>
          <w:rFonts w:ascii="Arial" w:cs="Arial" w:eastAsia="Arial" w:hAnsi="Arial"/>
          <w:sz w:val="18"/>
          <w:szCs w:val="18"/>
          <w:color w:val="auto"/>
        </w:rPr>
      </w:pPr>
      <w:r>
        <w:rPr>
          <w:rFonts w:ascii="Arial" w:cs="Arial" w:eastAsia="Arial" w:hAnsi="Arial"/>
          <w:sz w:val="18"/>
          <w:szCs w:val="18"/>
          <w:color w:val="auto"/>
        </w:rPr>
        <w:t>There is no assurance that timelines will be met. Anticipated timelines regarding the initiation, advancement and results of clinical trials are based on reasonable assumptions informed by current knowledge and information available to the Company.</w:t>
      </w:r>
    </w:p>
    <w:p>
      <w:pPr>
        <w:sectPr>
          <w:pgSz w:w="11900" w:h="16838" w:orient="portrait"/>
          <w:cols w:equalWidth="0" w:num="1">
            <w:col w:w="11260"/>
          </w:cols>
          <w:pgMar w:left="320" w:top="1291" w:right="319" w:bottom="1440" w:gutter="0" w:footer="0" w:header="0"/>
        </w:sectPr>
      </w:pPr>
    </w:p>
    <w:bookmarkStart w:id="145" w:name="page146"/>
    <w:bookmarkEnd w:id="145"/>
    <w:p>
      <w:pPr>
        <w:spacing w:after="0"/>
        <w:rPr>
          <w:sz w:val="20"/>
          <w:szCs w:val="20"/>
          <w:color w:val="auto"/>
        </w:rPr>
      </w:pPr>
      <w:r>
        <w:rPr>
          <w:rFonts w:ascii="Arial" w:cs="Arial" w:eastAsia="Arial" w:hAnsi="Arial"/>
          <w:sz w:val="18"/>
          <w:szCs w:val="18"/>
          <w:b w:val="1"/>
          <w:bCs w:val="1"/>
          <w:color w:val="auto"/>
        </w:rPr>
        <w:t>Cautionary Notes and Forward-Looking Statements</w:t>
      </w:r>
    </w:p>
    <w:p>
      <w:pPr>
        <w:spacing w:after="0" w:line="254" w:lineRule="exact"/>
        <w:rPr>
          <w:sz w:val="20"/>
          <w:szCs w:val="20"/>
          <w:color w:val="auto"/>
        </w:rPr>
      </w:pPr>
    </w:p>
    <w:p>
      <w:pPr>
        <w:jc w:val="both"/>
        <w:spacing w:after="0" w:line="293" w:lineRule="auto"/>
        <w:rPr>
          <w:sz w:val="20"/>
          <w:szCs w:val="20"/>
          <w:color w:val="auto"/>
        </w:rPr>
      </w:pPr>
      <w:r>
        <w:rPr>
          <w:rFonts w:ascii="Arial" w:cs="Arial" w:eastAsia="Arial" w:hAnsi="Arial"/>
          <w:sz w:val="17"/>
          <w:szCs w:val="17"/>
          <w:color w:val="auto"/>
        </w:rPr>
        <w:t>Certain statements in this news release relating to the Company are forward-looking statements and are prospective in nature. Forward-looking statements are not based on historical facts, but rather on current expectations and projections about future events and are therefore subject to risks and uncertainties which could cause actual results to differ materially from the future results expressed or implied by the forward-looking statements. These statements generally can be identified by the use of forward-looking words such as “may”, “should”, “could”, “intend”, “estimate”, “plan”, “anticipate”, “expect”, “believe” or “continue”, or the negative thereof or similar variations. Forward-looking statements in this news release include statements regarding the Company’s plan to enroll participants in its Phase 3 trials of CYB003; release topline results from the APPROACH study in 2026</w:t>
      </w:r>
      <w:r>
        <w:rPr>
          <w:rFonts w:ascii="Arial" w:cs="Arial" w:eastAsia="Arial" w:hAnsi="Arial"/>
          <w:sz w:val="17"/>
          <w:szCs w:val="17"/>
          <w:i w:val="1"/>
          <w:iCs w:val="1"/>
          <w:color w:val="auto"/>
        </w:rPr>
        <w:t>;</w:t>
      </w:r>
      <w:r>
        <w:rPr>
          <w:rFonts w:ascii="Arial" w:cs="Arial" w:eastAsia="Arial" w:hAnsi="Arial"/>
          <w:sz w:val="17"/>
          <w:szCs w:val="17"/>
          <w:color w:val="auto"/>
        </w:rPr>
        <w:t xml:space="preserve"> initiate the EMBRACE study in the first half of calendar 2025; initiate the EXTEND study 12 weeks following commencement of the APPROACH and EMBRACE studies, respectively; release of 12-month efficacy data from Phase 2 CYB003 study in Q4 2024; release of Phase 2 topline data for CYB004 in the first quarter of calendar 2025; enroll 48 clinical sites for the EMBRACE study; the exercise in full of warrants issued pursuant to certain of the Company’s offerings; and the Company’s proprietary drug discovery platforms, innovative drug delivery systems, novel formulation approaches and treatment regimens for mental health disorders.</w:t>
      </w:r>
    </w:p>
    <w:p>
      <w:pPr>
        <w:spacing w:after="0" w:line="180" w:lineRule="exact"/>
        <w:rPr>
          <w:sz w:val="20"/>
          <w:szCs w:val="20"/>
          <w:color w:val="auto"/>
        </w:rPr>
      </w:pPr>
    </w:p>
    <w:p>
      <w:pPr>
        <w:jc w:val="both"/>
        <w:spacing w:after="0" w:line="275" w:lineRule="auto"/>
        <w:rPr>
          <w:sz w:val="20"/>
          <w:szCs w:val="20"/>
          <w:color w:val="auto"/>
        </w:rPr>
      </w:pPr>
      <w:r>
        <w:rPr>
          <w:rFonts w:ascii="Arial" w:cs="Arial" w:eastAsia="Arial" w:hAnsi="Arial"/>
          <w:sz w:val="18"/>
          <w:szCs w:val="18"/>
          <w:color w:val="auto"/>
        </w:rPr>
        <w:t>These forward-looking statements are based on reasonable assumptions and estimates of management of the Company at the time such statements were made. Actual future results may differ materially as forward-looking statements involve known and unknown risks, uncertainties, and other factors which may cause the actual results, performance, or achievements of the Company to materially differ from any future results, performance, or achievements expressed or implied by such forward-looking statements. Such factors, among other things, include: implications of the spread of a pandemic on the Company's operations; fluctuations in general macroeconomic conditions; fluctuations in securities markets; expectations regarding the size of the psychedelics market; the ability of the Company to successfully achieve its business objectives; plans for growth; political, social and environmental uncertainties; employee relations; the presence of laws and regulations that may impose restrictions in the markets where the Company operates; and the risk factors set out in each of the Company's management's discussion and analysis for the three and six month periods ended September 30, 2024 and the Company’s annual information form for the year ended March 31, 2024, which are available under the Company's profile on www.sedarplus.ca and with the U.S. Securities and Exchange Commission on EDGAR at www.sec.gov. Although the forward-looking statements contained in this news release are based upon what management of the Company believes, or believed at the time, to be reasonable assumptions, the Company cannot assure shareholders that actual results will be consistent with such forward-looking statements, as there may be other factors that cause results not to be as anticipated, estimated or intended. Readers should not place undue reliance on the forward-looking statements and information contained in this news release. The Company assumes no obligation to update the forward-looking statements of beliefs, opinions, projections, or other factors, should they change, except as required by law.</w:t>
      </w:r>
    </w:p>
    <w:p>
      <w:pPr>
        <w:sectPr>
          <w:pgSz w:w="11900" w:h="16838" w:orient="portrait"/>
          <w:cols w:equalWidth="0" w:num="1">
            <w:col w:w="11260"/>
          </w:cols>
          <w:pgMar w:left="320" w:top="1291" w:right="319" w:bottom="1440" w:gutter="0" w:footer="0" w:header="0"/>
        </w:sectPr>
      </w:pPr>
    </w:p>
    <w:bookmarkStart w:id="146" w:name="page147"/>
    <w:bookmarkEnd w:id="146"/>
    <w:p>
      <w:pPr>
        <w:spacing w:after="0" w:line="71" w:lineRule="exact"/>
        <w:rPr>
          <w:sz w:val="20"/>
          <w:szCs w:val="20"/>
          <w:color w:val="auto"/>
        </w:rPr>
      </w:pPr>
    </w:p>
    <w:p>
      <w:pPr>
        <w:jc w:val="both"/>
        <w:spacing w:after="0" w:line="280" w:lineRule="auto"/>
        <w:rPr>
          <w:sz w:val="20"/>
          <w:szCs w:val="20"/>
          <w:color w:val="auto"/>
        </w:rPr>
      </w:pPr>
      <w:r>
        <w:rPr>
          <w:rFonts w:ascii="Arial" w:cs="Arial" w:eastAsia="Arial" w:hAnsi="Arial"/>
          <w:sz w:val="18"/>
          <w:szCs w:val="18"/>
          <w:color w:val="auto"/>
        </w:rPr>
        <w:t>Cybin makes no medical, treatment or health benefit claims about Cybin’s proposed products. The U.S. Food and Drug Administration, Health Canada or other similar regulatory authorities have not evaluated claims regarding psilocin, psychedelic tryptamine, tryptamine derivatives or other psychedelic compounds. The efficacy of such products has not been confirmed by approved research. There is no assurance that the use of psilocin, psychedelic tryptamine, tryptamine derivatives or other psychedelic compounds can diagnose, treat, cure or prevent any disease or condition. Rigorous scientific research and clinical trials are needed. If Cybin cannot obtain the approvals or research necessary to commercialize its business, it may have a material adverse effect on Cybin’s performance and operations.</w:t>
      </w:r>
    </w:p>
    <w:p>
      <w:pPr>
        <w:spacing w:after="0" w:line="183" w:lineRule="exact"/>
        <w:rPr>
          <w:sz w:val="20"/>
          <w:szCs w:val="20"/>
          <w:color w:val="auto"/>
        </w:rPr>
      </w:pPr>
    </w:p>
    <w:p>
      <w:pPr>
        <w:jc w:val="both"/>
        <w:ind w:right="20"/>
        <w:spacing w:after="0" w:line="309" w:lineRule="auto"/>
        <w:rPr>
          <w:sz w:val="20"/>
          <w:szCs w:val="20"/>
          <w:color w:val="auto"/>
        </w:rPr>
      </w:pPr>
      <w:r>
        <w:rPr>
          <w:rFonts w:ascii="Arial" w:cs="Arial" w:eastAsia="Arial" w:hAnsi="Arial"/>
          <w:sz w:val="18"/>
          <w:szCs w:val="18"/>
          <w:i w:val="1"/>
          <w:iCs w:val="1"/>
          <w:color w:val="auto"/>
        </w:rPr>
        <w:t>Neither the Cboe Canada nor the NYSE American LLC stock exchange have approved or disapproved the contents of this news release and are not responsible for the adequacy and accuracy of the contents herein.</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Investor &amp; Media Contact:</w:t>
      </w:r>
    </w:p>
    <w:p>
      <w:pPr>
        <w:spacing w:after="0" w:line="37" w:lineRule="exact"/>
        <w:rPr>
          <w:sz w:val="20"/>
          <w:szCs w:val="20"/>
          <w:color w:val="auto"/>
        </w:rPr>
      </w:pPr>
    </w:p>
    <w:p>
      <w:pPr>
        <w:spacing w:after="0"/>
        <w:rPr>
          <w:sz w:val="20"/>
          <w:szCs w:val="20"/>
          <w:color w:val="auto"/>
        </w:rPr>
      </w:pPr>
      <w:r>
        <w:rPr>
          <w:rFonts w:ascii="Arial" w:cs="Arial" w:eastAsia="Arial" w:hAnsi="Arial"/>
          <w:sz w:val="18"/>
          <w:szCs w:val="18"/>
          <w:color w:val="auto"/>
        </w:rPr>
        <w:t>Gabriel Fahel</w:t>
      </w:r>
    </w:p>
    <w:p>
      <w:pPr>
        <w:spacing w:after="0" w:line="25" w:lineRule="exact"/>
        <w:rPr>
          <w:sz w:val="20"/>
          <w:szCs w:val="20"/>
          <w:color w:val="auto"/>
        </w:rPr>
      </w:pPr>
    </w:p>
    <w:p>
      <w:pPr>
        <w:spacing w:after="0"/>
        <w:rPr>
          <w:sz w:val="20"/>
          <w:szCs w:val="20"/>
          <w:color w:val="auto"/>
        </w:rPr>
      </w:pPr>
      <w:r>
        <w:rPr>
          <w:rFonts w:ascii="Arial" w:cs="Arial" w:eastAsia="Arial" w:hAnsi="Arial"/>
          <w:sz w:val="18"/>
          <w:szCs w:val="18"/>
          <w:color w:val="auto"/>
        </w:rPr>
        <w:t>Chief Legal Officer</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Cybin Inc.</w:t>
      </w:r>
    </w:p>
    <w:p>
      <w:pPr>
        <w:spacing w:after="0" w:line="25" w:lineRule="exact"/>
        <w:rPr>
          <w:sz w:val="20"/>
          <w:szCs w:val="20"/>
          <w:color w:val="auto"/>
        </w:rPr>
      </w:pPr>
    </w:p>
    <w:p>
      <w:pPr>
        <w:spacing w:after="0"/>
        <w:rPr>
          <w:sz w:val="20"/>
          <w:szCs w:val="20"/>
          <w:color w:val="auto"/>
        </w:rPr>
      </w:pPr>
      <w:r>
        <w:rPr>
          <w:rFonts w:ascii="Arial" w:cs="Arial" w:eastAsia="Arial" w:hAnsi="Arial"/>
          <w:sz w:val="18"/>
          <w:szCs w:val="18"/>
          <w:color w:val="auto"/>
        </w:rPr>
        <w:t>1-866-292-4601</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irteam@cybin.com – or – media@cybin.com</w:t>
      </w:r>
    </w:p>
    <w:sectPr>
      <w:pgSz w:w="11900" w:h="16838" w:orient="portrait"/>
      <w:cols w:equalWidth="0" w:num="1">
        <w:col w:w="11260"/>
      </w:cols>
      <w:pgMar w:left="320" w:top="1440" w:right="3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440BADFC"/>
    <w:multiLevelType w:val="hybridMultilevel"/>
    <w:lvl w:ilvl="0">
      <w:lvlJc w:val="left"/>
      <w:lvlText w:val="1"/>
      <w:numFmt w:val="bullet"/>
      <w:start w:val="1"/>
    </w:lvl>
  </w:abstractNum>
  <w:abstractNum w:abstractNumId="1">
    <w:nsid w:val="5072367"/>
    <w:multiLevelType w:val="hybridMultilevel"/>
    <w:lvl w:ilvl="0">
      <w:lvlJc w:val="left"/>
      <w:lvlText w:val="%1."/>
      <w:numFmt w:val="decimal"/>
      <w:start w:val="5"/>
    </w:lvl>
    <w:lvl w:ilvl="1">
      <w:lvlJc w:val="left"/>
      <w:lvlText w:val="%2)"/>
      <w:numFmt w:val="lowerLetter"/>
      <w:start w:val="1"/>
    </w:lvl>
  </w:abstractNum>
  <w:abstractNum w:abstractNumId="2">
    <w:nsid w:val="3804823E"/>
    <w:multiLevelType w:val="hybridMultilevel"/>
    <w:lvl w:ilvl="0">
      <w:lvlJc w:val="left"/>
      <w:lvlText w:val="%1."/>
      <w:numFmt w:val="decimal"/>
      <w:start w:val="7"/>
    </w:lvl>
    <w:lvl w:ilvl="1">
      <w:lvlJc w:val="left"/>
      <w:lvlText w:val="%2)"/>
      <w:numFmt w:val="lowerLetter"/>
      <w:start w:val="1"/>
    </w:lvl>
  </w:abstractNum>
  <w:abstractNum w:abstractNumId="3">
    <w:nsid w:val="77465F01"/>
    <w:multiLevelType w:val="hybridMultilevel"/>
    <w:lvl w:ilvl="0">
      <w:lvlJc w:val="left"/>
      <w:lvlText w:val="%1)"/>
      <w:numFmt w:val="lowerLetter"/>
      <w:start w:val="2"/>
    </w:lvl>
  </w:abstractNum>
  <w:abstractNum w:abstractNumId="4">
    <w:nsid w:val="7724C67E"/>
    <w:multiLevelType w:val="hybridMultilevel"/>
    <w:lvl w:ilvl="0">
      <w:lvlJc w:val="left"/>
      <w:lvlText w:val="%1"/>
      <w:numFmt w:val="decimal"/>
      <w:start w:val="1"/>
    </w:lvl>
    <w:lvl w:ilvl="1">
      <w:lvlJc w:val="left"/>
      <w:lvlText w:val="(%2)"/>
      <w:numFmt w:val="decimal"/>
      <w:start w:val="1"/>
    </w:lvl>
  </w:abstractNum>
  <w:abstractNum w:abstractNumId="5">
    <w:nsid w:val="5C482A97"/>
    <w:multiLevelType w:val="hybridMultilevel"/>
    <w:lvl w:ilvl="0">
      <w:lvlJc w:val="left"/>
      <w:lvlText w:val="%1."/>
      <w:numFmt w:val="decimal"/>
      <w:start w:val="9"/>
    </w:lvl>
    <w:lvl w:ilvl="1">
      <w:lvlJc w:val="left"/>
      <w:lvlText w:val="%2"/>
      <w:numFmt w:val="decimal"/>
      <w:start w:val="1"/>
    </w:lvl>
  </w:abstractNum>
  <w:abstractNum w:abstractNumId="6">
    <w:nsid w:val="2463B9EA"/>
    <w:multiLevelType w:val="hybridMultilevel"/>
    <w:lvl w:ilvl="0">
      <w:lvlJc w:val="left"/>
      <w:lvlText w:val="•"/>
      <w:numFmt w:val="bullet"/>
      <w:start w:val="1"/>
    </w:lvl>
  </w:abstractNum>
  <w:abstractNum w:abstractNumId="7">
    <w:nsid w:val="5E884ADC"/>
    <w:multiLevelType w:val="hybridMultilevel"/>
    <w:lvl w:ilvl="0">
      <w:lvlJc w:val="left"/>
      <w:lvlText w:val="•"/>
      <w:numFmt w:val="bullet"/>
      <w:start w:val="1"/>
    </w:lvl>
  </w:abstractNum>
  <w:abstractNum w:abstractNumId="8">
    <w:nsid w:val="51EAD36B"/>
    <w:multiLevelType w:val="hybridMultilevel"/>
    <w:lvl w:ilvl="0">
      <w:lvlJc w:val="left"/>
      <w:lvlText w:val="•"/>
      <w:numFmt w:val="bullet"/>
      <w:start w:val="1"/>
    </w:lvl>
  </w:abstractNum>
  <w:abstractNum w:abstractNumId="9">
    <w:nsid w:val="2D517796"/>
    <w:multiLevelType w:val="hybridMultilevel"/>
    <w:lvl w:ilvl="0">
      <w:lvlJc w:val="left"/>
      <w:lvlText w:val="•"/>
      <w:numFmt w:val="bullet"/>
      <w:start w:val="1"/>
    </w:lvl>
  </w:abstractNum>
  <w:abstractNum w:abstractNumId="10">
    <w:nsid w:val="580BD78F"/>
    <w:multiLevelType w:val="hybridMultilevel"/>
    <w:lvl w:ilvl="0">
      <w:lvlJc w:val="left"/>
      <w:lvlText w:val="•"/>
      <w:numFmt w:val="bullet"/>
      <w:start w:val="1"/>
    </w:lvl>
  </w:abstractNum>
  <w:abstractNum w:abstractNumId="11">
    <w:nsid w:val="153EA438"/>
    <w:multiLevelType w:val="hybridMultilevel"/>
    <w:lvl w:ilvl="0">
      <w:lvlJc w:val="left"/>
      <w:lvlText w:val="•"/>
      <w:numFmt w:val="bullet"/>
      <w:start w:val="1"/>
    </w:lvl>
  </w:abstractNum>
  <w:abstractNum w:abstractNumId="12">
    <w:nsid w:val="3855585C"/>
    <w:multiLevelType w:val="hybridMultilevel"/>
    <w:lvl w:ilvl="0">
      <w:lvlJc w:val="left"/>
      <w:lvlText w:val="1"/>
      <w:numFmt w:val="bullet"/>
      <w:start w:val="1"/>
    </w:lvl>
  </w:abstractNum>
  <w:abstractNum w:abstractNumId="13">
    <w:nsid w:val="70A64E2A"/>
    <w:multiLevelType w:val="hybridMultilevel"/>
    <w:lvl w:ilvl="0">
      <w:lvlJc w:val="left"/>
      <w:lvlText w:val="2"/>
      <w:numFmt w:val="bullet"/>
      <w:start w:val="1"/>
    </w:lvl>
  </w:abstractNum>
  <w:abstractNum w:abstractNumId="14">
    <w:nsid w:val="6A2342EC"/>
    <w:multiLevelType w:val="hybridMultilevel"/>
    <w:lvl w:ilvl="0">
      <w:lvlJc w:val="left"/>
      <w:lvlText w:val="%1."/>
      <w:numFmt w:val="decimal"/>
      <w:start w:val="1"/>
    </w:lvl>
  </w:abstractNum>
  <w:abstractNum w:abstractNumId="15">
    <w:nsid w:val="2A487CB0"/>
    <w:multiLevelType w:val="hybridMultilevel"/>
    <w:lvl w:ilvl="0">
      <w:lvlJc w:val="left"/>
      <w:lvlText w:val="7"/>
      <w:numFmt w:val="bullet"/>
      <w:start w:val="1"/>
    </w:lvl>
  </w:abstractNum>
  <w:abstractNum w:abstractNumId="16">
    <w:nsid w:val="1D4ED43B"/>
    <w:multiLevelType w:val="hybridMultilevel"/>
    <w:lvl w:ilvl="0">
      <w:lvlJc w:val="left"/>
      <w:lvlText w:val="•"/>
      <w:numFmt w:val="bullet"/>
      <w:start w:val="1"/>
    </w:lvl>
  </w:abstractNum>
  <w:abstractNum w:abstractNumId="17">
    <w:nsid w:val="725A06FB"/>
    <w:multiLevelType w:val="hybridMultilevel"/>
    <w:lvl w:ilvl="0">
      <w:lvlJc w:val="left"/>
      <w:lvlText w:val="•"/>
      <w:numFmt w:val="bullet"/>
      <w:start w:val="1"/>
    </w:lvl>
  </w:abstractNum>
  <w:abstractNum w:abstractNumId="18">
    <w:nsid w:val="2CD89A32"/>
    <w:multiLevelType w:val="hybridMultilevel"/>
    <w:lvl w:ilvl="0">
      <w:lvlJc w:val="left"/>
      <w:lvlText w:val="•"/>
      <w:numFmt w:val="bullet"/>
      <w:start w:val="1"/>
    </w:lvl>
  </w:abstractNum>
  <w:abstractNum w:abstractNumId="19">
    <w:nsid w:val="57E4CCAF"/>
    <w:multiLevelType w:val="hybridMultilevel"/>
    <w:lvl w:ilvl="0">
      <w:lvlJc w:val="left"/>
      <w:lvlText w:val="•"/>
      <w:numFmt w:val="bullet"/>
      <w:start w:val="1"/>
    </w:lvl>
  </w:abstractNum>
  <w:abstractNum w:abstractNumId="20">
    <w:nsid w:val="7A6D8D3C"/>
    <w:multiLevelType w:val="hybridMultilevel"/>
    <w:lvl w:ilvl="0">
      <w:lvlJc w:val="left"/>
      <w:lvlText w:val="9"/>
      <w:numFmt w:val="bullet"/>
      <w:start w:val="1"/>
    </w:lvl>
  </w:abstractNum>
  <w:abstractNum w:abstractNumId="21">
    <w:nsid w:val="4B588F54"/>
    <w:multiLevelType w:val="hybridMultilevel"/>
    <w:lvl w:ilvl="0">
      <w:lvlJc w:val="left"/>
      <w:lvlText w:val="%1"/>
      <w:numFmt w:val="decimal"/>
      <w:start w:val="10"/>
    </w:lvl>
  </w:abstractNum>
  <w:abstractNum w:abstractNumId="22">
    <w:nsid w:val="542289EC"/>
    <w:multiLevelType w:val="hybridMultilevel"/>
    <w:lvl w:ilvl="0">
      <w:lvlJc w:val="left"/>
      <w:lvlText w:val="•"/>
      <w:numFmt w:val="bullet"/>
      <w:start w:val="1"/>
    </w:lvl>
  </w:abstractNum>
  <w:abstractNum w:abstractNumId="23">
    <w:nsid w:val="6DE91B18"/>
    <w:multiLevelType w:val="hybridMultilevel"/>
    <w:lvl w:ilvl="0">
      <w:lvlJc w:val="left"/>
      <w:lvlText w:val="%1"/>
      <w:numFmt w:val="decimal"/>
      <w:start w:val="12"/>
    </w:lvl>
  </w:abstractNum>
  <w:abstractNum w:abstractNumId="24">
    <w:nsid w:val="38437FDB"/>
    <w:multiLevelType w:val="hybridMultilevel"/>
    <w:lvl w:ilvl="0">
      <w:lvlJc w:val="left"/>
      <w:lvlText w:val="•"/>
      <w:numFmt w:val="bullet"/>
      <w:start w:val="1"/>
    </w:lvl>
  </w:abstractNum>
  <w:abstractNum w:abstractNumId="25">
    <w:nsid w:val="7644A45C"/>
    <w:multiLevelType w:val="hybridMultilevel"/>
    <w:lvl w:ilvl="0">
      <w:lvlJc w:val="left"/>
      <w:lvlText w:val="•"/>
      <w:numFmt w:val="bullet"/>
      <w:start w:val="1"/>
    </w:lvl>
  </w:abstractNum>
  <w:abstractNum w:abstractNumId="26">
    <w:nsid w:val="32FFF902"/>
    <w:multiLevelType w:val="hybridMultilevel"/>
    <w:lvl w:ilvl="0">
      <w:lvlJc w:val="left"/>
      <w:lvlText w:val="•"/>
      <w:numFmt w:val="bullet"/>
      <w:start w:val="1"/>
    </w:lvl>
  </w:abstractNum>
  <w:abstractNum w:abstractNumId="27">
    <w:nsid w:val="684A481A"/>
    <w:multiLevelType w:val="hybridMultilevel"/>
    <w:lvl w:ilvl="0">
      <w:lvlJc w:val="left"/>
      <w:lvlText w:val="%1"/>
      <w:numFmt w:val="decimal"/>
      <w:start w:val="14"/>
    </w:lvl>
  </w:abstractNum>
  <w:abstractNum w:abstractNumId="28">
    <w:nsid w:val="579478FE"/>
    <w:multiLevelType w:val="hybridMultilevel"/>
    <w:lvl w:ilvl="0">
      <w:lvlJc w:val="left"/>
      <w:lvlText w:val="%1"/>
      <w:numFmt w:val="decimal"/>
      <w:start w:val="16"/>
    </w:lvl>
  </w:abstractNum>
  <w:abstractNum w:abstractNumId="29">
    <w:nsid w:val="749ABB43"/>
    <w:multiLevelType w:val="hybridMultilevel"/>
    <w:lvl w:ilvl="0">
      <w:lvlJc w:val="left"/>
      <w:lvlText w:val="%1"/>
      <w:numFmt w:val="decimal"/>
      <w:start w:val="19"/>
    </w:lvl>
  </w:abstractNum>
  <w:abstractNum w:abstractNumId="30">
    <w:nsid w:val="3DC240FB"/>
    <w:multiLevelType w:val="hybridMultilevel"/>
    <w:lvl w:ilvl="0">
      <w:lvlJc w:val="left"/>
      <w:lvlText w:val="%1"/>
      <w:numFmt w:val="decimal"/>
      <w:start w:val="22"/>
    </w:lvl>
  </w:abstractNum>
  <w:abstractNum w:abstractNumId="31">
    <w:nsid w:val="1BA026FA"/>
    <w:multiLevelType w:val="hybridMultilevel"/>
    <w:lvl w:ilvl="0">
      <w:lvlJc w:val="left"/>
      <w:lvlText w:val="(%1)"/>
      <w:numFmt w:val="decimal"/>
      <w:start w:val="1"/>
    </w:lvl>
  </w:abstractNum>
  <w:abstractNum w:abstractNumId="32">
    <w:nsid w:val="79A1DEAA"/>
    <w:multiLevelType w:val="hybridMultilevel"/>
    <w:lvl w:ilvl="0">
      <w:lvlJc w:val="left"/>
      <w:lvlText w:val="(%1)"/>
      <w:numFmt w:val="decimal"/>
      <w:start w:val="1"/>
    </w:lvl>
  </w:abstractNum>
  <w:abstractNum w:abstractNumId="33">
    <w:nsid w:val="75C6C33A"/>
    <w:multiLevelType w:val="hybridMultilevel"/>
    <w:lvl w:ilvl="0">
      <w:lvlJc w:val="left"/>
      <w:lvlText w:val="%1"/>
      <w:numFmt w:val="decimal"/>
      <w:start w:val="23"/>
    </w:lvl>
  </w:abstractNum>
  <w:abstractNum w:abstractNumId="34">
    <w:nsid w:val="12E685FB"/>
    <w:multiLevelType w:val="hybridMultilevel"/>
    <w:lvl w:ilvl="0">
      <w:lvlJc w:val="left"/>
      <w:lvlText w:val="•"/>
      <w:numFmt w:val="bullet"/>
      <w:start w:val="1"/>
    </w:lvl>
  </w:abstractNum>
  <w:abstractNum w:abstractNumId="35">
    <w:nsid w:val="70C6A529"/>
    <w:multiLevelType w:val="hybridMultilevel"/>
    <w:lvl w:ilvl="0">
      <w:lvlJc w:val="left"/>
      <w:lvlText w:val="•"/>
      <w:numFmt w:val="bullet"/>
      <w:start w:val="1"/>
    </w:lvl>
  </w:abstractNum>
  <w:abstractNum w:abstractNumId="36">
    <w:nsid w:val="520EEDD1"/>
    <w:multiLevelType w:val="hybridMultilevel"/>
    <w:lvl w:ilvl="0">
      <w:lvlJc w:val="left"/>
      <w:lvlText w:val="%1"/>
      <w:numFmt w:val="decimal"/>
      <w:start w:val="24"/>
    </w:lvl>
  </w:abstractNum>
  <w:abstractNum w:abstractNumId="37">
    <w:nsid w:val="374A3FE6"/>
    <w:multiLevelType w:val="hybridMultilevel"/>
    <w:lvl w:ilvl="0">
      <w:lvlJc w:val="left"/>
      <w:lvlText w:val="%1"/>
      <w:numFmt w:val="decimal"/>
      <w:start w:val="25"/>
    </w:lvl>
  </w:abstractNum>
  <w:abstractNum w:abstractNumId="38">
    <w:nsid w:val="4F4EF005"/>
    <w:multiLevelType w:val="hybridMultilevel"/>
    <w:lvl w:ilvl="0">
      <w:lvlJc w:val="left"/>
      <w:lvlText w:val="•"/>
      <w:numFmt w:val="bullet"/>
      <w:start w:val="1"/>
    </w:lvl>
  </w:abstractNum>
  <w:abstractNum w:abstractNumId="39">
    <w:nsid w:val="23F9C13C"/>
    <w:multiLevelType w:val="hybridMultilevel"/>
    <w:lvl w:ilvl="0">
      <w:lvlJc w:val="left"/>
      <w:lvlText w:val="•"/>
      <w:numFmt w:val="bullet"/>
      <w:start w:val="1"/>
    </w:lvl>
  </w:abstractNum>
  <w:abstractNum w:abstractNumId="40">
    <w:nsid w:val="649BB77C"/>
    <w:multiLevelType w:val="hybridMultilevel"/>
    <w:lvl w:ilvl="0">
      <w:lvlJc w:val="left"/>
      <w:lvlText w:val="•"/>
      <w:numFmt w:val="bullet"/>
      <w:start w:val="1"/>
    </w:lvl>
  </w:abstractNum>
  <w:abstractNum w:abstractNumId="41">
    <w:nsid w:val="275AC794"/>
    <w:multiLevelType w:val="hybridMultilevel"/>
    <w:lvl w:ilvl="0">
      <w:lvlJc w:val="left"/>
      <w:lvlText w:val="•"/>
      <w:numFmt w:val="bullet"/>
      <w:start w:val="1"/>
    </w:lvl>
  </w:abstractNum>
  <w:abstractNum w:abstractNumId="42">
    <w:nsid w:val="39386575"/>
    <w:multiLevelType w:val="hybridMultilevel"/>
    <w:lvl w:ilvl="0">
      <w:lvlJc w:val="left"/>
      <w:lvlText w:val="(%1)"/>
      <w:numFmt w:val="decimal"/>
      <w:start w:val="1"/>
    </w:lvl>
  </w:abstractNum>
  <w:abstractNum w:abstractNumId="43">
    <w:nsid w:val="1CF10FD8"/>
    <w:multiLevelType w:val="hybridMultilevel"/>
    <w:lvl w:ilvl="0">
      <w:lvlJc w:val="left"/>
      <w:lvlText w:val="•"/>
      <w:numFmt w:val="bullet"/>
      <w:start w:val="1"/>
    </w:lvl>
  </w:abstractNum>
  <w:abstractNum w:abstractNumId="44">
    <w:nsid w:val="180115BE"/>
    <w:multiLevelType w:val="hybridMultilevel"/>
    <w:lvl w:ilvl="0">
      <w:lvlJc w:val="left"/>
      <w:lvlText w:val="•"/>
      <w:numFmt w:val="bullet"/>
      <w:start w:val="1"/>
    </w:lvl>
  </w:abstractNum>
  <w:abstractNum w:abstractNumId="45">
    <w:nsid w:val="235BA861"/>
    <w:multiLevelType w:val="hybridMultilevel"/>
    <w:lvl w:ilvl="0">
      <w:lvlJc w:val="left"/>
      <w:lvlText w:val="•"/>
      <w:numFmt w:val="bullet"/>
      <w:start w:val="1"/>
    </w:lvl>
  </w:abstractNum>
  <w:abstractNum w:abstractNumId="46">
    <w:nsid w:val="47398C89"/>
    <w:multiLevelType w:val="hybridMultilevel"/>
    <w:lvl w:ilvl="0">
      <w:lvlJc w:val="left"/>
      <w:lvlText w:val="•"/>
      <w:numFmt w:val="bullet"/>
      <w:start w:val="1"/>
    </w:lvl>
  </w:abstractNum>
  <w:abstractNum w:abstractNumId="47">
    <w:nsid w:val="354FE9F9"/>
    <w:multiLevelType w:val="hybridMultilevel"/>
    <w:lvl w:ilvl="0">
      <w:lvlJc w:val="left"/>
      <w:lvlText w:val="•"/>
      <w:numFmt w:val="bullet"/>
      <w:start w:val="1"/>
    </w:lvl>
  </w:abstractNum>
  <w:abstractNum w:abstractNumId="48">
    <w:nsid w:val="15B5AF5C"/>
    <w:multiLevelType w:val="hybridMultilevel"/>
    <w:lvl w:ilvl="0">
      <w:lvlJc w:val="left"/>
      <w:lvlText w:val="•"/>
      <w:numFmt w:val="bullet"/>
      <w:start w:val="1"/>
    </w:lvl>
  </w:abstractNum>
  <w:abstractNum w:abstractNumId="49">
    <w:nsid w:val="741226BB"/>
    <w:multiLevelType w:val="hybridMultilevel"/>
    <w:lvl w:ilvl="0">
      <w:lvlJc w:val="left"/>
      <w:lvlText w:val="•"/>
      <w:numFmt w:val="bullet"/>
      <w:start w:val="1"/>
    </w:lvl>
  </w:abstractNum>
  <w:abstractNum w:abstractNumId="50">
    <w:nsid w:val="D34B6A8"/>
    <w:multiLevelType w:val="hybridMultilevel"/>
    <w:lvl w:ilvl="0">
      <w:lvlJc w:val="left"/>
      <w:lvlText w:val="•"/>
      <w:numFmt w:val="bullet"/>
      <w:start w:val="1"/>
    </w:lvl>
  </w:abstractNum>
  <w:abstractNum w:abstractNumId="51">
    <w:nsid w:val="10233C99"/>
    <w:multiLevelType w:val="hybridMultilevel"/>
    <w:lvl w:ilvl="0">
      <w:lvlJc w:val="left"/>
      <w:lvlText w:val="•"/>
      <w:numFmt w:val="bullet"/>
      <w:start w:val="1"/>
    </w:lvl>
  </w:abstractNum>
  <w:abstractNum w:abstractNumId="52">
    <w:nsid w:val="3F6AB60F"/>
    <w:multiLevelType w:val="hybridMultilevel"/>
    <w:lvl w:ilvl="0">
      <w:lvlJc w:val="left"/>
      <w:lvlText w:val="%1."/>
      <w:numFmt w:val="decimal"/>
      <w:start w:val="1"/>
    </w:lvl>
    <w:lvl w:ilvl="1">
      <w:lvlJc w:val="left"/>
      <w:lvlText w:val="%2."/>
      <w:numFmt w:val="decimal"/>
      <w:start w:val="1"/>
    </w:lvl>
    <w:lvl w:ilvl="2">
      <w:lvlJc w:val="left"/>
      <w:lvlText w:val="%3."/>
      <w:numFmt w:val="decimal"/>
      <w:start w:val="1"/>
    </w:lvl>
  </w:abstractNum>
  <w:abstractNum w:abstractNumId="53">
    <w:nsid w:val="61574095"/>
    <w:multiLevelType w:val="hybridMultilevel"/>
    <w:lvl w:ilvl="0">
      <w:lvlJc w:val="left"/>
      <w:lvlText w:val="%1."/>
      <w:numFmt w:val="decimal"/>
      <w:start w:val="6"/>
    </w:lvl>
  </w:abstractNum>
  <w:abstractNum w:abstractNumId="54">
    <w:nsid w:val="7E0C57B1"/>
    <w:multiLevelType w:val="hybridMultilevel"/>
    <w:lvl w:ilvl="0">
      <w:lvlJc w:val="left"/>
      <w:lvlText w:val="%1."/>
      <w:numFmt w:val="decimal"/>
      <w:start w:val="1"/>
    </w:lvl>
    <w:lvl w:ilvl="1">
      <w:lvlJc w:val="left"/>
      <w:lvlText w:val="%2."/>
      <w:numFmt w:val="decimal"/>
      <w:start w:val="1"/>
    </w:lvl>
    <w:lvl w:ilvl="2">
      <w:lvlJc w:val="left"/>
      <w:lvlText w:val="%3."/>
      <w:numFmt w:val="decimal"/>
      <w:start w:val="1"/>
    </w:lvl>
  </w:abstractNum>
  <w:abstractNum w:abstractNumId="55">
    <w:nsid w:val="77AE35EB"/>
    <w:multiLevelType w:val="hybridMultilevel"/>
    <w:lvl w:ilvl="0">
      <w:lvlJc w:val="left"/>
      <w:lvlText w:val="%1."/>
      <w:numFmt w:val="decimal"/>
      <w:start w:val="6"/>
    </w:lvl>
  </w:abstractNum>
  <w:abstractNum w:abstractNumId="56">
    <w:nsid w:val="579BE4F1"/>
    <w:multiLevelType w:val="hybridMultilevel"/>
    <w:lvl w:ilvl="0">
      <w:lvlJc w:val="left"/>
      <w:lvlText w:val="-"/>
      <w:numFmt w:val="bullet"/>
      <w:start w:val="1"/>
    </w:lvl>
  </w:abstractNum>
  <w:abstractNum w:abstractNumId="57">
    <w:nsid w:val="310C50B3"/>
    <w:multiLevelType w:val="hybridMultilevel"/>
    <w:lvl w:ilvl="0">
      <w:lvlJc w:val="left"/>
      <w:lvlText w:val="-"/>
      <w:numFmt w:val="bullet"/>
      <w:start w:val="1"/>
    </w:lvl>
  </w:abstractNum>
  <w:abstractNum w:abstractNumId="58">
    <w:nsid w:val="5FF87E05"/>
    <w:multiLevelType w:val="hybridMultilevel"/>
    <w:lvl w:ilvl="0">
      <w:lvlJc w:val="left"/>
      <w:lvlText w:val="-"/>
      <w:numFmt w:val="bullet"/>
      <w:start w:val="1"/>
    </w:lvl>
    <w:lvl w:ilvl="1">
      <w:lvlJc w:val="left"/>
      <w:lvlText w:val="-"/>
      <w:numFmt w:val="bullet"/>
      <w:start w:val="1"/>
    </w:lvl>
  </w:abstractNum>
  <w:abstractNum w:abstractNumId="59">
    <w:nsid w:val="2F305DEF"/>
    <w:multiLevelType w:val="hybridMultilevel"/>
    <w:lvl w:ilvl="0">
      <w:lvlJc w:val="left"/>
      <w:lvlText w:val="-"/>
      <w:numFmt w:val="bullet"/>
      <w:start w:val="1"/>
    </w:lvl>
    <w:lvl w:ilvl="1">
      <w:lvlJc w:val="left"/>
      <w:lvlText w:val="2"/>
      <w:numFmt w:val="bullet"/>
      <w:start w:val="1"/>
    </w:lvl>
  </w:abstractNum>
  <w:abstractNum w:abstractNumId="60">
    <w:nsid w:val="25A70BF7"/>
    <w:multiLevelType w:val="hybridMultilevel"/>
    <w:lvl w:ilvl="0">
      <w:lvlJc w:val="left"/>
      <w:lvlText w:val="•"/>
      <w:numFmt w:val="bullet"/>
      <w:start w:val="1"/>
    </w:lvl>
  </w:abstractNum>
  <w:abstractNum w:abstractNumId="61">
    <w:nsid w:val="1DBABF00"/>
    <w:multiLevelType w:val="hybridMultilevel"/>
    <w:lvl w:ilvl="0">
      <w:lvlJc w:val="left"/>
      <w:lvlText w:val="•"/>
      <w:numFmt w:val="bullet"/>
      <w:start w:val="1"/>
    </w:lvl>
  </w:abstractNum>
  <w:abstractNum w:abstractNumId="62">
    <w:nsid w:val="4AD084E9"/>
    <w:multiLevelType w:val="hybridMultilevel"/>
    <w:lvl w:ilvl="0">
      <w:lvlJc w:val="left"/>
      <w:lvlText w:val="•"/>
      <w:numFmt w:val="bullet"/>
      <w:start w:val="1"/>
    </w:lvl>
  </w:abstractNum>
  <w:abstractNum w:abstractNumId="63">
    <w:nsid w:val="1F48EAA1"/>
    <w:multiLevelType w:val="hybridMultilevel"/>
    <w:lvl w:ilvl="0">
      <w:lvlJc w:val="left"/>
      <w:lvlText w:val="•"/>
      <w:numFmt w:val="bullet"/>
      <w:start w:val="1"/>
    </w:lvl>
  </w:abstractNum>
  <w:abstractNum w:abstractNumId="64">
    <w:nsid w:val="1381823A"/>
    <w:multiLevelType w:val="hybridMultilevel"/>
    <w:lvl w:ilvl="0">
      <w:lvlJc w:val="left"/>
      <w:lvlText w:val="o"/>
      <w:numFmt w:val="bullet"/>
      <w:start w:val="1"/>
    </w:lvl>
  </w:abstractNum>
  <w:abstractNum w:abstractNumId="65">
    <w:nsid w:val="5DB70AE5"/>
    <w:multiLevelType w:val="hybridMultilevel"/>
    <w:lvl w:ilvl="0">
      <w:lvlJc w:val="left"/>
      <w:lvlText w:val="•"/>
      <w:numFmt w:val="bullet"/>
      <w:start w:val="1"/>
    </w:lvl>
  </w:abstractNum>
  <w:abstractNum w:abstractNumId="66">
    <w:nsid w:val="100F8FCA"/>
    <w:multiLevelType w:val="hybridMultilevel"/>
    <w:lvl w:ilvl="0">
      <w:lvlJc w:val="left"/>
      <w:lvlText w:val="•"/>
      <w:numFmt w:val="bullet"/>
      <w:start w:val="1"/>
    </w:lvl>
  </w:abstractNum>
  <w:abstractNum w:abstractNumId="67">
    <w:nsid w:val="6590700B"/>
    <w:multiLevelType w:val="hybridMultilevel"/>
    <w:lvl w:ilvl="0">
      <w:lvlJc w:val="left"/>
      <w:lvlText w:val="•"/>
      <w:numFmt w:val="bullet"/>
      <w:start w:val="1"/>
    </w:lvl>
  </w:abstractNum>
  <w:abstractNum w:abstractNumId="68">
    <w:nsid w:val="15014ACB"/>
    <w:multiLevelType w:val="hybridMultilevel"/>
    <w:lvl w:ilvl="0">
      <w:lvlJc w:val="left"/>
      <w:lvlText w:val="•"/>
      <w:numFmt w:val="bullet"/>
      <w:start w:val="1"/>
    </w:lvl>
  </w:abstractNum>
  <w:abstractNum w:abstractNumId="69">
    <w:nsid w:val="5F5E7FD0"/>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jpe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jpeg"/><Relationship Id="rId57" Type="http://schemas.openxmlformats.org/officeDocument/2006/relationships/image" Target="media/image50.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2024-11-13T06:48:26Z</dcterms:created>
  <dcterms:modified xsi:type="dcterms:W3CDTF">2024-11-13T06:48:26Z</dcterms:modified>
</cp:coreProperties>
</file>