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Douglas</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2024-11-27</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26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CAD$14.37 per share vesting in eight quarterly tranches beginning December 31, 2024.</w:t>
      </w:r>
    </w:p>
    <w:p>
      <w:pPr>
        <w:spacing w:after="0" w:line="187"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748,395</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748,395</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Total offering amount represents maximum potential proceeds from exercise of options. CAD$1.4036=USD$1.00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14"/>
          <w:szCs w:val="14"/>
          <w:color w:val="0000FF"/>
        </w:rPr>
        <w:t>15</w:t>
      </w:r>
    </w:p>
    <w:p>
      <w:pPr>
        <w:spacing w:after="0" w:line="249" w:lineRule="exact"/>
        <w:rPr>
          <w:sz w:val="20"/>
          <w:szCs w:val="20"/>
          <w:color w:val="auto"/>
        </w:rPr>
      </w:pPr>
    </w:p>
    <w:p>
      <w:pPr>
        <w:sectPr>
          <w:pgSz w:w="11900" w:h="16838" w:orient="portrait"/>
          <w:cols w:equalWidth="0" w:num="2">
            <w:col w:w="9620" w:space="200"/>
            <w:col w:w="14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2024-12-09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2024-12-10T05:07:54Z</dcterms:created>
  <dcterms:modified xsi:type="dcterms:W3CDTF">2024-12-10T05:07:54Z</dcterms:modified>
</cp:coreProperties>
</file>