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September,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19"/>
                <w:szCs w:val="19"/>
                <w:color w:val="auto"/>
              </w:rPr>
            </w:pPr>
          </w:p>
        </w:tc>
        <w:tc>
          <w:tcPr>
            <w:tcW w:w="7200" w:type="dxa"/>
            <w:vAlign w:val="bottom"/>
            <w:gridSpan w:val="2"/>
          </w:tcPr>
          <w:p>
            <w:pPr>
              <w:ind w:left="19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820" w:type="dxa"/>
            <w:vAlign w:val="bottom"/>
          </w:tcPr>
          <w:p>
            <w:pPr>
              <w:spacing w:after="0"/>
              <w:rPr>
                <w:sz w:val="20"/>
                <w:szCs w:val="20"/>
                <w:color w:val="auto"/>
              </w:rPr>
            </w:pPr>
          </w:p>
        </w:tc>
        <w:tc>
          <w:tcPr>
            <w:tcW w:w="720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September 9, 2021</w:t>
            </w:r>
          </w:p>
        </w:tc>
        <w:tc>
          <w:tcPr>
            <w:tcW w:w="2580" w:type="dxa"/>
            <w:vAlign w:val="bottom"/>
          </w:tcPr>
          <w:p>
            <w:pPr>
              <w:ind w:left="19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820" w:type="dxa"/>
            <w:vAlign w:val="bottom"/>
          </w:tcPr>
          <w:p>
            <w:pPr>
              <w:spacing w:after="0"/>
              <w:rPr>
                <w:sz w:val="18"/>
                <w:szCs w:val="18"/>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820" w:type="dxa"/>
            <w:vAlign w:val="bottom"/>
          </w:tcPr>
          <w:p>
            <w:pPr>
              <w:spacing w:after="0"/>
              <w:rPr>
                <w:sz w:val="20"/>
                <w:szCs w:val="20"/>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September 9,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171450</wp:posOffset>
            </wp:positionV>
            <wp:extent cx="250317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317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to Present at the H.C. Wainwright 23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Annual Global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Conference on September 13</w:t>
      </w:r>
      <w:r>
        <w:rPr>
          <w:rFonts w:ascii="Arial" w:cs="Arial" w:eastAsia="Arial" w:hAnsi="Arial"/>
          <w:sz w:val="15"/>
          <w:szCs w:val="15"/>
          <w:b w:val="1"/>
          <w:bCs w:val="1"/>
          <w:color w:val="auto"/>
        </w:rPr>
        <w:t>th</w:t>
      </w:r>
    </w:p>
    <w:p>
      <w:pPr>
        <w:spacing w:after="0" w:line="208"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September 9,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progressing psychedelic therapeutics, today announced that Doug Drysdale, Chief Executive Officer, will be presenting virtually at the H.C. Wainwright 23</w:t>
      </w:r>
      <w:r>
        <w:rPr>
          <w:rFonts w:ascii="Arial" w:cs="Arial" w:eastAsia="Arial" w:hAnsi="Arial"/>
          <w:sz w:val="14"/>
          <w:szCs w:val="14"/>
          <w:color w:val="auto"/>
        </w:rPr>
        <w:t>rd</w:t>
      </w:r>
      <w:r>
        <w:rPr>
          <w:rFonts w:ascii="Arial" w:cs="Arial" w:eastAsia="Arial" w:hAnsi="Arial"/>
          <w:sz w:val="17"/>
          <w:szCs w:val="17"/>
          <w:color w:val="auto"/>
        </w:rPr>
        <w:t xml:space="preserve"> Annual Global Investment Conference on September 13, 2021. The presentation details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Date:</w:t>
            </w:r>
          </w:p>
        </w:tc>
        <w:tc>
          <w:tcPr>
            <w:tcW w:w="5200" w:type="dxa"/>
            <w:vAlign w:val="bottom"/>
          </w:tcPr>
          <w:p>
            <w:pPr>
              <w:spacing w:after="0"/>
              <w:rPr>
                <w:sz w:val="20"/>
                <w:szCs w:val="20"/>
                <w:color w:val="auto"/>
              </w:rPr>
            </w:pPr>
            <w:r>
              <w:rPr>
                <w:rFonts w:ascii="Arial" w:cs="Arial" w:eastAsia="Arial" w:hAnsi="Arial"/>
                <w:sz w:val="18"/>
                <w:szCs w:val="18"/>
                <w:color w:val="auto"/>
              </w:rPr>
              <w:t>Monday, September 13, 2021</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Time:</w:t>
            </w:r>
          </w:p>
        </w:tc>
        <w:tc>
          <w:tcPr>
            <w:tcW w:w="5200" w:type="dxa"/>
            <w:vAlign w:val="bottom"/>
          </w:tcPr>
          <w:p>
            <w:pPr>
              <w:spacing w:after="0"/>
              <w:rPr>
                <w:sz w:val="20"/>
                <w:szCs w:val="20"/>
                <w:color w:val="auto"/>
              </w:rPr>
            </w:pPr>
            <w:r>
              <w:rPr>
                <w:rFonts w:ascii="Arial" w:cs="Arial" w:eastAsia="Arial" w:hAnsi="Arial"/>
                <w:sz w:val="18"/>
                <w:szCs w:val="18"/>
                <w:color w:val="auto"/>
              </w:rPr>
              <w:t>On demand, beginning at 7:00 AM ET</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Webcast:</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https://journey.ct.events/view/942d21a6-4d90-43fd-9058-c78fd12dd752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will be webcast on-demand and available for 90 days thereafter using the link provided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identified by the use of forward-looking words such as “may”, “should”, “could”, “intend”, “estimate”, “plan”, “anticipate”, “expect”, “believe” or “continue”, or the negative thereof or similar variations. Forward-looking statements in this news release include statements regarding enhanced liquidity, the value of additional capital markets exposure, access to institutional and retail investors, the Company’s new strategic brand messaging campaign, and psychedelic drug development programs to potentially treat mental health disorders.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have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NEO Exchange has neither approved nor disapproved the contents of this news release and is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2021-09-09T09:39:03Z</dcterms:created>
  <dcterms:modified xsi:type="dcterms:W3CDTF">2021-09-09T09:39:03Z</dcterms:modified>
</cp:coreProperties>
</file>