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 No. 333-292294</w:t>
      </w:r>
    </w:p>
    <w:p>
      <w:pPr>
        <w:spacing w:after="0" w:line="136"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This prospectus supplement (the "Prospectus Supplement"), together with the short form base shelf prospectus dated September 17, 2025, as amended by Amendment No. 1 dated December 19, 2025, to which it relates, as may be further amended or supplemented (the "Base Shelf Prospectus"), and each document deemed to be incorporated by reference into this Prospectus Supplement and the Base Shelf Prospectus, as amended or supplemented (collectively, the "Prospectus"), constitutes an offering of these securities only in those jurisdictions where they may be lawfully offered for sale and only by persons permitted to sell such securities. No securities regulatory authority has expressed an opinion about these securities and it is an offence to claim otherwise.</w:t>
      </w:r>
    </w:p>
    <w:p>
      <w:pPr>
        <w:spacing w:after="0" w:line="149"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Information has been incorporated by reference in the Prospectus from documents filed with securities commissions or similar authorities in Canada. Copies of the documents incorporated herein by reference may be obtained on request without charge from the Secretary of Cybin Inc. at 100 King Street West, Suite 5600, Toronto, Ontario M5X 1C9, telephone 1-866-292-4601, and are also available electronically at www.sedarplus.ca and www.sec.gov/edgar.</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Base Shelf Prospectus dated September 17, 2025, as amended on December 19, 2025)</w:t>
      </w:r>
    </w:p>
    <w:p>
      <w:pPr>
        <w:spacing w:after="0" w:line="149" w:lineRule="exact"/>
        <w:rPr>
          <w:sz w:val="24"/>
          <w:szCs w:val="24"/>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i w:val="1"/>
          <w:iCs w:val="1"/>
          <w:u w:val="single" w:color="auto"/>
          <w:color w:val="auto"/>
        </w:rPr>
        <w:t>New Issue</w:t>
      </w:r>
      <w:r>
        <w:rPr>
          <w:sz w:val="20"/>
          <w:szCs w:val="20"/>
          <w:color w:val="auto"/>
        </w:rPr>
        <w:tab/>
      </w:r>
      <w:r>
        <w:rPr>
          <w:rFonts w:ascii="Times New Roman" w:cs="Times New Roman" w:eastAsia="Times New Roman" w:hAnsi="Times New Roman"/>
          <w:sz w:val="17"/>
          <w:szCs w:val="17"/>
          <w:color w:val="auto"/>
        </w:rPr>
        <w:t>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292735</wp:posOffset>
            </wp:positionV>
            <wp:extent cx="3291840" cy="2049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2049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 DOING BUSINESS AS</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HELUS PHARMA</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US$50,000,008</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10,309,280 Common Shares</w:t>
      </w:r>
    </w:p>
    <w:p>
      <w:pPr>
        <w:spacing w:after="0" w:line="1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1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Price: US$4.85 per Common Share</w:t>
      </w:r>
    </w:p>
    <w:p>
      <w:pPr>
        <w:spacing w:after="0" w:line="1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151"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Cybin Inc., doing business as Helus Pharma ("</w:t>
      </w:r>
      <w:r>
        <w:rPr>
          <w:rFonts w:ascii="Times New Roman" w:cs="Times New Roman" w:eastAsia="Times New Roman" w:hAnsi="Times New Roman"/>
          <w:sz w:val="22"/>
          <w:szCs w:val="22"/>
          <w:b w:val="1"/>
          <w:bCs w:val="1"/>
          <w:color w:val="auto"/>
        </w:rPr>
        <w:t>Helus Pharma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hereby qualifying the distribution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of 10,309,280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price of US$4.85 per Common Share (the "</w:t>
      </w:r>
      <w:r>
        <w:rPr>
          <w:rFonts w:ascii="Times New Roman" w:cs="Times New Roman" w:eastAsia="Times New Roman" w:hAnsi="Times New Roman"/>
          <w:sz w:val="22"/>
          <w:szCs w:val="22"/>
          <w:b w:val="1"/>
          <w:bCs w:val="1"/>
          <w:color w:val="auto"/>
        </w:rPr>
        <w:t>Offering Price</w:t>
      </w:r>
      <w:r>
        <w:rPr>
          <w:rFonts w:ascii="Times New Roman" w:cs="Times New Roman" w:eastAsia="Times New Roman" w:hAnsi="Times New Roman"/>
          <w:sz w:val="22"/>
          <w:szCs w:val="22"/>
          <w:color w:val="auto"/>
        </w:rPr>
        <w:t>" and such Common Shares, the "</w:t>
      </w:r>
      <w:r>
        <w:rPr>
          <w:rFonts w:ascii="Times New Roman" w:cs="Times New Roman" w:eastAsia="Times New Roman" w:hAnsi="Times New Roman"/>
          <w:sz w:val="22"/>
          <w:szCs w:val="22"/>
          <w:b w:val="1"/>
          <w:bCs w:val="1"/>
          <w:color w:val="auto"/>
        </w:rPr>
        <w:t>Offered Shares</w:t>
      </w:r>
      <w:r>
        <w:rPr>
          <w:rFonts w:ascii="Times New Roman" w:cs="Times New Roman" w:eastAsia="Times New Roman" w:hAnsi="Times New Roman"/>
          <w:sz w:val="22"/>
          <w:szCs w:val="22"/>
          <w:color w:val="auto"/>
        </w:rPr>
        <w:t>") for aggregate gross proceeds of US$50,000,008.</w:t>
      </w:r>
    </w:p>
    <w:p>
      <w:pPr>
        <w:spacing w:after="0" w:line="131"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distribution of the Offered Shares qualified by this Prospectus Supplement is referred to herein as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See "</w:t>
      </w:r>
      <w:r>
        <w:rPr>
          <w:rFonts w:ascii="Times New Roman" w:cs="Times New Roman" w:eastAsia="Times New Roman" w:hAnsi="Times New Roman"/>
          <w:sz w:val="22"/>
          <w:szCs w:val="22"/>
          <w:i w:val="1"/>
          <w:iCs w:val="1"/>
          <w:color w:val="auto"/>
        </w:rPr>
        <w:t>Description of Securities Being Distributed</w:t>
      </w:r>
      <w:r>
        <w:rPr>
          <w:rFonts w:ascii="Times New Roman" w:cs="Times New Roman" w:eastAsia="Times New Roman" w:hAnsi="Times New Roman"/>
          <w:sz w:val="22"/>
          <w:szCs w:val="22"/>
          <w:color w:val="auto"/>
        </w:rPr>
        <w:t>".</w:t>
      </w:r>
    </w:p>
    <w:p>
      <w:pPr>
        <w:spacing w:after="0" w:line="113" w:lineRule="exact"/>
        <w:rPr>
          <w:sz w:val="24"/>
          <w:szCs w:val="24"/>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Offering is being made in the United States only under the Corporation's registration statement on Form F-10 (File No. 333-292294)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filed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on December 19, 2025. The Registration Statement became automatically effective upon filing of the Registration Statement pursuant to Rule 467(a) of the U.S. Securities Act on December 19, 2025. The Offered Shares are being issued pursuant to an underwriting agreement dated June 23, 2026 (the "</w:t>
      </w:r>
      <w:r>
        <w:rPr>
          <w:rFonts w:ascii="Times New Roman" w:cs="Times New Roman" w:eastAsia="Times New Roman" w:hAnsi="Times New Roman"/>
          <w:sz w:val="22"/>
          <w:szCs w:val="22"/>
          <w:b w:val="1"/>
          <w:bCs w:val="1"/>
          <w:color w:val="auto"/>
        </w:rPr>
        <w:t>Underwriting Agreement</w:t>
      </w:r>
      <w:r>
        <w:rPr>
          <w:rFonts w:ascii="Times New Roman" w:cs="Times New Roman" w:eastAsia="Times New Roman" w:hAnsi="Times New Roman"/>
          <w:sz w:val="22"/>
          <w:szCs w:val="22"/>
          <w:color w:val="auto"/>
        </w:rPr>
        <w:t>") by and between the Corporation and Cantor Fitzgerald &amp; Co. ("</w:t>
      </w:r>
      <w:r>
        <w:rPr>
          <w:rFonts w:ascii="Times New Roman" w:cs="Times New Roman" w:eastAsia="Times New Roman" w:hAnsi="Times New Roman"/>
          <w:sz w:val="22"/>
          <w:szCs w:val="22"/>
          <w:b w:val="1"/>
          <w:bCs w:val="1"/>
          <w:color w:val="auto"/>
        </w:rPr>
        <w:t>Cantor</w:t>
      </w:r>
      <w:r>
        <w:rPr>
          <w:rFonts w:ascii="Times New Roman" w:cs="Times New Roman" w:eastAsia="Times New Roman" w:hAnsi="Times New Roman"/>
          <w:sz w:val="22"/>
          <w:szCs w:val="22"/>
          <w:color w:val="auto"/>
        </w:rPr>
        <w:t>") and Barclays Capital Inc. ("</w:t>
      </w:r>
      <w:r>
        <w:rPr>
          <w:rFonts w:ascii="Times New Roman" w:cs="Times New Roman" w:eastAsia="Times New Roman" w:hAnsi="Times New Roman"/>
          <w:sz w:val="22"/>
          <w:szCs w:val="22"/>
          <w:b w:val="1"/>
          <w:bCs w:val="1"/>
          <w:color w:val="auto"/>
        </w:rPr>
        <w:t>Barclays</w:t>
      </w:r>
      <w:r>
        <w:rPr>
          <w:rFonts w:ascii="Times New Roman" w:cs="Times New Roman" w:eastAsia="Times New Roman" w:hAnsi="Times New Roman"/>
          <w:sz w:val="22"/>
          <w:szCs w:val="22"/>
          <w:color w:val="auto"/>
        </w:rPr>
        <w:t>" and together with Cantor, the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as representatives of the several underwriters, together with Bloom Burton Securities Inc. and Lucid Capital Markets, LLC (together with the Representatives, the "</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 The Offered Shares will be offered in the United States by the Underwriters under this prospectus supplement to the Registration Statement filed with the SEC.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8"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The Offered Shares are not being offered for sale to the public in Canada under this Prospectus Supplement and there will be no solicitations or marketing activities undertaken in Canada in connection with the Offering. </w:t>
      </w:r>
      <w:r>
        <w:rPr>
          <w:rFonts w:ascii="Times New Roman" w:cs="Times New Roman" w:eastAsia="Times New Roman" w:hAnsi="Times New Roman"/>
          <w:sz w:val="22"/>
          <w:szCs w:val="22"/>
          <w:color w:val="auto"/>
        </w:rPr>
        <w:t>This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qualifies the distribution of the Offered Shares to eligible investors outside of Canada. The Offering is being made</w:t>
      </w:r>
    </w:p>
    <w:p>
      <w:pPr>
        <w:sectPr>
          <w:pgSz w:w="11900" w:h="16838" w:orient="portrait"/>
          <w:cols w:equalWidth="0" w:num="1">
            <w:col w:w="11240"/>
          </w:cols>
          <w:pgMar w:left="320" w:top="365" w:right="339" w:bottom="0" w:gutter="0" w:footer="0" w:header="0"/>
        </w:sectPr>
      </w:pPr>
    </w:p>
    <w:bookmarkStart w:id="1" w:name="page2"/>
    <w:bookmarkEnd w:id="1"/>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only in the United States and, subject to applicable law and the Underwriting Agreement, certain other jurisdictions outside of Canada and the United States.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Corporation has not engaged in the business of trading and advising in securities with respect to the Offering.</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Offered Shares is highly speculative and involves significant risks that investors should consider before purchasing such Offered Shares. Investors should carefully review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section of this Prospectus Supplement, the Base Shelf Prospectus and the documents incorporated by reference herein and therein as well as the information under the heading "</w:t>
      </w:r>
      <w:r>
        <w:rPr>
          <w:rFonts w:ascii="Times New Roman" w:cs="Times New Roman" w:eastAsia="Times New Roman" w:hAnsi="Times New Roman"/>
          <w:sz w:val="22"/>
          <w:szCs w:val="22"/>
          <w:b w:val="1"/>
          <w:bCs w:val="1"/>
          <w:i w:val="1"/>
          <w:iCs w:val="1"/>
          <w:color w:val="auto"/>
        </w:rPr>
        <w:t>Cautionary Statement Regarding Forward-Looking Information</w:t>
      </w:r>
      <w:r>
        <w:rPr>
          <w:rFonts w:ascii="Times New Roman" w:cs="Times New Roman" w:eastAsia="Times New Roman" w:hAnsi="Times New Roman"/>
          <w:sz w:val="22"/>
          <w:szCs w:val="22"/>
          <w:b w:val="1"/>
          <w:bCs w:val="1"/>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Proceeds to the</w:t>
            </w:r>
          </w:p>
        </w:tc>
      </w:tr>
      <w:tr>
        <w:trPr>
          <w:trHeight w:val="275"/>
        </w:trPr>
        <w:tc>
          <w:tcPr>
            <w:tcW w:w="5820" w:type="dxa"/>
            <w:vAlign w:val="bottom"/>
          </w:tcPr>
          <w:p>
            <w:pPr>
              <w:spacing w:after="0"/>
              <w:rPr>
                <w:sz w:val="23"/>
                <w:szCs w:val="23"/>
                <w:color w:val="auto"/>
              </w:rPr>
            </w:pPr>
          </w:p>
        </w:tc>
        <w:tc>
          <w:tcPr>
            <w:tcW w:w="1660" w:type="dxa"/>
            <w:vAlign w:val="bottom"/>
            <w:gridSpan w:val="2"/>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7"/>
              </w:rPr>
              <w:t xml:space="preserve">Offering Price </w:t>
            </w:r>
            <w:r>
              <w:rPr>
                <w:rFonts w:ascii="Times New Roman" w:cs="Times New Roman" w:eastAsia="Times New Roman" w:hAnsi="Times New Roman"/>
                <w:sz w:val="29"/>
                <w:szCs w:val="29"/>
                <w:b w:val="1"/>
                <w:bCs w:val="1"/>
                <w:color w:val="auto"/>
                <w:w w:val="97"/>
                <w:vertAlign w:val="superscript"/>
              </w:rPr>
              <w:t>(1)</w:t>
            </w:r>
          </w:p>
        </w:tc>
        <w:tc>
          <w:tcPr>
            <w:tcW w:w="1900" w:type="dxa"/>
            <w:vAlign w:val="bottom"/>
            <w:gridSpan w:val="2"/>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Underwriters' Fee</w:t>
            </w:r>
            <w:r>
              <w:rPr>
                <w:rFonts w:ascii="Times New Roman" w:cs="Times New Roman" w:eastAsia="Times New Roman" w:hAnsi="Times New Roman"/>
                <w:sz w:val="29"/>
                <w:szCs w:val="29"/>
                <w:b w:val="1"/>
                <w:bCs w:val="1"/>
                <w:color w:val="auto"/>
                <w:w w:val="96"/>
                <w:vertAlign w:val="superscript"/>
              </w:rPr>
              <w:t>(2)</w:t>
            </w:r>
          </w:p>
        </w:tc>
        <w:tc>
          <w:tcPr>
            <w:tcW w:w="1860" w:type="dxa"/>
            <w:vAlign w:val="bottom"/>
          </w:tcPr>
          <w:p>
            <w:pPr>
              <w:jc w:val="center"/>
              <w:ind w:right="30"/>
              <w:spacing w:after="0" w:line="276" w:lineRule="exact"/>
              <w:rPr>
                <w:sz w:val="20"/>
                <w:szCs w:val="20"/>
                <w:color w:val="auto"/>
              </w:rPr>
            </w:pPr>
            <w:r>
              <w:rPr>
                <w:rFonts w:ascii="Times New Roman" w:cs="Times New Roman" w:eastAsia="Times New Roman" w:hAnsi="Times New Roman"/>
                <w:sz w:val="18"/>
                <w:szCs w:val="18"/>
                <w:b w:val="1"/>
                <w:bCs w:val="1"/>
                <w:color w:val="auto"/>
                <w:w w:val="96"/>
              </w:rPr>
              <w:t>Corporation</w:t>
            </w:r>
            <w:r>
              <w:rPr>
                <w:rFonts w:ascii="Times New Roman" w:cs="Times New Roman" w:eastAsia="Times New Roman" w:hAnsi="Times New Roman"/>
                <w:sz w:val="29"/>
                <w:szCs w:val="29"/>
                <w:b w:val="1"/>
                <w:bCs w:val="1"/>
                <w:color w:val="auto"/>
                <w:w w:val="96"/>
                <w:vertAlign w:val="superscript"/>
              </w:rPr>
              <w:t>(3)</w:t>
            </w:r>
          </w:p>
        </w:tc>
      </w:tr>
      <w:tr>
        <w:trPr>
          <w:trHeight w:val="210"/>
        </w:trPr>
        <w:tc>
          <w:tcPr>
            <w:tcW w:w="58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Per Offered Share</w:t>
            </w:r>
          </w:p>
        </w:tc>
        <w:tc>
          <w:tcPr>
            <w:tcW w:w="1440" w:type="dxa"/>
            <w:vAlign w:val="bottom"/>
            <w:tcBorders>
              <w:top w:val="single" w:sz="8" w:color="auto"/>
              <w:bottom w:val="single" w:sz="8" w:color="auto"/>
            </w:tcBorders>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7"/>
              </w:rPr>
              <w:t>US$4.85</w:t>
            </w:r>
          </w:p>
        </w:tc>
        <w:tc>
          <w:tcPr>
            <w:tcW w:w="220" w:type="dxa"/>
            <w:vAlign w:val="bottom"/>
            <w:tcBorders>
              <w:top w:val="single" w:sz="8" w:color="E6EFFF"/>
            </w:tcBorders>
            <w:shd w:val="clear" w:color="auto" w:fill="E6EFFF"/>
          </w:tcPr>
          <w:p>
            <w:pPr>
              <w:spacing w:after="0"/>
              <w:rPr>
                <w:sz w:val="18"/>
                <w:szCs w:val="18"/>
                <w:color w:val="auto"/>
              </w:rPr>
            </w:pPr>
          </w:p>
        </w:tc>
        <w:tc>
          <w:tcPr>
            <w:tcW w:w="1680" w:type="dxa"/>
            <w:vAlign w:val="bottom"/>
            <w:tcBorders>
              <w:top w:val="single" w:sz="8" w:color="auto"/>
              <w:bottom w:val="single" w:sz="8" w:color="auto"/>
            </w:tcBorders>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US$0.2910</w:t>
            </w:r>
          </w:p>
        </w:tc>
        <w:tc>
          <w:tcPr>
            <w:tcW w:w="220" w:type="dxa"/>
            <w:vAlign w:val="bottom"/>
            <w:tcBorders>
              <w:top w:val="single" w:sz="8" w:color="E6EFFF"/>
            </w:tcBorders>
            <w:shd w:val="clear" w:color="auto" w:fill="E6EFFF"/>
          </w:tcPr>
          <w:p>
            <w:pPr>
              <w:spacing w:after="0"/>
              <w:rPr>
                <w:sz w:val="18"/>
                <w:szCs w:val="18"/>
                <w:color w:val="auto"/>
              </w:rPr>
            </w:pPr>
          </w:p>
        </w:tc>
        <w:tc>
          <w:tcPr>
            <w:tcW w:w="1860" w:type="dxa"/>
            <w:vAlign w:val="bottom"/>
            <w:tcBorders>
              <w:top w:val="single" w:sz="8" w:color="auto"/>
              <w:bottom w:val="single" w:sz="8" w:color="auto"/>
            </w:tcBorders>
            <w:shd w:val="clear" w:color="auto" w:fill="E6EFFF"/>
          </w:tcPr>
          <w:p>
            <w:pPr>
              <w:ind w:left="520"/>
              <w:spacing w:after="0"/>
              <w:rPr>
                <w:sz w:val="20"/>
                <w:szCs w:val="20"/>
                <w:color w:val="auto"/>
              </w:rPr>
            </w:pPr>
            <w:r>
              <w:rPr>
                <w:rFonts w:ascii="Times New Roman" w:cs="Times New Roman" w:eastAsia="Times New Roman" w:hAnsi="Times New Roman"/>
                <w:sz w:val="18"/>
                <w:szCs w:val="18"/>
                <w:color w:val="auto"/>
              </w:rPr>
              <w:t>US$4.559</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US$50,000,008</w:t>
            </w:r>
          </w:p>
        </w:tc>
        <w:tc>
          <w:tcPr>
            <w:tcW w:w="220" w:type="dxa"/>
            <w:vAlign w:val="bottom"/>
          </w:tcPr>
          <w:p>
            <w:pPr>
              <w:spacing w:after="0"/>
              <w:rPr>
                <w:sz w:val="19"/>
                <w:szCs w:val="19"/>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US$3,000,000.48</w:t>
            </w:r>
          </w:p>
        </w:tc>
        <w:tc>
          <w:tcPr>
            <w:tcW w:w="220" w:type="dxa"/>
            <w:vAlign w:val="bottom"/>
          </w:tcPr>
          <w:p>
            <w:pPr>
              <w:spacing w:after="0"/>
              <w:rPr>
                <w:sz w:val="19"/>
                <w:szCs w:val="19"/>
                <w:color w:val="auto"/>
              </w:rPr>
            </w:pP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US$47,000,007.52</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540" w:hanging="384"/>
        <w:spacing w:after="0" w:line="241" w:lineRule="auto"/>
        <w:tabs>
          <w:tab w:leader="none" w:pos="58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Offering Price was determined by arm's length negotiation between the Corporation and the Underwriters with reference to the then-current market price of the Common Shares.</w:t>
      </w:r>
    </w:p>
    <w:p>
      <w:pPr>
        <w:spacing w:after="0" w:line="1" w:lineRule="exact"/>
        <w:rPr>
          <w:rFonts w:ascii="Times New Roman" w:cs="Times New Roman" w:eastAsia="Times New Roman" w:hAnsi="Times New Roman"/>
          <w:sz w:val="22"/>
          <w:szCs w:val="22"/>
          <w:color w:val="auto"/>
        </w:rPr>
      </w:pPr>
    </w:p>
    <w:p>
      <w:pPr>
        <w:ind w:left="540" w:hanging="384"/>
        <w:spacing w:after="0" w:line="230" w:lineRule="auto"/>
        <w:tabs>
          <w:tab w:leader="none" w:pos="58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agreed to pay the Underwriters a cash commission equal to 6.0% of the total gross proceeds of the Offering (the "</w:t>
      </w:r>
      <w:r>
        <w:rPr>
          <w:rFonts w:ascii="Times New Roman" w:cs="Times New Roman" w:eastAsia="Times New Roman" w:hAnsi="Times New Roman"/>
          <w:sz w:val="22"/>
          <w:szCs w:val="22"/>
          <w:b w:val="1"/>
          <w:bCs w:val="1"/>
          <w:color w:val="auto"/>
        </w:rPr>
        <w:t>Underwriters' Fee</w:t>
      </w:r>
      <w:r>
        <w:rPr>
          <w:rFonts w:ascii="Times New Roman" w:cs="Times New Roman" w:eastAsia="Times New Roman" w:hAnsi="Times New Roman"/>
          <w:sz w:val="22"/>
          <w:szCs w:val="22"/>
          <w:color w:val="auto"/>
        </w:rPr>
        <w:t>").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xml:space="preserve"> for a description of the Underwriters' compensation.</w:t>
      </w:r>
    </w:p>
    <w:p>
      <w:pPr>
        <w:spacing w:after="0" w:line="1" w:lineRule="exact"/>
        <w:rPr>
          <w:rFonts w:ascii="Times New Roman" w:cs="Times New Roman" w:eastAsia="Times New Roman" w:hAnsi="Times New Roman"/>
          <w:sz w:val="22"/>
          <w:szCs w:val="22"/>
          <w:color w:val="auto"/>
        </w:rPr>
      </w:pPr>
    </w:p>
    <w:p>
      <w:pPr>
        <w:jc w:val="both"/>
        <w:ind w:left="540" w:hanging="384"/>
        <w:spacing w:after="0" w:line="235" w:lineRule="auto"/>
        <w:tabs>
          <w:tab w:leader="none" w:pos="58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deducting the Underwriters' Fee, but before deducting the expenses of the Offering (estimated to be approximately US$300,000 which together with the Underwriters' Fee, will be paid from the gross proceeds of the Offering). The Underwriters have also agreed to reimburse the Corporation for certain expenses.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Closing of the Offering is expected to occur on or about June 25, 2026, or such other date as the Corporation and the Underwriters may agree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 is expected that the Offered Shares distributed under this Prospectus Supplement will be available for delivery in the book-based system of registration to be registered in the name of The Depositary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and deposited with DTC on the Closing Date. Generally, a purchaser of Offered Shares will receive only a customer confirmation from the Underwriters or other registered dealer who is a DTC participant (a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through which the Offered Shares are purchased.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Prospectus Supplement is filed pursuant to (i) the Base Shelf Prospectus filed in each of the provinces and territories of Canada, and (ii) the Base Shelf Prospectus as a part of the Corporation's Registration Statement.</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Nasdaq Global Market (the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in each case under the trading symbol "HELP". On June 23, 2026, the last trading day prior to the filing of this Prospectus Supplement, the closing prices of the Common Shares listed on Cboe Canada and the Nasdaq were C$6.94 and US$4.85, respectively.</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applied to list the Offered Shares offered by this Prospectus Supplement on Cboe Canada and has submitted a Listing of Additional Shares Notification Form relating to the Offered Shares to the Nasdaq. Listing will be subject to the Corporation fulfilling all of the listing requirements of Cboe Canada and the Nasdaq, as applicable.</w:t>
      </w:r>
    </w:p>
    <w:p>
      <w:pPr>
        <w:spacing w:after="0" w:line="1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acquisition of the Offered Shares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Offered Shares pursuant to this Offering. Investors should read the tax discussion in this Prospectus Supplement and consult their own tax advisors with respect to their own particular circumstances. See "</w:t>
      </w:r>
      <w:r>
        <w:rPr>
          <w:rFonts w:ascii="Times New Roman" w:cs="Times New Roman" w:eastAsia="Times New Roman" w:hAnsi="Times New Roman"/>
          <w:sz w:val="22"/>
          <w:szCs w:val="22"/>
          <w:b w:val="1"/>
          <w:bCs w:val="1"/>
          <w:i w:val="1"/>
          <w:iCs w:val="1"/>
          <w:color w:val="auto"/>
        </w:rPr>
        <w:t>Certain Canadian Income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Considerations</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b w:val="1"/>
          <w:bCs w:val="1"/>
          <w:i w:val="1"/>
          <w:iCs w:val="1"/>
          <w:color w:val="auto"/>
        </w:rPr>
        <w:t>Certain United States Federal Income Tax Considerations to U.S. Holders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Underwriters, as principals, conditionally offer the Offered Shares in connection with the Offering, subject to prior sale, if, as and when issued by the Corporation and accepted by the Underwriters in accordance with the conditions contained in the Underwriting Agreement referred to under </w:t>
      </w:r>
      <w:r>
        <w:rPr>
          <w:rFonts w:ascii="Times New Roman" w:cs="Times New Roman" w:eastAsia="Times New Roman" w:hAnsi="Times New Roman"/>
          <w:sz w:val="22"/>
          <w:szCs w:val="22"/>
          <w:i w:val="1"/>
          <w:iCs w:val="1"/>
          <w:color w:val="auto"/>
        </w:rPr>
        <w:t>"Plan of Distribution".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Certain legal matters relating to the Offering and the validity of the Offered Shares offered hereby are being passed upon on behalf of the Corporation by Aird &amp; Berlis LLP, with respect to Canadian legal matters and Dorsey &amp; Whitney LLP with respect to United States legal matters, and on behalf of the Underwriters by Bennett Jones LLP with respect to certain Canadian legal matters, and by Mintz, Levin, Cohn, Ferris, Glovsky and Popeo, P.C., with respect to certain United States legal matters.</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Offering is being made by a Canadian issuer that is permitted, under the multijurisdictional disclosure system adopted by the United States and Canada ("MJDS"), to prepare this Prospectus Supplement and the accompanying Base Shelf Prospectus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ectPr>
          <w:pgSz w:w="11900" w:h="16929" w:orient="portrait"/>
          <w:cols w:equalWidth="0" w:num="1">
            <w:col w:w="11240"/>
          </w:cols>
          <w:pgMar w:left="320" w:top="111" w:right="339" w:bottom="0" w:gutter="0" w:footer="0" w:header="0"/>
        </w:sectPr>
      </w:pPr>
    </w:p>
    <w:bookmarkStart w:id="2" w:name="page3"/>
    <w:bookmarkEnd w:id="2"/>
    <w:p>
      <w:pPr>
        <w:jc w:val="both"/>
        <w:ind w:right="40"/>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Offered Shares.</w:t>
      </w:r>
    </w:p>
    <w:p>
      <w:pPr>
        <w:spacing w:after="0" w:line="137"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and that the majority of its officers and directors are not residents of the United States, that some or all of the experts named in this Prospectus Supplement and in the accompanying Base Shelf Prospectus may not be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 Investors"</w:t>
      </w:r>
      <w:r>
        <w:rPr>
          <w:rFonts w:ascii="Times New Roman" w:cs="Times New Roman" w:eastAsia="Times New Roman" w:hAnsi="Times New Roman"/>
          <w:sz w:val="22"/>
          <w:szCs w:val="22"/>
          <w:b w:val="1"/>
          <w:bCs w:val="1"/>
          <w:color w:val="auto"/>
        </w:rPr>
        <w:t>.</w:t>
      </w:r>
    </w:p>
    <w:p>
      <w:pPr>
        <w:spacing w:after="0" w:line="152"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22"/>
          <w:szCs w:val="22"/>
          <w:color w:val="auto"/>
        </w:rPr>
        <w:t>Eric So, a director and officer of the Corporation, Paul Glavine, a director and officer of the Corporation, and Dr. Freda Lewis-Hall, a director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3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 NOR ANY STATE SECURITIES COMMISSION OR REGULATOR HAS APPROVED OR DISAPPROVED THE OFFERED SHARES NOR PASSED UPON THE ACCURACY OR ADEQUACY OF THE PROSPECTUS. ANY REPRESENTATION TO THE CONTRARY IS A CRIMINAL OFFENCE.</w:t>
      </w:r>
    </w:p>
    <w:p>
      <w:pPr>
        <w:spacing w:after="0" w:line="131"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and "$" are to United States dollars and references to "Canadian dollars", or "C$" are to Canadian dollars. See "</w:t>
      </w:r>
      <w:r>
        <w:rPr>
          <w:rFonts w:ascii="Times New Roman" w:cs="Times New Roman" w:eastAsia="Times New Roman" w:hAnsi="Times New Roman"/>
          <w:sz w:val="22"/>
          <w:szCs w:val="22"/>
          <w:i w:val="1"/>
          <w:iCs w:val="1"/>
          <w:color w:val="auto"/>
        </w:rPr>
        <w:t>Currency and Exchange Rate Information</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66"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Offered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080" w:type="dxa"/>
            <w:vAlign w:val="bottom"/>
          </w:tcPr>
          <w:p>
            <w:pPr>
              <w:spacing w:after="0"/>
              <w:rPr>
                <w:sz w:val="24"/>
                <w:szCs w:val="24"/>
                <w:color w:val="auto"/>
              </w:rPr>
            </w:pPr>
          </w:p>
        </w:tc>
        <w:tc>
          <w:tcPr>
            <w:tcW w:w="7200" w:type="dxa"/>
            <w:vAlign w:val="bottom"/>
          </w:tcPr>
          <w:p>
            <w:pPr>
              <w:jc w:val="center"/>
              <w:ind w:right="3983"/>
              <w:spacing w:after="0"/>
              <w:rPr>
                <w:sz w:val="20"/>
                <w:szCs w:val="20"/>
                <w:color w:val="auto"/>
              </w:rPr>
            </w:pPr>
            <w:r>
              <w:rPr>
                <w:rFonts w:ascii="Times New Roman" w:cs="Times New Roman" w:eastAsia="Times New Roman" w:hAnsi="Times New Roman"/>
                <w:sz w:val="22"/>
                <w:szCs w:val="22"/>
                <w:b w:val="1"/>
                <w:bCs w:val="1"/>
                <w:i w:val="1"/>
                <w:iCs w:val="1"/>
                <w:color w:val="auto"/>
                <w:w w:val="98"/>
              </w:rPr>
              <w:t>Joint Book Running Managers</w:t>
            </w:r>
          </w:p>
        </w:tc>
      </w:tr>
      <w:tr>
        <w:trPr>
          <w:trHeight w:val="482"/>
        </w:trPr>
        <w:tc>
          <w:tcPr>
            <w:tcW w:w="4080" w:type="dxa"/>
            <w:vAlign w:val="bottom"/>
          </w:tcPr>
          <w:p>
            <w:pPr>
              <w:jc w:val="center"/>
              <w:ind w:left="1434"/>
              <w:spacing w:after="0"/>
              <w:rPr>
                <w:sz w:val="20"/>
                <w:szCs w:val="20"/>
                <w:color w:val="auto"/>
              </w:rPr>
            </w:pPr>
            <w:r>
              <w:rPr>
                <w:rFonts w:ascii="Times New Roman" w:cs="Times New Roman" w:eastAsia="Times New Roman" w:hAnsi="Times New Roman"/>
                <w:sz w:val="25"/>
                <w:szCs w:val="25"/>
                <w:b w:val="1"/>
                <w:bCs w:val="1"/>
                <w:color w:val="auto"/>
                <w:w w:val="99"/>
              </w:rPr>
              <w:t>Cantor</w:t>
            </w:r>
          </w:p>
        </w:tc>
        <w:tc>
          <w:tcPr>
            <w:tcW w:w="7200" w:type="dxa"/>
            <w:vAlign w:val="bottom"/>
          </w:tcPr>
          <w:p>
            <w:pPr>
              <w:jc w:val="center"/>
              <w:ind w:left="1383"/>
              <w:spacing w:after="0"/>
              <w:rPr>
                <w:sz w:val="20"/>
                <w:szCs w:val="20"/>
                <w:color w:val="auto"/>
              </w:rPr>
            </w:pPr>
            <w:r>
              <w:rPr>
                <w:rFonts w:ascii="Times New Roman" w:cs="Times New Roman" w:eastAsia="Times New Roman" w:hAnsi="Times New Roman"/>
                <w:sz w:val="25"/>
                <w:szCs w:val="25"/>
                <w:b w:val="1"/>
                <w:bCs w:val="1"/>
                <w:color w:val="auto"/>
              </w:rPr>
              <w:t>Barclays</w:t>
            </w:r>
          </w:p>
        </w:tc>
      </w:tr>
      <w:tr>
        <w:trPr>
          <w:trHeight w:val="422"/>
        </w:trPr>
        <w:tc>
          <w:tcPr>
            <w:tcW w:w="4080" w:type="dxa"/>
            <w:vAlign w:val="bottom"/>
          </w:tcPr>
          <w:p>
            <w:pPr>
              <w:spacing w:after="0"/>
              <w:rPr>
                <w:sz w:val="24"/>
                <w:szCs w:val="24"/>
                <w:color w:val="auto"/>
              </w:rPr>
            </w:pPr>
          </w:p>
        </w:tc>
        <w:tc>
          <w:tcPr>
            <w:tcW w:w="7200" w:type="dxa"/>
            <w:vAlign w:val="bottom"/>
          </w:tcPr>
          <w:p>
            <w:pPr>
              <w:jc w:val="center"/>
              <w:ind w:right="4003"/>
              <w:spacing w:after="0"/>
              <w:rPr>
                <w:sz w:val="20"/>
                <w:szCs w:val="20"/>
                <w:color w:val="auto"/>
              </w:rPr>
            </w:pPr>
            <w:r>
              <w:rPr>
                <w:rFonts w:ascii="Times New Roman" w:cs="Times New Roman" w:eastAsia="Times New Roman" w:hAnsi="Times New Roman"/>
                <w:sz w:val="22"/>
                <w:szCs w:val="22"/>
                <w:b w:val="1"/>
                <w:bCs w:val="1"/>
                <w:i w:val="1"/>
                <w:iCs w:val="1"/>
                <w:color w:val="auto"/>
                <w:w w:val="98"/>
              </w:rPr>
              <w:t>Lead Managers</w:t>
            </w:r>
          </w:p>
        </w:tc>
      </w:tr>
      <w:tr>
        <w:trPr>
          <w:trHeight w:val="469"/>
        </w:trPr>
        <w:tc>
          <w:tcPr>
            <w:tcW w:w="4080" w:type="dxa"/>
            <w:vAlign w:val="bottom"/>
          </w:tcPr>
          <w:p>
            <w:pPr>
              <w:jc w:val="center"/>
              <w:ind w:left="1434"/>
              <w:spacing w:after="0"/>
              <w:rPr>
                <w:sz w:val="20"/>
                <w:szCs w:val="20"/>
                <w:color w:val="auto"/>
              </w:rPr>
            </w:pPr>
            <w:r>
              <w:rPr>
                <w:rFonts w:ascii="Times New Roman" w:cs="Times New Roman" w:eastAsia="Times New Roman" w:hAnsi="Times New Roman"/>
                <w:sz w:val="25"/>
                <w:szCs w:val="25"/>
                <w:b w:val="1"/>
                <w:bCs w:val="1"/>
                <w:color w:val="auto"/>
              </w:rPr>
              <w:t>Bloom Burton &amp; Co.</w:t>
            </w:r>
          </w:p>
        </w:tc>
        <w:tc>
          <w:tcPr>
            <w:tcW w:w="7200" w:type="dxa"/>
            <w:vAlign w:val="bottom"/>
          </w:tcPr>
          <w:p>
            <w:pPr>
              <w:jc w:val="center"/>
              <w:ind w:left="1383"/>
              <w:spacing w:after="0"/>
              <w:rPr>
                <w:sz w:val="20"/>
                <w:szCs w:val="20"/>
                <w:color w:val="auto"/>
              </w:rPr>
            </w:pPr>
            <w:r>
              <w:rPr>
                <w:rFonts w:ascii="Times New Roman" w:cs="Times New Roman" w:eastAsia="Times New Roman" w:hAnsi="Times New Roman"/>
                <w:sz w:val="25"/>
                <w:szCs w:val="25"/>
                <w:b w:val="1"/>
                <w:bCs w:val="1"/>
                <w:color w:val="auto"/>
              </w:rPr>
              <w:t>Lucid Capital Markets</w:t>
            </w:r>
          </w:p>
        </w:tc>
      </w:tr>
      <w:tr>
        <w:trPr>
          <w:trHeight w:val="339"/>
        </w:trPr>
        <w:tc>
          <w:tcPr>
            <w:tcW w:w="40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74"/>
        </w:trPr>
        <w:tc>
          <w:tcPr>
            <w:tcW w:w="4080" w:type="dxa"/>
            <w:vAlign w:val="bottom"/>
            <w:shd w:val="clear" w:color="auto" w:fill="000000"/>
          </w:tcPr>
          <w:p>
            <w:pPr>
              <w:spacing w:after="0"/>
              <w:rPr>
                <w:sz w:val="6"/>
                <w:szCs w:val="6"/>
                <w:color w:val="auto"/>
              </w:rPr>
            </w:pPr>
          </w:p>
        </w:tc>
        <w:tc>
          <w:tcPr>
            <w:tcW w:w="72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00" w:type="dxa"/>
            <w:vAlign w:val="bottom"/>
            <w:gridSpan w:val="30"/>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460" w:type="dxa"/>
            <w:vAlign w:val="bottom"/>
            <w:gridSpan w:val="12"/>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gridSpan w:val="2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STATEMENT REGARDING FORWARD-LOOKING INFORMATION</w:t>
            </w:r>
          </w:p>
        </w:tc>
        <w:tc>
          <w:tcPr>
            <w:tcW w:w="4440" w:type="dxa"/>
            <w:vAlign w:val="bottom"/>
            <w:gridSpan w:val="2"/>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4440" w:type="dxa"/>
            <w:vAlign w:val="bottom"/>
            <w:gridSpan w:val="2"/>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5380" w:type="dxa"/>
            <w:vAlign w:val="bottom"/>
            <w:gridSpan w:val="4"/>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CURRENCY AND EXCHANGE RATE INFORMATION</w:t>
            </w:r>
          </w:p>
        </w:tc>
        <w:tc>
          <w:tcPr>
            <w:tcW w:w="5380" w:type="dxa"/>
            <w:vAlign w:val="bottom"/>
            <w:gridSpan w:val="4"/>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20" w:type="dxa"/>
            <w:vAlign w:val="bottom"/>
            <w:gridSpan w:val="1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8480" w:type="dxa"/>
            <w:vAlign w:val="bottom"/>
            <w:gridSpan w:val="18"/>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8480" w:type="dxa"/>
            <w:vAlign w:val="bottom"/>
            <w:gridSpan w:val="18"/>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6560" w:type="dxa"/>
            <w:vAlign w:val="bottom"/>
            <w:tcBorders>
              <w:bottom w:val="single" w:sz="8" w:color="EEEEEE"/>
            </w:tcBorders>
            <w:gridSpan w:val="8"/>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020" w:type="dxa"/>
            <w:vAlign w:val="bottom"/>
            <w:tcBorders>
              <w:bottom w:val="single" w:sz="8" w:color="EEEEEE"/>
            </w:tcBorders>
            <w:gridSpan w:val="14"/>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8280" w:type="dxa"/>
            <w:vAlign w:val="bottom"/>
            <w:tcBorders>
              <w:top w:val="single" w:sz="8" w:color="EEEEEE"/>
            </w:tcBorders>
            <w:gridSpan w:val="16"/>
          </w:tcPr>
          <w:p>
            <w:pPr>
              <w:spacing w:after="0"/>
              <w:rPr>
                <w:sz w:val="15"/>
                <w:szCs w:val="15"/>
                <w:color w:val="auto"/>
              </w:rPr>
            </w:pPr>
          </w:p>
        </w:tc>
        <w:tc>
          <w:tcPr>
            <w:tcW w:w="340" w:type="dxa"/>
            <w:vAlign w:val="bottom"/>
            <w:tcBorders>
              <w:top w:val="single" w:sz="8" w:color="0000EE"/>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640" w:type="dxa"/>
            <w:vAlign w:val="bottom"/>
            <w:tcBorders>
              <w:bottom w:val="single" w:sz="8" w:color="EEEEEE"/>
            </w:tcBorders>
            <w:gridSpan w:val="28"/>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 TO U.S. HOLDERS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26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640" w:type="dxa"/>
            <w:vAlign w:val="bottom"/>
            <w:tcBorders>
              <w:top w:val="single" w:sz="8" w:color="EEEEEE"/>
            </w:tcBorders>
          </w:tcPr>
          <w:p>
            <w:pPr>
              <w:spacing w:after="0"/>
              <w:rPr>
                <w:sz w:val="15"/>
                <w:szCs w:val="15"/>
                <w:color w:val="auto"/>
              </w:rPr>
            </w:pPr>
          </w:p>
        </w:tc>
        <w:tc>
          <w:tcPr>
            <w:tcW w:w="340" w:type="dxa"/>
            <w:vAlign w:val="bottom"/>
            <w:tcBorders>
              <w:top w:val="single" w:sz="8" w:color="0000EE"/>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840" w:type="dxa"/>
            <w:vAlign w:val="bottom"/>
            <w:tcBorders>
              <w:bottom w:val="single" w:sz="8" w:color="EEEEEE"/>
            </w:tcBorders>
            <w:gridSpan w:val="10"/>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S-42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1"/>
        </w:trPr>
        <w:tc>
          <w:tcPr>
            <w:tcW w:w="490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22"/>
                <w:szCs w:val="22"/>
                <w:b w:val="1"/>
                <w:bCs w:val="1"/>
                <w:color w:val="auto"/>
              </w:rPr>
              <w:t>Base Shelf Prospectus</w:t>
            </w:r>
          </w:p>
        </w:tc>
        <w:tc>
          <w:tcPr>
            <w:tcW w:w="6000" w:type="dxa"/>
            <w:vAlign w:val="bottom"/>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20" w:type="dxa"/>
            <w:vAlign w:val="bottom"/>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GENERAL MATTERS</w:t>
            </w:r>
          </w:p>
        </w:tc>
        <w:tc>
          <w:tcPr>
            <w:tcW w:w="9180" w:type="dxa"/>
            <w:vAlign w:val="bottom"/>
            <w:gridSpan w:val="23"/>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7760" w:type="dxa"/>
            <w:vAlign w:val="bottom"/>
            <w:gridSpan w:val="13"/>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8240" w:type="dxa"/>
            <w:vAlign w:val="bottom"/>
            <w:gridSpan w:val="15"/>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5380" w:type="dxa"/>
            <w:vAlign w:val="bottom"/>
            <w:gridSpan w:val="4"/>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5380" w:type="dxa"/>
            <w:vAlign w:val="bottom"/>
            <w:gridSpan w:val="4"/>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8720" w:type="dxa"/>
            <w:vAlign w:val="bottom"/>
            <w:gridSpan w:val="19"/>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020" w:type="dxa"/>
            <w:vAlign w:val="bottom"/>
            <w:tcBorders>
              <w:bottom w:val="single" w:sz="8" w:color="EEEEEE"/>
            </w:tcBorders>
            <w:gridSpan w:val="14"/>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8380" w:type="dxa"/>
            <w:vAlign w:val="bottom"/>
            <w:tcBorders>
              <w:bottom w:val="single" w:sz="8" w:color="EEEEEE"/>
            </w:tcBorders>
            <w:gridSpan w:val="17"/>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6560" w:type="dxa"/>
            <w:vAlign w:val="bottom"/>
            <w:tcBorders>
              <w:bottom w:val="single" w:sz="8" w:color="EEEEEE"/>
            </w:tcBorders>
            <w:gridSpan w:val="8"/>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640" w:type="dxa"/>
            <w:vAlign w:val="bottom"/>
            <w:tcBorders>
              <w:bottom w:val="single" w:sz="8" w:color="EEEEEE"/>
            </w:tcBorders>
            <w:gridSpan w:val="28"/>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4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364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Offering and also adds to and updates certain information contained in the Base Shelf Prospectus and the documents incorporated by reference therein. The second part, the Base Shelf Prospectus, gives more general information, some of which may not apply to the Offered Shares offered hereunder. Defined terms or abbreviations used in this Prospectus Supplement that are not defined herein have the meanings ascribed thereto in the Base Shelf Prospectus.</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not authorized anyone to provide investors with different or additional information. The Offered Shares may only be sold in those jurisdictions where offers and sales are permitted. This Prospectus Supplement is not an offer to sell or a solicitation of an offer to buy the Offered Shares in any jurisdiction in which it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September 17, 2025, in respect of the final Base Shelf Prospectus as the principal regulatory authority under Multilateral Instrument 11-102 -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Base Shelf Prospectus also forms part of the Corporation's Registration Statement on Form F-10 (File No. 333-292294), which was filed with the SEC, under the U.S. Securities Act on December 19, 2025, utilizing the MJDS. The Registration Statement became automatically effective upon filing pursuant to Rule 467(a) of the U.S. Securities Act on December 19,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Unless otherwise indicated or the context otherwise indicates or requires, all references in this Prospectus Supplement to "</w:t>
      </w:r>
      <w:r>
        <w:rPr>
          <w:rFonts w:ascii="Times New Roman" w:cs="Times New Roman" w:eastAsia="Times New Roman" w:hAnsi="Times New Roman"/>
          <w:sz w:val="22"/>
          <w:szCs w:val="22"/>
          <w:b w:val="1"/>
          <w:bCs w:val="1"/>
          <w:color w:val="auto"/>
        </w:rPr>
        <w:t>Helus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doing business as Helus Pharma, and its subsidiaries and associated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corporations</w:t>
      </w:r>
      <w:r>
        <w:rPr>
          <w:rFonts w:ascii="Times New Roman" w:cs="Times New Roman" w:eastAsia="Times New Roman" w:hAnsi="Times New Roman"/>
          <w:sz w:val="22"/>
          <w:szCs w:val="22"/>
          <w:i w:val="1"/>
          <w:iCs w:val="1"/>
          <w:color w:val="auto"/>
        </w:rPr>
        <w:t>.</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Neither the Corporation nor any of the Underwriters have taken any action to permit a public offering of the Offered Shares or the possession or distribution of this Prospectus Supplement in any jurisdiction where action for that purpose is required, other than the United States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You are required to inform yourselves about and to observe any restrictions relating to this Offering and the distribution of this Prospectus Supplement.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7"/>
        </w:trPr>
        <w:tc>
          <w:tcPr>
            <w:tcW w:w="4400" w:type="dxa"/>
            <w:vAlign w:val="bottom"/>
          </w:tcPr>
          <w:p>
            <w:pPr>
              <w:spacing w:after="0"/>
              <w:rPr>
                <w:sz w:val="24"/>
                <w:szCs w:val="24"/>
                <w:color w:val="auto"/>
              </w:rPr>
            </w:pPr>
          </w:p>
        </w:tc>
        <w:tc>
          <w:tcPr>
            <w:tcW w:w="68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THE OFFERING</w:t>
            </w:r>
          </w:p>
        </w:tc>
      </w:tr>
      <w:tr>
        <w:trPr>
          <w:trHeight w:val="38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Offered Shares</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10,309,280 Offered Shares</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to be outstanding immediately after the</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61,984,078 Common Shares</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6880" w:type="dxa"/>
            <w:vAlign w:val="bottom"/>
          </w:tcPr>
          <w:p>
            <w:pPr>
              <w:spacing w:after="0"/>
              <w:rPr>
                <w:sz w:val="20"/>
                <w:szCs w:val="20"/>
                <w:color w:val="auto"/>
              </w:rPr>
            </w:pPr>
          </w:p>
        </w:tc>
      </w:tr>
      <w:tr>
        <w:trPr>
          <w:trHeight w:val="4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Corporation intends to use the net proceeds from the Offering to progress the</w:t>
            </w:r>
          </w:p>
        </w:tc>
      </w:tr>
      <w:tr>
        <w:trPr>
          <w:trHeight w:val="220"/>
        </w:trPr>
        <w:tc>
          <w:tcPr>
            <w:tcW w:w="4400" w:type="dxa"/>
            <w:vAlign w:val="bottom"/>
          </w:tcPr>
          <w:p>
            <w:pPr>
              <w:spacing w:after="0"/>
              <w:rPr>
                <w:sz w:val="19"/>
                <w:szCs w:val="19"/>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Corporation’s HLP003 program for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with Phase 3</w:t>
            </w:r>
          </w:p>
        </w:tc>
      </w:tr>
      <w:tr>
        <w:trPr>
          <w:trHeight w:val="212"/>
        </w:trPr>
        <w:tc>
          <w:tcPr>
            <w:tcW w:w="440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APPROACH data expected in the fourth quarter of 2026, HLP004 program for generalized</w:t>
            </w:r>
          </w:p>
        </w:tc>
      </w:tr>
      <w:tr>
        <w:trPr>
          <w:trHeight w:val="218"/>
        </w:trPr>
        <w:tc>
          <w:tcPr>
            <w:tcW w:w="440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HLP005 program, and for working capital and general</w:t>
            </w:r>
          </w:p>
        </w:tc>
      </w:tr>
      <w:tr>
        <w:trPr>
          <w:trHeight w:val="236"/>
        </w:trPr>
        <w:tc>
          <w:tcPr>
            <w:tcW w:w="4400" w:type="dxa"/>
            <w:vAlign w:val="bottom"/>
          </w:tcPr>
          <w:p>
            <w:pPr>
              <w:spacing w:after="0"/>
              <w:rPr>
                <w:sz w:val="20"/>
                <w:szCs w:val="20"/>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the Base Shelf Prospectus and other</w:t>
            </w:r>
          </w:p>
        </w:tc>
      </w:tr>
      <w:tr>
        <w:trPr>
          <w:trHeight w:val="216"/>
        </w:trPr>
        <w:tc>
          <w:tcPr>
            <w:tcW w:w="440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included or incorporated by reference herein or therein for a discussion of factors</w:t>
            </w:r>
          </w:p>
        </w:tc>
      </w:tr>
      <w:tr>
        <w:trPr>
          <w:trHeight w:val="234"/>
        </w:trPr>
        <w:tc>
          <w:tcPr>
            <w:tcW w:w="4400" w:type="dxa"/>
            <w:vAlign w:val="bottom"/>
          </w:tcPr>
          <w:p>
            <w:pPr>
              <w:spacing w:after="0"/>
              <w:rPr>
                <w:sz w:val="20"/>
                <w:szCs w:val="20"/>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you should consider carefully before deciding to invest in the Offered Shares.</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Cboe Canada and Nasdaq Symbol</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issued and outstanding Common Shares are listed and posted for trading on Cboe</w:t>
            </w:r>
          </w:p>
        </w:tc>
      </w:tr>
      <w:tr>
        <w:trPr>
          <w:trHeight w:val="216"/>
        </w:trPr>
        <w:tc>
          <w:tcPr>
            <w:tcW w:w="440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Canada and Nasdaq under the symbol "HELP". The Corporation has applied to list the</w:t>
            </w:r>
          </w:p>
        </w:tc>
      </w:tr>
      <w:tr>
        <w:trPr>
          <w:trHeight w:val="216"/>
        </w:trPr>
        <w:tc>
          <w:tcPr>
            <w:tcW w:w="440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Offered Shares offered by this Prospectus Supplement on Cboe Canada and has submitted a</w:t>
            </w:r>
          </w:p>
        </w:tc>
      </w:tr>
      <w:tr>
        <w:trPr>
          <w:trHeight w:val="234"/>
        </w:trPr>
        <w:tc>
          <w:tcPr>
            <w:tcW w:w="4400" w:type="dxa"/>
            <w:vAlign w:val="bottom"/>
          </w:tcPr>
          <w:p>
            <w:pPr>
              <w:spacing w:after="0"/>
              <w:rPr>
                <w:sz w:val="20"/>
                <w:szCs w:val="20"/>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 of Additional Shares Notification Form relating to the Offered Shares to the Nasdaq.</w:t>
            </w:r>
          </w:p>
        </w:tc>
      </w:tr>
      <w:tr>
        <w:trPr>
          <w:trHeight w:val="863"/>
        </w:trPr>
        <w:tc>
          <w:tcPr>
            <w:tcW w:w="4400" w:type="dxa"/>
            <w:vAlign w:val="bottom"/>
          </w:tcPr>
          <w:p>
            <w:pPr>
              <w:spacing w:after="0"/>
              <w:rPr>
                <w:sz w:val="24"/>
                <w:szCs w:val="24"/>
                <w:color w:val="auto"/>
              </w:rPr>
            </w:pPr>
          </w:p>
        </w:tc>
        <w:tc>
          <w:tcPr>
            <w:tcW w:w="68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S-2</w:t>
            </w:r>
          </w:p>
        </w:tc>
      </w:tr>
      <w:tr>
        <w:trPr>
          <w:trHeight w:val="160"/>
        </w:trPr>
        <w:tc>
          <w:tcPr>
            <w:tcW w:w="4400" w:type="dxa"/>
            <w:vAlign w:val="bottom"/>
          </w:tcPr>
          <w:p>
            <w:pPr>
              <w:spacing w:after="0"/>
              <w:rPr>
                <w:sz w:val="13"/>
                <w:szCs w:val="13"/>
                <w:color w:val="auto"/>
              </w:rPr>
            </w:pPr>
          </w:p>
        </w:tc>
        <w:tc>
          <w:tcPr>
            <w:tcW w:w="6880" w:type="dxa"/>
            <w:vAlign w:val="bottom"/>
          </w:tcPr>
          <w:p>
            <w:pPr>
              <w:spacing w:after="0"/>
              <w:rPr>
                <w:sz w:val="13"/>
                <w:szCs w:val="13"/>
                <w:color w:val="auto"/>
              </w:rPr>
            </w:pPr>
          </w:p>
        </w:tc>
      </w:tr>
      <w:tr>
        <w:trPr>
          <w:trHeight w:val="74"/>
        </w:trPr>
        <w:tc>
          <w:tcPr>
            <w:tcW w:w="4400" w:type="dxa"/>
            <w:vAlign w:val="bottom"/>
            <w:shd w:val="clear" w:color="auto" w:fill="000000"/>
          </w:tcPr>
          <w:p>
            <w:pPr>
              <w:spacing w:after="0"/>
              <w:rPr>
                <w:sz w:val="6"/>
                <w:szCs w:val="6"/>
                <w:color w:val="auto"/>
              </w:rPr>
            </w:pPr>
          </w:p>
        </w:tc>
        <w:tc>
          <w:tcPr>
            <w:tcW w:w="688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Some of the risks which could affect future results and could cause results to differ materially from those expressed in the forward-looking statements contained herein include: receipt of all regulatory and stock exchange approvals; listing of the Offered Shares issuable under the Offering; the net proceeds, if any, from sales under this Prospectus Supplement; the Corporation's use of proceeds and business objectives and milestones and the anticipated timing of execution, see </w:t>
      </w:r>
      <w:r>
        <w:rPr>
          <w:rFonts w:ascii="Times New Roman" w:cs="Times New Roman" w:eastAsia="Times New Roman" w:hAnsi="Times New Roman"/>
          <w:sz w:val="22"/>
          <w:szCs w:val="22"/>
          <w:i w:val="1"/>
          <w:iCs w:val="1"/>
          <w:color w:val="auto"/>
        </w:rPr>
        <w:t>"Use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Proceeds"</w:t>
      </w:r>
      <w:r>
        <w:rPr>
          <w:rFonts w:ascii="Times New Roman" w:cs="Times New Roman" w:eastAsia="Times New Roman" w:hAnsi="Times New Roman"/>
          <w:sz w:val="22"/>
          <w:szCs w:val="22"/>
          <w:color w:val="auto"/>
        </w:rPr>
        <w:t>; limited operating history; achieving publicly announced milestones; speculative nature of investment risk; early stage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industry and product development; regulatory risks and uncertainties; risks of operating in Australia and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risk related to artificial intelligence; environmental regulation and risks; legalization of scheduled serotonergic agonists; forward-looking statements may prove to be inaccurate; effects of inflation; political and economic conditions; litigation risk;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and going concern;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Offered Shares is highly speculative; completion of the Offering; discretion in the use of proceeds from the Offering; positive return not guaranteed; the Corporation's expectation that it will be a "passive foreign investment company"; and the Corporation may lose "foreign private issuer" status in the future.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ind w:left="660" w:hanging="331"/>
        <w:spacing w:after="0" w:line="241"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the United Kingdom, Canada, the Netherlands, Ireland, Poland, Greece, Australia and other jurisdictions in which the Corporation operates.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are incorporated by reference in this Prospectus Supplement:</w:t>
      </w:r>
    </w:p>
    <w:p>
      <w:pPr>
        <w:spacing w:after="0" w:line="151" w:lineRule="exact"/>
        <w:rPr>
          <w:sz w:val="20"/>
          <w:szCs w:val="20"/>
          <w:color w:val="auto"/>
        </w:rPr>
      </w:pPr>
    </w:p>
    <w:p>
      <w:pPr>
        <w:ind w:left="520" w:right="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fiscal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2025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27" w:lineRule="exact"/>
        <w:rPr>
          <w:rFonts w:ascii="Times New Roman" w:cs="Times New Roman" w:eastAsia="Times New Roman" w:hAnsi="Times New Roman"/>
          <w:sz w:val="22"/>
          <w:szCs w:val="22"/>
          <w:color w:val="auto"/>
        </w:rPr>
      </w:pPr>
    </w:p>
    <w:p>
      <w:pPr>
        <w:jc w:val="both"/>
        <w:ind w:left="520" w:hanging="256"/>
        <w:spacing w:after="0" w:line="241"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(the "</w:t>
      </w:r>
      <w:r>
        <w:rPr>
          <w:rFonts w:ascii="Times New Roman" w:cs="Times New Roman" w:eastAsia="Times New Roman" w:hAnsi="Times New Roman"/>
          <w:sz w:val="22"/>
          <w:szCs w:val="22"/>
          <w:b w:val="1"/>
          <w:bCs w:val="1"/>
          <w:color w:val="auto"/>
        </w:rPr>
        <w:t>June 2025 Private Placement</w:t>
      </w:r>
      <w:r>
        <w:rPr>
          <w:rFonts w:ascii="Times New Roman" w:cs="Times New Roman" w:eastAsia="Times New Roman" w:hAnsi="Times New Roman"/>
          <w:sz w:val="22"/>
          <w:szCs w:val="22"/>
          <w:color w:val="auto"/>
        </w:rPr>
        <w:t>") completed by the Corporation on June 30, 2025, of US$50,000,000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w:t>
      </w:r>
    </w:p>
    <w:p>
      <w:pPr>
        <w:spacing w:after="0" w:line="161" w:lineRule="exact"/>
        <w:rPr>
          <w:rFonts w:ascii="Times New Roman" w:cs="Times New Roman" w:eastAsia="Times New Roman" w:hAnsi="Times New Roman"/>
          <w:sz w:val="22"/>
          <w:szCs w:val="22"/>
          <w:color w:val="auto"/>
        </w:rPr>
      </w:pPr>
    </w:p>
    <w:p>
      <w:pPr>
        <w:jc w:val="both"/>
        <w:ind w:left="520" w:hanging="256"/>
        <w:spacing w:after="0" w:line="23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7, 2025, relating to the registered direct offering (the "</w:t>
      </w:r>
      <w:r>
        <w:rPr>
          <w:rFonts w:ascii="Times New Roman" w:cs="Times New Roman" w:eastAsia="Times New Roman" w:hAnsi="Times New Roman"/>
          <w:sz w:val="22"/>
          <w:szCs w:val="22"/>
          <w:b w:val="1"/>
          <w:bCs w:val="1"/>
          <w:color w:val="auto"/>
        </w:rPr>
        <w:t>October 2025 Offering</w:t>
      </w:r>
      <w:r>
        <w:rPr>
          <w:rFonts w:ascii="Times New Roman" w:cs="Times New Roman" w:eastAsia="Times New Roman" w:hAnsi="Times New Roman"/>
          <w:sz w:val="22"/>
          <w:szCs w:val="22"/>
          <w:color w:val="auto"/>
        </w:rPr>
        <w:t>") of 22,277,750 Common Shares and, in lieu of Common Shares to certain investors, 4,605,500 pre-funded Common Share purchase warrants at a price of US$6.51 per Common Share and US$6.50999 per pre-funded warrant for aggregate gross proceeds of US$175,009,911.45. Each Common Share and each pre-funded warrant was accompanied by 0.35 of one Common Share purchase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both"/>
        <w:ind w:left="520" w:hanging="256"/>
        <w:spacing w:after="0" w:line="244" w:lineRule="auto"/>
        <w:tabs>
          <w:tab w:leader="none" w:pos="56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December 31, 2025, relating to the at-the-market equity program to allow the Corporation to issue and sell up to US$100,000,000 of Common Shares from treasury to the public, from time to time, through Cantor and Cantor Fitzgerald Canada Corporation; and</w:t>
      </w:r>
    </w:p>
    <w:p>
      <w:pPr>
        <w:spacing w:after="0" w:line="133" w:lineRule="exact"/>
        <w:rPr>
          <w:rFonts w:ascii="Times New Roman" w:cs="Times New Roman" w:eastAsia="Times New Roman" w:hAnsi="Times New Roman"/>
          <w:sz w:val="22"/>
          <w:szCs w:val="22"/>
          <w:color w:val="auto"/>
        </w:rPr>
      </w:pPr>
    </w:p>
    <w:p>
      <w:pPr>
        <w:ind w:left="560" w:hanging="296"/>
        <w:spacing w:after="0"/>
        <w:tabs>
          <w:tab w:leader="none" w:pos="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February 18, 2026, relating to the appointment of Michael Cola as Chief Executive Officer.</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but, in the case of a report on Form 6-K, only if and to the extent expressly so provided in any such report. In addition, the Corporation may incorporate by reference into the Registration Statement, of which this Prospectus Supplement and the Base Shelf Prospectus form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-27940</wp:posOffset>
            </wp:positionV>
            <wp:extent cx="34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from the Corporation's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The Corporation's filings through SEDAR+ and EDGAR are not incorporated by reference in the Prospectus except as specifically set out herein.</w:t>
      </w:r>
    </w:p>
    <w:p>
      <w:pPr>
        <w:spacing w:after="0" w:line="1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Neither the Corporation nor the Underwriters have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(iii) the consent of the Corporation's Canadian counsel, Aird &amp; Berlis LLP; and (iv) the Underwriting Agreement described in this Prospectus Supplement.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ind w:left="2960"/>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Prospectus Supplement contains translations of some Canadian dollar amounts into U.S. dollars solely for convenience.</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23"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6960"/>
        <w:spacing w:after="0"/>
        <w:tabs>
          <w:tab w:leader="none" w:pos="9480" w:val="left"/>
        </w:tabs>
        <w:rPr>
          <w:sz w:val="20"/>
          <w:szCs w:val="20"/>
          <w:color w:val="auto"/>
        </w:rPr>
      </w:pPr>
      <w:r>
        <w:rPr>
          <w:rFonts w:ascii="Times New Roman" w:cs="Times New Roman" w:eastAsia="Times New Roman" w:hAnsi="Times New Roman"/>
          <w:sz w:val="18"/>
          <w:szCs w:val="18"/>
          <w:b w:val="1"/>
          <w:bCs w:val="1"/>
          <w:color w:val="auto"/>
        </w:rPr>
        <w:t>Year Ended March 31, 2026</w:t>
      </w:r>
      <w:r>
        <w:rPr>
          <w:sz w:val="20"/>
          <w:szCs w:val="20"/>
          <w:color w:val="auto"/>
        </w:rPr>
        <w:tab/>
      </w:r>
      <w:r>
        <w:rPr>
          <w:rFonts w:ascii="Times New Roman" w:cs="Times New Roman" w:eastAsia="Times New Roman" w:hAnsi="Times New Roman"/>
          <w:sz w:val="18"/>
          <w:szCs w:val="18"/>
          <w:b w:val="1"/>
          <w:bCs w:val="1"/>
          <w:color w:val="auto"/>
        </w:rPr>
        <w:t>December 31, 2025</w:t>
      </w:r>
    </w:p>
    <w:p>
      <w:pPr>
        <w:sectPr>
          <w:pgSz w:w="11900" w:h="16838" w:orient="portrait"/>
          <w:cols w:equalWidth="0" w:num="1">
            <w:col w:w="11240"/>
          </w:cols>
          <w:pgMar w:left="320" w:top="108" w:right="33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Highest rate during the period</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C$1.4348</w:t>
      </w:r>
      <w:r>
        <w:rPr>
          <w:sz w:val="20"/>
          <w:szCs w:val="20"/>
          <w:color w:val="auto"/>
        </w:rPr>
        <w:tab/>
      </w:r>
      <w:r>
        <w:rPr>
          <w:rFonts w:ascii="Times New Roman" w:cs="Times New Roman" w:eastAsia="Times New Roman" w:hAnsi="Times New Roman"/>
          <w:sz w:val="17"/>
          <w:szCs w:val="17"/>
          <w:color w:val="auto"/>
        </w:rPr>
        <w:t>C$1.4348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C$1.3515</w:t>
      </w:r>
      <w:r>
        <w:rPr>
          <w:sz w:val="20"/>
          <w:szCs w:val="20"/>
          <w:color w:val="auto"/>
        </w:rPr>
        <w:tab/>
      </w:r>
      <w:r>
        <w:rPr>
          <w:rFonts w:ascii="Times New Roman" w:cs="Times New Roman" w:eastAsia="Times New Roman" w:hAnsi="Times New Roman"/>
          <w:sz w:val="17"/>
          <w:szCs w:val="17"/>
          <w:color w:val="auto"/>
        </w:rPr>
        <w:t>C$1.3558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C$1.3820</w:t>
      </w:r>
      <w:r>
        <w:rPr>
          <w:sz w:val="20"/>
          <w:szCs w:val="20"/>
          <w:color w:val="auto"/>
        </w:rPr>
        <w:tab/>
      </w:r>
      <w:r>
        <w:rPr>
          <w:rFonts w:ascii="Times New Roman" w:cs="Times New Roman" w:eastAsia="Times New Roman" w:hAnsi="Times New Roman"/>
          <w:sz w:val="17"/>
          <w:szCs w:val="17"/>
          <w:color w:val="auto"/>
        </w:rPr>
        <w:t>C$1.3853</w:t>
      </w:r>
    </w:p>
    <w:p>
      <w:pPr>
        <w:spacing w:after="0" w:line="9"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C$1.3939</w:t>
      </w:r>
      <w:r>
        <w:rPr>
          <w:sz w:val="20"/>
          <w:szCs w:val="20"/>
          <w:color w:val="auto"/>
        </w:rPr>
        <w:tab/>
      </w:r>
      <w:r>
        <w:rPr>
          <w:rFonts w:ascii="Times New Roman" w:cs="Times New Roman" w:eastAsia="Times New Roman" w:hAnsi="Times New Roman"/>
          <w:sz w:val="17"/>
          <w:szCs w:val="17"/>
          <w:color w:val="auto"/>
        </w:rPr>
        <w:t>C$1.3706</w:t>
      </w:r>
    </w:p>
    <w:p>
      <w:pPr>
        <w:spacing w:after="0" w:line="157" w:lineRule="exact"/>
        <w:rPr>
          <w:sz w:val="20"/>
          <w:szCs w:val="20"/>
          <w:color w:val="auto"/>
        </w:rPr>
      </w:pPr>
    </w:p>
    <w:p>
      <w:pPr>
        <w:sectPr>
          <w:pgSz w:w="11900" w:h="16838" w:orient="portrait"/>
          <w:cols w:equalWidth="0" w:num="2">
            <w:col w:w="6960" w:space="720"/>
            <w:col w:w="3560"/>
          </w:cols>
          <w:pgMar w:left="320" w:top="108" w:right="339" w:bottom="1440" w:gutter="0" w:footer="0" w:header="0"/>
          <w:type w:val="continuous"/>
        </w:sect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June 23, 2026, the daily average exchange rate posted by the Bank of Canada for conversion of U.S. dollars into Canadian dollars was US$1.00 = C$1.42 (the "</w:t>
      </w:r>
      <w:r>
        <w:rPr>
          <w:rFonts w:ascii="Times New Roman" w:cs="Times New Roman" w:eastAsia="Times New Roman" w:hAnsi="Times New Roman"/>
          <w:sz w:val="22"/>
          <w:szCs w:val="22"/>
          <w:b w:val="1"/>
          <w:bCs w:val="1"/>
          <w:color w:val="auto"/>
        </w:rPr>
        <w:t>2026 Rate</w:t>
      </w:r>
      <w:r>
        <w:rPr>
          <w:rFonts w:ascii="Times New Roman" w:cs="Times New Roman" w:eastAsia="Times New Roman" w:hAnsi="Times New Roman"/>
          <w:sz w:val="22"/>
          <w:szCs w:val="22"/>
          <w:color w:val="auto"/>
        </w:rPr>
        <w:t>"). Unless otherwise indicated, currency translation in this Prospectus Supplement reflects the 2026 Rate.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Offered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Offered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Offered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Helus Pharma is a clinical-stage pharmaceutical company on a mission to provide treatments designed to foster durable improvements in mental health and help minds heal. Helus Pharma strategically innovates novel serotonergic agonists ("</w:t>
      </w:r>
      <w:r>
        <w:rPr>
          <w:rFonts w:ascii="Times New Roman" w:cs="Times New Roman" w:eastAsia="Times New Roman" w:hAnsi="Times New Roman"/>
          <w:sz w:val="21"/>
          <w:szCs w:val="21"/>
          <w:b w:val="1"/>
          <w:bCs w:val="1"/>
          <w:color w:val="auto"/>
        </w:rPr>
        <w:t>NSAs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through rigorous patient-centered research and clinical excellence.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Serotonergic agonists broadly refer to compounds that activate serotonin receptors and include a wide range of approved and investigational drugs with varying selectivity and mechanisms of action. NSAs are a proprietary subset of serotonergic agonists that are synthetically engineered to selectively activate specific serotonin receptor subtypes and signaling pathways, with the aim of achieving differentiated and more precise therapeutic effects.</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Helus Pharma's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focused on developing the Corporation's platform technology to develop NSAs, the progression of clinical development programs studying certain of these NSAs, including HLP003 (previously referred to as CYB003), a deuterated psilocin molecule, HLP004 (previously referred to as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HLP005 (previously referred to as CYB005), phenethylamine and tryptamine derivatives, and an expansive list of preclinical molecules to facilitate future drug development opportunities.</w:t>
      </w:r>
    </w:p>
    <w:p>
      <w:pPr>
        <w:spacing w:after="0" w:line="1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serotonergic agonist portfolio. First-generation serotonergic agonists refer to serotonergic agonists found in nature or previously studied. Second-generation serotonergic agonists refer to NSAs, which are often first-generation serotonergic agonists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Helus Pharma Corp., with Helus Pharma Corp. being the resulting entity. As a result of this amalgamation, Cybin UK Ltd. T/A Helus is now a wholly-owned subsidiary of Helus Pharma Corp.</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develop differentiated, next-generation therapeutics, the combination of Helus Pharma and Small Pharma creates a leading international, clinical-stage company with potential to improve clinical outcomes and address key unmet needs for people with mental health conditions. The companies' combined development portfolios are highly complementary and provide multiple opportunities to create operational and cost synergies.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under the Arrangement, Helus Pharma currently has over 100 granted patents and over 250 pending applications.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357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9" w:lineRule="exact"/>
        <w:rPr>
          <w:sz w:val="20"/>
          <w:szCs w:val="20"/>
          <w:color w:val="auto"/>
        </w:rPr>
      </w:pPr>
    </w:p>
    <w:p>
      <w:pPr>
        <w:jc w:val="both"/>
        <w:ind w:firstLine="8"/>
        <w:spacing w:after="0" w:line="220" w:lineRule="auto"/>
        <w:tabs>
          <w:tab w:leader="none" w:pos="16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Helus Pharma is evaluating a wide array of novel, synthetic active pharmaceutical ingredients intended to be delivered through innovative drug delivery systems including via inhalation,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MDD, alcohol use disorder, GAD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 psychiatric disorders.</w:t>
      </w:r>
      <w:r>
        <w:rPr>
          <w:rFonts w:ascii="Times New Roman" w:cs="Times New Roman" w:eastAsia="Times New Roman" w:hAnsi="Times New Roman"/>
          <w:sz w:val="35"/>
          <w:szCs w:val="35"/>
          <w:color w:val="auto"/>
          <w:vertAlign w:val="superscript"/>
        </w:rPr>
        <w:t>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31"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Corporation's scientific research and IP for novel compounds and delivery mechanisms.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will also continue to sponsor select internal and partner-related clinical trials that advance the understanding of safety and efficacy for various NSAs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target mental health and neurological conditions.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Interim MD&amp;A incorporated by reference into this Prospectus Supplement.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8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February 12, 2026, the date of the Corporation's most recently issued Interim Financial Statements and Interim MD&amp;A.</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February 17, 2026, the Corporation announced the publication in Nature Medicine of results from a Phase 2a randomized, placebo-controlled clinical trial evaluating SPL026, in participants with moderate-to-severe MDD.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February 24, 2026, the Corporation announced the appointment of Dr. Freda Lewis-Hall, DFAPA, MFPM, to its Board of Directors. Dr. Lewis-Hall also serves as Chair of the Corporation's Scientific Advisory Committee.</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March 5, 2026, the Corporation announced topline results from a Phase 2 signal detection study evaluating HLP004 as a potential treatment for adults with moderate-to-severe GAD who remained symptomatic despite ongoing standard of care antidepressant therapy, including selective serotonin reuptake inhibitors and related agents.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March 12, 2026, the Corporation announced the appointment of Jill Conwell as Chief People Officer. As of May 13, 2026, Jill Conwell has stepped down as Chief People Officer.</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April 16, 2026, the Corporation announced the appointment of Dr. Ken Kramer, PhD as Senior Vice President, Medical Affairs.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April 20, 2026, the Corporation announced that Michael Cola was stepping down as Chief Executive Officer, effective immediately, at the request of the Board of Directors. The Board of Directors appointed Co-Founder and Executive Chairman Eric So as Interim Chief Executive Officer while a search for a successor is conducted.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April 23, 2026, the Corporation announced the addition of Dr. Robert Langer and Dr. Stephen Brannan to its Scientific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4"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8"/>
          <w:szCs w:val="18"/>
          <w:color w:val="auto"/>
        </w:rPr>
        <w:t xml:space="preserve"> See footnote 1.</w:t>
      </w:r>
    </w:p>
    <w:p>
      <w:pPr>
        <w:spacing w:after="0" w:line="26" w:lineRule="exact"/>
        <w:rPr>
          <w:sz w:val="20"/>
          <w:szCs w:val="20"/>
          <w:color w:val="auto"/>
        </w:rPr>
      </w:pPr>
    </w:p>
    <w:p>
      <w:pPr>
        <w:ind w:right="20" w:firstLine="8"/>
        <w:spacing w:after="0" w:line="185" w:lineRule="auto"/>
        <w:tabs>
          <w:tab w:leader="none" w:pos="148"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 A material factor and assumption underlying this forward-looking statement is that the Corporation will be able to successfully negotiate strategic partnerships.</w:t>
      </w:r>
    </w:p>
    <w:p>
      <w:pPr>
        <w:spacing w:after="0" w:line="26" w:lineRule="exact"/>
        <w:rPr>
          <w:sz w:val="20"/>
          <w:szCs w:val="20"/>
          <w:color w:val="auto"/>
        </w:rPr>
      </w:pPr>
    </w:p>
    <w:p>
      <w:pPr>
        <w:ind w:firstLine="8"/>
        <w:spacing w:after="0" w:line="189" w:lineRule="auto"/>
        <w:tabs>
          <w:tab w:leader="none" w:pos="163"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 The material factors and assumptions underlying this forward-looking statement are: (a) that the Corporation will be able to successfully negotiate strategic partnerships; and (b) all necessary approvals for the studies will be obtained.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spacing w:after="0" w:line="244" w:lineRule="auto"/>
        <w:rPr>
          <w:sz w:val="20"/>
          <w:szCs w:val="20"/>
          <w:color w:val="auto"/>
        </w:rPr>
      </w:pPr>
      <w:r>
        <w:rPr>
          <w:rFonts w:ascii="Times New Roman" w:cs="Times New Roman" w:eastAsia="Times New Roman" w:hAnsi="Times New Roman"/>
          <w:sz w:val="22"/>
          <w:szCs w:val="22"/>
          <w:color w:val="auto"/>
        </w:rPr>
        <w:t>On April 28, 2026, the Corporation announced a collaboration with TARA Mind to support clinical trial recruitment for its PARADIGM HLP003 Phase 3 program for MDD, while also expanding mental health awareness and access within the veteran community.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June 24, 2026, the Corporation announced that enrollment in the APPROACH Phase 3 clinical trial of HLP003 for the adjunctive treatment of MDD is progressing as planned and has surpassed 86% enrollment.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92075</wp:posOffset>
            </wp:positionV>
            <wp:extent cx="5349240" cy="3008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60" w:firstLine="2861"/>
        <w:spacing w:after="0" w:line="402" w:lineRule="auto"/>
        <w:rPr>
          <w:sz w:val="20"/>
          <w:szCs w:val="20"/>
          <w:color w:val="auto"/>
        </w:rPr>
      </w:pPr>
      <w:r>
        <w:rPr>
          <w:rFonts w:ascii="Times New Roman" w:cs="Times New Roman" w:eastAsia="Times New Roman" w:hAnsi="Times New Roman"/>
          <w:sz w:val="22"/>
          <w:szCs w:val="22"/>
          <w:b w:val="1"/>
          <w:bCs w:val="1"/>
          <w:color w:val="auto"/>
        </w:rPr>
        <w:t xml:space="preserve">DESCRIPTION OF SECURITIES BEING DISTRIBUTED </w:t>
      </w:r>
      <w:r>
        <w:rPr>
          <w:rFonts w:ascii="Times New Roman" w:cs="Times New Roman" w:eastAsia="Times New Roman" w:hAnsi="Times New Roman"/>
          <w:sz w:val="22"/>
          <w:szCs w:val="22"/>
          <w:color w:val="auto"/>
        </w:rPr>
        <w:t xml:space="preserve">The Offering consists of a distribution of 10,309,280 Offered Shares. </w:t>
      </w:r>
      <w:r>
        <w:rPr>
          <w:rFonts w:ascii="Times New Roman" w:cs="Times New Roman" w:eastAsia="Times New Roman" w:hAnsi="Times New Roman"/>
          <w:sz w:val="22"/>
          <w:szCs w:val="22"/>
          <w:b w:val="1"/>
          <w:bCs w:val="1"/>
          <w:color w:val="auto"/>
        </w:rPr>
        <w:t>Offered Shares</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June 23, 2026, the Corporation had sus674,798 Common Shares and nil preferred shares issued and outstanding.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Each Common Share (including the Offered Shares)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 Common Shares are issued only as fully paid and are non-assessable.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net proceeds to the Corporation from the Offering are estimated to be approximately US$46,700,007.52, after deducting the Underwriters' Fee of US$3,000,000.48 and estimated expenses of this Offering of 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300,000</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use the net proceeds from the Offering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Offering Amount</w:t>
            </w:r>
          </w:p>
        </w:tc>
        <w:tc>
          <w:tcPr>
            <w:tcW w:w="0" w:type="dxa"/>
            <w:vAlign w:val="bottom"/>
          </w:tcPr>
          <w:p>
            <w:pPr>
              <w:spacing w:after="0"/>
              <w:rPr>
                <w:sz w:val="1"/>
                <w:szCs w:val="1"/>
                <w:color w:val="auto"/>
              </w:rPr>
            </w:pPr>
          </w:p>
        </w:tc>
      </w:tr>
      <w:tr>
        <w:trPr>
          <w:trHeight w:val="237"/>
        </w:trPr>
        <w:tc>
          <w:tcPr>
            <w:tcW w:w="73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Offering (Gross Proceeds Raised)</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US$50,000,008</w:t>
            </w:r>
          </w:p>
        </w:tc>
        <w:tc>
          <w:tcPr>
            <w:tcW w:w="0" w:type="dxa"/>
            <w:vAlign w:val="bottom"/>
          </w:tcPr>
          <w:p>
            <w:pPr>
              <w:spacing w:after="0"/>
              <w:rPr>
                <w:sz w:val="1"/>
                <w:szCs w:val="1"/>
                <w:color w:val="auto"/>
              </w:rPr>
            </w:pPr>
          </w:p>
        </w:tc>
      </w:tr>
      <w:tr>
        <w:trPr>
          <w:trHeight w:val="24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Fee</w:t>
            </w: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US$3,000,000.48</w:t>
            </w:r>
          </w:p>
        </w:tc>
        <w:tc>
          <w:tcPr>
            <w:tcW w:w="0" w:type="dxa"/>
            <w:vAlign w:val="bottom"/>
          </w:tcPr>
          <w:p>
            <w:pPr>
              <w:spacing w:after="0"/>
              <w:rPr>
                <w:sz w:val="1"/>
                <w:szCs w:val="1"/>
                <w:color w:val="auto"/>
              </w:rPr>
            </w:pPr>
          </w:p>
        </w:tc>
      </w:tr>
      <w:tr>
        <w:trPr>
          <w:trHeight w:val="243"/>
        </w:trPr>
        <w:tc>
          <w:tcPr>
            <w:tcW w:w="73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Estimated expenses of the Offering</w:t>
            </w:r>
          </w:p>
        </w:tc>
        <w:tc>
          <w:tcPr>
            <w:tcW w:w="164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9"/>
              </w:rPr>
              <w:t>US$300,000</w:t>
            </w:r>
          </w:p>
        </w:tc>
        <w:tc>
          <w:tcPr>
            <w:tcW w:w="0" w:type="dxa"/>
            <w:vAlign w:val="bottom"/>
          </w:tcPr>
          <w:p>
            <w:pPr>
              <w:spacing w:after="0"/>
              <w:rPr>
                <w:sz w:val="1"/>
                <w:szCs w:val="1"/>
                <w:color w:val="auto"/>
              </w:rPr>
            </w:pPr>
          </w:p>
        </w:tc>
      </w:tr>
      <w:tr>
        <w:trPr>
          <w:trHeight w:val="243"/>
        </w:trPr>
        <w:tc>
          <w:tcPr>
            <w:tcW w:w="7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US$46,700,007.52</w:t>
            </w:r>
          </w:p>
        </w:tc>
        <w:tc>
          <w:tcPr>
            <w:tcW w:w="0" w:type="dxa"/>
            <w:vAlign w:val="bottom"/>
          </w:tcPr>
          <w:p>
            <w:pPr>
              <w:spacing w:after="0"/>
              <w:rPr>
                <w:sz w:val="1"/>
                <w:szCs w:val="1"/>
                <w:color w:val="auto"/>
              </w:rPr>
            </w:pPr>
          </w:p>
        </w:tc>
      </w:tr>
      <w:tr>
        <w:trPr>
          <w:trHeight w:val="500"/>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29"/>
                <w:szCs w:val="29"/>
                <w:b w:val="1"/>
                <w:bCs w:val="1"/>
                <w:color w:val="auto"/>
                <w:vertAlign w:val="superscript"/>
              </w:rPr>
              <w:t>(1)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0"/>
        </w:trPr>
        <w:tc>
          <w:tcPr>
            <w:tcW w:w="7340" w:type="dxa"/>
            <w:vAlign w:val="bottom"/>
            <w:shd w:val="clear" w:color="auto" w:fill="E6EF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HLP003 Program</w:t>
            </w:r>
            <w:r>
              <w:rPr>
                <w:rFonts w:ascii="Times New Roman" w:cs="Times New Roman" w:eastAsia="Times New Roman" w:hAnsi="Times New Roman"/>
                <w:sz w:val="28"/>
                <w:szCs w:val="28"/>
                <w:b w:val="1"/>
                <w:bCs w:val="1"/>
                <w:color w:val="auto"/>
                <w:vertAlign w:val="superscript"/>
              </w:rPr>
              <w:t>(2)</w:t>
            </w:r>
          </w:p>
        </w:tc>
        <w:tc>
          <w:tcPr>
            <w:tcW w:w="1640" w:type="dxa"/>
            <w:vAlign w:val="bottom"/>
            <w:shd w:val="clear" w:color="auto" w:fill="E6EF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4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Provide topline efficacy data readout from the first Phase 3 study, APPROACH, expected</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US$6,624,000</w:t>
            </w:r>
          </w:p>
        </w:tc>
        <w:tc>
          <w:tcPr>
            <w:tcW w:w="0" w:type="dxa"/>
            <w:vAlign w:val="bottom"/>
          </w:tcPr>
          <w:p>
            <w:pPr>
              <w:spacing w:after="0"/>
              <w:rPr>
                <w:sz w:val="1"/>
                <w:szCs w:val="1"/>
                <w:color w:val="auto"/>
              </w:rPr>
            </w:pPr>
          </w:p>
        </w:tc>
      </w:tr>
      <w:tr>
        <w:trPr>
          <w:trHeight w:val="238"/>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 the fourth quarter of 2026</w:t>
            </w: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40" w:type="dxa"/>
            <w:vAlign w:val="bottom"/>
            <w:shd w:val="clear" w:color="auto" w:fill="E6EF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HLP004 Program</w:t>
            </w:r>
            <w:r>
              <w:rPr>
                <w:rFonts w:ascii="Times New Roman" w:cs="Times New Roman" w:eastAsia="Times New Roman" w:hAnsi="Times New Roman"/>
                <w:sz w:val="29"/>
                <w:szCs w:val="29"/>
                <w:b w:val="1"/>
                <w:bCs w:val="1"/>
                <w:color w:val="auto"/>
                <w:vertAlign w:val="superscript"/>
              </w:rPr>
              <w:t>(3)</w:t>
            </w:r>
          </w:p>
        </w:tc>
        <w:tc>
          <w:tcPr>
            <w:tcW w:w="1640" w:type="dxa"/>
            <w:vAlign w:val="bottom"/>
            <w:shd w:val="clear" w:color="auto" w:fill="E6EF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Complete the design of the next study</w:t>
            </w: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US$75,000</w:t>
            </w:r>
          </w:p>
        </w:tc>
        <w:tc>
          <w:tcPr>
            <w:tcW w:w="0" w:type="dxa"/>
            <w:vAlign w:val="bottom"/>
          </w:tcPr>
          <w:p>
            <w:pPr>
              <w:spacing w:after="0"/>
              <w:rPr>
                <w:sz w:val="1"/>
                <w:szCs w:val="1"/>
                <w:color w:val="auto"/>
              </w:rPr>
            </w:pPr>
          </w:p>
        </w:tc>
      </w:tr>
      <w:tr>
        <w:trPr>
          <w:trHeight w:val="257"/>
        </w:trPr>
        <w:tc>
          <w:tcPr>
            <w:tcW w:w="7340" w:type="dxa"/>
            <w:vAlign w:val="bottom"/>
            <w:shd w:val="clear" w:color="auto" w:fill="E6EF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HLP005 Program</w:t>
            </w:r>
            <w:r>
              <w:rPr>
                <w:rFonts w:ascii="Times New Roman" w:cs="Times New Roman" w:eastAsia="Times New Roman" w:hAnsi="Times New Roman"/>
                <w:sz w:val="29"/>
                <w:szCs w:val="29"/>
                <w:b w:val="1"/>
                <w:bCs w:val="1"/>
                <w:color w:val="auto"/>
                <w:vertAlign w:val="superscript"/>
              </w:rPr>
              <w:t>(4)</w:t>
            </w:r>
          </w:p>
        </w:tc>
        <w:tc>
          <w:tcPr>
            <w:tcW w:w="1640" w:type="dxa"/>
            <w:vAlign w:val="bottom"/>
            <w:shd w:val="clear" w:color="auto" w:fill="E6EF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Deliver a drug development candidate</w:t>
            </w: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US$723,000</w:t>
            </w:r>
          </w:p>
        </w:tc>
        <w:tc>
          <w:tcPr>
            <w:tcW w:w="0" w:type="dxa"/>
            <w:vAlign w:val="bottom"/>
          </w:tcPr>
          <w:p>
            <w:pPr>
              <w:spacing w:after="0"/>
              <w:rPr>
                <w:sz w:val="1"/>
                <w:szCs w:val="1"/>
                <w:color w:val="auto"/>
              </w:rPr>
            </w:pPr>
          </w:p>
        </w:tc>
      </w:tr>
      <w:tr>
        <w:trPr>
          <w:trHeight w:val="257"/>
        </w:trPr>
        <w:tc>
          <w:tcPr>
            <w:tcW w:w="7340" w:type="dxa"/>
            <w:vAlign w:val="bottom"/>
            <w:shd w:val="clear" w:color="auto" w:fill="E6EF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Working Capital, and General Corporate Purposes</w:t>
            </w:r>
            <w:r>
              <w:rPr>
                <w:rFonts w:ascii="Times New Roman" w:cs="Times New Roman" w:eastAsia="Times New Roman" w:hAnsi="Times New Roman"/>
                <w:sz w:val="29"/>
                <w:szCs w:val="29"/>
                <w:b w:val="1"/>
                <w:bCs w:val="1"/>
                <w:color w:val="auto"/>
                <w:vertAlign w:val="superscript"/>
              </w:rPr>
              <w:t>(5)</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rPr>
              <w:t>US$39,278,007.52</w:t>
            </w:r>
          </w:p>
        </w:tc>
        <w:tc>
          <w:tcPr>
            <w:tcW w:w="0" w:type="dxa"/>
            <w:vAlign w:val="bottom"/>
          </w:tcPr>
          <w:p>
            <w:pPr>
              <w:spacing w:after="0"/>
              <w:rPr>
                <w:sz w:val="1"/>
                <w:szCs w:val="1"/>
                <w:color w:val="auto"/>
              </w:rPr>
            </w:pPr>
          </w:p>
        </w:tc>
      </w:tr>
      <w:tr>
        <w:trPr>
          <w:trHeight w:val="243"/>
        </w:trPr>
        <w:tc>
          <w:tcPr>
            <w:tcW w:w="7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US$46,700,007.52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 w:lineRule="exact"/>
        <w:rPr>
          <w:sz w:val="20"/>
          <w:szCs w:val="20"/>
          <w:color w:val="auto"/>
        </w:rPr>
      </w:pPr>
    </w:p>
    <w:p>
      <w:pPr>
        <w:ind w:left="980" w:hanging="324"/>
        <w:spacing w:after="0" w:line="241" w:lineRule="auto"/>
        <w:tabs>
          <w:tab w:leader="none" w:pos="102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1"/>
          <w:szCs w:val="21"/>
          <w:color w:val="auto"/>
        </w:rPr>
      </w:pPr>
    </w:p>
    <w:p>
      <w:pPr>
        <w:ind w:left="980" w:hanging="324"/>
        <w:spacing w:after="0" w:line="217" w:lineRule="auto"/>
        <w:tabs>
          <w:tab w:leader="none" w:pos="102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anticipates providing topline efficacy data readout from the first Phase 3 study, APPROACH, in Q4 2026.</w:t>
      </w:r>
      <w:r>
        <w:rPr>
          <w:rFonts w:ascii="Times New Roman" w:cs="Times New Roman" w:eastAsia="Times New Roman" w:hAnsi="Times New Roman"/>
          <w:sz w:val="35"/>
          <w:szCs w:val="35"/>
          <w:color w:val="auto"/>
          <w:vertAlign w:val="superscript"/>
        </w:rPr>
        <w:t>7</w:t>
      </w:r>
    </w:p>
    <w:p>
      <w:pPr>
        <w:spacing w:after="0" w:line="1" w:lineRule="exact"/>
        <w:rPr>
          <w:rFonts w:ascii="Times New Roman" w:cs="Times New Roman" w:eastAsia="Times New Roman" w:hAnsi="Times New Roman"/>
          <w:sz w:val="22"/>
          <w:szCs w:val="22"/>
          <w:color w:val="auto"/>
        </w:rPr>
      </w:pPr>
    </w:p>
    <w:p>
      <w:pPr>
        <w:ind w:left="1020" w:hanging="364"/>
        <w:spacing w:after="0" w:line="1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anticipates completing the design of the next study by the end of Q3 2026. </w:t>
      </w:r>
      <w:r>
        <w:rPr>
          <w:rFonts w:ascii="Times New Roman" w:cs="Times New Roman" w:eastAsia="Times New Roman" w:hAnsi="Times New Roman"/>
          <w:sz w:val="28"/>
          <w:szCs w:val="28"/>
          <w:color w:val="auto"/>
          <w:vertAlign w:val="superscript"/>
        </w:rPr>
        <w:t>8</w:t>
      </w:r>
    </w:p>
    <w:p>
      <w:pPr>
        <w:ind w:left="1020" w:hanging="364"/>
        <w:spacing w:after="0" w:line="235" w:lineRule="auto"/>
        <w:tabs>
          <w:tab w:leader="none" w:pos="10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anticipates delivering a drug development candidate by the second half of 2027, which has been</w:t>
      </w:r>
    </w:p>
    <w:p>
      <w:pPr>
        <w:ind w:left="980"/>
        <w:spacing w:after="0" w:line="184" w:lineRule="auto"/>
        <w:rPr>
          <w:sz w:val="20"/>
          <w:szCs w:val="20"/>
          <w:color w:val="auto"/>
        </w:rPr>
      </w:pPr>
      <w:r>
        <w:rPr>
          <w:rFonts w:ascii="Times New Roman" w:cs="Times New Roman" w:eastAsia="Times New Roman" w:hAnsi="Times New Roman"/>
          <w:sz w:val="21"/>
          <w:szCs w:val="21"/>
          <w:color w:val="auto"/>
        </w:rPr>
        <w:t>updated from the previous estimated timeline of Q4 2026.</w:t>
      </w:r>
      <w:r>
        <w:rPr>
          <w:rFonts w:ascii="Times New Roman" w:cs="Times New Roman" w:eastAsia="Times New Roman" w:hAnsi="Times New Roman"/>
          <w:sz w:val="33"/>
          <w:szCs w:val="33"/>
          <w:color w:val="auto"/>
          <w:vertAlign w:val="superscript"/>
        </w:rPr>
        <w:t>9</w:t>
      </w:r>
    </w:p>
    <w:p>
      <w:pPr>
        <w:spacing w:after="0" w:line="1" w:lineRule="exact"/>
        <w:rPr>
          <w:sz w:val="20"/>
          <w:szCs w:val="20"/>
          <w:color w:val="auto"/>
        </w:rPr>
      </w:pPr>
    </w:p>
    <w:p>
      <w:pPr>
        <w:jc w:val="both"/>
        <w:ind w:left="980" w:hanging="324"/>
        <w:spacing w:after="0" w:line="234" w:lineRule="auto"/>
        <w:tabs>
          <w:tab w:leader="none" w:pos="102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its HLP003 Program, HLP004 Program and HLP005 Program. The allocation between and specific milestones within these programs have not yet been determined.</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To the extent the Corporation requires additional capital, it may raise funds through debt and equity financing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23571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63"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 xml:space="preserve">There is no assurance that this timeline will be met or that the program will advance to clinical trials, at all. See footnote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w:t>
      </w:r>
    </w:p>
    <w:p>
      <w:pPr>
        <w:spacing w:after="0" w:line="38" w:lineRule="exact"/>
        <w:rPr>
          <w:rFonts w:ascii="Times New Roman" w:cs="Times New Roman" w:eastAsia="Times New Roman" w:hAnsi="Times New Roman"/>
          <w:sz w:val="36"/>
          <w:szCs w:val="36"/>
          <w:color w:val="auto"/>
          <w:vertAlign w:val="superscript"/>
        </w:rPr>
      </w:pPr>
    </w:p>
    <w:p>
      <w:pPr>
        <w:jc w:val="both"/>
        <w:ind w:right="480"/>
        <w:spacing w:after="0" w:line="266"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8</w:t>
      </w:r>
      <w:r>
        <w:rPr>
          <w:rFonts w:ascii="Times New Roman" w:cs="Times New Roman" w:eastAsia="Times New Roman" w:hAnsi="Times New Roman"/>
          <w:sz w:val="21"/>
          <w:szCs w:val="21"/>
          <w:color w:val="auto"/>
        </w:rPr>
        <w:t xml:space="preserve"> There is no assurance that this timeline will be met or that the program will advance to clinical trials, at all. See footnote </w:t>
      </w: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34"/>
          <w:szCs w:val="34"/>
          <w:color w:val="auto"/>
          <w:vertAlign w:val="superscript"/>
        </w:rPr>
        <w:t>9</w:t>
      </w:r>
      <w:r>
        <w:rPr>
          <w:rFonts w:ascii="Times New Roman" w:cs="Times New Roman" w:eastAsia="Times New Roman" w:hAnsi="Times New Roman"/>
          <w:sz w:val="21"/>
          <w:szCs w:val="21"/>
          <w:color w:val="auto"/>
        </w:rPr>
        <w:t xml:space="preserve"> There is no assurance that this timeline will be met or that the program will advance to clinical trials, at all. See footnote </w:t>
      </w: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The use of the net proceeds is subject to change due to the influence of many evolving variables, including those as described under </w:t>
      </w:r>
      <w:r>
        <w:rPr>
          <w:rFonts w:ascii="Times New Roman" w:cs="Times New Roman" w:eastAsia="Times New Roman" w:hAnsi="Times New Roman"/>
          <w:sz w:val="21"/>
          <w:szCs w:val="21"/>
          <w:i w:val="1"/>
          <w:iCs w:val="1"/>
          <w:color w:val="auto"/>
        </w:rPr>
        <w:t>"Business Overview - Stage of Development - Non-Revenue Generating Projects"</w:t>
      </w:r>
      <w:r>
        <w:rPr>
          <w:rFonts w:ascii="Times New Roman" w:cs="Times New Roman" w:eastAsia="Times New Roman" w:hAnsi="Times New Roman"/>
          <w:sz w:val="21"/>
          <w:szCs w:val="21"/>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Times New Roman" w:cs="Times New Roman" w:eastAsia="Times New Roman" w:hAnsi="Times New Roman"/>
          <w:sz w:val="21"/>
          <w:szCs w:val="21"/>
          <w:i w:val="1"/>
          <w:iCs w:val="1"/>
          <w:color w:val="auto"/>
        </w:rPr>
        <w:t>"Cautionary Statement Regarding Forward-Looking Information"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Times New Roman" w:cs="Times New Roman" w:eastAsia="Times New Roman" w:hAnsi="Times New Roman"/>
          <w:sz w:val="22"/>
          <w:szCs w:val="22"/>
          <w:i w:val="1"/>
          <w:iCs w:val="1"/>
          <w:color w:val="auto"/>
        </w:rPr>
        <w:t>"Risk Factors - Discretion in the Use of Proceeds"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US$537,755,000 in gross proceeds through private placement and prospectus offerings. The Corporation has experienced operating losses and cash outflows from operations since incorporation and will require ongoing financing to continue its research and development activities.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Negative Operating Cash Flow".</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 that have not otherwise been disclosed herein.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As of June 23, 2026, the Corporation had 51,674,798 Common Shares issued and outstanding. There have been no material changes in the Corporation's share or loan capitalization on a consolidated basis since the date of the Interim Financial Statements, other than as described further below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The following table sets forth the Corporation's cash, indebtedness and shareholders' equity as of December 31, 2025: (a) on an actual basis; and (b) after giving effect to the Offering. This table should be read in conjunction with the Interim Financial Statements and Interim MD&amp;A. All figures in the table below related to securities are presented on a post-Consolidation basis.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As at December 31, 2025, after giving effect</w:t>
            </w:r>
          </w:p>
        </w:tc>
      </w:t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to the Offering, and the transactions</w:t>
            </w:r>
          </w:p>
        </w:tc>
      </w:tr>
      <w:tr>
        <w:trPr>
          <w:trHeight w:val="238"/>
        </w:trPr>
        <w:tc>
          <w:tcPr>
            <w:tcW w:w="5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220" w:type="dxa"/>
            <w:vAlign w:val="bottom"/>
            <w:tcBorders>
              <w:bottom w:val="single" w:sz="8" w:color="E6EF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00" w:type="dxa"/>
            <w:vAlign w:val="bottom"/>
            <w:tcBorders>
              <w:bottom w:val="single" w:sz="8" w:color="E6EFFF"/>
            </w:tcBorders>
          </w:tcPr>
          <w:p>
            <w:pPr>
              <w:spacing w:after="0"/>
              <w:rPr>
                <w:sz w:val="20"/>
                <w:szCs w:val="20"/>
                <w:color w:val="auto"/>
              </w:rPr>
            </w:pPr>
          </w:p>
        </w:tc>
        <w:tc>
          <w:tcPr>
            <w:tcW w:w="37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outlined under "</w:t>
            </w:r>
            <w:r>
              <w:rPr>
                <w:rFonts w:ascii="Times New Roman" w:cs="Times New Roman" w:eastAsia="Times New Roman" w:hAnsi="Times New Roman"/>
                <w:sz w:val="18"/>
                <w:szCs w:val="18"/>
                <w:b w:val="1"/>
                <w:bCs w:val="1"/>
                <w:i w:val="1"/>
                <w:iCs w:val="1"/>
                <w:color w:val="auto"/>
              </w:rPr>
              <w:t>Prior Sales</w:t>
            </w:r>
            <w:r>
              <w:rPr>
                <w:rFonts w:ascii="Times New Roman" w:cs="Times New Roman" w:eastAsia="Times New Roman" w:hAnsi="Times New Roman"/>
                <w:sz w:val="18"/>
                <w:szCs w:val="18"/>
                <w:b w:val="1"/>
                <w:bCs w:val="1"/>
                <w:color w:val="auto"/>
              </w:rPr>
              <w:t>"</w:t>
            </w:r>
          </w:p>
        </w:tc>
      </w:tr>
      <w:tr>
        <w:trPr>
          <w:trHeight w:val="250"/>
        </w:trPr>
        <w:tc>
          <w:tcPr>
            <w:tcW w:w="5640" w:type="dxa"/>
            <w:vAlign w:val="bottom"/>
            <w:shd w:val="clear" w:color="auto" w:fill="E6EFFF"/>
          </w:tcPr>
          <w:p>
            <w:pPr>
              <w:ind w:left="100"/>
              <w:spacing w:after="0" w:line="250"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8"/>
                <w:szCs w:val="28"/>
                <w:color w:val="auto"/>
                <w:vertAlign w:val="superscript"/>
              </w:rPr>
              <w:t>(1)</w:t>
            </w:r>
          </w:p>
        </w:tc>
        <w:tc>
          <w:tcPr>
            <w:tcW w:w="220" w:type="dxa"/>
            <w:vAlign w:val="bottom"/>
            <w:shd w:val="clear" w:color="auto" w:fill="E6EFFF"/>
          </w:tcPr>
          <w:p>
            <w:pPr>
              <w:spacing w:after="0"/>
              <w:rPr>
                <w:sz w:val="21"/>
                <w:szCs w:val="21"/>
                <w:color w:val="auto"/>
              </w:rPr>
            </w:pPr>
          </w:p>
        </w:tc>
        <w:tc>
          <w:tcPr>
            <w:tcW w:w="166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US$195,128,000</w:t>
            </w:r>
          </w:p>
        </w:tc>
        <w:tc>
          <w:tcPr>
            <w:tcW w:w="3720" w:type="dxa"/>
            <w:vAlign w:val="bottom"/>
            <w:shd w:val="clear" w:color="auto" w:fill="E6EFFF"/>
          </w:tcPr>
          <w:p>
            <w:pPr>
              <w:jc w:val="center"/>
              <w:ind w:right="12"/>
              <w:spacing w:after="0"/>
              <w:rPr>
                <w:sz w:val="20"/>
                <w:szCs w:val="20"/>
                <w:color w:val="auto"/>
              </w:rPr>
            </w:pPr>
            <w:r>
              <w:rPr>
                <w:rFonts w:ascii="Times New Roman" w:cs="Times New Roman" w:eastAsia="Times New Roman" w:hAnsi="Times New Roman"/>
                <w:sz w:val="18"/>
                <w:szCs w:val="18"/>
                <w:color w:val="auto"/>
              </w:rPr>
              <w:t>US$242,128,007.52</w:t>
            </w:r>
          </w:p>
        </w:tc>
      </w:tr>
      <w:tr>
        <w:trPr>
          <w:trHeight w:val="216"/>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Loans and Borrowings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7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r>
      <w:tr>
        <w:trPr>
          <w:trHeight w:val="256"/>
        </w:trPr>
        <w:tc>
          <w:tcPr>
            <w:tcW w:w="586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Common Shares</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49,894,131</w:t>
            </w:r>
          </w:p>
        </w:tc>
        <w:tc>
          <w:tcPr>
            <w:tcW w:w="200" w:type="dxa"/>
            <w:vAlign w:val="bottom"/>
            <w:shd w:val="clear" w:color="auto" w:fill="E6EFFF"/>
          </w:tcPr>
          <w:p>
            <w:pPr>
              <w:spacing w:after="0"/>
              <w:rPr>
                <w:sz w:val="22"/>
                <w:szCs w:val="22"/>
                <w:color w:val="auto"/>
              </w:rPr>
            </w:pPr>
          </w:p>
        </w:tc>
        <w:tc>
          <w:tcPr>
            <w:tcW w:w="3720" w:type="dxa"/>
            <w:vAlign w:val="bottom"/>
            <w:shd w:val="clear" w:color="auto" w:fill="E6EFFF"/>
          </w:tcPr>
          <w:p>
            <w:pPr>
              <w:jc w:val="center"/>
              <w:ind w:right="12"/>
              <w:spacing w:after="0" w:line="256" w:lineRule="exact"/>
              <w:rPr>
                <w:sz w:val="20"/>
                <w:szCs w:val="20"/>
                <w:color w:val="auto"/>
              </w:rPr>
            </w:pPr>
            <w:r>
              <w:rPr>
                <w:rFonts w:ascii="Times New Roman" w:cs="Times New Roman" w:eastAsia="Times New Roman" w:hAnsi="Times New Roman"/>
                <w:sz w:val="18"/>
                <w:szCs w:val="18"/>
                <w:color w:val="auto"/>
                <w:w w:val="94"/>
              </w:rPr>
              <w:t>61,984,078</w:t>
            </w:r>
            <w:r>
              <w:rPr>
                <w:rFonts w:ascii="Times New Roman" w:cs="Times New Roman" w:eastAsia="Times New Roman" w:hAnsi="Times New Roman"/>
                <w:sz w:val="29"/>
                <w:szCs w:val="29"/>
                <w:color w:val="auto"/>
                <w:w w:val="94"/>
                <w:vertAlign w:val="superscript"/>
              </w:rPr>
              <w:t>(2)</w:t>
            </w:r>
          </w:p>
        </w:tc>
      </w:tr>
      <w:tr>
        <w:trPr>
          <w:trHeight w:val="256"/>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Pre-funded Common Share purchase 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4,605,500</w:t>
            </w:r>
          </w:p>
        </w:tc>
        <w:tc>
          <w:tcPr>
            <w:tcW w:w="200" w:type="dxa"/>
            <w:vAlign w:val="bottom"/>
          </w:tcPr>
          <w:p>
            <w:pPr>
              <w:spacing w:after="0"/>
              <w:rPr>
                <w:sz w:val="22"/>
                <w:szCs w:val="22"/>
                <w:color w:val="auto"/>
              </w:rPr>
            </w:pPr>
          </w:p>
        </w:tc>
        <w:tc>
          <w:tcPr>
            <w:tcW w:w="3720" w:type="dxa"/>
            <w:vAlign w:val="bottom"/>
          </w:tcPr>
          <w:p>
            <w:pPr>
              <w:jc w:val="center"/>
              <w:ind w:right="12"/>
              <w:spacing w:after="0" w:line="256" w:lineRule="exact"/>
              <w:rPr>
                <w:sz w:val="20"/>
                <w:szCs w:val="20"/>
                <w:color w:val="auto"/>
              </w:rPr>
            </w:pPr>
            <w:r>
              <w:rPr>
                <w:rFonts w:ascii="Times New Roman" w:cs="Times New Roman" w:eastAsia="Times New Roman" w:hAnsi="Times New Roman"/>
                <w:sz w:val="18"/>
                <w:szCs w:val="18"/>
                <w:color w:val="auto"/>
                <w:w w:val="94"/>
              </w:rPr>
              <w:t xml:space="preserve">2,997,253 </w:t>
            </w:r>
            <w:r>
              <w:rPr>
                <w:rFonts w:ascii="Times New Roman" w:cs="Times New Roman" w:eastAsia="Times New Roman" w:hAnsi="Times New Roman"/>
                <w:sz w:val="29"/>
                <w:szCs w:val="29"/>
                <w:color w:val="auto"/>
                <w:w w:val="94"/>
                <w:vertAlign w:val="superscript"/>
              </w:rPr>
              <w:t>(3)</w:t>
            </w:r>
          </w:p>
        </w:tc>
      </w:tr>
      <w:tr>
        <w:trPr>
          <w:trHeight w:val="256"/>
        </w:trPr>
        <w:tc>
          <w:tcPr>
            <w:tcW w:w="586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4,169,617</w:t>
            </w:r>
          </w:p>
        </w:tc>
        <w:tc>
          <w:tcPr>
            <w:tcW w:w="200" w:type="dxa"/>
            <w:vAlign w:val="bottom"/>
            <w:shd w:val="clear" w:color="auto" w:fill="E6EFFF"/>
          </w:tcPr>
          <w:p>
            <w:pPr>
              <w:spacing w:after="0"/>
              <w:rPr>
                <w:sz w:val="22"/>
                <w:szCs w:val="22"/>
                <w:color w:val="auto"/>
              </w:rPr>
            </w:pPr>
          </w:p>
        </w:tc>
        <w:tc>
          <w:tcPr>
            <w:tcW w:w="3720" w:type="dxa"/>
            <w:vAlign w:val="bottom"/>
            <w:shd w:val="clear" w:color="auto" w:fill="E6EFFF"/>
          </w:tcPr>
          <w:p>
            <w:pPr>
              <w:jc w:val="center"/>
              <w:ind w:right="12"/>
              <w:spacing w:after="0" w:line="256" w:lineRule="exact"/>
              <w:rPr>
                <w:sz w:val="20"/>
                <w:szCs w:val="20"/>
                <w:color w:val="auto"/>
              </w:rPr>
            </w:pPr>
            <w:r>
              <w:rPr>
                <w:rFonts w:ascii="Times New Roman" w:cs="Times New Roman" w:eastAsia="Times New Roman" w:hAnsi="Times New Roman"/>
                <w:sz w:val="18"/>
                <w:szCs w:val="18"/>
                <w:color w:val="auto"/>
                <w:w w:val="95"/>
              </w:rPr>
              <w:t>2,050,108</w:t>
            </w:r>
            <w:r>
              <w:rPr>
                <w:rFonts w:ascii="Times New Roman" w:cs="Times New Roman" w:eastAsia="Times New Roman" w:hAnsi="Times New Roman"/>
                <w:sz w:val="29"/>
                <w:szCs w:val="29"/>
                <w:color w:val="auto"/>
                <w:w w:val="95"/>
                <w:vertAlign w:val="superscript"/>
              </w:rPr>
              <w:t>(4)</w:t>
            </w:r>
          </w:p>
        </w:tc>
      </w:tr>
      <w:tr>
        <w:trPr>
          <w:trHeight w:val="256"/>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share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4,164,440</w:t>
            </w:r>
          </w:p>
        </w:tc>
        <w:tc>
          <w:tcPr>
            <w:tcW w:w="200" w:type="dxa"/>
            <w:vAlign w:val="bottom"/>
          </w:tcPr>
          <w:p>
            <w:pPr>
              <w:spacing w:after="0"/>
              <w:rPr>
                <w:sz w:val="22"/>
                <w:szCs w:val="22"/>
                <w:color w:val="auto"/>
              </w:rPr>
            </w:pPr>
          </w:p>
        </w:tc>
        <w:tc>
          <w:tcPr>
            <w:tcW w:w="3720" w:type="dxa"/>
            <w:vAlign w:val="bottom"/>
          </w:tcPr>
          <w:p>
            <w:pPr>
              <w:jc w:val="center"/>
              <w:ind w:right="12"/>
              <w:spacing w:after="0" w:line="256" w:lineRule="exact"/>
              <w:rPr>
                <w:sz w:val="20"/>
                <w:szCs w:val="20"/>
                <w:color w:val="auto"/>
              </w:rPr>
            </w:pPr>
            <w:r>
              <w:rPr>
                <w:rFonts w:ascii="Times New Roman" w:cs="Times New Roman" w:eastAsia="Times New Roman" w:hAnsi="Times New Roman"/>
                <w:sz w:val="18"/>
                <w:szCs w:val="18"/>
                <w:color w:val="auto"/>
                <w:w w:val="95"/>
              </w:rPr>
              <w:t>4,256,550</w:t>
            </w:r>
            <w:r>
              <w:rPr>
                <w:rFonts w:ascii="Times New Roman" w:cs="Times New Roman" w:eastAsia="Times New Roman" w:hAnsi="Times New Roman"/>
                <w:sz w:val="29"/>
                <w:szCs w:val="29"/>
                <w:color w:val="auto"/>
                <w:w w:val="95"/>
                <w:vertAlign w:val="superscript"/>
              </w:rPr>
              <w:t>(5)</w:t>
            </w:r>
          </w:p>
        </w:tc>
      </w:tr>
      <w:tr>
        <w:trPr>
          <w:trHeight w:val="256"/>
        </w:trPr>
        <w:tc>
          <w:tcPr>
            <w:tcW w:w="586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Performance share units</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E6EFFF"/>
          </w:tcPr>
          <w:p>
            <w:pPr>
              <w:spacing w:after="0"/>
              <w:rPr>
                <w:sz w:val="22"/>
                <w:szCs w:val="22"/>
                <w:color w:val="auto"/>
              </w:rPr>
            </w:pPr>
          </w:p>
        </w:tc>
        <w:tc>
          <w:tcPr>
            <w:tcW w:w="3720" w:type="dxa"/>
            <w:vAlign w:val="bottom"/>
            <w:shd w:val="clear" w:color="auto" w:fill="E6EFFF"/>
          </w:tcPr>
          <w:p>
            <w:pPr>
              <w:jc w:val="center"/>
              <w:ind w:right="32"/>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 xml:space="preserve"> (6)</w:t>
            </w:r>
          </w:p>
        </w:tc>
      </w:tr>
      <w:tr>
        <w:trPr>
          <w:trHeight w:val="394"/>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12,205,335</w:t>
            </w:r>
          </w:p>
        </w:tc>
        <w:tc>
          <w:tcPr>
            <w:tcW w:w="200" w:type="dxa"/>
            <w:vAlign w:val="bottom"/>
          </w:tcPr>
          <w:p>
            <w:pPr>
              <w:spacing w:after="0"/>
              <w:rPr>
                <w:sz w:val="24"/>
                <w:szCs w:val="24"/>
                <w:color w:val="auto"/>
              </w:rPr>
            </w:pPr>
          </w:p>
        </w:tc>
        <w:tc>
          <w:tcPr>
            <w:tcW w:w="37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4"/>
              </w:rPr>
              <w:t>12,205,335</w:t>
            </w:r>
            <w:r>
              <w:rPr>
                <w:rFonts w:ascii="Times New Roman" w:cs="Times New Roman" w:eastAsia="Times New Roman" w:hAnsi="Times New Roman"/>
                <w:sz w:val="29"/>
                <w:szCs w:val="29"/>
                <w:color w:val="auto"/>
                <w:w w:val="94"/>
                <w:vertAlign w:val="superscript"/>
              </w:rPr>
              <w:t>(7)</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ind w:left="10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8" w:lineRule="exact"/>
        <w:rPr>
          <w:sz w:val="20"/>
          <w:szCs w:val="20"/>
          <w:color w:val="auto"/>
        </w:rPr>
      </w:pPr>
    </w:p>
    <w:p>
      <w:pPr>
        <w:ind w:left="620" w:hanging="368"/>
        <w:spacing w:after="0"/>
        <w:tabs>
          <w:tab w:leader="none" w:pos="6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the Offering are before deducting expenses but are net proceeds after deducting the Underwriters' Fee.</w:t>
      </w:r>
    </w:p>
    <w:p>
      <w:pPr>
        <w:jc w:val="both"/>
        <w:ind w:left="580" w:hanging="328"/>
        <w:spacing w:after="0" w:line="230" w:lineRule="auto"/>
        <w:tabs>
          <w:tab w:leader="none" w:pos="6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December 31, 2025 and the date of this Prospectus Supplement, the Corporation issued (i) an aggregate of 172,427 Common Shares in settlement of restricted share units, and (ii) an aggregate of 1,608,240 Common Shares on the exercise of 1,608,247 pre-funded Common Share purchase warrants issued in connection with the October 2025 Offering (the "</w:t>
      </w:r>
      <w:r>
        <w:rPr>
          <w:rFonts w:ascii="Times New Roman" w:cs="Times New Roman" w:eastAsia="Times New Roman" w:hAnsi="Times New Roman"/>
          <w:sz w:val="22"/>
          <w:szCs w:val="22"/>
          <w:b w:val="1"/>
          <w:bCs w:val="1"/>
          <w:color w:val="auto"/>
        </w:rPr>
        <w:t>2025 Pre-Funded Warrants</w:t>
      </w:r>
      <w:r>
        <w:rPr>
          <w:rFonts w:ascii="Times New Roman" w:cs="Times New Roman" w:eastAsia="Times New Roman" w:hAnsi="Times New Roman"/>
          <w:sz w:val="22"/>
          <w:szCs w:val="22"/>
          <w:color w:val="auto"/>
        </w:rPr>
        <w:t>").</w:t>
      </w:r>
    </w:p>
    <w:p>
      <w:pPr>
        <w:spacing w:after="0" w:line="2" w:lineRule="exact"/>
        <w:rPr>
          <w:rFonts w:ascii="Times New Roman" w:cs="Times New Roman" w:eastAsia="Times New Roman" w:hAnsi="Times New Roman"/>
          <w:sz w:val="22"/>
          <w:szCs w:val="22"/>
          <w:color w:val="auto"/>
        </w:rPr>
      </w:pPr>
    </w:p>
    <w:p>
      <w:pPr>
        <w:ind w:left="580" w:right="20" w:hanging="328"/>
        <w:spacing w:after="0" w:line="230" w:lineRule="auto"/>
        <w:tabs>
          <w:tab w:leader="none" w:pos="6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December 31, 2025 and the date of this Prospectus Supplement, an aggregate of 1,608,247 2025 Pre-Funded Warrants were exercised.</w:t>
      </w:r>
    </w:p>
    <w:p>
      <w:pPr>
        <w:spacing w:after="0" w:line="1" w:lineRule="exact"/>
        <w:rPr>
          <w:rFonts w:ascii="Times New Roman" w:cs="Times New Roman" w:eastAsia="Times New Roman" w:hAnsi="Times New Roman"/>
          <w:sz w:val="22"/>
          <w:szCs w:val="22"/>
          <w:color w:val="auto"/>
        </w:rPr>
      </w:pPr>
    </w:p>
    <w:p>
      <w:pPr>
        <w:jc w:val="both"/>
        <w:ind w:left="580" w:hanging="328"/>
        <w:spacing w:after="0" w:line="230" w:lineRule="auto"/>
        <w:tabs>
          <w:tab w:leader="none" w:pos="6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December 31, 2025 and the date of this Prospectus Supplement, options to purchase an aggregate of 2,119,509 Common Shares that were outstanding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were cancelled or otherwise expired.</w:t>
      </w:r>
    </w:p>
    <w:p>
      <w:pPr>
        <w:spacing w:after="0" w:line="1" w:lineRule="exact"/>
        <w:rPr>
          <w:rFonts w:ascii="Times New Roman" w:cs="Times New Roman" w:eastAsia="Times New Roman" w:hAnsi="Times New Roman"/>
          <w:sz w:val="22"/>
          <w:szCs w:val="22"/>
          <w:color w:val="auto"/>
        </w:rPr>
      </w:pPr>
    </w:p>
    <w:p>
      <w:pPr>
        <w:jc w:val="both"/>
        <w:ind w:left="580" w:hanging="328"/>
        <w:spacing w:after="0" w:line="230" w:lineRule="auto"/>
        <w:tabs>
          <w:tab w:leader="none" w:pos="6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December 31, 2025 and the date of this Prospectus Supplement, the Corporation (i) granted an aggregate of 285,438 restricted share units under the Equity Incentive Plan, and an aggregate of 1,000,000 restricted share units outside of the Equity Incentive Plan, (ii) issued an aggregate of 172,427 Common Shares in settlement of 183,328 restricted share units, and (iii) cancelled an aggregate of 10,000 restricted share units that were outstanding under the Equity Incentive Plan, and an aggregate of 1,000,000 restricted share units that were outstanding outside of the Equity Incentive Plan. See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ind w:left="580" w:hanging="328"/>
        <w:spacing w:after="0" w:line="230" w:lineRule="auto"/>
        <w:tabs>
          <w:tab w:leader="none" w:pos="6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2026, 325,000 performance share units were granted under the Equity Incentive Plan. On April 19, 2026, 325,000 performance share units were cancelled under the Equity Incentive Plan. See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ind w:left="580" w:hanging="328"/>
        <w:spacing w:after="0" w:line="234" w:lineRule="auto"/>
        <w:tabs>
          <w:tab w:leader="none" w:pos="6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Offered Shares will be offered in the United States pursuant to the MJDS and, subject to applicable law and the terms and conditions set forth in the Underwriting Agreement, in certain jurisdictions outside of Canada and the United States, provided such sales comply with the relevant rules and regulations of those jurisdictions. The Offered Shares will be offered by the Underwriters under this Prospectus Supplement to the Corporation's Registration Statement filed with the SEC. The Offered Shares are not being offered to the public in Canada under this Prospectus Supplement.</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Pursuant to the Underwriting Agreement, each Underwriter has agreed to purchase, as principal, subject to the terms of conditions contained in the Underwriting Agreement, the number of Common Shares shown opposite its name below:</w:t>
      </w:r>
    </w:p>
    <w:p>
      <w:pPr>
        <w:spacing w:after="0" w:line="136"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9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r>
      <w:tr>
        <w:trPr>
          <w:trHeight w:val="238"/>
        </w:trPr>
        <w:tc>
          <w:tcPr>
            <w:tcW w:w="7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80" w:type="dxa"/>
            <w:vAlign w:val="bottom"/>
            <w:tcBorders>
              <w:bottom w:val="single" w:sz="8" w:color="E6EFFF"/>
            </w:tcBorders>
          </w:tcPr>
          <w:p>
            <w:pPr>
              <w:spacing w:after="0"/>
              <w:rPr>
                <w:sz w:val="20"/>
                <w:szCs w:val="20"/>
                <w:color w:val="auto"/>
              </w:rPr>
            </w:pPr>
          </w:p>
        </w:tc>
        <w:tc>
          <w:tcPr>
            <w:tcW w:w="1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Cantor Fitzgerald &amp; Co.</w:t>
            </w:r>
          </w:p>
        </w:tc>
        <w:tc>
          <w:tcPr>
            <w:tcW w:w="80" w:type="dxa"/>
            <w:vAlign w:val="bottom"/>
            <w:shd w:val="clear" w:color="auto" w:fill="E6EFFF"/>
          </w:tcPr>
          <w:p>
            <w:pPr>
              <w:spacing w:after="0"/>
              <w:rPr>
                <w:sz w:val="18"/>
                <w:szCs w:val="18"/>
                <w:color w:val="auto"/>
              </w:rPr>
            </w:pPr>
          </w:p>
        </w:tc>
        <w:tc>
          <w:tcPr>
            <w:tcW w:w="1820" w:type="dxa"/>
            <w:vAlign w:val="bottom"/>
            <w:shd w:val="clear" w:color="auto" w:fill="E6EF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4,123,712</w:t>
            </w: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Barclays Capital Inc.</w:t>
            </w:r>
          </w:p>
        </w:tc>
        <w:tc>
          <w:tcPr>
            <w:tcW w:w="19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3,608,248</w:t>
            </w:r>
          </w:p>
        </w:tc>
      </w:tr>
      <w:tr>
        <w:trPr>
          <w:trHeight w:val="216"/>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Bloom Burton Securities Inc.</w:t>
            </w:r>
          </w:p>
        </w:tc>
        <w:tc>
          <w:tcPr>
            <w:tcW w:w="1900" w:type="dxa"/>
            <w:vAlign w:val="bottom"/>
            <w:gridSpan w:val="2"/>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1,546,392</w:t>
            </w:r>
          </w:p>
        </w:tc>
      </w:tr>
      <w:tr>
        <w:trPr>
          <w:trHeight w:val="216"/>
        </w:trPr>
        <w:tc>
          <w:tcPr>
            <w:tcW w:w="7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Lucid Capital Markets, LLC</w:t>
            </w:r>
          </w:p>
        </w:tc>
        <w:tc>
          <w:tcPr>
            <w:tcW w:w="19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1,030,928</w:t>
            </w:r>
          </w:p>
        </w:tc>
      </w:tr>
      <w:tr>
        <w:trPr>
          <w:trHeight w:val="210"/>
        </w:trPr>
        <w:tc>
          <w:tcPr>
            <w:tcW w:w="708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shd w:val="clear" w:color="auto" w:fill="E6EF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10,309,280</w:t>
            </w:r>
          </w:p>
        </w:tc>
      </w:tr>
    </w:tbl>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Underwriting Agreement provides that the obligations of the several Underwriters are subject to certain conditions precedent such as the receipt by the Representatives of officers' certificates and legal opinions and approval of certain legal matters by their counsels. The Underwriting Agreement provides that the Underwriters will purchase all of the Offered Shares if any of them are purchased. The Corporation has agreed to indemnify the Underwriters and certain of their controlling persons against certain liabilities, including liabilities under the U.S. Securities Act and to contribute to payments that the Underwriters may be required to make in respect of those liabilities.</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128905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60"/>
          </w:cols>
          <w:pgMar w:left="400" w:top="527" w:right="339" w:bottom="1440" w:gutter="0" w:footer="0" w:header="0"/>
        </w:sectPr>
      </w:pPr>
    </w:p>
    <w:bookmarkStart w:id="17" w:name="page18"/>
    <w:bookmarkEnd w:id="17"/>
    <w:p>
      <w:pPr>
        <w:jc w:val="both"/>
        <w:ind w:left="80"/>
        <w:spacing w:after="0"/>
        <w:rPr>
          <w:sz w:val="20"/>
          <w:szCs w:val="20"/>
          <w:color w:val="auto"/>
        </w:rPr>
      </w:pPr>
      <w:r>
        <w:rPr>
          <w:rFonts w:ascii="Times New Roman" w:cs="Times New Roman" w:eastAsia="Times New Roman" w:hAnsi="Times New Roman"/>
          <w:sz w:val="22"/>
          <w:szCs w:val="22"/>
          <w:color w:val="auto"/>
        </w:rPr>
        <w:t>The Underwriters are offering the Offered Shares subject to their acceptance of the Offered Shares from the Corporation and subject to prior sale. The Underwriters reserve the right to withdraw, cancel or modify offers and to reject orders in whole or in part. In addition, the Underwriters have advised the Corporation that they do not intend to confirm sales to any account over which they exercise discretionary authority.</w:t>
      </w:r>
    </w:p>
    <w:p>
      <w:pPr>
        <w:spacing w:after="0" w:line="136"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22"/>
          <w:szCs w:val="22"/>
          <w:color w:val="auto"/>
        </w:rPr>
        <w:t>Neither Cantor nor Barclays is a registered dealer in any Canadian jurisdiction and, accordingly, none are permitted to and none will directly or indirectly, advertise or solicit offers to purchase any of the Offered Shares offered hereby in Canada.</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Commission and Expenses</w:t>
      </w:r>
    </w:p>
    <w:p>
      <w:pPr>
        <w:spacing w:after="0" w:line="172" w:lineRule="exact"/>
        <w:rPr>
          <w:sz w:val="20"/>
          <w:szCs w:val="20"/>
          <w:color w:val="auto"/>
        </w:rPr>
      </w:pPr>
    </w:p>
    <w:p>
      <w:pPr>
        <w:jc w:val="both"/>
        <w:ind w:left="80"/>
        <w:spacing w:after="0" w:line="238" w:lineRule="auto"/>
        <w:rPr>
          <w:sz w:val="20"/>
          <w:szCs w:val="20"/>
          <w:color w:val="auto"/>
        </w:rPr>
      </w:pPr>
      <w:r>
        <w:rPr>
          <w:rFonts w:ascii="Times New Roman" w:cs="Times New Roman" w:eastAsia="Times New Roman" w:hAnsi="Times New Roman"/>
          <w:sz w:val="22"/>
          <w:szCs w:val="22"/>
          <w:color w:val="auto"/>
        </w:rPr>
        <w:t>The Underwriters have advised the Corporation that they propose to offer the Offered Shares at the Offering Price set forth on the cover page of this Prospectus Supplement and to certain dealers, which may include the Underwriters, at that price less a concession not in excess of US$0.1746 per Common Share. The Offering Price was determined by arm's length negotiation between the Corporation and the Underwriters in accordance with the applicable policies of Cboe Canada and the context of the market.</w:t>
      </w:r>
    </w:p>
    <w:p>
      <w:pPr>
        <w:spacing w:after="0" w:line="136"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22"/>
          <w:szCs w:val="22"/>
          <w:color w:val="auto"/>
        </w:rPr>
        <w:t>The following table shows the Offering Price, the Underwriters' Fee that the Corporation is to pay the Underwriters and the proceeds, before expenses, to the Corporation in connection with this Offering.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Proceeds to the</w:t>
            </w:r>
          </w:p>
        </w:tc>
      </w:tr>
      <w:tr>
        <w:trPr>
          <w:trHeight w:val="238"/>
        </w:trPr>
        <w:tc>
          <w:tcPr>
            <w:tcW w:w="62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Underwriters' Fee</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Corporation</w:t>
            </w:r>
          </w:p>
        </w:tc>
      </w:tr>
      <w:tr>
        <w:trPr>
          <w:trHeight w:val="210"/>
        </w:trPr>
        <w:tc>
          <w:tcPr>
            <w:tcW w:w="620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Per Offered Share</w:t>
            </w:r>
          </w:p>
        </w:tc>
        <w:tc>
          <w:tcPr>
            <w:tcW w:w="1240" w:type="dxa"/>
            <w:vAlign w:val="bottom"/>
            <w:tcBorders>
              <w:top w:val="single" w:sz="8" w:color="auto"/>
              <w:bottom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US$4.85</w:t>
            </w:r>
          </w:p>
        </w:tc>
        <w:tc>
          <w:tcPr>
            <w:tcW w:w="200" w:type="dxa"/>
            <w:vAlign w:val="bottom"/>
            <w:tcBorders>
              <w:top w:val="single" w:sz="8" w:color="E6EFFF"/>
            </w:tcBorders>
            <w:shd w:val="clear" w:color="auto" w:fill="E6EFFF"/>
          </w:tcPr>
          <w:p>
            <w:pPr>
              <w:spacing w:after="0"/>
              <w:rPr>
                <w:sz w:val="18"/>
                <w:szCs w:val="18"/>
                <w:color w:val="auto"/>
              </w:rPr>
            </w:pPr>
          </w:p>
        </w:tc>
        <w:tc>
          <w:tcPr>
            <w:tcW w:w="1520" w:type="dxa"/>
            <w:vAlign w:val="bottom"/>
            <w:tcBorders>
              <w:top w:val="single" w:sz="8" w:color="auto"/>
              <w:bottom w:val="single" w:sz="8" w:color="auto"/>
            </w:tcBorders>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US$0.2910</w:t>
            </w:r>
          </w:p>
        </w:tc>
        <w:tc>
          <w:tcPr>
            <w:tcW w:w="220" w:type="dxa"/>
            <w:vAlign w:val="bottom"/>
            <w:tcBorders>
              <w:top w:val="single" w:sz="8" w:color="E6EFFF"/>
            </w:tcBorders>
            <w:shd w:val="clear" w:color="auto" w:fill="E6EFFF"/>
          </w:tcPr>
          <w:p>
            <w:pPr>
              <w:spacing w:after="0"/>
              <w:rPr>
                <w:sz w:val="18"/>
                <w:szCs w:val="18"/>
                <w:color w:val="auto"/>
              </w:rPr>
            </w:pPr>
          </w:p>
        </w:tc>
        <w:tc>
          <w:tcPr>
            <w:tcW w:w="1860" w:type="dxa"/>
            <w:vAlign w:val="bottom"/>
            <w:tcBorders>
              <w:top w:val="single" w:sz="8" w:color="auto"/>
              <w:bottom w:val="single" w:sz="8" w:color="auto"/>
            </w:tcBorders>
            <w:shd w:val="clear" w:color="auto" w:fill="E6EFFF"/>
          </w:tcPr>
          <w:p>
            <w:pPr>
              <w:ind w:left="520"/>
              <w:spacing w:after="0"/>
              <w:rPr>
                <w:sz w:val="20"/>
                <w:szCs w:val="20"/>
                <w:color w:val="auto"/>
              </w:rPr>
            </w:pPr>
            <w:r>
              <w:rPr>
                <w:rFonts w:ascii="Times New Roman" w:cs="Times New Roman" w:eastAsia="Times New Roman" w:hAnsi="Times New Roman"/>
                <w:sz w:val="18"/>
                <w:szCs w:val="18"/>
                <w:color w:val="auto"/>
              </w:rPr>
              <w:t>US$4.559</w:t>
            </w:r>
          </w:p>
        </w:tc>
      </w:tr>
      <w:tr>
        <w:trPr>
          <w:trHeight w:val="22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US$50,000,008</w:t>
            </w:r>
          </w:p>
        </w:tc>
        <w:tc>
          <w:tcPr>
            <w:tcW w:w="200" w:type="dxa"/>
            <w:vAlign w:val="bottom"/>
          </w:tcPr>
          <w:p>
            <w:pPr>
              <w:spacing w:after="0"/>
              <w:rPr>
                <w:sz w:val="19"/>
                <w:szCs w:val="19"/>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US$3,000,000.48</w:t>
            </w:r>
          </w:p>
        </w:tc>
        <w:tc>
          <w:tcPr>
            <w:tcW w:w="220" w:type="dxa"/>
            <w:vAlign w:val="bottom"/>
          </w:tcPr>
          <w:p>
            <w:pPr>
              <w:spacing w:after="0"/>
              <w:rPr>
                <w:sz w:val="19"/>
                <w:szCs w:val="19"/>
                <w:color w:val="auto"/>
              </w:rPr>
            </w:pP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US$47,000,007.52</w:t>
            </w:r>
          </w:p>
        </w:tc>
      </w:tr>
    </w:tbl>
    <w:p>
      <w:pPr>
        <w:spacing w:after="0" w:line="130" w:lineRule="exact"/>
        <w:rPr>
          <w:sz w:val="20"/>
          <w:szCs w:val="20"/>
          <w:color w:val="auto"/>
        </w:rPr>
      </w:pPr>
    </w:p>
    <w:p>
      <w:pPr>
        <w:jc w:val="both"/>
        <w:ind w:left="80"/>
        <w:spacing w:after="0" w:line="238" w:lineRule="auto"/>
        <w:rPr>
          <w:sz w:val="20"/>
          <w:szCs w:val="20"/>
          <w:color w:val="auto"/>
        </w:rPr>
      </w:pPr>
      <w:r>
        <w:rPr>
          <w:rFonts w:ascii="Times New Roman" w:cs="Times New Roman" w:eastAsia="Times New Roman" w:hAnsi="Times New Roman"/>
          <w:sz w:val="22"/>
          <w:szCs w:val="22"/>
          <w:color w:val="auto"/>
        </w:rPr>
        <w:t>The Corporation estimates expenses payable by it in connection with this Offering, other than the Underwriters' Fee referred to above, will be approximately US$300,000. The Corporation has agreed to reimburse the Underwriters for up to US$175,000 of certain of their counsels' fees and expenses, which reimbursed fee is deemed underwriting compensation for this Offering by the Financial Industry Regulatory Authority, Inc. The Underwriters have also agreed to reimburse the Corporation for certain expenses.</w:t>
      </w:r>
    </w:p>
    <w:p>
      <w:pPr>
        <w:spacing w:after="0" w:line="1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Listing</w:t>
      </w:r>
    </w:p>
    <w:p>
      <w:pPr>
        <w:spacing w:after="0" w:line="185" w:lineRule="exact"/>
        <w:rPr>
          <w:sz w:val="20"/>
          <w:szCs w:val="20"/>
          <w:color w:val="auto"/>
        </w:rPr>
      </w:pPr>
    </w:p>
    <w:p>
      <w:pPr>
        <w:jc w:val="both"/>
        <w:ind w:left="80"/>
        <w:spacing w:after="0" w:line="238" w:lineRule="auto"/>
        <w:rPr>
          <w:sz w:val="20"/>
          <w:szCs w:val="20"/>
          <w:color w:val="auto"/>
        </w:rPr>
      </w:pPr>
      <w:r>
        <w:rPr>
          <w:rFonts w:ascii="Times New Roman" w:cs="Times New Roman" w:eastAsia="Times New Roman" w:hAnsi="Times New Roman"/>
          <w:sz w:val="22"/>
          <w:szCs w:val="22"/>
          <w:color w:val="auto"/>
        </w:rPr>
        <w:t>The Corporation's Common Shares are listed in Canada on Cboe Canada and in the United States on the Nasdaq, in each case under the trading symbol "HELP." The Corporation has applied to list the Offered Shares being distributed hereunder on Cboe Canada and has submitted a Listing of Additional Shares Notification Form relating to the Offered Shares to the Nasdaq. Listing on Cboe Canada and the Nasdaq is subject to the fulfillment of all of the listing requirements of Cboe Canada and the Nasdaq, respectively.</w:t>
      </w:r>
    </w:p>
    <w:p>
      <w:pPr>
        <w:spacing w:after="0" w:line="1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No Sales of Similar Securities</w:t>
      </w:r>
    </w:p>
    <w:p>
      <w:pPr>
        <w:spacing w:after="0" w:line="172" w:lineRule="exact"/>
        <w:rPr>
          <w:sz w:val="20"/>
          <w:szCs w:val="20"/>
          <w:color w:val="auto"/>
        </w:rPr>
      </w:pPr>
    </w:p>
    <w:p>
      <w:pPr>
        <w:jc w:val="both"/>
        <w:ind w:left="80" w:right="20"/>
        <w:spacing w:after="0" w:line="258" w:lineRule="auto"/>
        <w:rPr>
          <w:sz w:val="20"/>
          <w:szCs w:val="20"/>
          <w:color w:val="auto"/>
        </w:rPr>
      </w:pPr>
      <w:r>
        <w:rPr>
          <w:rFonts w:ascii="Times New Roman" w:cs="Times New Roman" w:eastAsia="Times New Roman" w:hAnsi="Times New Roman"/>
          <w:sz w:val="22"/>
          <w:szCs w:val="22"/>
          <w:color w:val="auto"/>
        </w:rPr>
        <w:t>The Corporation has agreed, subject to certain specified exceptions, not to directly or indirectly, for a period of 45 days after the date of the Underwriting Agreement, without the prior written consent of the Representatives:</w:t>
      </w:r>
    </w:p>
    <w:p>
      <w:pPr>
        <w:spacing w:after="0" w:line="158"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sell, offer to sell, contract to sell or lend any (i) Common Shares or (ii) any options or warrants or other rights to acquire Common Shares or any securities exchangeable or exercisable for or convertible into Common Shares, or to acquire other securities or rights ultimately exchangeable or exercisable for, or convertible into, Common Shares ("</w:t>
      </w:r>
      <w:r>
        <w:rPr>
          <w:rFonts w:ascii="Times New Roman" w:cs="Times New Roman" w:eastAsia="Times New Roman" w:hAnsi="Times New Roman"/>
          <w:sz w:val="22"/>
          <w:szCs w:val="22"/>
          <w:b w:val="1"/>
          <w:bCs w:val="1"/>
          <w:color w:val="auto"/>
        </w:rPr>
        <w:t>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-574675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effect any short sale or establish or increase a "put equivalent position" or liquidate or decrease any "call equivalent position" (as such terms are defined in Rule 16a-1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pledge, hypothecate or grant any security interest in, or in any other way transfer or dispose of, any Common Shares or 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enter into any swap, hedge or other agreement or transaction that transfers, in whole or in part, the economic risk of ownership of Common Shares or Related Securities regardless of whether any such transaction is to be settled in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-424180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announce the offering of any Common Shares or 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submit or file any registration statement under the U.S. Securities Act in respect of any Common Shares or 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effect a reverse stock split, recapitalization, share consolidation, reclassification or similar transaction affecting the outstanding Common Shares;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publicly announce an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The Corporation's executive officers and directors have also agreed, subject to certain specified exceptions, not to directly or indirectly, for a period of 45 days after the date of the lock-up agreement, without the prior written consent of the Representatives:</w:t>
      </w:r>
    </w:p>
    <w:p>
      <w:pPr>
        <w:spacing w:after="0" w:line="17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offer, sell, contract to sell, transfer, pledge, assign, lend, swap, or enter into any other agreement to transfer the economic consequences of, or otherwise dispose of or deal with any Common Shares or other securities of the Corporation held by the Corporation's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publicly announce any intention to offer, sell, contract to sell, grant or sell any option to purchase, hypothecate, pledge, transfer, assign, purchase any option or contract to sell, lend, swap, or enter into any agreement to transfer the economic consequences of, or otherwise dispose of or deal with, whether through the facilities of a stock exchange, by private placement or otherwise, any Common Shares or other securities of the Corporation held by the Corporation's executive officers and directors;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announce any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restrictions in the two immediately preceding paragraphs do not apply in certain circumstances, including, and subject to certain additional restrictions:</w:t>
      </w:r>
    </w:p>
    <w:p>
      <w:pPr>
        <w:spacing w:after="0" w:line="118" w:lineRule="exact"/>
        <w:rPr>
          <w:sz w:val="20"/>
          <w:szCs w:val="20"/>
          <w:color w:val="auto"/>
        </w:rPr>
      </w:pPr>
    </w:p>
    <w:p>
      <w:pPr>
        <w:ind w:left="700" w:hanging="368"/>
        <w:spacing w:after="0"/>
        <w:tabs>
          <w:tab w:leader="none" w:pos="7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Corporation:</w:t>
      </w:r>
    </w:p>
    <w:p>
      <w:pPr>
        <w:spacing w:after="0" w:line="179" w:lineRule="exact"/>
        <w:rPr>
          <w:rFonts w:ascii="Times New Roman" w:cs="Times New Roman" w:eastAsia="Times New Roman" w:hAnsi="Times New Roman"/>
          <w:sz w:val="22"/>
          <w:szCs w:val="22"/>
          <w:color w:val="auto"/>
        </w:rPr>
      </w:pPr>
    </w:p>
    <w:p>
      <w:pPr>
        <w:ind w:left="1060" w:hanging="440"/>
        <w:spacing w:after="0"/>
        <w:tabs>
          <w:tab w:leader="none" w:pos="10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effecting the transactions contemplated by the Underwriting Agreement;</w:t>
      </w:r>
    </w:p>
    <w:p>
      <w:pPr>
        <w:spacing w:after="0" w:line="165" w:lineRule="exact"/>
        <w:rPr>
          <w:rFonts w:ascii="Times New Roman" w:cs="Times New Roman" w:eastAsia="Times New Roman" w:hAnsi="Times New Roman"/>
          <w:sz w:val="22"/>
          <w:szCs w:val="22"/>
          <w:color w:val="auto"/>
        </w:rPr>
      </w:pPr>
    </w:p>
    <w:p>
      <w:pPr>
        <w:jc w:val="both"/>
        <w:ind w:left="1020" w:hanging="400"/>
        <w:spacing w:after="0" w:line="238" w:lineRule="auto"/>
        <w:tabs>
          <w:tab w:leader="none" w:pos="106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issuance, vesting, settlement (including net settlement or share withholding to satisfy tax obligations), exercise or conversion of equity compensation awards pursuant to the Corporation's existing or future equity compensation plans, inducement award plans, employee share purchase plans, or other compensatory or incentive arrangements of the Corporation, including restricted share units, performance share units, options, warrants or similar awards, and the issuance of Common Shares in connection therewith;</w:t>
      </w:r>
    </w:p>
    <w:p>
      <w:pPr>
        <w:spacing w:after="0" w:line="136" w:lineRule="exact"/>
        <w:rPr>
          <w:rFonts w:ascii="Times New Roman" w:cs="Times New Roman" w:eastAsia="Times New Roman" w:hAnsi="Times New Roman"/>
          <w:sz w:val="22"/>
          <w:szCs w:val="22"/>
          <w:color w:val="auto"/>
        </w:rPr>
      </w:pPr>
    </w:p>
    <w:p>
      <w:pPr>
        <w:ind w:left="1020" w:hanging="400"/>
        <w:spacing w:after="0" w:line="258" w:lineRule="auto"/>
        <w:tabs>
          <w:tab w:leader="none" w:pos="107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Shares upon the exercise, vesting, settlement or conversion of any equity securities or awards, whether outstanding as of the date of the Underwriting Agreement or issued thereafter;</w:t>
      </w:r>
    </w:p>
    <w:p>
      <w:pPr>
        <w:spacing w:after="0" w:line="131" w:lineRule="exact"/>
        <w:rPr>
          <w:rFonts w:ascii="Times New Roman" w:cs="Times New Roman" w:eastAsia="Times New Roman" w:hAnsi="Times New Roman"/>
          <w:sz w:val="22"/>
          <w:szCs w:val="22"/>
          <w:color w:val="auto"/>
        </w:rPr>
      </w:pPr>
    </w:p>
    <w:p>
      <w:pPr>
        <w:ind w:left="1080" w:hanging="460"/>
        <w:spacing w:after="0"/>
        <w:tabs>
          <w:tab w:leader="none" w:pos="10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in respect of the Corporation's shareholders rights plan, as disclosed to the Underwriters;</w:t>
      </w:r>
    </w:p>
    <w:p>
      <w:pPr>
        <w:spacing w:after="0" w:line="165" w:lineRule="exact"/>
        <w:rPr>
          <w:rFonts w:ascii="Times New Roman" w:cs="Times New Roman" w:eastAsia="Times New Roman" w:hAnsi="Times New Roman"/>
          <w:sz w:val="22"/>
          <w:szCs w:val="22"/>
          <w:color w:val="auto"/>
        </w:rPr>
      </w:pPr>
    </w:p>
    <w:p>
      <w:pPr>
        <w:ind w:left="1020" w:hanging="400"/>
        <w:spacing w:after="0" w:line="258" w:lineRule="auto"/>
        <w:tabs>
          <w:tab w:leader="none" w:pos="106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sale of Common Shares in connection with the Corporation's at-the-market equity program, provided however that no sales shall be made until 15 days after the date of the Underwriting Agreement;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both"/>
        <w:ind w:left="1020" w:hanging="400"/>
        <w:spacing w:after="0" w:line="235" w:lineRule="auto"/>
        <w:tabs>
          <w:tab w:leader="none" w:pos="107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sale of Common Shares or securities convertible into or exchangeable for Common Shares as consideration for mergers, acquisitions, other business combinations, joint ventures, licensing consulting, or strategic alliances occurring after the date of the Underwriting Agreement which are not issued for capital raising purposes, provided that (1) the aggregate number of Common Shares issued does not exceed 10% of the total number of Common Shares outstanding immediately following the issuance and sale of the Offered Shares pursuant to the Underwriting Agreement, and (2) the recipient of such securities during the Clear Market Restricted Period (as defined in the Underwriting Agreement) shall enter into an agreement acceptable to the parties, each acting reasonably.</w:t>
      </w:r>
    </w:p>
    <w:p>
      <w:pPr>
        <w:spacing w:after="0" w:line="138"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Corporation's executive officers and directors:</w:t>
      </w:r>
    </w:p>
    <w:p>
      <w:pPr>
        <w:spacing w:after="0" w:line="179" w:lineRule="exact"/>
        <w:rPr>
          <w:rFonts w:ascii="Times New Roman" w:cs="Times New Roman" w:eastAsia="Times New Roman" w:hAnsi="Times New Roman"/>
          <w:sz w:val="22"/>
          <w:szCs w:val="22"/>
          <w:color w:val="auto"/>
        </w:rPr>
      </w:pPr>
    </w:p>
    <w:p>
      <w:pPr>
        <w:jc w:val="both"/>
        <w:ind w:left="1020" w:hanging="400"/>
        <w:spacing w:after="0" w:line="238" w:lineRule="auto"/>
        <w:tabs>
          <w:tab w:leader="none" w:pos="105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vesting, settlement, or exercise of restricted share units, performance share units, options, warrants, or other rights to purchase Common Shares (including, in each case, by way of "net" or "cashless" exercise), including for the payment of exercise price and tax and remittance payments due as a result of the vesting, settlement, or exercise of such restricted share units, performance share units, options, warrants, or other rights to acquire Common Shares;</w:t>
      </w:r>
    </w:p>
    <w:p>
      <w:pPr>
        <w:spacing w:after="0" w:line="136" w:lineRule="exact"/>
        <w:rPr>
          <w:rFonts w:ascii="Times New Roman" w:cs="Times New Roman" w:eastAsia="Times New Roman" w:hAnsi="Times New Roman"/>
          <w:sz w:val="22"/>
          <w:szCs w:val="22"/>
          <w:color w:val="auto"/>
        </w:rPr>
      </w:pPr>
    </w:p>
    <w:p>
      <w:pPr>
        <w:ind w:left="1020" w:right="20" w:hanging="400"/>
        <w:spacing w:after="0" w:line="258" w:lineRule="auto"/>
        <w:tabs>
          <w:tab w:leader="none" w:pos="106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to or among a shareholder's affiliates or to immediate family members for tax or other planning purposes; and</w:t>
      </w:r>
    </w:p>
    <w:p>
      <w:pPr>
        <w:spacing w:after="0" w:line="117" w:lineRule="exact"/>
        <w:rPr>
          <w:rFonts w:ascii="Times New Roman" w:cs="Times New Roman" w:eastAsia="Times New Roman" w:hAnsi="Times New Roman"/>
          <w:sz w:val="22"/>
          <w:szCs w:val="22"/>
          <w:color w:val="auto"/>
        </w:rPr>
      </w:pPr>
    </w:p>
    <w:p>
      <w:pPr>
        <w:ind w:left="1020" w:hanging="400"/>
        <w:spacing w:after="0" w:line="258" w:lineRule="auto"/>
        <w:tabs>
          <w:tab w:leader="none" w:pos="107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tender or sale by a shareholder of securities of the Corporation in or pursuant to a take-over bid or similar transaction involving a change of control of the Corporation.</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Representatives may, in their sole discretion and at any time or from time to time before the termination of the 45-day period, in the case of the Corporation, and 45-day period, in the case of the Corporation's executive officers and directors, release all or any portion of the securities subject to lock-up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Market Making, Stabilization and Other Transactions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Underwriters may make a market in the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Shares, or that you will be able to sell your Common Shares at any particular time or at a favorable price</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connection with the Offering, the Underwriters may, in accordance with applicable law including Regulation M under the Exchange Act, engage in short sale transactions, stabilizing transactions, syndicate covering transactions or the imposition of penalty bids in connection with this Offering. These activities may have the effect of stabilizing or maintaining the market price of the Common Shares at a level above that which might otherwise prevail in the open market. Establishing short sales positions may involve "naked" short sales.</w:t>
      </w:r>
    </w:p>
    <w:p>
      <w:pPr>
        <w:spacing w:after="0" w:line="1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stabilizing bid is a bid for the purchase of Common Shares on behalf of the Underwriters for the purpose of fixing or maintaining the price of the Common Shares. A syndicate covering transaction is the bid for or the purchase of Common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the Common Shares or preventing or retarding a decline in the market price of the Common Shares. As a result, the price of the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the Corporation, nor any of the Underwriters make any representation or prediction as to the direction or magnitude of any effect that the transactions described above may have on the price of the Common Shares. The Underwriters are not obligated to engage in these activities and, if commenced, may end any of these activities at any time.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i w:val="1"/>
          <w:iCs w:val="1"/>
          <w:color w:val="auto"/>
        </w:rPr>
        <w:t>Passive Market Making</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Underwriters may also engage in passive market making transactions in the Common Shares on Nasdaq in accordance with Rule 103 of Regulation M during a period before the commencement of offers or sales of the Offered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the Common Shares to be higher than the price that otherwise would exist in the open market in the absence of those transactions. The Underwriters are not required to engage in passive market making and, if commenced, may end passive market making activities at any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Electronic Distribution</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Prospectus Supplement in electronic format may be made available by e-mail or on the websites or through online services maintained by one or more of the Underwriters, selling group members (if any) or their affiliates. The Underwriters may agree with the Corporation to allocate a specific number of Offered Shares for sale to online brokerage account holders. Any such allocation for online distributions will be made by the Underwriters on the same basis as other allocations. Other than the Prospectus Supplement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Activities and Relationships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Underwriters and certain of their respective affiliates are full service financial institutions engaged in a wide range of activities for their own accounts and the accounts of customers, which may include, among other things, corporate finance, mergers and acquisitions, merchant banking, equity and fixed income sales, trading and research, derivatives, foreign exchange, futures, asset management, custody, clearance and securities lending. The Underwriters and certain of their affiliates have, from time to time, performed, and may in the future perform, various investment banking and financial advisory services for us and our affiliates, for which they received or will receive customary fees and expenses.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in the ordinary course of their business, the Underwriters and their respective affiliates may, directly or indirectly, hold long or short positions, trade and otherwise conduct such activities in or with respect to debt or equity securities and/or bank debt of, and/or derivative products.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Stamp Taxes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you purchase Offered Shares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Offering is being made in the United States pursuant to the MJDS implemented by the SEC and the securities regulatory authorities in Canada. The Offered Shares are not being offered for sale to the public in Canada under this Prospectus Supplement and there will be no solicitations or marketing activities undertaken in Canada in connection with the Offering. Subject to applicable law and the terms of the Underwriting Agreement, the Offering may also be made in certain jurisdictions outside of Canada and the United States, provided such sales comply with the relevant rules and regulations of those jurisdictions. No Offered Shares will be offered or sold in any jurisdiction except by or through brokers or dealers duly registered under the applicable securities laws of that jurisdiction, or in circumstances where an exemption from such registered dealer requirements is available.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 to Investors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Australia</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document does not constitute a prospectus, product disclosure statement or other disclosure document under Australia's Corporations Act 2001 (Cth) (the "</w:t>
      </w:r>
      <w:r>
        <w:rPr>
          <w:rFonts w:ascii="Times New Roman" w:cs="Times New Roman" w:eastAsia="Times New Roman" w:hAnsi="Times New Roman"/>
          <w:sz w:val="22"/>
          <w:szCs w:val="22"/>
          <w:b w:val="1"/>
          <w:bCs w:val="1"/>
          <w:color w:val="auto"/>
        </w:rPr>
        <w:t>Corporations Act</w:t>
      </w:r>
      <w:r>
        <w:rPr>
          <w:rFonts w:ascii="Times New Roman" w:cs="Times New Roman" w:eastAsia="Times New Roman" w:hAnsi="Times New Roman"/>
          <w:sz w:val="22"/>
          <w:szCs w:val="22"/>
          <w:color w:val="auto"/>
        </w:rPr>
        <w:t>") of Australia. This document has not been lodged with the Australian Securities &amp; Investments Commission and is only directed to the categories of exempt persons set out below. Accordingly, if you receive this document in Australia: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confirm and warrant that you are either: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"sophisticated investor" under section 708(8)(a) or (b) of the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"sophisticated investor" under section 708(8)(c) or (d) of the Corporations Act and that you have provided an accountant's certificate to the Corporation which complies with the requirements of section 708(8)(c)(i) or (ii) of the Corporations Act and related regulations before the offer has been made;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"professional investor" within the meaning of section 708(11)(a) or (b) of the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the extent that you are unable to confirm or warrant that you are an exempt sophisticated investor or professional investor under the Corporations Act any offer made to you under this document is void and incapable of acceptance.</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 warrant and agree that you will not offer any of the securities issued to you pursuant to this document for resale in Australia within 12 months of those securities being issued unless any such resale offer is exempt from the requirement to issue a disclosure document under section 708 of the Corporations 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European Economic Area</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In relation to each Member State of the European Economic Area (each, a "</w:t>
      </w:r>
      <w:r>
        <w:rPr>
          <w:rFonts w:ascii="Times New Roman" w:cs="Times New Roman" w:eastAsia="Times New Roman" w:hAnsi="Times New Roman"/>
          <w:sz w:val="21"/>
          <w:szCs w:val="21"/>
          <w:b w:val="1"/>
          <w:bCs w:val="1"/>
          <w:color w:val="auto"/>
        </w:rPr>
        <w:t>Relevant Member State</w:t>
      </w:r>
      <w:r>
        <w:rPr>
          <w:rFonts w:ascii="Times New Roman" w:cs="Times New Roman" w:eastAsia="Times New Roman" w:hAnsi="Times New Roman"/>
          <w:sz w:val="21"/>
          <w:szCs w:val="21"/>
          <w:color w:val="auto"/>
        </w:rPr>
        <w:t>"), an offer to the public of any Offered Shares may not be made in that Relevant Member State, except that an offer to the public in that Relevant Member State of any Offered Shares may be made at any time under the following exemptions under the Prospectus Regulation:</w:t>
      </w:r>
    </w:p>
    <w:p>
      <w:pPr>
        <w:spacing w:after="0" w:line="115" w:lineRule="exact"/>
        <w:rPr>
          <w:sz w:val="20"/>
          <w:szCs w:val="20"/>
          <w:color w:val="auto"/>
        </w:rPr>
      </w:pPr>
    </w:p>
    <w:p>
      <w:pPr>
        <w:ind w:left="680" w:hanging="348"/>
        <w:spacing w:after="0"/>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legal entity which is a "qualified investor" as defined under the Prospectus Regulation;</w:t>
      </w:r>
    </w:p>
    <w:p>
      <w:pPr>
        <w:spacing w:after="0" w:line="179" w:lineRule="exact"/>
        <w:rPr>
          <w:rFonts w:ascii="Times New Roman" w:cs="Times New Roman" w:eastAsia="Times New Roman" w:hAnsi="Times New Roman"/>
          <w:sz w:val="22"/>
          <w:szCs w:val="22"/>
          <w:color w:val="auto"/>
        </w:rPr>
      </w:pPr>
    </w:p>
    <w:p>
      <w:pPr>
        <w:ind w:left="660" w:hanging="328"/>
        <w:spacing w:after="0" w:line="258" w:lineRule="auto"/>
        <w:tabs>
          <w:tab w:leader="none" w:pos="70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fewer than 150 natural or legal persons (other than "qualified investors" as defined under the Prospectus Regulation), subject to obtaining the prior consent of the Underwriters for any such offer; or</w:t>
      </w:r>
    </w:p>
    <w:p>
      <w:pPr>
        <w:spacing w:after="0" w:line="11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circumstances falling within Article 1(4) of the Prospectus Regulation,</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provided that no such offer of Offered Shares shall result in a requirement for the Corporation or any of the Underwriters to publish a prospectus pursuant to Article 3 of the Prospectus Regulation or supplement a prospectus pursuant to Article 23 of the Prospectus Regulation or publish an Annex IX document pursuant to Article 1(4) of the Prospectus Regulation, and each person who initially acquires any Offered Shares or to whom any offer is made will be deemed to have represented, warranted and agreed to and with each of the Underwriters and the Corporation that it is a qualified investor within the meaning of Article 2 of the Prospectus Regulation.</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case of any Offered Shares being offered to a financial intermediary as that term is used in Article 5(1) of the Prospectus Regulation, each financial intermediary will also be deemed to have represented, warranted and agreed that the Offered Shares acquired by it in the offer have not been acquired on a non-discretionary basis on behalf of, nor have they been acquired with a view to their offer or resale to, persons in circumstances which may give rise to an offer of any Offered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jc w:val="both"/>
        <w:spacing w:after="0"/>
        <w:rPr>
          <w:sz w:val="20"/>
          <w:szCs w:val="20"/>
          <w:color w:val="auto"/>
        </w:rPr>
      </w:pPr>
      <w:r>
        <w:rPr>
          <w:rFonts w:ascii="Times New Roman" w:cs="Times New Roman" w:eastAsia="Times New Roman" w:hAnsi="Times New Roman"/>
          <w:sz w:val="22"/>
          <w:szCs w:val="22"/>
          <w:color w:val="auto"/>
        </w:rPr>
        <w:t>The Corporation,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Offered Shares in the offer.</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purposes of this provision, the expression an "offer to the public" in relation to any Offered Shares in any Relevant Member State means the communication in any form and by any means of sufficient information on the terms of the offer and any Offered Shares to be offered so as to enable an investor to decide to purchase or subscribe for any Offered Shares, and the expression "</w:t>
      </w:r>
      <w:r>
        <w:rPr>
          <w:rFonts w:ascii="Times New Roman" w:cs="Times New Roman" w:eastAsia="Times New Roman" w:hAnsi="Times New Roman"/>
          <w:sz w:val="22"/>
          <w:szCs w:val="22"/>
          <w:b w:val="1"/>
          <w:bCs w:val="1"/>
          <w:color w:val="auto"/>
        </w:rPr>
        <w:t>Prospectus Regulation</w:t>
      </w:r>
      <w:r>
        <w:rPr>
          <w:rFonts w:ascii="Times New Roman" w:cs="Times New Roman" w:eastAsia="Times New Roman" w:hAnsi="Times New Roman"/>
          <w:sz w:val="22"/>
          <w:szCs w:val="22"/>
          <w:color w:val="auto"/>
        </w:rPr>
        <w:t>" means Regulation (EU) 2017/1129.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Hong Kong</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WARNING -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Offered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w:t>
      </w:r>
      <w:r>
        <w:rPr>
          <w:rFonts w:ascii="Times New Roman" w:cs="Times New Roman" w:eastAsia="Times New Roman" w:hAnsi="Times New Roman"/>
          <w:sz w:val="22"/>
          <w:szCs w:val="22"/>
          <w:b w:val="1"/>
          <w:bCs w:val="1"/>
          <w:color w:val="auto"/>
        </w:rPr>
        <w:t>Securities and Futures Ordinance</w:t>
      </w:r>
      <w:r>
        <w:rPr>
          <w:rFonts w:ascii="Times New Roman" w:cs="Times New Roman" w:eastAsia="Times New Roman" w:hAnsi="Times New Roman"/>
          <w:sz w:val="22"/>
          <w:szCs w:val="22"/>
          <w:color w:val="auto"/>
        </w:rPr>
        <w:t>"),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Offered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Offered Shares which are or are intended to be disposed of only to persons outside Hong Kong or only to "professional investors" in Hong Kong as defined in the Securities and Futures Ordinance and any rules made thereunder.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Japan</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offering has not been and will not be registered under the Financial Instruments and Exchange Act of Japan (Act No. 25 of 1948 of Japan, as amended) (the "</w:t>
      </w:r>
      <w:r>
        <w:rPr>
          <w:rFonts w:ascii="Times New Roman" w:cs="Times New Roman" w:eastAsia="Times New Roman" w:hAnsi="Times New Roman"/>
          <w:sz w:val="22"/>
          <w:szCs w:val="22"/>
          <w:b w:val="1"/>
          <w:bCs w:val="1"/>
          <w:color w:val="auto"/>
        </w:rPr>
        <w:t>FIEA</w:t>
      </w:r>
      <w:r>
        <w:rPr>
          <w:rFonts w:ascii="Times New Roman" w:cs="Times New Roman" w:eastAsia="Times New Roman" w:hAnsi="Times New Roman"/>
          <w:sz w:val="22"/>
          <w:szCs w:val="22"/>
          <w:color w:val="auto"/>
        </w:rPr>
        <w:t>"),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FIEA and any other applicable laws, regulations and ministerial guidelines of Japan.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Singapore</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document has not been and will not be lodged or registered with the Monetary Authority of Singapore. Accordingly, this document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any person in Singapore other than (i) to an institutional investor under Section 274 of the Securities and Futures Act, Chapter 289 of Singapore (the "</w:t>
      </w:r>
      <w:r>
        <w:rPr>
          <w:rFonts w:ascii="Times New Roman" w:cs="Times New Roman" w:eastAsia="Times New Roman" w:hAnsi="Times New Roman"/>
          <w:sz w:val="22"/>
          <w:szCs w:val="22"/>
          <w:b w:val="1"/>
          <w:bCs w:val="1"/>
          <w:color w:val="auto"/>
        </w:rPr>
        <w:t>SFA</w:t>
      </w:r>
      <w:r>
        <w:rPr>
          <w:rFonts w:ascii="Times New Roman" w:cs="Times New Roman" w:eastAsia="Times New Roman" w:hAnsi="Times New Roman"/>
          <w:sz w:val="22"/>
          <w:szCs w:val="22"/>
          <w:color w:val="auto"/>
        </w:rPr>
        <w:t xml:space="preserve">"), (ii) to a relevant person as defined under Section 275(2) of the SFA, or any person pursuant to Section 275(1A) of the SFA, and in accordance with the conditions, specified in Section 275 of the SFA and where (where applicable) Regulation 3 of the Securities and Futures (Classes of Investors) Regulations 2018, or (iii) otherwise pursuant to, and in accordance with the conditions of any other applicable provision of the SFA. </w:t>
      </w:r>
      <w:r>
        <w:rPr>
          <w:rFonts w:ascii="Times New Roman" w:cs="Times New Roman" w:eastAsia="Times New Roman" w:hAnsi="Times New Roman"/>
          <w:sz w:val="22"/>
          <w:szCs w:val="22"/>
          <w:b w:val="1"/>
          <w:bCs w:val="1"/>
          <w:color w:val="auto"/>
        </w:rPr>
        <w:t>In the event that you are not an investor falling within any of the categories set out above,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please return this document immediately. You may not forward or circulate this document to any other person in Singapore.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22"/>
          <w:szCs w:val="22"/>
          <w:color w:val="auto"/>
        </w:rPr>
        <w:t>No offer is made to you with a view to the securities being subsequently offered for sale to any other party. There are on-sale restrictions that may be applicable to investors who acquire securities. As such, investors are advised to acquaint themselves with the provisions of the SFA relating to resale restrictions and comply accordingly.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 the securities are subscribed or purchased under Section 275 of the SFA by a relevant person which is:</w:t>
      </w:r>
    </w:p>
    <w:p>
      <w:pPr>
        <w:spacing w:after="0" w:line="20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 trust (where the trustee is not an accredited investor) whose sole purpose is to hold investments and each beneficiary is an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securities or securities-based derivatives contracts (each term as defined in Section 2(1) of the SFA) of that corporation or the beneficiaries' rights and interest (howsoever described) in that trust shall not be transferable within six months after that corporation or that trust has acquired the securities under Section 275 of the SFA except:</w:t>
      </w:r>
    </w:p>
    <w:p>
      <w:pPr>
        <w:spacing w:after="0" w:line="17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to an institutional investor under Section 274 of the SFA or to a relevant person defined in Section 275(2) of the SFA, or to any person pursuant to an offer referred to in Section 275(1A) or Section 276(4)(i)(B) of the SFA;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 no consideration is given for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 the transfer is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specified in Section 276(7) of the SFA;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as specified in Regulation 37A of the Securities and Futures (Offers of Investments) (Securities and Securities-based Derivatives Contracts) Regulations 2018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Switzerland</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securities may not be publicly offered in Switzerland and will not be listed on the SIX Swiss Exchange ("</w:t>
      </w:r>
      <w:r>
        <w:rPr>
          <w:rFonts w:ascii="Times New Roman" w:cs="Times New Roman" w:eastAsia="Times New Roman" w:hAnsi="Times New Roman"/>
          <w:sz w:val="22"/>
          <w:szCs w:val="22"/>
          <w:b w:val="1"/>
          <w:bCs w:val="1"/>
          <w:color w:val="auto"/>
        </w:rPr>
        <w:t>SIX</w:t>
      </w:r>
      <w:r>
        <w:rPr>
          <w:rFonts w:ascii="Times New Roman" w:cs="Times New Roman" w:eastAsia="Times New Roman" w:hAnsi="Times New Roman"/>
          <w:sz w:val="22"/>
          <w:szCs w:val="22"/>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document nor any other offering or marketing material relating to the offering, the issuer or the securities have been or will be filed with or approved by any Swiss regulatory authority. In particular, this document will not be filed with, and the offer of securities will not be supervised by, the Swiss Financial Market Supervisory Authority FINMA ("</w:t>
      </w:r>
      <w:r>
        <w:rPr>
          <w:rFonts w:ascii="Times New Roman" w:cs="Times New Roman" w:eastAsia="Times New Roman" w:hAnsi="Times New Roman"/>
          <w:sz w:val="22"/>
          <w:szCs w:val="22"/>
          <w:b w:val="1"/>
          <w:bCs w:val="1"/>
          <w:color w:val="auto"/>
        </w:rPr>
        <w:t>FINMA</w:t>
      </w:r>
      <w:r>
        <w:rPr>
          <w:rFonts w:ascii="Times New Roman" w:cs="Times New Roman" w:eastAsia="Times New Roman" w:hAnsi="Times New Roman"/>
          <w:sz w:val="22"/>
          <w:szCs w:val="22"/>
          <w:color w:val="auto"/>
        </w:rPr>
        <w:t>"), and the offer of securities has not been and will not be authorized under the Swiss Federal Act on Collective Investment Schemes ("</w:t>
      </w:r>
      <w:r>
        <w:rPr>
          <w:rFonts w:ascii="Times New Roman" w:cs="Times New Roman" w:eastAsia="Times New Roman" w:hAnsi="Times New Roman"/>
          <w:sz w:val="22"/>
          <w:szCs w:val="22"/>
          <w:b w:val="1"/>
          <w:bCs w:val="1"/>
          <w:color w:val="auto"/>
        </w:rPr>
        <w:t>CISA</w:t>
      </w:r>
      <w:r>
        <w:rPr>
          <w:rFonts w:ascii="Times New Roman" w:cs="Times New Roman" w:eastAsia="Times New Roman" w:hAnsi="Times New Roman"/>
          <w:sz w:val="22"/>
          <w:szCs w:val="22"/>
          <w:color w:val="auto"/>
        </w:rPr>
        <w:t>"). The investor protection afforded to acquirers of interests in collective investment schemes under the CISA does not extend to acquirers of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Israel</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document does not constitute a prospectus under the Israeli Securities Law, 5728-1968 (the "</w:t>
      </w:r>
      <w:r>
        <w:rPr>
          <w:rFonts w:ascii="Times New Roman" w:cs="Times New Roman" w:eastAsia="Times New Roman" w:hAnsi="Times New Roman"/>
          <w:sz w:val="22"/>
          <w:szCs w:val="22"/>
          <w:b w:val="1"/>
          <w:bCs w:val="1"/>
          <w:color w:val="auto"/>
        </w:rPr>
        <w:t>Israeli Securities Law</w:t>
      </w:r>
      <w:r>
        <w:rPr>
          <w:rFonts w:ascii="Times New Roman" w:cs="Times New Roman" w:eastAsia="Times New Roman" w:hAnsi="Times New Roman"/>
          <w:sz w:val="22"/>
          <w:szCs w:val="22"/>
          <w:color w:val="auto"/>
        </w:rPr>
        <w:t>"), and has not been filed with or approved by the Israel Securities Authority. In the State of Israel, this document is being distributed only to, and is directed only at, and any offer of the securities is directed only at, investors listed in the first addendum (the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i w:val="1"/>
          <w:i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relation to the United Kingdom, no Offered Shares have been offered or will be offered pursuant to the offer described herein to the public in the United Kingdom, except that the Offered Shares may be offered to the public in the United Kingdom at any time:</w:t>
      </w:r>
    </w:p>
    <w:p>
      <w:pPr>
        <w:spacing w:after="0" w:line="146" w:lineRule="exact"/>
        <w:rPr>
          <w:sz w:val="20"/>
          <w:szCs w:val="20"/>
          <w:color w:val="auto"/>
        </w:rPr>
      </w:pPr>
    </w:p>
    <w:p>
      <w:pPr>
        <w:ind w:left="680" w:hanging="348"/>
        <w:spacing w:after="0"/>
        <w:tabs>
          <w:tab w:leader="none" w:pos="6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legal entity which is a "qualified investor" as defined in paragraph 15 of Schedule 1 of the POATR;</w:t>
      </w:r>
    </w:p>
    <w:p>
      <w:pPr>
        <w:spacing w:after="0" w:line="14" w:lineRule="exact"/>
        <w:rPr>
          <w:rFonts w:ascii="Times New Roman" w:cs="Times New Roman" w:eastAsia="Times New Roman" w:hAnsi="Times New Roman"/>
          <w:sz w:val="22"/>
          <w:szCs w:val="22"/>
          <w:color w:val="auto"/>
        </w:rPr>
      </w:pPr>
    </w:p>
    <w:p>
      <w:pPr>
        <w:ind w:left="660" w:hanging="328"/>
        <w:spacing w:after="0" w:line="237" w:lineRule="auto"/>
        <w:tabs>
          <w:tab w:leader="none" w:pos="70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fewer than 150 natural or legal persons (other than "qualified investors" as defined in paragraph 15 of Schedule 1 of the POATR), subject to obtaining the prior consent of the Underwriters for any such offer; or</w:t>
      </w:r>
    </w:p>
    <w:p>
      <w:pPr>
        <w:spacing w:after="0" w:line="13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circumstances falling within Part 1 of Schedule 1 of the POATR.</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person in the United Kingdom who initially acquires any Offered Shares or to whom any offer is made will be deemed to have represented, warranted and agreed to and with each of the Underwriters and the Corporation that it is a qualified investor within the meaning of paragraph 15 of Schedule 1 of the POATR.</w:t>
      </w:r>
    </w:p>
    <w:p>
      <w:pPr>
        <w:spacing w:after="0" w:line="1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case of any Offered Shares being offered to a financial intermediary as that term is used in paragraph 4 of regulation 7 of the POATR, each financial intermediary will also be deemed to have represented, warranted and agreed that the Offered Shares acquired by it in the offer have not been acquired on a non-discretionary basis on behalf of, nor have they been acquired with a view to their offer or resale to, persons in circumstances which may give rise to an offer of any Offered Shares to the public, other than their offer or resale in the United Kingdom to qualified investors as so defined or in circumstances in which the prior consent of the Underwriters has been obtained to each such proposed offer or resale.</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the Underwriters and their affiliates will rely upon the truth and accuracy of the foregoing representations, warranties and agreements.</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purposes of this provision, the expression an "offer to the public" in relation to any Offered Shares in the United Kingdom means the communication to any person which presents sufficient information on: (a) the Offered Shares to be offered; and (b) the terms on which they are to be offered, to enable an investor to decide to buy or subscribe for the Offered Shares, and the expression "POATR" means the Public Offers and Admissions to Trading Regulations 2024.</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Prospectus Supplement is only being distributed to and is only directed at: (A) persons who are outside the United Kingdom; or (B) persons who are "qualified investors" (as defined in paragraph 15 of Schedule 1 of the POATR) who are also (i) investment professionals falling within Article 19(5) of the Financial Services and Markets Act 2000 (Financial Promotion) Order 2005 (the "</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or (ii) high net worth companies, and other persons to whom it may lawfully be communicated, falling within Article 49(2)(a) to (d) of the Order (all such persons together being referred to as "relevant persons"). The Offered Shares are only available to, and any invitation, offer or agreement to subscribe, purchase or otherwise acquire the Offered Shares will be engaged in only with, relevant persons. Any person who is not a relevant person should not act or rely on this Prospectus Supplement or any of its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Common Shares were listed for trading on Cboe Canada and on NYSE American LLC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trading symbol "CBYN". On January 5, 2026, the Corporation transferred its U.S. stock exchange listing from NYSE American to the Nasdaq under the ticker symbol "HELP". The Corporation continues to be listed on Cboe Canada under the same "HELP" ticker symbol.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tables set forth, for the periods indicated, the reported monthly high and low prices per Common Share and the total monthly trading volumes on Cboe Canada, NYSE American, and the Nasdaq, as applicable, for the 12-month period preceding the date of this Prospectus Supplement.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Cboe Canada Price Range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28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6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6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6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308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June 2025</w:t>
            </w:r>
          </w:p>
        </w:tc>
        <w:tc>
          <w:tcPr>
            <w:tcW w:w="200" w:type="dxa"/>
            <w:vAlign w:val="bottom"/>
            <w:tcBorders>
              <w:top w:val="single" w:sz="8" w:color="E6EFFF"/>
            </w:tcBorders>
            <w:shd w:val="clear" w:color="auto" w:fill="E6EFFF"/>
          </w:tcPr>
          <w:p>
            <w:pPr>
              <w:spacing w:after="0"/>
              <w:rPr>
                <w:sz w:val="18"/>
                <w:szCs w:val="18"/>
                <w:color w:val="auto"/>
              </w:rPr>
            </w:pPr>
          </w:p>
        </w:tc>
        <w:tc>
          <w:tcPr>
            <w:tcW w:w="244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12.56</w:t>
            </w:r>
          </w:p>
        </w:tc>
        <w:tc>
          <w:tcPr>
            <w:tcW w:w="220" w:type="dxa"/>
            <w:vAlign w:val="bottom"/>
            <w:tcBorders>
              <w:top w:val="single" w:sz="8" w:color="E6EFFF"/>
            </w:tcBorders>
            <w:shd w:val="clear" w:color="auto" w:fill="E6EFFF"/>
          </w:tcPr>
          <w:p>
            <w:pPr>
              <w:spacing w:after="0"/>
              <w:rPr>
                <w:sz w:val="18"/>
                <w:szCs w:val="18"/>
                <w:color w:val="auto"/>
              </w:rPr>
            </w:pPr>
          </w:p>
        </w:tc>
        <w:tc>
          <w:tcPr>
            <w:tcW w:w="2460" w:type="dxa"/>
            <w:vAlign w:val="bottom"/>
            <w:tcBorders>
              <w:top w:val="single" w:sz="8" w:color="auto"/>
            </w:tcBorders>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Borders>
              <w:top w:val="single" w:sz="8" w:color="E6EFFF"/>
            </w:tcBorders>
            <w:shd w:val="clear" w:color="auto" w:fill="E6EFFF"/>
          </w:tcPr>
          <w:p>
            <w:pPr>
              <w:spacing w:after="0"/>
              <w:rPr>
                <w:sz w:val="18"/>
                <w:szCs w:val="18"/>
                <w:color w:val="auto"/>
              </w:rPr>
            </w:pPr>
          </w:p>
        </w:tc>
        <w:tc>
          <w:tcPr>
            <w:tcW w:w="2620" w:type="dxa"/>
            <w:vAlign w:val="bottom"/>
            <w:tcBorders>
              <w:top w:val="single" w:sz="8" w:color="auto"/>
            </w:tcBorders>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189,178</w:t>
            </w:r>
          </w:p>
        </w:tc>
      </w:tr>
      <w:tr>
        <w:trPr>
          <w:trHeight w:val="216"/>
        </w:trPr>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12.18</w:t>
            </w:r>
          </w:p>
        </w:tc>
        <w:tc>
          <w:tcPr>
            <w:tcW w:w="220" w:type="dxa"/>
            <w:vAlign w:val="bottom"/>
          </w:tcPr>
          <w:p>
            <w:pPr>
              <w:spacing w:after="0"/>
              <w:rPr>
                <w:sz w:val="18"/>
                <w:szCs w:val="18"/>
                <w:color w:val="auto"/>
              </w:rPr>
            </w:pP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18"/>
                <w:szCs w:val="18"/>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261,253</w:t>
            </w:r>
          </w:p>
        </w:tc>
      </w:tr>
      <w:tr>
        <w:trPr>
          <w:trHeight w:val="216"/>
        </w:trPr>
        <w:tc>
          <w:tcPr>
            <w:tcW w:w="328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August 2025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10.90</w:t>
            </w:r>
          </w:p>
        </w:tc>
        <w:tc>
          <w:tcPr>
            <w:tcW w:w="22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shd w:val="clear" w:color="auto" w:fill="E6EFFF"/>
          </w:tcPr>
          <w:p>
            <w:pPr>
              <w:spacing w:after="0"/>
              <w:rPr>
                <w:sz w:val="18"/>
                <w:szCs w:val="18"/>
                <w:color w:val="auto"/>
              </w:rPr>
            </w:pPr>
          </w:p>
        </w:tc>
        <w:tc>
          <w:tcPr>
            <w:tcW w:w="26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229,553</w:t>
            </w:r>
          </w:p>
        </w:tc>
      </w:tr>
      <w:tr>
        <w:trPr>
          <w:trHeight w:val="216"/>
        </w:trPr>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September 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220" w:type="dxa"/>
            <w:vAlign w:val="bottom"/>
          </w:tcPr>
          <w:p>
            <w:pPr>
              <w:spacing w:after="0"/>
              <w:rPr>
                <w:sz w:val="18"/>
                <w:szCs w:val="18"/>
                <w:color w:val="auto"/>
              </w:rPr>
            </w:pP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451,016</w:t>
            </w:r>
          </w:p>
        </w:tc>
      </w:tr>
      <w:tr>
        <w:trPr>
          <w:trHeight w:val="216"/>
        </w:trPr>
        <w:tc>
          <w:tcPr>
            <w:tcW w:w="328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rPr>
              <w:t>October 2025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10.77</w:t>
            </w:r>
          </w:p>
        </w:tc>
        <w:tc>
          <w:tcPr>
            <w:tcW w:w="22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E6EFFF"/>
          </w:tcPr>
          <w:p>
            <w:pPr>
              <w:spacing w:after="0"/>
              <w:rPr>
                <w:sz w:val="18"/>
                <w:szCs w:val="18"/>
                <w:color w:val="auto"/>
              </w:rPr>
            </w:pPr>
          </w:p>
        </w:tc>
        <w:tc>
          <w:tcPr>
            <w:tcW w:w="26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469,093</w:t>
            </w:r>
          </w:p>
        </w:tc>
      </w:tr>
      <w:tr>
        <w:trPr>
          <w:trHeight w:val="216"/>
        </w:trPr>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November 2025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220" w:type="dxa"/>
            <w:vAlign w:val="bottom"/>
          </w:tcPr>
          <w:p>
            <w:pPr>
              <w:spacing w:after="0"/>
              <w:rPr>
                <w:sz w:val="18"/>
                <w:szCs w:val="18"/>
                <w:color w:val="auto"/>
              </w:rPr>
            </w:pP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Pr>
          <w:p>
            <w:pPr>
              <w:spacing w:after="0"/>
              <w:rPr>
                <w:sz w:val="18"/>
                <w:szCs w:val="18"/>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471,080</w:t>
            </w:r>
          </w:p>
        </w:tc>
      </w:tr>
      <w:tr>
        <w:trPr>
          <w:trHeight w:val="216"/>
        </w:trPr>
        <w:tc>
          <w:tcPr>
            <w:tcW w:w="328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2025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11.99</w:t>
            </w:r>
          </w:p>
        </w:tc>
        <w:tc>
          <w:tcPr>
            <w:tcW w:w="22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E6EFFF"/>
          </w:tcPr>
          <w:p>
            <w:pPr>
              <w:spacing w:after="0"/>
              <w:rPr>
                <w:sz w:val="18"/>
                <w:szCs w:val="18"/>
                <w:color w:val="auto"/>
              </w:rPr>
            </w:pPr>
          </w:p>
        </w:tc>
        <w:tc>
          <w:tcPr>
            <w:tcW w:w="26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465,560</w:t>
            </w:r>
          </w:p>
        </w:tc>
      </w:tr>
      <w:tr>
        <w:trPr>
          <w:trHeight w:val="216"/>
        </w:trPr>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12.12</w:t>
            </w:r>
          </w:p>
        </w:tc>
        <w:tc>
          <w:tcPr>
            <w:tcW w:w="220" w:type="dxa"/>
            <w:vAlign w:val="bottom"/>
          </w:tcPr>
          <w:p>
            <w:pPr>
              <w:spacing w:after="0"/>
              <w:rPr>
                <w:sz w:val="18"/>
                <w:szCs w:val="18"/>
                <w:color w:val="auto"/>
              </w:rPr>
            </w:pP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8"/>
                <w:szCs w:val="18"/>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315,582</w:t>
            </w:r>
          </w:p>
        </w:tc>
      </w:tr>
      <w:tr>
        <w:trPr>
          <w:trHeight w:val="216"/>
        </w:trPr>
        <w:tc>
          <w:tcPr>
            <w:tcW w:w="328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February 2026</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10.75</w:t>
            </w:r>
          </w:p>
        </w:tc>
        <w:tc>
          <w:tcPr>
            <w:tcW w:w="22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shd w:val="clear" w:color="auto" w:fill="E6EFFF"/>
          </w:tcPr>
          <w:p>
            <w:pPr>
              <w:spacing w:after="0"/>
              <w:rPr>
                <w:sz w:val="18"/>
                <w:szCs w:val="18"/>
                <w:color w:val="auto"/>
              </w:rPr>
            </w:pPr>
          </w:p>
        </w:tc>
        <w:tc>
          <w:tcPr>
            <w:tcW w:w="26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316,499</w:t>
            </w:r>
          </w:p>
        </w:tc>
      </w:tr>
      <w:tr>
        <w:trPr>
          <w:trHeight w:val="216"/>
        </w:trPr>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March 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11.61</w:t>
            </w:r>
          </w:p>
        </w:tc>
        <w:tc>
          <w:tcPr>
            <w:tcW w:w="220" w:type="dxa"/>
            <w:vAlign w:val="bottom"/>
          </w:tcPr>
          <w:p>
            <w:pPr>
              <w:spacing w:after="0"/>
              <w:rPr>
                <w:sz w:val="18"/>
                <w:szCs w:val="18"/>
                <w:color w:val="auto"/>
              </w:rPr>
            </w:pP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Pr>
          <w:p>
            <w:pPr>
              <w:spacing w:after="0"/>
              <w:rPr>
                <w:sz w:val="18"/>
                <w:szCs w:val="18"/>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475,838</w:t>
            </w:r>
          </w:p>
        </w:tc>
      </w:tr>
      <w:tr>
        <w:trPr>
          <w:trHeight w:val="216"/>
        </w:trPr>
        <w:tc>
          <w:tcPr>
            <w:tcW w:w="328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rPr>
              <w:t>April 2026</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E6EFFF"/>
          </w:tcPr>
          <w:p>
            <w:pPr>
              <w:spacing w:after="0"/>
              <w:rPr>
                <w:sz w:val="18"/>
                <w:szCs w:val="18"/>
                <w:color w:val="auto"/>
              </w:rPr>
            </w:pPr>
          </w:p>
        </w:tc>
        <w:tc>
          <w:tcPr>
            <w:tcW w:w="26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436,185</w:t>
            </w:r>
          </w:p>
        </w:tc>
      </w:tr>
      <w:tr>
        <w:trPr>
          <w:trHeight w:val="216"/>
        </w:trPr>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May 2026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18"/>
                <w:szCs w:val="18"/>
                <w:color w:val="auto"/>
              </w:rPr>
            </w:pP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302,878</w:t>
            </w:r>
          </w:p>
        </w:tc>
      </w:tr>
      <w:tr>
        <w:trPr>
          <w:trHeight w:val="216"/>
        </w:trPr>
        <w:tc>
          <w:tcPr>
            <w:tcW w:w="328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rPr>
              <w:t>June (1-23) 2026</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shd w:val="clear" w:color="auto" w:fill="E6EFFF"/>
          </w:tcPr>
          <w:p>
            <w:pPr>
              <w:spacing w:after="0"/>
              <w:rPr>
                <w:sz w:val="18"/>
                <w:szCs w:val="18"/>
                <w:color w:val="auto"/>
              </w:rPr>
            </w:pPr>
          </w:p>
        </w:tc>
        <w:tc>
          <w:tcPr>
            <w:tcW w:w="26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223,285</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hanging="269"/>
        <w:spacing w:after="0" w:line="237" w:lineRule="auto"/>
        <w:tabs>
          <w:tab w:leader="none" w:pos="7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June 23, 2026, being the last day on which the Common Shares traded prior to the date of this Prospectus Supplement, the closing price of the Common Shares as reported on Cboe Canada was C$6.94.</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NYSE American / Nasdaq Price Range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High (US$)</w:t>
            </w:r>
            <w:r>
              <w:rPr>
                <w:rFonts w:ascii="Times New Roman" w:cs="Times New Roman" w:eastAsia="Times New Roman" w:hAnsi="Times New Roman"/>
                <w:sz w:val="29"/>
                <w:szCs w:val="29"/>
                <w:b w:val="1"/>
                <w:bCs w:val="1"/>
                <w:color w:val="auto"/>
                <w:vertAlign w:val="superscript"/>
              </w:rPr>
              <w:t>(1)</w:t>
            </w:r>
          </w:p>
        </w:tc>
        <w:tc>
          <w:tcPr>
            <w:tcW w:w="26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Low (US$)</w:t>
            </w:r>
            <w:r>
              <w:rPr>
                <w:rFonts w:ascii="Times New Roman" w:cs="Times New Roman" w:eastAsia="Times New Roman" w:hAnsi="Times New Roman"/>
                <w:sz w:val="29"/>
                <w:szCs w:val="29"/>
                <w:b w:val="1"/>
                <w:bCs w:val="1"/>
                <w:color w:val="auto"/>
                <w:vertAlign w:val="superscript"/>
              </w:rPr>
              <w:t>(1)</w:t>
            </w:r>
          </w:p>
        </w:tc>
        <w:tc>
          <w:tcPr>
            <w:tcW w:w="26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50"/>
        </w:trPr>
        <w:tc>
          <w:tcPr>
            <w:tcW w:w="310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8"/>
              </w:rPr>
              <w:t>June 2025</w:t>
            </w:r>
            <w:r>
              <w:rPr>
                <w:rFonts w:ascii="Times New Roman" w:cs="Times New Roman" w:eastAsia="Times New Roman" w:hAnsi="Times New Roman"/>
                <w:sz w:val="28"/>
                <w:szCs w:val="28"/>
                <w:color w:val="auto"/>
                <w:w w:val="98"/>
                <w:vertAlign w:val="superscript"/>
              </w:rPr>
              <w:t>(2)</w:t>
            </w:r>
          </w:p>
        </w:tc>
        <w:tc>
          <w:tcPr>
            <w:tcW w:w="220" w:type="dxa"/>
            <w:vAlign w:val="bottom"/>
            <w:tcBorders>
              <w:top w:val="single" w:sz="8" w:color="E6EFFF"/>
            </w:tcBorders>
            <w:shd w:val="clear" w:color="auto" w:fill="E6EFFF"/>
          </w:tcPr>
          <w:p>
            <w:pPr>
              <w:spacing w:after="0"/>
              <w:rPr>
                <w:sz w:val="21"/>
                <w:szCs w:val="21"/>
                <w:color w:val="auto"/>
              </w:rPr>
            </w:pPr>
          </w:p>
        </w:tc>
        <w:tc>
          <w:tcPr>
            <w:tcW w:w="244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9.20</w:t>
            </w:r>
          </w:p>
        </w:tc>
        <w:tc>
          <w:tcPr>
            <w:tcW w:w="220" w:type="dxa"/>
            <w:vAlign w:val="bottom"/>
            <w:tcBorders>
              <w:top w:val="single" w:sz="8" w:color="E6EFFF"/>
            </w:tcBorders>
            <w:shd w:val="clear" w:color="auto" w:fill="E6EFFF"/>
          </w:tcPr>
          <w:p>
            <w:pPr>
              <w:spacing w:after="0"/>
              <w:rPr>
                <w:sz w:val="21"/>
                <w:szCs w:val="21"/>
                <w:color w:val="auto"/>
              </w:rPr>
            </w:pPr>
          </w:p>
        </w:tc>
        <w:tc>
          <w:tcPr>
            <w:tcW w:w="244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220" w:type="dxa"/>
            <w:vAlign w:val="bottom"/>
            <w:tcBorders>
              <w:top w:val="single" w:sz="8" w:color="E6EFFF"/>
            </w:tcBorders>
            <w:shd w:val="clear" w:color="auto" w:fill="E6EFFF"/>
          </w:tcPr>
          <w:p>
            <w:pPr>
              <w:spacing w:after="0"/>
              <w:rPr>
                <w:sz w:val="21"/>
                <w:szCs w:val="21"/>
                <w:color w:val="auto"/>
              </w:rPr>
            </w:pPr>
          </w:p>
        </w:tc>
        <w:tc>
          <w:tcPr>
            <w:tcW w:w="26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5,711,894</w:t>
            </w:r>
          </w:p>
        </w:tc>
      </w:tr>
      <w:tr>
        <w:trPr>
          <w:trHeight w:val="257"/>
        </w:trPr>
        <w:tc>
          <w:tcPr>
            <w:tcW w:w="3320" w:type="dxa"/>
            <w:vAlign w:val="bottom"/>
            <w:gridSpan w:val="2"/>
          </w:tcPr>
          <w:p>
            <w:pPr>
              <w:jc w:val="center"/>
              <w:ind w:right="160"/>
              <w:spacing w:after="0" w:line="256" w:lineRule="exact"/>
              <w:rPr>
                <w:sz w:val="20"/>
                <w:szCs w:val="20"/>
                <w:color w:val="auto"/>
              </w:rPr>
            </w:pPr>
            <w:r>
              <w:rPr>
                <w:rFonts w:ascii="Times New Roman" w:cs="Times New Roman" w:eastAsia="Times New Roman" w:hAnsi="Times New Roman"/>
                <w:sz w:val="18"/>
                <w:szCs w:val="18"/>
                <w:color w:val="auto"/>
                <w:w w:val="94"/>
              </w:rPr>
              <w:t>July 2025</w:t>
            </w:r>
            <w:r>
              <w:rPr>
                <w:rFonts w:ascii="Times New Roman" w:cs="Times New Roman" w:eastAsia="Times New Roman" w:hAnsi="Times New Roman"/>
                <w:sz w:val="29"/>
                <w:szCs w:val="29"/>
                <w:color w:val="auto"/>
                <w:w w:val="94"/>
                <w:vertAlign w:val="superscript"/>
              </w:rPr>
              <w:t>(2)</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9.83</w:t>
            </w:r>
          </w:p>
        </w:tc>
        <w:tc>
          <w:tcPr>
            <w:tcW w:w="22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7.26</w:t>
            </w:r>
          </w:p>
        </w:tc>
        <w:tc>
          <w:tcPr>
            <w:tcW w:w="2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11,021,801</w:t>
            </w:r>
          </w:p>
        </w:tc>
      </w:tr>
      <w:tr>
        <w:trPr>
          <w:trHeight w:val="256"/>
        </w:trPr>
        <w:tc>
          <w:tcPr>
            <w:tcW w:w="3320" w:type="dxa"/>
            <w:vAlign w:val="bottom"/>
            <w:gridSpan w:val="2"/>
            <w:shd w:val="clear" w:color="auto" w:fill="E6EFFF"/>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5"/>
              </w:rPr>
              <w:t>August 2025</w:t>
            </w:r>
            <w:r>
              <w:rPr>
                <w:rFonts w:ascii="Times New Roman" w:cs="Times New Roman" w:eastAsia="Times New Roman" w:hAnsi="Times New Roman"/>
                <w:sz w:val="29"/>
                <w:szCs w:val="29"/>
                <w:color w:val="auto"/>
                <w:w w:val="95"/>
                <w:vertAlign w:val="superscript"/>
              </w:rPr>
              <w:t>(2)</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7.88</w:t>
            </w:r>
          </w:p>
        </w:tc>
        <w:tc>
          <w:tcPr>
            <w:tcW w:w="220" w:type="dxa"/>
            <w:vAlign w:val="bottom"/>
            <w:shd w:val="clear" w:color="auto" w:fill="E6EFFF"/>
          </w:tcPr>
          <w:p>
            <w:pPr>
              <w:spacing w:after="0"/>
              <w:rPr>
                <w:sz w:val="22"/>
                <w:szCs w:val="22"/>
                <w:color w:val="auto"/>
              </w:rPr>
            </w:pP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6.3637</w:t>
            </w:r>
          </w:p>
        </w:tc>
        <w:tc>
          <w:tcPr>
            <w:tcW w:w="220" w:type="dxa"/>
            <w:vAlign w:val="bottom"/>
            <w:shd w:val="clear" w:color="auto" w:fill="E6EFFF"/>
          </w:tcPr>
          <w:p>
            <w:pPr>
              <w:spacing w:after="0"/>
              <w:rPr>
                <w:sz w:val="22"/>
                <w:szCs w:val="22"/>
                <w:color w:val="auto"/>
              </w:rPr>
            </w:pPr>
          </w:p>
        </w:tc>
        <w:tc>
          <w:tcPr>
            <w:tcW w:w="26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57"/>
        </w:trPr>
        <w:tc>
          <w:tcPr>
            <w:tcW w:w="3320" w:type="dxa"/>
            <w:vAlign w:val="bottom"/>
            <w:gridSpan w:val="2"/>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5"/>
              </w:rPr>
              <w:t>September 2025</w:t>
            </w:r>
            <w:r>
              <w:rPr>
                <w:rFonts w:ascii="Times New Roman" w:cs="Times New Roman" w:eastAsia="Times New Roman" w:hAnsi="Times New Roman"/>
                <w:sz w:val="29"/>
                <w:szCs w:val="29"/>
                <w:color w:val="auto"/>
                <w:w w:val="95"/>
                <w:vertAlign w:val="superscript"/>
              </w:rPr>
              <w:t>(2)</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7.44</w:t>
            </w:r>
          </w:p>
        </w:tc>
        <w:tc>
          <w:tcPr>
            <w:tcW w:w="22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5.72</w:t>
            </w:r>
          </w:p>
        </w:tc>
        <w:tc>
          <w:tcPr>
            <w:tcW w:w="2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15,583,822</w:t>
            </w:r>
          </w:p>
        </w:tc>
      </w:tr>
      <w:tr>
        <w:trPr>
          <w:trHeight w:val="257"/>
        </w:trPr>
        <w:tc>
          <w:tcPr>
            <w:tcW w:w="3320" w:type="dxa"/>
            <w:vAlign w:val="bottom"/>
            <w:gridSpan w:val="2"/>
            <w:shd w:val="clear" w:color="auto" w:fill="E6EFFF"/>
          </w:tcPr>
          <w:p>
            <w:pPr>
              <w:jc w:val="center"/>
              <w:ind w:right="160"/>
              <w:spacing w:after="0" w:line="256" w:lineRule="exact"/>
              <w:rPr>
                <w:sz w:val="20"/>
                <w:szCs w:val="20"/>
                <w:color w:val="auto"/>
              </w:rPr>
            </w:pPr>
            <w:r>
              <w:rPr>
                <w:rFonts w:ascii="Times New Roman" w:cs="Times New Roman" w:eastAsia="Times New Roman" w:hAnsi="Times New Roman"/>
                <w:sz w:val="18"/>
                <w:szCs w:val="18"/>
                <w:color w:val="auto"/>
                <w:w w:val="95"/>
              </w:rPr>
              <w:t>October 2025</w:t>
            </w:r>
            <w:r>
              <w:rPr>
                <w:rFonts w:ascii="Times New Roman" w:cs="Times New Roman" w:eastAsia="Times New Roman" w:hAnsi="Times New Roman"/>
                <w:sz w:val="29"/>
                <w:szCs w:val="29"/>
                <w:color w:val="auto"/>
                <w:w w:val="95"/>
                <w:vertAlign w:val="superscript"/>
              </w:rPr>
              <w:t>(2)</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8.00</w:t>
            </w:r>
          </w:p>
        </w:tc>
        <w:tc>
          <w:tcPr>
            <w:tcW w:w="220" w:type="dxa"/>
            <w:vAlign w:val="bottom"/>
            <w:shd w:val="clear" w:color="auto" w:fill="E6EFFF"/>
          </w:tcPr>
          <w:p>
            <w:pPr>
              <w:spacing w:after="0"/>
              <w:rPr>
                <w:sz w:val="22"/>
                <w:szCs w:val="22"/>
                <w:color w:val="auto"/>
              </w:rPr>
            </w:pP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5.71</w:t>
            </w:r>
          </w:p>
        </w:tc>
        <w:tc>
          <w:tcPr>
            <w:tcW w:w="220" w:type="dxa"/>
            <w:vAlign w:val="bottom"/>
            <w:shd w:val="clear" w:color="auto" w:fill="E6EFFF"/>
          </w:tcPr>
          <w:p>
            <w:pPr>
              <w:spacing w:after="0"/>
              <w:rPr>
                <w:sz w:val="22"/>
                <w:szCs w:val="22"/>
                <w:color w:val="auto"/>
              </w:rPr>
            </w:pPr>
          </w:p>
        </w:tc>
        <w:tc>
          <w:tcPr>
            <w:tcW w:w="26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22,869,736</w:t>
            </w:r>
          </w:p>
        </w:tc>
      </w:tr>
      <w:tr>
        <w:trPr>
          <w:trHeight w:val="257"/>
        </w:trPr>
        <w:tc>
          <w:tcPr>
            <w:tcW w:w="3320" w:type="dxa"/>
            <w:vAlign w:val="bottom"/>
            <w:gridSpan w:val="2"/>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6"/>
              </w:rPr>
              <w:t>November 2025</w:t>
            </w:r>
            <w:r>
              <w:rPr>
                <w:rFonts w:ascii="Times New Roman" w:cs="Times New Roman" w:eastAsia="Times New Roman" w:hAnsi="Times New Roman"/>
                <w:sz w:val="29"/>
                <w:szCs w:val="29"/>
                <w:color w:val="auto"/>
                <w:w w:val="96"/>
                <w:vertAlign w:val="superscript"/>
              </w:rPr>
              <w:t>(2)</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7.4375</w:t>
            </w:r>
          </w:p>
        </w:tc>
        <w:tc>
          <w:tcPr>
            <w:tcW w:w="22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5.52</w:t>
            </w:r>
          </w:p>
        </w:tc>
        <w:tc>
          <w:tcPr>
            <w:tcW w:w="2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14,108,797</w:t>
            </w:r>
          </w:p>
        </w:tc>
      </w:tr>
      <w:tr>
        <w:trPr>
          <w:trHeight w:val="256"/>
        </w:trPr>
        <w:tc>
          <w:tcPr>
            <w:tcW w:w="3320" w:type="dxa"/>
            <w:vAlign w:val="bottom"/>
            <w:gridSpan w:val="2"/>
            <w:shd w:val="clear" w:color="auto" w:fill="E6EFFF"/>
          </w:tcPr>
          <w:p>
            <w:pPr>
              <w:jc w:val="center"/>
              <w:ind w:right="16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8.71</w:t>
            </w:r>
          </w:p>
        </w:tc>
        <w:tc>
          <w:tcPr>
            <w:tcW w:w="220" w:type="dxa"/>
            <w:vAlign w:val="bottom"/>
            <w:shd w:val="clear" w:color="auto" w:fill="E6EFFF"/>
          </w:tcPr>
          <w:p>
            <w:pPr>
              <w:spacing w:after="0"/>
              <w:rPr>
                <w:sz w:val="22"/>
                <w:szCs w:val="22"/>
                <w:color w:val="auto"/>
              </w:rPr>
            </w:pP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5.51</w:t>
            </w:r>
          </w:p>
        </w:tc>
        <w:tc>
          <w:tcPr>
            <w:tcW w:w="220" w:type="dxa"/>
            <w:vAlign w:val="bottom"/>
            <w:shd w:val="clear" w:color="auto" w:fill="E6EFFF"/>
          </w:tcPr>
          <w:p>
            <w:pPr>
              <w:spacing w:after="0"/>
              <w:rPr>
                <w:sz w:val="22"/>
                <w:szCs w:val="22"/>
                <w:color w:val="auto"/>
              </w:rPr>
            </w:pPr>
          </w:p>
        </w:tc>
        <w:tc>
          <w:tcPr>
            <w:tcW w:w="26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19,897,907</w:t>
            </w:r>
          </w:p>
        </w:tc>
      </w:tr>
      <w:tr>
        <w:trPr>
          <w:trHeight w:val="257"/>
        </w:trPr>
        <w:tc>
          <w:tcPr>
            <w:tcW w:w="3320" w:type="dxa"/>
            <w:vAlign w:val="bottom"/>
            <w:gridSpan w:val="2"/>
          </w:tcPr>
          <w:p>
            <w:pPr>
              <w:jc w:val="center"/>
              <w:ind w:right="160"/>
              <w:spacing w:after="0" w:line="256" w:lineRule="exact"/>
              <w:rPr>
                <w:sz w:val="20"/>
                <w:szCs w:val="20"/>
                <w:color w:val="auto"/>
              </w:rPr>
            </w:pPr>
            <w:r>
              <w:rPr>
                <w:rFonts w:ascii="Times New Roman" w:cs="Times New Roman" w:eastAsia="Times New Roman" w:hAnsi="Times New Roman"/>
                <w:sz w:val="18"/>
                <w:szCs w:val="18"/>
                <w:color w:val="auto"/>
                <w:w w:val="94"/>
              </w:rPr>
              <w:t>January (1-2) 2026</w:t>
            </w:r>
            <w:r>
              <w:rPr>
                <w:rFonts w:ascii="Times New Roman" w:cs="Times New Roman" w:eastAsia="Times New Roman" w:hAnsi="Times New Roman"/>
                <w:sz w:val="29"/>
                <w:szCs w:val="29"/>
                <w:color w:val="auto"/>
                <w:w w:val="94"/>
                <w:vertAlign w:val="superscript"/>
              </w:rPr>
              <w:t>(3)(5)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8.28</w:t>
            </w:r>
          </w:p>
        </w:tc>
        <w:tc>
          <w:tcPr>
            <w:tcW w:w="22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6.62</w:t>
            </w:r>
          </w:p>
        </w:tc>
        <w:tc>
          <w:tcPr>
            <w:tcW w:w="2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8,976,315</w:t>
            </w:r>
          </w:p>
        </w:tc>
      </w:tr>
      <w:tr>
        <w:trPr>
          <w:trHeight w:val="257"/>
        </w:trPr>
        <w:tc>
          <w:tcPr>
            <w:tcW w:w="3320" w:type="dxa"/>
            <w:vAlign w:val="bottom"/>
            <w:gridSpan w:val="2"/>
            <w:shd w:val="clear" w:color="auto" w:fill="E6EFFF"/>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5"/>
              </w:rPr>
              <w:t>January (5-31) 2026</w:t>
            </w:r>
            <w:r>
              <w:rPr>
                <w:rFonts w:ascii="Times New Roman" w:cs="Times New Roman" w:eastAsia="Times New Roman" w:hAnsi="Times New Roman"/>
                <w:sz w:val="29"/>
                <w:szCs w:val="29"/>
                <w:color w:val="auto"/>
                <w:w w:val="95"/>
                <w:vertAlign w:val="superscript"/>
              </w:rPr>
              <w:t>(4)(5)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8.97</w:t>
            </w:r>
          </w:p>
        </w:tc>
        <w:tc>
          <w:tcPr>
            <w:tcW w:w="220" w:type="dxa"/>
            <w:vAlign w:val="bottom"/>
            <w:shd w:val="clear" w:color="auto" w:fill="E6EFFF"/>
          </w:tcPr>
          <w:p>
            <w:pPr>
              <w:spacing w:after="0"/>
              <w:rPr>
                <w:sz w:val="22"/>
                <w:szCs w:val="22"/>
                <w:color w:val="auto"/>
              </w:rPr>
            </w:pP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6.52</w:t>
            </w:r>
          </w:p>
        </w:tc>
        <w:tc>
          <w:tcPr>
            <w:tcW w:w="220" w:type="dxa"/>
            <w:vAlign w:val="bottom"/>
            <w:shd w:val="clear" w:color="auto" w:fill="E6EFFF"/>
          </w:tcPr>
          <w:p>
            <w:pPr>
              <w:spacing w:after="0"/>
              <w:rPr>
                <w:sz w:val="22"/>
                <w:szCs w:val="22"/>
                <w:color w:val="auto"/>
              </w:rPr>
            </w:pPr>
          </w:p>
        </w:tc>
        <w:tc>
          <w:tcPr>
            <w:tcW w:w="26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8,258,614</w:t>
            </w:r>
          </w:p>
        </w:tc>
      </w:tr>
      <w:tr>
        <w:trPr>
          <w:trHeight w:val="257"/>
        </w:trPr>
        <w:tc>
          <w:tcPr>
            <w:tcW w:w="3320" w:type="dxa"/>
            <w:vAlign w:val="bottom"/>
            <w:gridSpan w:val="2"/>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5"/>
              </w:rPr>
              <w:t>February 2026</w:t>
            </w:r>
            <w:r>
              <w:rPr>
                <w:rFonts w:ascii="Times New Roman" w:cs="Times New Roman" w:eastAsia="Times New Roman" w:hAnsi="Times New Roman"/>
                <w:sz w:val="29"/>
                <w:szCs w:val="29"/>
                <w:color w:val="auto"/>
                <w:w w:val="95"/>
                <w:vertAlign w:val="superscript"/>
              </w:rPr>
              <w:t>(5)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7.83</w:t>
            </w:r>
          </w:p>
        </w:tc>
        <w:tc>
          <w:tcPr>
            <w:tcW w:w="22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5.76</w:t>
            </w:r>
          </w:p>
        </w:tc>
        <w:tc>
          <w:tcPr>
            <w:tcW w:w="2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12,148,771</w:t>
            </w:r>
          </w:p>
        </w:tc>
      </w:tr>
      <w:tr>
        <w:trPr>
          <w:trHeight w:val="257"/>
        </w:trPr>
        <w:tc>
          <w:tcPr>
            <w:tcW w:w="3320" w:type="dxa"/>
            <w:vAlign w:val="bottom"/>
            <w:gridSpan w:val="2"/>
            <w:shd w:val="clear" w:color="auto" w:fill="E6EFFF"/>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6"/>
              </w:rPr>
              <w:t>March 2026</w:t>
            </w:r>
            <w:r>
              <w:rPr>
                <w:rFonts w:ascii="Times New Roman" w:cs="Times New Roman" w:eastAsia="Times New Roman" w:hAnsi="Times New Roman"/>
                <w:sz w:val="29"/>
                <w:szCs w:val="29"/>
                <w:color w:val="auto"/>
                <w:w w:val="96"/>
                <w:vertAlign w:val="superscript"/>
              </w:rPr>
              <w:t>(5)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8.55</w:t>
            </w:r>
          </w:p>
        </w:tc>
        <w:tc>
          <w:tcPr>
            <w:tcW w:w="220" w:type="dxa"/>
            <w:vAlign w:val="bottom"/>
            <w:shd w:val="clear" w:color="auto" w:fill="E6EFFF"/>
          </w:tcPr>
          <w:p>
            <w:pPr>
              <w:spacing w:after="0"/>
              <w:rPr>
                <w:sz w:val="22"/>
                <w:szCs w:val="22"/>
                <w:color w:val="auto"/>
              </w:rPr>
            </w:pP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4.29</w:t>
            </w:r>
          </w:p>
        </w:tc>
        <w:tc>
          <w:tcPr>
            <w:tcW w:w="220" w:type="dxa"/>
            <w:vAlign w:val="bottom"/>
            <w:shd w:val="clear" w:color="auto" w:fill="E6EFFF"/>
          </w:tcPr>
          <w:p>
            <w:pPr>
              <w:spacing w:after="0"/>
              <w:rPr>
                <w:sz w:val="22"/>
                <w:szCs w:val="22"/>
                <w:color w:val="auto"/>
              </w:rPr>
            </w:pPr>
          </w:p>
        </w:tc>
        <w:tc>
          <w:tcPr>
            <w:tcW w:w="26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27,110,747</w:t>
            </w:r>
          </w:p>
        </w:tc>
      </w:tr>
      <w:tr>
        <w:trPr>
          <w:trHeight w:val="256"/>
        </w:trPr>
        <w:tc>
          <w:tcPr>
            <w:tcW w:w="3320" w:type="dxa"/>
            <w:vAlign w:val="bottom"/>
            <w:gridSpan w:val="2"/>
          </w:tcPr>
          <w:p>
            <w:pPr>
              <w:jc w:val="center"/>
              <w:ind w:right="160"/>
              <w:spacing w:after="0" w:line="256" w:lineRule="exact"/>
              <w:rPr>
                <w:sz w:val="20"/>
                <w:szCs w:val="20"/>
                <w:color w:val="auto"/>
              </w:rPr>
            </w:pPr>
            <w:r>
              <w:rPr>
                <w:rFonts w:ascii="Times New Roman" w:cs="Times New Roman" w:eastAsia="Times New Roman" w:hAnsi="Times New Roman"/>
                <w:sz w:val="18"/>
                <w:szCs w:val="18"/>
                <w:color w:val="auto"/>
                <w:w w:val="94"/>
              </w:rPr>
              <w:t>April 2026</w:t>
            </w:r>
            <w:r>
              <w:rPr>
                <w:rFonts w:ascii="Times New Roman" w:cs="Times New Roman" w:eastAsia="Times New Roman" w:hAnsi="Times New Roman"/>
                <w:sz w:val="29"/>
                <w:szCs w:val="29"/>
                <w:color w:val="auto"/>
                <w:w w:val="94"/>
                <w:vertAlign w:val="superscript"/>
              </w:rPr>
              <w:t>(5)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6.26</w:t>
            </w:r>
          </w:p>
        </w:tc>
        <w:tc>
          <w:tcPr>
            <w:tcW w:w="22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4.80</w:t>
            </w:r>
          </w:p>
        </w:tc>
        <w:tc>
          <w:tcPr>
            <w:tcW w:w="2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32,549,100</w:t>
            </w:r>
          </w:p>
        </w:tc>
      </w:tr>
      <w:tr>
        <w:trPr>
          <w:trHeight w:val="257"/>
        </w:trPr>
        <w:tc>
          <w:tcPr>
            <w:tcW w:w="3320" w:type="dxa"/>
            <w:vAlign w:val="bottom"/>
            <w:gridSpan w:val="2"/>
            <w:shd w:val="clear" w:color="auto" w:fill="E6EFFF"/>
          </w:tcPr>
          <w:p>
            <w:pPr>
              <w:jc w:val="center"/>
              <w:ind w:right="140"/>
              <w:spacing w:after="0" w:line="256" w:lineRule="exact"/>
              <w:rPr>
                <w:sz w:val="20"/>
                <w:szCs w:val="20"/>
                <w:color w:val="auto"/>
              </w:rPr>
            </w:pPr>
            <w:r>
              <w:rPr>
                <w:rFonts w:ascii="Times New Roman" w:cs="Times New Roman" w:eastAsia="Times New Roman" w:hAnsi="Times New Roman"/>
                <w:sz w:val="18"/>
                <w:szCs w:val="18"/>
                <w:color w:val="auto"/>
                <w:w w:val="93"/>
              </w:rPr>
              <w:t>May 2026</w:t>
            </w:r>
            <w:r>
              <w:rPr>
                <w:rFonts w:ascii="Times New Roman" w:cs="Times New Roman" w:eastAsia="Times New Roman" w:hAnsi="Times New Roman"/>
                <w:sz w:val="29"/>
                <w:szCs w:val="29"/>
                <w:color w:val="auto"/>
                <w:w w:val="93"/>
                <w:vertAlign w:val="superscript"/>
              </w:rPr>
              <w:t>(5)</w:t>
            </w: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5.55</w:t>
            </w:r>
          </w:p>
        </w:tc>
        <w:tc>
          <w:tcPr>
            <w:tcW w:w="220" w:type="dxa"/>
            <w:vAlign w:val="bottom"/>
            <w:shd w:val="clear" w:color="auto" w:fill="E6EFFF"/>
          </w:tcPr>
          <w:p>
            <w:pPr>
              <w:spacing w:after="0"/>
              <w:rPr>
                <w:sz w:val="22"/>
                <w:szCs w:val="22"/>
                <w:color w:val="auto"/>
              </w:rPr>
            </w:pPr>
          </w:p>
        </w:tc>
        <w:tc>
          <w:tcPr>
            <w:tcW w:w="2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220" w:type="dxa"/>
            <w:vAlign w:val="bottom"/>
            <w:shd w:val="clear" w:color="auto" w:fill="E6EFFF"/>
          </w:tcPr>
          <w:p>
            <w:pPr>
              <w:spacing w:after="0"/>
              <w:rPr>
                <w:sz w:val="22"/>
                <w:szCs w:val="22"/>
                <w:color w:val="auto"/>
              </w:rPr>
            </w:pPr>
          </w:p>
        </w:tc>
        <w:tc>
          <w:tcPr>
            <w:tcW w:w="26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14,895,739</w:t>
            </w:r>
          </w:p>
        </w:tc>
      </w:tr>
      <w:tr>
        <w:trPr>
          <w:trHeight w:val="394"/>
        </w:trPr>
        <w:tc>
          <w:tcPr>
            <w:tcW w:w="3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June (1-23) 2026</w:t>
            </w:r>
            <w:r>
              <w:rPr>
                <w:rFonts w:ascii="Times New Roman" w:cs="Times New Roman" w:eastAsia="Times New Roman" w:hAnsi="Times New Roman"/>
                <w:sz w:val="29"/>
                <w:szCs w:val="29"/>
                <w:color w:val="auto"/>
                <w:w w:val="96"/>
                <w:vertAlign w:val="superscript"/>
              </w:rPr>
              <w:t>(5)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5.10</w:t>
            </w:r>
          </w:p>
        </w:tc>
        <w:tc>
          <w:tcPr>
            <w:tcW w:w="2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3.76</w:t>
            </w:r>
          </w:p>
        </w:tc>
        <w:tc>
          <w:tcPr>
            <w:tcW w:w="2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9,548,943</w:t>
            </w:r>
          </w:p>
        </w:tc>
      </w:tr>
    </w:tbl>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700" w:hanging="368"/>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ind w:left="660" w:hanging="328"/>
        <w:spacing w:after="0" w:line="230" w:lineRule="auto"/>
        <w:tabs>
          <w:tab w:leader="none" w:pos="70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listed for trading on the NYSE American. Source: NYSE American as of the date of this Prospectus Supplement.</w:t>
      </w:r>
    </w:p>
    <w:p>
      <w:pPr>
        <w:spacing w:after="0" w:line="1"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70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trading on the facilities of the NYSE American for the period from January 1, 2026 to January 2, 2026. At market close on January 2, 2026, trading was halted on the NYSE American.</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70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trading on the facilities of the Nasdaq for the period from January 5, 2026 to January 31, 2026. At market open on January 5, 2026, trading commenced on the Nasdaq.</w:t>
      </w:r>
    </w:p>
    <w:p>
      <w:pPr>
        <w:spacing w:after="0" w:line="1"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Nasdaq as of the date of this Prospectus Supplement.</w:t>
      </w:r>
    </w:p>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June 23, 2026, being the last day on which the Common Shares traded prior to the date of this Prospectus Supplement, the closing price of the Common Shares as reported on the Nasdaq was US$4.85.</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 Principal</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20"/>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Issuance / Exercise / Conversion</w:t>
            </w:r>
          </w:p>
        </w:tc>
      </w:tr>
      <w:tr>
        <w:trPr>
          <w:trHeight w:val="275"/>
        </w:trPr>
        <w:tc>
          <w:tcPr>
            <w:tcW w:w="3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20" w:type="dxa"/>
            <w:vAlign w:val="bottom"/>
            <w:tcBorders>
              <w:bottom w:val="single" w:sz="8" w:color="E6EFFF"/>
            </w:tcBorders>
          </w:tcPr>
          <w:p>
            <w:pPr>
              <w:spacing w:after="0"/>
              <w:rPr>
                <w:sz w:val="23"/>
                <w:szCs w:val="23"/>
                <w:color w:val="auto"/>
              </w:rPr>
            </w:pPr>
          </w:p>
        </w:tc>
        <w:tc>
          <w:tcPr>
            <w:tcW w:w="23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00" w:type="dxa"/>
            <w:vAlign w:val="bottom"/>
            <w:tcBorders>
              <w:bottom w:val="single" w:sz="8" w:color="E6EFFF"/>
            </w:tcBorders>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 w:type="dxa"/>
            <w:vAlign w:val="bottom"/>
            <w:tcBorders>
              <w:bottom w:val="single" w:sz="8" w:color="E6EFFF"/>
            </w:tcBorders>
          </w:tcPr>
          <w:p>
            <w:pPr>
              <w:spacing w:after="0"/>
              <w:rPr>
                <w:sz w:val="23"/>
                <w:szCs w:val="23"/>
                <w:color w:val="auto"/>
              </w:rPr>
            </w:pPr>
          </w:p>
        </w:tc>
        <w:tc>
          <w:tcPr>
            <w:tcW w:w="2680" w:type="dxa"/>
            <w:vAlign w:val="bottom"/>
            <w:tcBorders>
              <w:bottom w:val="single" w:sz="8" w:color="auto"/>
            </w:tcBorders>
          </w:tcPr>
          <w:p>
            <w:pPr>
              <w:jc w:val="center"/>
              <w:ind w:right="13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w:t>
            </w:r>
            <w:r>
              <w:rPr>
                <w:rFonts w:ascii="Times New Roman" w:cs="Times New Roman" w:eastAsia="Times New Roman" w:hAnsi="Times New Roman"/>
                <w:sz w:val="29"/>
                <w:szCs w:val="29"/>
                <w:b w:val="1"/>
                <w:bCs w:val="1"/>
                <w:color w:val="auto"/>
                <w:w w:val="95"/>
                <w:vertAlign w:val="superscript"/>
              </w:rPr>
              <w:t>(1)(2)</w:t>
            </w:r>
          </w:p>
        </w:tc>
      </w:tr>
      <w:tr>
        <w:trPr>
          <w:trHeight w:val="250"/>
        </w:trPr>
        <w:tc>
          <w:tcPr>
            <w:tcW w:w="3200" w:type="dxa"/>
            <w:vAlign w:val="bottom"/>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rPr>
              <w:t>June 30, 2025</w:t>
            </w:r>
            <w:r>
              <w:rPr>
                <w:rFonts w:ascii="Times New Roman" w:cs="Times New Roman" w:eastAsia="Times New Roman" w:hAnsi="Times New Roman"/>
                <w:sz w:val="28"/>
                <w:szCs w:val="28"/>
                <w:color w:val="auto"/>
                <w:vertAlign w:val="superscript"/>
              </w:rPr>
              <w:t>(3)</w:t>
            </w:r>
          </w:p>
        </w:tc>
        <w:tc>
          <w:tcPr>
            <w:tcW w:w="220" w:type="dxa"/>
            <w:vAlign w:val="bottom"/>
            <w:shd w:val="clear" w:color="auto" w:fill="E6EFFF"/>
          </w:tcPr>
          <w:p>
            <w:pPr>
              <w:spacing w:after="0"/>
              <w:rPr>
                <w:sz w:val="21"/>
                <w:szCs w:val="21"/>
                <w:color w:val="auto"/>
              </w:rPr>
            </w:pPr>
          </w:p>
        </w:tc>
        <w:tc>
          <w:tcPr>
            <w:tcW w:w="256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US$50,000,000</w:t>
            </w: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Convertible Debentures</w:t>
            </w:r>
          </w:p>
        </w:tc>
        <w:tc>
          <w:tcPr>
            <w:tcW w:w="268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See note (4)</w:t>
            </w:r>
          </w:p>
        </w:tc>
      </w:tr>
      <w:tr>
        <w:trPr>
          <w:trHeight w:val="256"/>
        </w:trPr>
        <w:tc>
          <w:tcPr>
            <w:tcW w:w="3420" w:type="dxa"/>
            <w:vAlign w:val="bottom"/>
            <w:gridSpan w:val="2"/>
          </w:tcPr>
          <w:p>
            <w:pPr>
              <w:jc w:val="center"/>
              <w:ind w:right="200"/>
              <w:spacing w:after="0" w:line="256" w:lineRule="exact"/>
              <w:rPr>
                <w:sz w:val="20"/>
                <w:szCs w:val="20"/>
                <w:color w:val="auto"/>
              </w:rPr>
            </w:pPr>
            <w:r>
              <w:rPr>
                <w:rFonts w:ascii="Times New Roman" w:cs="Times New Roman" w:eastAsia="Times New Roman" w:hAnsi="Times New Roman"/>
                <w:sz w:val="18"/>
                <w:szCs w:val="18"/>
                <w:color w:val="auto"/>
                <w:w w:val="94"/>
              </w:rPr>
              <w:t>July 17, 2025</w:t>
            </w:r>
            <w:r>
              <w:rPr>
                <w:rFonts w:ascii="Times New Roman" w:cs="Times New Roman" w:eastAsia="Times New Roman" w:hAnsi="Times New Roman"/>
                <w:sz w:val="29"/>
                <w:szCs w:val="29"/>
                <w:color w:val="auto"/>
                <w:w w:val="94"/>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566,394</w:t>
            </w:r>
          </w:p>
        </w:tc>
        <w:tc>
          <w:tcPr>
            <w:tcW w:w="20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342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August 15, 2025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53,800</w:t>
            </w:r>
          </w:p>
        </w:tc>
        <w:tc>
          <w:tcPr>
            <w:tcW w:w="200" w:type="dxa"/>
            <w:vAlign w:val="bottom"/>
            <w:shd w:val="clear" w:color="auto" w:fill="E6EFFF"/>
          </w:tcPr>
          <w:p>
            <w:pPr>
              <w:spacing w:after="0"/>
              <w:rPr>
                <w:sz w:val="18"/>
                <w:szCs w:val="18"/>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68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August 15, 2025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80,000</w:t>
            </w:r>
          </w:p>
        </w:tc>
        <w:tc>
          <w:tcPr>
            <w:tcW w:w="20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$11.00</w:t>
            </w:r>
          </w:p>
        </w:tc>
      </w:tr>
      <w:tr>
        <w:trPr>
          <w:trHeight w:val="257"/>
        </w:trPr>
        <w:tc>
          <w:tcPr>
            <w:tcW w:w="3420" w:type="dxa"/>
            <w:vAlign w:val="bottom"/>
            <w:gridSpan w:val="2"/>
            <w:shd w:val="clear" w:color="auto" w:fill="E6EFFF"/>
          </w:tcPr>
          <w:p>
            <w:pPr>
              <w:jc w:val="center"/>
              <w:ind w:right="200"/>
              <w:spacing w:after="0" w:line="256" w:lineRule="exact"/>
              <w:rPr>
                <w:sz w:val="20"/>
                <w:szCs w:val="20"/>
                <w:color w:val="auto"/>
              </w:rPr>
            </w:pPr>
            <w:r>
              <w:rPr>
                <w:rFonts w:ascii="Times New Roman" w:cs="Times New Roman" w:eastAsia="Times New Roman" w:hAnsi="Times New Roman"/>
                <w:sz w:val="18"/>
                <w:szCs w:val="18"/>
                <w:color w:val="auto"/>
                <w:w w:val="97"/>
              </w:rPr>
              <w:t>August 25,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1,166,486</w:t>
            </w:r>
          </w:p>
        </w:tc>
        <w:tc>
          <w:tcPr>
            <w:tcW w:w="20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68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auto"/>
              </w:rPr>
              <w:t>$9.56</w:t>
            </w:r>
          </w:p>
        </w:tc>
      </w:tr>
      <w:tr>
        <w:trPr>
          <w:trHeight w:val="256"/>
        </w:trPr>
        <w:tc>
          <w:tcPr>
            <w:tcW w:w="3420" w:type="dxa"/>
            <w:vAlign w:val="bottom"/>
            <w:gridSpan w:val="2"/>
          </w:tcPr>
          <w:p>
            <w:pPr>
              <w:jc w:val="center"/>
              <w:ind w:right="200"/>
              <w:spacing w:after="0" w:line="256" w:lineRule="exact"/>
              <w:rPr>
                <w:sz w:val="20"/>
                <w:szCs w:val="20"/>
                <w:color w:val="auto"/>
              </w:rPr>
            </w:pPr>
            <w:r>
              <w:rPr>
                <w:rFonts w:ascii="Times New Roman" w:cs="Times New Roman" w:eastAsia="Times New Roman" w:hAnsi="Times New Roman"/>
                <w:sz w:val="18"/>
                <w:szCs w:val="18"/>
                <w:color w:val="auto"/>
                <w:w w:val="97"/>
              </w:rPr>
              <w:t>August 28,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423,812</w:t>
            </w:r>
          </w:p>
        </w:tc>
        <w:tc>
          <w:tcPr>
            <w:tcW w:w="20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$9.87</w:t>
            </w:r>
          </w:p>
        </w:tc>
      </w:tr>
      <w:tr>
        <w:trPr>
          <w:trHeight w:val="257"/>
        </w:trPr>
        <w:tc>
          <w:tcPr>
            <w:tcW w:w="3420" w:type="dxa"/>
            <w:vAlign w:val="bottom"/>
            <w:gridSpan w:val="2"/>
            <w:shd w:val="clear" w:color="auto" w:fill="E6EFFF"/>
          </w:tcPr>
          <w:p>
            <w:pPr>
              <w:jc w:val="center"/>
              <w:ind w:right="200"/>
              <w:spacing w:after="0" w:line="256" w:lineRule="exact"/>
              <w:rPr>
                <w:sz w:val="20"/>
                <w:szCs w:val="20"/>
                <w:color w:val="auto"/>
              </w:rPr>
            </w:pPr>
            <w:r>
              <w:rPr>
                <w:rFonts w:ascii="Times New Roman" w:cs="Times New Roman" w:eastAsia="Times New Roman" w:hAnsi="Times New Roman"/>
                <w:sz w:val="18"/>
                <w:szCs w:val="18"/>
                <w:color w:val="auto"/>
                <w:w w:val="97"/>
              </w:rPr>
              <w:t>August 28, 2025</w:t>
            </w:r>
            <w:r>
              <w:rPr>
                <w:rFonts w:ascii="Times New Roman" w:cs="Times New Roman" w:eastAsia="Times New Roman" w:hAnsi="Times New Roman"/>
                <w:sz w:val="29"/>
                <w:szCs w:val="29"/>
                <w:color w:val="auto"/>
                <w:w w:val="97"/>
                <w:vertAlign w:val="superscript"/>
              </w:rPr>
              <w:t>(6)</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7,894</w:t>
            </w:r>
          </w:p>
        </w:tc>
        <w:tc>
          <w:tcPr>
            <w:tcW w:w="20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68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auto"/>
              </w:rPr>
              <w:t>$9.52</w:t>
            </w:r>
          </w:p>
        </w:tc>
      </w:tr>
      <w:tr>
        <w:trPr>
          <w:trHeight w:val="234"/>
        </w:trPr>
        <w:tc>
          <w:tcPr>
            <w:tcW w:w="3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200" w:type="dxa"/>
            <w:vAlign w:val="bottom"/>
          </w:tcPr>
          <w:p>
            <w:pPr>
              <w:spacing w:after="0"/>
              <w:rPr>
                <w:sz w:val="20"/>
                <w:szCs w:val="20"/>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$11.00</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333"/>
        </w:trPr>
        <w:tc>
          <w:tcPr>
            <w:tcW w:w="34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September 23, 2025</w:t>
            </w:r>
            <w:r>
              <w:rPr>
                <w:rFonts w:ascii="Times New Roman" w:cs="Times New Roman" w:eastAsia="Times New Roman" w:hAnsi="Times New Roman"/>
                <w:sz w:val="29"/>
                <w:szCs w:val="29"/>
                <w:color w:val="auto"/>
                <w:w w:val="96"/>
                <w:vertAlign w:val="superscript"/>
              </w:rPr>
              <w:t>(5)</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912,863</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 2025</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October 1, 2025</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200,000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$8.39</w:t>
            </w:r>
          </w:p>
        </w:tc>
      </w:tr>
      <w:tr>
        <w:trPr>
          <w:trHeight w:val="256"/>
        </w:trPr>
        <w:tc>
          <w:tcPr>
            <w:tcW w:w="3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October 2, 2025</w:t>
            </w:r>
            <w:r>
              <w:rPr>
                <w:rFonts w:ascii="Times New Roman" w:cs="Times New Roman" w:eastAsia="Times New Roman" w:hAnsi="Times New Roman"/>
                <w:sz w:val="29"/>
                <w:szCs w:val="29"/>
                <w:color w:val="auto"/>
                <w:w w:val="96"/>
                <w:vertAlign w:val="superscript"/>
              </w:rPr>
              <w:t>(5)</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683,452</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$8.26</w:t>
            </w:r>
          </w:p>
        </w:tc>
      </w:tr>
      <w:tr>
        <w:trPr>
          <w:trHeight w:val="257"/>
        </w:trPr>
        <w:tc>
          <w:tcPr>
            <w:tcW w:w="34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October 3, 2025</w:t>
            </w:r>
            <w:r>
              <w:rPr>
                <w:rFonts w:ascii="Times New Roman" w:cs="Times New Roman" w:eastAsia="Times New Roman" w:hAnsi="Times New Roman"/>
                <w:sz w:val="29"/>
                <w:szCs w:val="29"/>
                <w:color w:val="auto"/>
                <w:w w:val="96"/>
                <w:vertAlign w:val="superscript"/>
              </w:rPr>
              <w:t>(5)</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w w:val="95"/>
              </w:rPr>
              <w:t>116,859</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$8.35</w:t>
            </w:r>
          </w:p>
        </w:tc>
      </w:tr>
      <w:tr>
        <w:trPr>
          <w:trHeight w:val="257"/>
        </w:trPr>
        <w:tc>
          <w:tcPr>
            <w:tcW w:w="3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October 6, 2025</w:t>
            </w:r>
            <w:r>
              <w:rPr>
                <w:rFonts w:ascii="Times New Roman" w:cs="Times New Roman" w:eastAsia="Times New Roman" w:hAnsi="Times New Roman"/>
                <w:sz w:val="29"/>
                <w:szCs w:val="29"/>
                <w:color w:val="auto"/>
                <w:w w:val="96"/>
                <w:vertAlign w:val="superscript"/>
              </w:rPr>
              <w:t>(5)</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165,171</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$8.44</w:t>
            </w:r>
          </w:p>
        </w:tc>
      </w:tr>
      <w:tr>
        <w:trPr>
          <w:trHeight w:val="257"/>
        </w:trPr>
        <w:tc>
          <w:tcPr>
            <w:tcW w:w="34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October 8, 2025</w:t>
            </w:r>
            <w:r>
              <w:rPr>
                <w:rFonts w:ascii="Times New Roman" w:cs="Times New Roman" w:eastAsia="Times New Roman" w:hAnsi="Times New Roman"/>
                <w:sz w:val="29"/>
                <w:szCs w:val="29"/>
                <w:color w:val="auto"/>
                <w:w w:val="96"/>
                <w:vertAlign w:val="superscript"/>
              </w:rPr>
              <w:t>(5)</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185,816</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$8.63</w:t>
            </w:r>
          </w:p>
        </w:tc>
      </w:tr>
      <w:tr>
        <w:trPr>
          <w:trHeight w:val="257"/>
        </w:trPr>
        <w:tc>
          <w:tcPr>
            <w:tcW w:w="3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October 20, 2025</w:t>
            </w:r>
            <w:r>
              <w:rPr>
                <w:rFonts w:ascii="Times New Roman" w:cs="Times New Roman" w:eastAsia="Times New Roman" w:hAnsi="Times New Roman"/>
                <w:sz w:val="29"/>
                <w:szCs w:val="29"/>
                <w:color w:val="auto"/>
                <w:w w:val="95"/>
                <w:vertAlign w:val="superscript"/>
              </w:rPr>
              <w:t>(5)</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364,003</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$8.43</w:t>
            </w:r>
          </w:p>
        </w:tc>
      </w:tr>
      <w:tr>
        <w:trPr>
          <w:trHeight w:val="256"/>
        </w:trPr>
        <w:tc>
          <w:tcPr>
            <w:tcW w:w="34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October 31, 2025</w:t>
            </w:r>
            <w:r>
              <w:rPr>
                <w:rFonts w:ascii="Times New Roman" w:cs="Times New Roman" w:eastAsia="Times New Roman" w:hAnsi="Times New Roman"/>
                <w:sz w:val="29"/>
                <w:szCs w:val="29"/>
                <w:color w:val="auto"/>
                <w:w w:val="95"/>
                <w:vertAlign w:val="superscript"/>
              </w:rPr>
              <w:t>(7)</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22,277,750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$9.07</w:t>
            </w:r>
          </w:p>
        </w:tc>
      </w:tr>
      <w:tr>
        <w:trPr>
          <w:trHeight w:val="257"/>
        </w:trPr>
        <w:tc>
          <w:tcPr>
            <w:tcW w:w="3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October 31, 2025</w:t>
            </w:r>
            <w:r>
              <w:rPr>
                <w:rFonts w:ascii="Times New Roman" w:cs="Times New Roman" w:eastAsia="Times New Roman" w:hAnsi="Times New Roman"/>
                <w:sz w:val="29"/>
                <w:szCs w:val="29"/>
                <w:color w:val="auto"/>
                <w:w w:val="95"/>
                <w:vertAlign w:val="superscript"/>
              </w:rPr>
              <w:t>(8)</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9,049,138</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$11.35</w:t>
            </w:r>
          </w:p>
        </w:tc>
      </w:tr>
      <w:tr>
        <w:trPr>
          <w:trHeight w:val="257"/>
        </w:trPr>
        <w:tc>
          <w:tcPr>
            <w:tcW w:w="34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October 31, 2025</w:t>
            </w:r>
            <w:r>
              <w:rPr>
                <w:rFonts w:ascii="Times New Roman" w:cs="Times New Roman" w:eastAsia="Times New Roman" w:hAnsi="Times New Roman"/>
                <w:sz w:val="29"/>
                <w:szCs w:val="29"/>
                <w:color w:val="auto"/>
                <w:w w:val="95"/>
                <w:vertAlign w:val="superscript"/>
              </w:rPr>
              <w:t>(9)</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4,605,500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Pre-Funded Warrants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$0.000014</w:t>
            </w: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2025</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3,564,440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November 14, 2025</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w w:val="96"/>
              </w:rPr>
              <w:t>48,240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13,430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$11.65</w:t>
            </w:r>
          </w:p>
        </w:tc>
      </w:tr>
      <w:tr>
        <w:trPr>
          <w:trHeight w:val="257"/>
        </w:trPr>
        <w:tc>
          <w:tcPr>
            <w:tcW w:w="34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January 6, 2026</w:t>
            </w:r>
            <w:r>
              <w:rPr>
                <w:rFonts w:ascii="Times New Roman" w:cs="Times New Roman" w:eastAsia="Times New Roman" w:hAnsi="Times New Roman"/>
                <w:sz w:val="29"/>
                <w:szCs w:val="29"/>
                <w:color w:val="auto"/>
                <w:w w:val="94"/>
                <w:vertAlign w:val="superscript"/>
              </w:rPr>
              <w:t>(10)</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141,664</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shd w:val="clear" w:color="auto" w:fill="E6EFFF"/>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10, 2026</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975,000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February 10, 2026</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325,000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Performance Share Units</w:t>
            </w:r>
          </w:p>
        </w:tc>
        <w:tc>
          <w:tcPr>
            <w:tcW w:w="2420" w:type="dxa"/>
            <w:vAlign w:val="bottom"/>
            <w:shd w:val="clear" w:color="auto" w:fill="E6EFFF"/>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3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20, 2026</w:t>
            </w:r>
            <w:r>
              <w:rPr>
                <w:rFonts w:ascii="Times New Roman" w:cs="Times New Roman" w:eastAsia="Times New Roman" w:hAnsi="Times New Roman"/>
                <w:sz w:val="29"/>
                <w:szCs w:val="29"/>
                <w:color w:val="auto"/>
                <w:w w:val="95"/>
                <w:vertAlign w:val="superscript"/>
              </w:rPr>
              <w:t>(10)</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30,763</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w w:val="96"/>
              </w:rPr>
              <w:t>25,000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420" w:type="dxa"/>
            <w:vAlign w:val="bottom"/>
            <w:shd w:val="clear" w:color="auto" w:fill="E6EFFF"/>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2026</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35,000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34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March 11, 2026</w:t>
            </w:r>
            <w:r>
              <w:rPr>
                <w:rFonts w:ascii="Times New Roman" w:cs="Times New Roman" w:eastAsia="Times New Roman" w:hAnsi="Times New Roman"/>
                <w:sz w:val="29"/>
                <w:szCs w:val="29"/>
                <w:color w:val="auto"/>
                <w:w w:val="94"/>
                <w:vertAlign w:val="superscript"/>
              </w:rPr>
              <w:t>(11)</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765,250</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shd w:val="clear" w:color="auto" w:fill="E6EFFF"/>
          </w:tcPr>
          <w:p>
            <w:pPr>
              <w:jc w:val="center"/>
              <w:ind w:right="270"/>
              <w:spacing w:after="0"/>
              <w:rPr>
                <w:sz w:val="20"/>
                <w:szCs w:val="20"/>
                <w:color w:val="auto"/>
              </w:rPr>
            </w:pPr>
            <w:r>
              <w:rPr>
                <w:rFonts w:ascii="Times New Roman" w:cs="Times New Roman" w:eastAsia="Times New Roman" w:hAnsi="Times New Roman"/>
                <w:sz w:val="18"/>
                <w:szCs w:val="18"/>
                <w:color w:val="auto"/>
              </w:rPr>
              <w:t>$9.07</w:t>
            </w:r>
          </w:p>
        </w:tc>
      </w:tr>
      <w:tr>
        <w:trPr>
          <w:trHeight w:val="257"/>
        </w:trPr>
        <w:tc>
          <w:tcPr>
            <w:tcW w:w="3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March 18, 2026</w:t>
            </w:r>
            <w:r>
              <w:rPr>
                <w:rFonts w:ascii="Times New Roman" w:cs="Times New Roman" w:eastAsia="Times New Roman" w:hAnsi="Times New Roman"/>
                <w:sz w:val="29"/>
                <w:szCs w:val="29"/>
                <w:color w:val="auto"/>
                <w:w w:val="94"/>
                <w:vertAlign w:val="superscript"/>
              </w:rPr>
              <w:t>(11)</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799,996</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34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April 10, 2026</w:t>
            </w:r>
          </w:p>
        </w:tc>
        <w:tc>
          <w:tcPr>
            <w:tcW w:w="2360" w:type="dxa"/>
            <w:vAlign w:val="bottom"/>
            <w:shd w:val="clear" w:color="auto" w:fill="E6EFFF"/>
          </w:tcPr>
          <w:p>
            <w:pPr>
              <w:jc w:val="center"/>
              <w:ind w:left="190"/>
              <w:spacing w:after="0"/>
              <w:rPr>
                <w:sz w:val="20"/>
                <w:szCs w:val="20"/>
                <w:color w:val="auto"/>
              </w:rPr>
            </w:pPr>
            <w:r>
              <w:rPr>
                <w:rFonts w:ascii="Times New Roman" w:cs="Times New Roman" w:eastAsia="Times New Roman" w:hAnsi="Times New Roman"/>
                <w:sz w:val="18"/>
                <w:szCs w:val="18"/>
                <w:color w:val="auto"/>
              </w:rPr>
              <w:t>250,438</w:t>
            </w:r>
          </w:p>
        </w:tc>
        <w:tc>
          <w:tcPr>
            <w:tcW w:w="3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420" w:type="dxa"/>
            <w:vAlign w:val="bottom"/>
            <w:shd w:val="clear" w:color="auto" w:fill="E6EFFF"/>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39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June 17, 2026</w:t>
            </w:r>
            <w:r>
              <w:rPr>
                <w:rFonts w:ascii="Times New Roman" w:cs="Times New Roman" w:eastAsia="Times New Roman" w:hAnsi="Times New Roman"/>
                <w:sz w:val="29"/>
                <w:szCs w:val="29"/>
                <w:color w:val="auto"/>
                <w:w w:val="94"/>
                <w:vertAlign w:val="superscript"/>
              </w:rPr>
              <w:t>(11)</w:t>
            </w:r>
          </w:p>
        </w:tc>
        <w:tc>
          <w:tcPr>
            <w:tcW w:w="2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42,994</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$9.07</w:t>
            </w:r>
          </w:p>
        </w:tc>
      </w:tr>
    </w:tbl>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8" w:lineRule="exact"/>
        <w:rPr>
          <w:sz w:val="20"/>
          <w:szCs w:val="20"/>
          <w:color w:val="auto"/>
        </w:rPr>
      </w:pPr>
    </w:p>
    <w:p>
      <w:pPr>
        <w:ind w:left="700" w:hanging="368"/>
        <w:spacing w:after="0"/>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ind w:left="660" w:hanging="328"/>
        <w:spacing w:after="0" w:line="230" w:lineRule="auto"/>
        <w:tabs>
          <w:tab w:leader="none" w:pos="70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2026, being US$1.00 = C$1.3939.</w:t>
      </w:r>
    </w:p>
    <w:p>
      <w:pPr>
        <w:spacing w:after="0" w:line="1" w:lineRule="exact"/>
        <w:rPr>
          <w:rFonts w:ascii="Times New Roman" w:cs="Times New Roman" w:eastAsia="Times New Roman" w:hAnsi="Times New Roman"/>
          <w:sz w:val="22"/>
          <w:szCs w:val="22"/>
          <w:color w:val="auto"/>
        </w:rPr>
      </w:pPr>
    </w:p>
    <w:p>
      <w:pPr>
        <w:ind w:left="700" w:hanging="368"/>
        <w:spacing w:after="0" w:line="230" w:lineRule="auto"/>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ind w:left="660" w:right="20" w:hanging="328"/>
        <w:spacing w:after="0" w:line="230" w:lineRule="auto"/>
        <w:tabs>
          <w:tab w:leader="none" w:pos="70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the Conversion Price (as defined in the Securities Purchase Agreement).</w:t>
      </w:r>
    </w:p>
    <w:p>
      <w:pPr>
        <w:spacing w:after="0" w:line="1" w:lineRule="exact"/>
        <w:rPr>
          <w:rFonts w:ascii="Times New Roman" w:cs="Times New Roman" w:eastAsia="Times New Roman" w:hAnsi="Times New Roman"/>
          <w:sz w:val="22"/>
          <w:szCs w:val="22"/>
          <w:color w:val="auto"/>
        </w:rPr>
      </w:pPr>
    </w:p>
    <w:p>
      <w:pPr>
        <w:ind w:left="700" w:hanging="368"/>
        <w:spacing w:after="0" w:line="230" w:lineRule="auto"/>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conversion of the Convertible Debentures.</w:t>
      </w:r>
    </w:p>
    <w:p>
      <w:pPr>
        <w:ind w:left="700" w:hanging="368"/>
        <w:spacing w:after="0" w:line="230" w:lineRule="auto"/>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certain options to purchase Common Shares.</w:t>
      </w:r>
    </w:p>
    <w:p>
      <w:pPr>
        <w:ind w:left="700" w:hanging="368"/>
        <w:spacing w:after="0" w:line="230" w:lineRule="auto"/>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October 2025 Offering.</w:t>
      </w:r>
    </w:p>
    <w:p>
      <w:pPr>
        <w:ind w:left="700" w:hanging="368"/>
        <w:spacing w:after="0" w:line="230" w:lineRule="auto"/>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 purchase warrants issued in connection with the October 2025 Offering.</w:t>
      </w:r>
    </w:p>
    <w:p>
      <w:pPr>
        <w:ind w:left="700" w:hanging="368"/>
        <w:spacing w:after="0" w:line="230" w:lineRule="auto"/>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2025 Pre-Funded Warrants issued in connection with the October 2025 Offering.</w:t>
      </w:r>
    </w:p>
    <w:p>
      <w:pPr>
        <w:ind w:left="720" w:hanging="388"/>
        <w:spacing w:after="0" w:line="230" w:lineRule="auto"/>
        <w:tabs>
          <w:tab w:leader="none" w:pos="7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settlement of Restricted Share Units.</w:t>
      </w:r>
    </w:p>
    <w:p>
      <w:pPr>
        <w:jc w:val="both"/>
        <w:ind w:left="660" w:hanging="328"/>
        <w:spacing w:after="0" w:line="234" w:lineRule="auto"/>
        <w:tabs>
          <w:tab w:leader="none" w:pos="71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the 2025 Pre-Funded Warrants. The 2025 Pre-Funded Warrants were issued at a price of US$6.50999 per 2025 Pre-Funded Warrant and have an exercise price of US$0.00001 per Common Share, resulting in an effective purchase price of US$6.51 per Common Share. Based on the average exchange rate posted by the Bank of Canada for the year ended March 31, 2026, this represents approximately $9.07 per Common Share.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Offered Shares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the Corporation's Annual Information Form and the Interim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i w:val="1"/>
          <w:iCs w:val="1"/>
          <w:color w:val="auto"/>
        </w:rPr>
        <w:t>Litigation Risk</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the date of this Prospectus Supplement, no litigation or class proceedings have been commenced or certified. Should any litigation or class actions that the Corporation becomes involved in be unable to be resolved favourably or if any claims or litigation are determined against the Corporation, the Corporation's financial position, operating results and the trading price of the Common Shares could be materially adversely affected.</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be exposed to securities class action investigations or proceedings, especially following share price volatility or public disclosures. These proceedings could allege violations of securities laws or misrepresentations. Defending such claims is potentially costly and time-consuming and may lead to significant monetary judgments, settlements, or regulatory penalties. Any liability exceeding insurance coverage could materially and adversely affect the Corporation's business, financial condition, and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Application and Interpretation of Tax Laws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i w:val="1"/>
          <w:iCs w:val="1"/>
          <w:color w:val="auto"/>
        </w:rPr>
        <w:t>Dilution</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Corporation may issue additional Common Shares in subsequent offerings (including through the sale of securities convertible into or exchangeable for Common Shares) and on the exercise of stock options or other securities exercisable for Common Shares. The Corporation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including as a result of issuances under the Equity Incentive Plan, convertible or exchangeable securities, or other corporate arrangements, including the Corporation's shareholder rights plan. See </w:t>
      </w:r>
      <w:r>
        <w:rPr>
          <w:rFonts w:ascii="Times New Roman" w:cs="Times New Roman" w:eastAsia="Times New Roman" w:hAnsi="Times New Roman"/>
          <w:sz w:val="22"/>
          <w:szCs w:val="22"/>
          <w:i w:val="1"/>
          <w:iCs w:val="1"/>
          <w:color w:val="auto"/>
        </w:rPr>
        <w:t>"Risk Factors - Additional Capital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Cash Flow from Operating Activities and Going Concern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Additional Capital Requirements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a research and development company, the Corporation expects to spend substantial funds to continue the research, development and testing of its prescription drug product candidates and to prepare to commercialize products subject to applicable regulatory approval. Substantial additional financing may be required if the Corporation is to be successful in continuing to develop its business and its products. No assurances can be given that the Corporation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Corporation, if at all. If the Corporation is unable to obtain additional financing as needed, it may be required to reduce the scope of its operations or anticipated expansion. The Corporation's ability to successfully raise additional capital and maintain liquidity may by impaired by factors outside of its control, such as a shift in consumer attitudes towards certain therapeutic methods or a downturn in the economy.</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Heightened regulatory scrutiny could have a negative impact on the Corporation's ability to raise capital. The Corporation's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Corporation's current or any future products may adversely affect the Corporation's business and operations, including without limitation, the Corporation's ability to raise additional capital.</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Corporation may encounter unforeseen expenses, difficulties, complications, delays and other known or unknown factors in achieving its business objectives. The Corporation will eventually need to transition from a company with a development focus to a company capable of supporting commercial activities. The Corporation may not be successful in such a transition.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the Common Shares</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There can be no assurance that an active trading market for the Common Shares will develop or, if developed, that any market will be sustained. The Corporation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Corporation or its competitors; (ii) price and volume fluctuations in the overall stock market from time to time; (iii) significant volatility in the market price and trading volume of companies commercializing serotonergic agonist pharmaceuticals; (iv) fluctuations in the trading volume of the Common Shares or the size of the Corporation's public float; (v) actual or anticipated changes or fluctuations in the Corporation's results of operations; (vi) whether the Corporation's results of operations meet the expectations of securities analysts or investors; (vii) actual or anticipated changes in the expectations of investors or securities analysts; (viii) litigation involving the Corporation, its industry, or both; (ix) regulatory developments; (x) general economic conditions and trends; (xi) major catastrophic events; (xii) escrow releases, sales of large blocks of the Common Shares; (xiii) departures of key employees or members of management; or</w:t>
      </w:r>
    </w:p>
    <w:p>
      <w:pPr>
        <w:spacing w:after="0" w:line="6" w:lineRule="exact"/>
        <w:rPr>
          <w:sz w:val="20"/>
          <w:szCs w:val="20"/>
          <w:color w:val="auto"/>
        </w:rPr>
      </w:pPr>
    </w:p>
    <w:p>
      <w:pPr>
        <w:ind w:left="5420" w:right="4040" w:hanging="5412"/>
        <w:spacing w:after="0" w:line="402" w:lineRule="auto"/>
        <w:tabs>
          <w:tab w:leader="none" w:pos="4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adverse impact on the Corporation from any of the other risks cited herein. 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i w:val="1"/>
          <w:iCs w:val="1"/>
          <w:color w:val="auto"/>
        </w:rPr>
        <w:t>Significant Sales of Common Shares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Although Common Shares held by existing shareholders of the Corporation will be freely tradable under applicable securities legislation, the Common Shares held by the Corporation's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Volatile Market Price of the Common Shares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and the United States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"Cautionary Statement Regarding Forward-Looking Information". In addition, the market price for securities on stock markets, including Cboe Canada and Nasdaq,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 Investment in the Securities is Highly Speculative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 investment in the securities of the Corporation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i w:val="1"/>
          <w:iCs w:val="1"/>
          <w:color w:val="auto"/>
        </w:rPr>
        <w:t>Completion of the Offering</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completion of the Offering is subject to the completion of definitive binding documentation and satisfaction of a number of conditions. There can be no certainty that the Offering will be completed.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in the Use of Proceeds from the Offering</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Positive Return Not Guaranteed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Listing of the Offered Shares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Corporation has applied to list the Offered Shares on Cboe Canada and has submitted a Listing of Additional Shares Notification Form related to the Offered Shares to Nasdaq. Any potential listing remains subject to the approval of Cboe Canada and the satisfaction of all applicable regulatory requirements. No assurance can be given that the application will be approved.</w:t>
      </w:r>
    </w:p>
    <w:p>
      <w:pPr>
        <w:spacing w:after="0" w:line="1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The Corporation expects to be a "passive foreign investment company", which may have adverse U.S. federal income tax consequences for U.S. Holders</w:t>
      </w:r>
    </w:p>
    <w:p>
      <w:pPr>
        <w:spacing w:after="0" w:line="1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Based on current business plans and financial expectations, the Corporation expects to be classified as a "passive foreign investment company" (a "</w:t>
      </w:r>
      <w:r>
        <w:rPr>
          <w:rFonts w:ascii="Times New Roman" w:cs="Times New Roman" w:eastAsia="Times New Roman" w:hAnsi="Times New Roman"/>
          <w:sz w:val="21"/>
          <w:szCs w:val="21"/>
          <w:b w:val="1"/>
          <w:bCs w:val="1"/>
          <w:color w:val="auto"/>
        </w:rPr>
        <w:t>PFIC</w:t>
      </w:r>
      <w:r>
        <w:rPr>
          <w:rFonts w:ascii="Times New Roman" w:cs="Times New Roman" w:eastAsia="Times New Roman" w:hAnsi="Times New Roman"/>
          <w:sz w:val="21"/>
          <w:szCs w:val="21"/>
          <w:color w:val="auto"/>
        </w:rPr>
        <w:t>") within the meaning of Section 1297(a) of the U.S.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for its current tax year and may be classified as a PFIC in future tax years. If the Corporation is classified as a PFIC for any tax year during a U.S. Holder's (as defined herein) holding period of Offered Shares, then such U.S. Holder generally will be required to treat any gain realized upon a disposition of Offered Shares and any so-called "excess distribution" received on its Offered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altered if a U.S. Holder makes a timely and effective QEF Election (as defined herein) with respect to the Corporation or a Mark-to-Market Election (as defined herein) with respect to the Offered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Offered Shares over the U.S. Holder's adjusted basis therein. This paragraph is qualified in its entirety by the discussion below under the heading "</w:t>
      </w:r>
      <w:r>
        <w:rPr>
          <w:rFonts w:ascii="Times New Roman" w:cs="Times New Roman" w:eastAsia="Times New Roman" w:hAnsi="Times New Roman"/>
          <w:sz w:val="21"/>
          <w:szCs w:val="21"/>
          <w:i w:val="1"/>
          <w:iCs w:val="1"/>
          <w:color w:val="auto"/>
        </w:rPr>
        <w:t>Certain United States Federal Income Tax Considerations to U.S. Holders</w:t>
      </w:r>
    </w:p>
    <w:p>
      <w:pPr>
        <w:spacing w:after="0" w:line="1" w:lineRule="exact"/>
        <w:rPr>
          <w:sz w:val="20"/>
          <w:szCs w:val="20"/>
          <w:color w:val="auto"/>
        </w:rPr>
      </w:pPr>
    </w:p>
    <w:p>
      <w:pPr>
        <w:ind w:firstLine="8"/>
        <w:spacing w:after="0" w:line="237" w:lineRule="auto"/>
        <w:tabs>
          <w:tab w:leader="none" w:pos="137" w:val="left"/>
        </w:tabs>
        <w:numPr>
          <w:ilvl w:val="0"/>
          <w:numId w:val="2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Passive Foreign Investment Company Rules</w:t>
      </w:r>
      <w:r>
        <w:rPr>
          <w:rFonts w:ascii="Times New Roman" w:cs="Times New Roman" w:eastAsia="Times New Roman" w:hAnsi="Times New Roman"/>
          <w:sz w:val="22"/>
          <w:szCs w:val="22"/>
          <w:color w:val="auto"/>
        </w:rPr>
        <w:t>." Each potential investor who is a U.S. Holder should consult its own tax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tax consequences of the PFIC rules and the acquisition, ownership, and disposition of the Offered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Corporation May Lose "Foreign Private Issuer" Status in the Future</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order to maintain the Corporation's current status as a "foreign private issuer", a majority of the Corporation's Common Shares must be either directly or indirectly held of record by non-residents of the United States unless the Corporation also satisfies one of the additional requirements necessary to preserve this status. The Corporation may in the future lose its foreign private issuer status if a majority of the Common Shares are held of record by United States residents and the Corporation fails to meet the additional requirements necessary to avoid loss of foreign private issuer status. The regulatory and compliance costs to the Corporation under U.S. federal securities laws as a U.S. domestic issuer may be significantly more than the costs it incurs as a Canadian foreign private issuer eligible to use the MJDS. If the Corporation is not a foreign private issuer, it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 Additionally, the Corporation may lose the ability to rely upon exemptions from Nasdaq corporate governance requirements that are available to foreign private issuers.</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following is, as of the date of this Prospectus Supplement, a summary of the principal Canadian federal income tax considerations under the Tax Act, generally applicable to the acquisition, holding and disposition of Offered Shares by a holder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 who acquires, as beneficial owner, Offered Shares pursuant to this Prospectus Supplement. For the purposes of this summary, the term "Common Shares" shall also include the Offered Shares, unless the context otherwise requires. This summary is applicable to a Holder who, for the purposes of the Tax Act and at all relevant times, holds the Offered Shares as capital property and deals at arm's length and is not affiliated with the Corporation, the Underwriters and any subsequent purchaser of such securities. Generally, the Common Shares will be considered to be capital property to a Holder, provided the Holder does not hold or use the Common Shares in the course of carrying on a business of trading or dealing in securities and such Holder has not acquired them in one or more transactions considered to be an adventure or concern in the nature of trade.</w:t>
      </w:r>
    </w:p>
    <w:p>
      <w:pPr>
        <w:spacing w:after="0" w:line="1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the Common Shares. In addition, this summary does not address the deductibility of interest by a Holder who has borrowed money or otherwise incurred debt in connection with the acquisition of the Common Shares.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3" w:name="page34"/>
    <w:bookmarkEnd w:id="33"/>
    <w:p>
      <w:pPr>
        <w:jc w:val="both"/>
        <w:spacing w:after="0" w:line="251" w:lineRule="auto"/>
        <w:rPr>
          <w:sz w:val="20"/>
          <w:szCs w:val="20"/>
          <w:color w:val="auto"/>
        </w:rPr>
      </w:pPr>
      <w:r>
        <w:rPr>
          <w:rFonts w:ascii="Times New Roman" w:cs="Times New Roman" w:eastAsia="Times New Roman" w:hAnsi="Times New Roman"/>
          <w:sz w:val="21"/>
          <w:szCs w:val="21"/>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Common Shares, controlled by a non-resident person, or group of non-resident persons that do not deal at arm's length with each other, for purposes of the "foreign affiliate dumping" rules in section 212.3 of the Tax Act. Such Holders should consult their tax advisors.</w:t>
      </w:r>
    </w:p>
    <w:p>
      <w:pPr>
        <w:spacing w:after="0" w:line="1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Common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any other currency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Acquisition of Common Shares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When Common Shares (including an Offered Share) are acquired by a Holder who already owns Common Shares, the cost of newly acquired Common Shares will be averaged with the adjusted cost base of all Common Shares owned by the Holder as capital property before that time for the purpose of determining the Holder's adjusted cost base of all Common Shares held by such person.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Resident Holders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applies to Holders who, for the purposes of the Tax Act and any applicable income tax treaty or convention, are or are deemed to be resident in Canada at all relevant times (herein, "</w:t>
      </w:r>
      <w:r>
        <w:rPr>
          <w:rFonts w:ascii="Times New Roman" w:cs="Times New Roman" w:eastAsia="Times New Roman" w:hAnsi="Times New Roman"/>
          <w:sz w:val="22"/>
          <w:szCs w:val="22"/>
          <w:b w:val="1"/>
          <w:bCs w:val="1"/>
          <w:color w:val="auto"/>
        </w:rPr>
        <w:t>Resident Holders</w:t>
      </w:r>
      <w:r>
        <w:rPr>
          <w:rFonts w:ascii="Times New Roman" w:cs="Times New Roman" w:eastAsia="Times New Roman" w:hAnsi="Times New Roman"/>
          <w:sz w:val="22"/>
          <w:szCs w:val="22"/>
          <w:color w:val="auto"/>
        </w:rPr>
        <w:t>"). Certain Resident Holders whose Common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Resident Holders contemplating making such an election should consult their own tax advisors for advice as to whether it is available and, if available, whether it is advisable in their particular circumstances.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i w:val="1"/>
          <w:iCs w:val="1"/>
          <w:color w:val="auto"/>
        </w:rPr>
        <w:t>Dividends</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dividend received or deemed to be received on the Common Shares held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the Resident Holder's taxable income for the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Resident Holder who disposes, or is deemed to dispose, a Common Share (other than a disposition to the Corporation that is not a sale in the open market in the manner in which shares would normally be purchased by any member of the public in an open market) will generally realize a capital gain (or capital loss) equal to the amount, if any, by which the proceeds of disposition, net of any reasonable costs of disposition, exceed (or are exceeded by) the aggregate of the adjusted cost base to the Resident Holder of such Common Shares immediately before the disposition or deemed disposition. The taxation of capital gains and losses is generally described below under the heading "</w:t>
      </w:r>
      <w:r>
        <w:rPr>
          <w:rFonts w:ascii="Times New Roman" w:cs="Times New Roman" w:eastAsia="Times New Roman" w:hAnsi="Times New Roman"/>
          <w:sz w:val="22"/>
          <w:szCs w:val="22"/>
          <w:i w:val="1"/>
          <w:iCs w:val="1"/>
          <w:color w:val="auto"/>
        </w:rPr>
        <w:t>Capital Gains and Capital Losses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 Gains and Capital Losses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Generally, a Resident Holder is required to include in computing income for a taxation year one-half of the amount of any capital gain (a "</w:t>
      </w:r>
      <w:r>
        <w:rPr>
          <w:rFonts w:ascii="Times New Roman" w:cs="Times New Roman" w:eastAsia="Times New Roman" w:hAnsi="Times New Roman"/>
          <w:sz w:val="22"/>
          <w:szCs w:val="22"/>
          <w:b w:val="1"/>
          <w:bCs w:val="1"/>
          <w:color w:val="auto"/>
        </w:rPr>
        <w:t>taxable capital gain</w:t>
      </w:r>
      <w:r>
        <w:rPr>
          <w:rFonts w:ascii="Times New Roman" w:cs="Times New Roman" w:eastAsia="Times New Roman" w:hAnsi="Times New Roman"/>
          <w:sz w:val="22"/>
          <w:szCs w:val="22"/>
          <w:color w:val="auto"/>
        </w:rPr>
        <w:t>") realized by the Resident Holder in such taxation year. Subject to and in accordance with the rules contained in the Tax Act, a Resident Holder is required to deduct one-half of the amount of any capital loss (an "</w:t>
      </w:r>
      <w:r>
        <w:rPr>
          <w:rFonts w:ascii="Times New Roman" w:cs="Times New Roman" w:eastAsia="Times New Roman" w:hAnsi="Times New Roman"/>
          <w:sz w:val="22"/>
          <w:szCs w:val="22"/>
          <w:b w:val="1"/>
          <w:bCs w:val="1"/>
          <w:color w:val="auto"/>
        </w:rPr>
        <w:t>allowable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capital loss</w:t>
      </w:r>
      <w:r>
        <w:rPr>
          <w:rFonts w:ascii="Times New Roman" w:cs="Times New Roman" w:eastAsia="Times New Roman" w:hAnsi="Times New Roman"/>
          <w:sz w:val="22"/>
          <w:szCs w:val="22"/>
          <w:color w:val="auto"/>
        </w:rPr>
        <w:t>") realized in a particular taxation year against taxable capital gains realized by the Resident Holder in the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5" w:name="page36"/>
    <w:bookmarkEnd w:id="35"/>
    <w:p>
      <w:pPr>
        <w:jc w:val="both"/>
        <w:spacing w:after="0" w:line="236" w:lineRule="auto"/>
        <w:rPr>
          <w:sz w:val="20"/>
          <w:szCs w:val="20"/>
          <w:color w:val="auto"/>
        </w:rPr>
      </w:pPr>
      <w:r>
        <w:rPr>
          <w:rFonts w:ascii="Times New Roman" w:cs="Times New Roman" w:eastAsia="Times New Roman" w:hAnsi="Times New Roman"/>
          <w:sz w:val="22"/>
          <w:szCs w:val="22"/>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(or on a share for which the Common Share has been substituted), to the extent and under the circumstances described in the Tax Act. Similar rules may apply where a Resident Holder that is a corporation is a member of a partnership or a beneficiary of a trust that owns Common Shares. Resident Holders to whom these rules may be relevant should consult their own tax advisors.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throughout the relevant taxation year a "Canadian-controlled private corporation" or, at any time in the year, is or is deemed to be a "substantive CCPC" (each as defined in the Tax Act) may be liable to pay an additional tax (refundable in certain circumstances) on certain investment income, including amounts in respect of net taxable capital gains. Such Resident Holders should consult their own tax advisors.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Minimum Tax</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Non-Resident Holders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is generally applicable to Holders who, at all relevant times, for the purposes of the Tax Act and any applicable income tax treaty and convention, (i) are neither resident nor deemed to be resident in Canada, and (ii) do not and will not use or hold, and are not and will not be deemed to use or hold, the Common Shares in the course of business (including an adventure or concern in the nature of trade) carried on or deemed to be carried on in Canada. Holders who meet all of the foregoing requirements are referred to herein as "</w:t>
      </w:r>
      <w:r>
        <w:rPr>
          <w:rFonts w:ascii="Times New Roman" w:cs="Times New Roman" w:eastAsia="Times New Roman" w:hAnsi="Times New Roman"/>
          <w:sz w:val="22"/>
          <w:szCs w:val="22"/>
          <w:b w:val="1"/>
          <w:bCs w:val="1"/>
          <w:color w:val="auto"/>
        </w:rPr>
        <w:t>Non-Resident Holders</w:t>
      </w:r>
      <w:r>
        <w:rPr>
          <w:rFonts w:ascii="Times New Roman" w:cs="Times New Roman" w:eastAsia="Times New Roman" w:hAnsi="Times New Roman"/>
          <w:sz w:val="22"/>
          <w:szCs w:val="22"/>
          <w:color w:val="auto"/>
        </w:rPr>
        <w:t>", and this portion of the summary only addresses such Non-Resident Holders. Special rules, which are not discussed in this summary, may apply to a Non-Resident Holder that is an insurer carrying on, or deemed to carry on, business in Canada and elsewhere or is an "authorized foreign bank" (as defined in the Tax Act). Such Non-Resident Holders should consult their own tax advisors.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Dividends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Dividends paid or credited or deemed to be paid or credited to a Non-Resident Holder by the Corporation on the Common Shares will be subject to Canadian withholding tax at the rate of 25% of the gross amount of the dividend unless such rate is reduced by the terms of an applicable tax treaty or convention between Canada and the country in which the Non-Resident Holder is resident. Under the </w:t>
      </w:r>
      <w:r>
        <w:rPr>
          <w:rFonts w:ascii="Times New Roman" w:cs="Times New Roman" w:eastAsia="Times New Roman" w:hAnsi="Times New Roman"/>
          <w:sz w:val="22"/>
          <w:szCs w:val="22"/>
          <w:i w:val="1"/>
          <w:iCs w:val="1"/>
          <w:color w:val="auto"/>
        </w:rPr>
        <w:t>Canada-United States Tax Convention (1980),</w:t>
      </w:r>
      <w:r>
        <w:rPr>
          <w:rFonts w:ascii="Times New Roman" w:cs="Times New Roman" w:eastAsia="Times New Roman" w:hAnsi="Times New Roman"/>
          <w:sz w:val="22"/>
          <w:szCs w:val="22"/>
          <w:color w:val="auto"/>
        </w:rPr>
        <w:t xml:space="preserve"> as amended (the "</w:t>
      </w:r>
      <w:r>
        <w:rPr>
          <w:rFonts w:ascii="Times New Roman" w:cs="Times New Roman" w:eastAsia="Times New Roman" w:hAnsi="Times New Roman"/>
          <w:sz w:val="22"/>
          <w:szCs w:val="22"/>
          <w:b w:val="1"/>
          <w:bCs w:val="1"/>
          <w:color w:val="auto"/>
        </w:rPr>
        <w:t>Treaty</w:t>
      </w:r>
      <w:r>
        <w:rPr>
          <w:rFonts w:ascii="Times New Roman" w:cs="Times New Roman" w:eastAsia="Times New Roman" w:hAnsi="Times New Roman"/>
          <w:sz w:val="22"/>
          <w:szCs w:val="22"/>
          <w:color w:val="auto"/>
        </w:rPr>
        <w:t>"), the rate of withholding tax on dividends paid or credited to a Non-Resident Holder who is the beneficial owner of the dividends, resident in the U.S. for purposes of the Treaty and entitled to full benefits under the Treaty (a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is generally reduced to 15% of the gross amount of the dividends (or 5% in the case of a U.S. Holder that is a company beneficially owning at least 10% of the Corporation's voting shares). Non-Resident Holders should consult their own tax advisors to determine their entitlement to benefits under any applicable tax treaty or convention based on their particular circumstances.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such Common Share constitutes (or is deemed to constitute)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Common Share will not be recognized under the Tax Act, unless the Common Share constitutes (or is deemed to constitute) "taxable Canadian property" to the Non-Resident Holder thereof for purposes of the Tax Act, and the Non-Resident Holder is not entitled to relief under the terms of an applicable tax treaty.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line="245" w:lineRule="auto"/>
        <w:rPr>
          <w:sz w:val="20"/>
          <w:szCs w:val="20"/>
          <w:color w:val="auto"/>
        </w:rPr>
      </w:pPr>
      <w:r>
        <w:rPr>
          <w:rFonts w:ascii="Times New Roman" w:cs="Times New Roman" w:eastAsia="Times New Roman" w:hAnsi="Times New Roman"/>
          <w:sz w:val="21"/>
          <w:szCs w:val="21"/>
          <w:color w:val="auto"/>
        </w:rPr>
        <w:t>Provided the Common Shares are listed on a "designated stock exchange", as defined in the Tax Act (which currently includes Cboe Canada and the Nasdaq), at the time of disposition or deemed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shares of the Corporation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may be deemed to be taxable Canadian property of a Non-Resident Holder.</w:t>
      </w:r>
    </w:p>
    <w:p>
      <w:pPr>
        <w:spacing w:after="0" w:line="13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Common Shares constitute "taxable Canadian property".</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that the Common Shares are taxable Canadian property of a Non-Resident Holder, such Non-Resident Holder may be exempt from tax under the Tax Act in respect of any capital gain arising on the disposition of such Common Shares by virtue of an applicable income tax treaty or convention. In cases where a Non-Resident Holder disposes, or is deemed to have disposed, Common Shares that are, or are deemed to be,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22"/>
          <w:szCs w:val="22"/>
          <w:i w:val="1"/>
          <w:iCs w:val="1"/>
          <w:color w:val="auto"/>
        </w:rPr>
        <w:t>Taxation of Resident Holders - Capital Gains and Capital Losses</w:t>
      </w:r>
      <w:r>
        <w:rPr>
          <w:rFonts w:ascii="Times New Roman" w:cs="Times New Roman" w:eastAsia="Times New Roman" w:hAnsi="Times New Roman"/>
          <w:sz w:val="22"/>
          <w:szCs w:val="22"/>
          <w:color w:val="auto"/>
        </w:rPr>
        <w:t>" will generally be applicable to such disposition.</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who may hold Common Shares as taxable Canadian property should consult their own tax advisors.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 TO U.S. HOLDERS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following is a general summary of certain material U.S. federal income tax considerations applicable to a U.S. Holder (as defined below) arising from and relating to the acquisition, ownership and disposition of Offered Shares acquired pursuant to the Offering under this Prospectus Supplement. This summary is for general information purposes only and does not purport to be a complete analysis or listing of all potential U.S. federal income tax considerations that may apply to a U.S. Holder arising from and relating to the Offered Shares. In addition, this summary does not take into account the individual facts and circumstances of any particular U.S. Holder that may affect the U.S. federal income tax considerations relevant to such U.S. Holder, including, without limitation, specific tax considerations applicable to a U.S. Holder under an applicable income tax treaty. Accordingly, this summary is not intended to be, and should not be construed as, legal or U.S. federal income tax advice with respect to any particular U.S. Holder. This summary does not address any U.S. federal alternative minimum tax, U.S. federal net investment income tax, U.S. federal estate and gift tax, U.S. state and local tax, or non-U.S. tax considerations applicable to U.S. Holders of the acquisition, ownership or disposition of Offered Shares. In addition, except as specifically set forth below, this summary does not discuss applicable income tax reporting requirements. Each prospective U.S. Holder should consult its own tax advisors regarding the U.S. federal, U.S. state and local, and non-U.S. tax considerations relating to the Offered Shares.</w:t>
      </w:r>
    </w:p>
    <w:p>
      <w:pPr>
        <w:spacing w:after="0" w:line="1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 ruling from the Internal Revenue Service (the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has been requested, or will be obtained, regarding the U.S. federal income tax considerations applicable to U.S. Holders discussed in this summary.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considerations described in this summary.</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under the Code, published rulings of the IRS, published administrative positions of the IRS, the current provisions of the Treaty, and U.S. court decisions that are applicable, and, in each case, as in effect and available, as of the date of this Prospectus Supplement.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summary does not discuss the potential effects, whether adverse or beneficial, of any proposed legislation that, if enacted, could be applied on a retroactive or prospective basis.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i w:val="1"/>
          <w:iCs w:val="1"/>
          <w:color w:val="auto"/>
        </w:rPr>
        <w:t>U.S. 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summary, the term "U.S. Holder" means a beneficial owner of Offered Shares acquired pursuant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 that is for U.S. federal income tax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corporation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(i) is subject to the primary supervision of a court within the United States and the control of one or more U.S. persons for all substantial decisions or (ii)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 Subject to Special U.S. Federal Income Tax Rules Not Addressed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summary does not address all U.S. federal income tax considerations that may be relevant to U.S. Holders that are subject to special provisions under the Code, including, but not limited to U.S. Holders that: (i) are tax-exempt organizations, qualified retirement plans, individual retirement accounts, or other tax-deferred accounts; (ii) are banks, financial institutions, underwriters, insurance companies, real estate investment trusts, or regulated investment companies; (iii) are broker-dealers, dealers, or traders in securities or currencies that elect to apply a mark-to-market accounting method; (iv) have a "functional currency" other than the U.S. dollar; (v) own Offered Shares as part of a straddle, hedge, conversion transaction, constructive sale, or other integrated transaction; (vi) acquire Offered Shares in connection with the exercise or cancellation of employee stock options or otherwise as compensation for services; (vii) hold Offered Shares other than as a capital asset within the meaning of Section 1221 of the Code (generally, property held for investment purposes); (viii) are subject to special tax accounting rules with respect to the Offered Shares; (ix) are partnerships, other arrangements classified as partnerships or other "pass-through" entities (and partners or other investors in such partnerships); (x) are S corporations (and shareholders thereof); (xi) are U.S. expatriates or former long-term residents of the United States; (xii) hold Offered Shares in connection with a trade or business, permanent establishment, or fixed base outside the United States; (xiii) own, have owned or will own (directly, indirectly, or by attribution) 10% or more of the total combined voting power or value of the outstanding shares of the Corporation; or (xiv) are deemed to sell Offered Shares under the constructive sale provisions of the Code. U.S. Holders that are subject to special provisions under the Code, including, but not limited to, U.S. Holders described immediately above, should consult their own tax advisors regarding the U.S. federal, U.S. state and local, and non-U.S. tax considerations applicable to the Offered Shares.</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an entity or arrangement that is classified as a partnership (or other pass-through entity) for U.S. federal income tax purposes holds Offered Shares, the U.S. federal income tax considerations applicable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considerations arising from and relating to the Offered Shares.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If the Corporation were to constitute a "passive foreign investment company" within the meaning of Section 1297(a)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for any year during a U.S. Holder's holding period, then certain potentially adverse rules would affect the U.S. federal income tax considerations applicable to a U.S. Holder as a result of the acquisition, ownership and disposition of Offered Shares. Based on current business plans and financial expectations, the Corporation expects to be classified as a PFIC for its current tax year and may be classified as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non-U.S. subsidiaries as a PFIC for the current tax year cannot be predicted with certainty as of the date of this document. Accordingly, there can be no assurance that the IRS will not challenge any determination made by the Corporation (or any non-U.S. subsidiary of the Corporation) concerning its PFIC status. If the Corporation is a PFIC for any tax year during which a U.S. Holder holds Offered Shares, the Corporation will continue to be treated as a PFIC with respect to such U.S. Holder, regardless of whether the Corporation ceases to be a PFIC in one or more subsequent tax years and regardless of whether such U.S. Holder held its Offered Shares for the entirety of any such tax year. Each U.S. Holder should consult its own tax advisors regarding the PFIC status of the Corporation and each subsidiary of the Corporation.</w:t>
      </w:r>
    </w:p>
    <w:p>
      <w:pPr>
        <w:spacing w:after="0" w:line="1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(i)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(ii)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 Cash is generally a passive asset for these purposes.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(i) held a proportionate share of the assets of such other corporation and (ii)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to the extent such items are properly allocable to the income of such related person that is not passive income.</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2"/>
          <w:szCs w:val="22"/>
          <w:b w:val="1"/>
          <w:bCs w:val="1"/>
          <w:color w:val="auto"/>
        </w:rPr>
        <w:t>Subsidiary PFIC</w:t>
      </w:r>
      <w:r>
        <w:rPr>
          <w:rFonts w:ascii="Times New Roman" w:cs="Times New Roman" w:eastAsia="Times New Roman" w:hAnsi="Times New Roman"/>
          <w:sz w:val="22"/>
          <w:szCs w:val="22"/>
          <w:color w:val="auto"/>
        </w:rPr>
        <w:t>"), and will generally be subject to U.S. federal income tax on their proportionate share of (i) any "excess distributions," as described below, on the stock of a Subsidiary PFIC and (ii)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Offered Shares. Accordingly, U.S. Holders should be aware that they could be subject to tax under the PFIC rules even if no distributions are received and no redemptions or other dispositions of Offered Shares are made.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Offered Shares, the U.S. federal income tax considerations applicable to such U.S. Holder of the acquisition, ownership, and disposition of Offered Shares, will depend on whether such U.S. Holder makes elections to treat the Corporation and each Subsidiary PFIC, if any, as a "qualified electing fund" or "QEF" under Section 1295 of the Code (each,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for the first taxable year the Corporation or Subsidiary PFIC (as applicable) is a PFIC in which the U.S. Holder holds (or is deemed to hold) Offered Shares or a QEF Election together with a "purging" election with respect to such entity, or makes a mark-to-market election under Section 1296 of the Code with respect to the Offered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"Non-Electing U.S. Holder" and will generally be subject to tax as described below.</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(i) any gain recognized on the sale or other taxable disposition of Offered Shares; and (ii) any "excess distribution" received on the Offered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Offered Shares, if shorter).</w:t>
      </w:r>
    </w:p>
    <w:p>
      <w:pPr>
        <w:spacing w:after="0" w:line="1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if the Corporation were to constitute a PFIC during a Non-Electing U.S. Holder's holding period, any gain recognized on the sale or other taxable disposition of Offered Shares (including an indirect disposition of the stock of any Subsidiary PFIC), and any "excess distribution" received on the Offered Shares (including with respect to the stock of a Subsidiary PFIC), must be ratably allocated to each day in the Non-Electing U.S. Holder's holding period for the respective Offered Shares. The amount of any such gain or excess distribution allocated to the tax year of disposition or distribution of the excess distribution and to years before the Corporation became a PFIC, if any, would be taxed as ordinary income (and not eligible for certain preferential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Corporation ceases to be a PFIC, a Non-Electing U.S. Holder may terminate this ongoing deemed PFIC status with respect to the Offered Shares by electing to recognize gain (which will be taxed under the default rules of Section 1291 of the Code discussed above), but not loss, as if such Offered Shares were sold on the last day of the last tax year for which the Corporation was a PFIC.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Offered Shares begins generally will not be subject to the default rules of Section 1291 of the Code discussed above with respect to its Offered Shares. A U.S. Holder that makes a timely and effective QEF Election will be subject to U.S. federal income tax on such U.S. Holder's pro rata share of (i) the net capital gain of the Corporation, which will be taxed as long-term capital gain to such U.S. Holder, and (ii) the ordinary earnings of the Corporation, which will be taxed as ordinary income to such U.S. Holder. Generally, "net capital gain" is the excess of (i) net long-term capital gain over (ii)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0" w:name="page41"/>
    <w:bookmarkEnd w:id="40"/>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(i) may receive a tax-free distribution from the Corporation to the extent that such distribution represents "earnings and profits", as computed for U.S. federal income tax purposes, that were previously included in income by the U.S. Holder because of such QEF Election and (ii) will adjust such U.S. Holder's tax basis in the Offered Shares to reflect the amount included in income or allowed as a tax-free distribution because of such QEF Election. In addition, a U.S. Holder that makes a timely and effective QEF Election generally will recognize capital gain or loss on the sale or other taxable disposition of the Offered Shares.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Offered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Offered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Offered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default rules of Section 1291 of the Code discussed above with respect to its Offered Shares. If a U.S. Holder makes a "purging" election, the U.S. Holder will have additional tax basis (to the extent of any gain recognized on the deemed sale) and, solely for purposes of the PFIC rules, a new holding period in the Offered Shares. If a U.S. Holder owns PFIC stock indirectly through another PFIC, separate QEF Elections must be made for the PFIC in which the U.S. Holder is a direct shareholder and the Subsidiary PFIC for the QEF rules to apply to both PFICs.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QEF Election is made on a shareholder-by-shareholder basis and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again in a later tax year, the QEF Election will still be effective and the U.S. Holder will be subject to the QEF rules described above during any subsequent tax year in which the Corporation qualifies as a PFIC.</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 Retroactive QEF elections generally may be made only by filing a protective statement with such return and if certain other conditions are met or with the consent of the IRS.</w:t>
      </w:r>
    </w:p>
    <w:p>
      <w:pPr>
        <w:spacing w:after="0" w:line="13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(i) intends to make publicly available to U.S. Holders, upon their written request, a "PFIC Annual Information Statement" for the Corporation as described in Treasury Regulations Section 1.1295-1(g) (or any successor Treasury Regulation), and (ii) upon written request, intends to use commercially reasonable efforts to provide such additional information that such U.S. Holder is reasonably required to obtain in connection with maintaining a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U.S. Holders do not obtain such required information. Each U.S. Holder should consult its own tax advisors regarding the availability of, and procedure for making, a QEF Election with respect to the Corporation and any Subsidiary PFIC.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with respect to Offered Shares only if such shares are marketable stock. The Offered Shares generally will be "marketable stock" if the Offered Shares are regularly traded on (i) a national securities exchange that is registered with the SEC, (ii) the national market system established pursuant to section 11A of the Exchange Act, or (iii) a foreign securities exchange that is regulated or supervised by a governmental authority of the country in which the market is located, provided that (a)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(b)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regarding the application of the marketable stock rules.</w:t>
      </w:r>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Offered Shares generally will not be subject to the default rules of Section 1291 of the Code discussed above with respect to such Offered Shares. However, if a U.S. Holder does not make a Mark-to-Market Election beginning in the first tax year of such U.S. Holder's holding period for the Offered Shares for which the Corporation is a PFIC and such U.S. Holder has not made a timely QEF Election, the default rules of Section 1291 of the Code discussed above will apply to certain dispositions of, and distributions on, the Offered Shares.</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will include in ordinary income, for each tax year in which the Corporation is a PFIC, an amount equal to the excess, if any, of (i) the fair market value of the Offered Shares as of the close of such tax year over (ii) such U.S. Holder's adjusted tax basis in such Offered Shares. A U.S. Holder that makes a Mark-to-Market Election will be allowed a deduction in an amount equal to the excess, if any, of (i) such U.S. Holder's adjusted tax basis in the Offered Shares, over (ii) the fair market value of such Offered Shares (but only to the extent of the net amount of previously included income as a result of the Mark-to-Market Election for prior tax years).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Offered Shares to reflect the amount included in gross income or allowed as a deduction because of such Mark-to-Market Election. In addition, upon a sale or other taxable disposition of Offered Shares, a U.S. Holder that makes a Mark-to-Market Election will recognize ordinary income or ordinary loss (not to exceed the excess, if any, of (i) the amount included in ordinary income because of such Mark-to-Market Election for prior tax years over (ii) the amount allowed as a deduction because of such Mark-to-Market Election for prior tax years). Losses that exceed this limitation are subject to the rules generally applicable to losses provided in the Code and Treasury Regulations. These amounts of ordinary income would not be eligible for the preferential tax rates applicable to qualified dividend income or long-term capital gains.</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timely Mark-to-Market Election applies to the tax year for which such Mark-to-Market Election is made and to each subsequent tax year, unless the Offered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Offered Shares, no such election may be made with respect to the stock of any Subsidiary PFIC that a U.S. Holder is treated as owning, if such stock is not itself marketable. Hence, the Mark-to-Market Election would not be effective to avoid the application of the default rules of Section 1291 of the Code described above with respect to deemed dispositions of Subsidiary PFIC stock or excess distributions from a Subsidiary PFIC to its shareholder.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Offered Shares that would otherwise be tax-deferred (e.g., gifts and exchanges pursuant to corporate reorganizations) in the event the Corporation is a PFIC during such U.S. Holder's holding period for the Offered Shares. However, the specific U.S. federal income tax consequences to a U.S. Holder may vary based on the manner in which Offered Shares are transferred.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2" w:name="page43"/>
    <w:bookmarkEnd w:id="42"/>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been promulgated and which, when promulgated, may have retroactive effect. U.S. Holders should consult their own tax advisors about the potential applicability of the proposed Treasury Regulations.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Offered Shares as security for a loan will, except as may be provided in Treasury Regulations, be treated as having made a taxable disposition of such Offered Shares.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a U.S. Holder who acquires Offered Shares from a decedent will not receive a "step up" in tax basis of such Offered Shares to fair market value unless such decedent had a timely and effective QEF Election in place.</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PFIC rules are complex, and each U.S. Holder should consult its own tax advisors regarding the PFIC rules and how the PFIC rules may affect the U.S. federal income tax consequences of the acquisition, ownership, and disposition of Offered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Offered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"Passive Foreign Investment Company Rules".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Offered Shares</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 U.S. Holder that receives a distribution, including a constructive distribution of cash or other property (other than certain distributions of Offered Shares or rights to acquire such Offered Shares), with respect to an Offered Share will be required to include the amount of such distribution in gross income as a dividend (without reduction for any Canadian income tax withheld from such distribution) to the extent of the current and accumulated "earnings and profits" of the Corporation, as computed in accordance with U.S. federal income tax principles. To the extent that a distribution exceeds the current and accumulated "earnings and profits" of the Corporation, such distribution will be treated first as a tax-free return of capital to the extent of the U.S. Holder's adjusted tax basis in the Offered Shares and thereafter as gain from the sale or exchange of such Offered Shares (see the section below entitled "</w:t>
      </w:r>
      <w:r>
        <w:rPr>
          <w:rFonts w:ascii="Times New Roman" w:cs="Times New Roman" w:eastAsia="Times New Roman" w:hAnsi="Times New Roman"/>
          <w:sz w:val="22"/>
          <w:szCs w:val="22"/>
          <w:i w:val="1"/>
          <w:iCs w:val="1"/>
          <w:color w:val="auto"/>
        </w:rPr>
        <w:t>Sale or Other Taxable Disposition of Offered Shares</w:t>
      </w:r>
      <w:r>
        <w:rPr>
          <w:rFonts w:ascii="Times New Roman" w:cs="Times New Roman" w:eastAsia="Times New Roman" w:hAnsi="Times New Roman"/>
          <w:sz w:val="22"/>
          <w:szCs w:val="22"/>
          <w:color w:val="auto"/>
        </w:rPr>
        <w:t>"). However, the Corporation does not intend to maintain calculations of its earnings and profits in accordance with U.S. federal income tax principles, and each U.S. Holder should therefore assume that any distribution by the Corporation with respect to the Offered Shares will constitute dividend income. Dividends received on the Offered Shares by corporate U.S. Holders generally will not be eligible for the "dividends received deduction" generally allowed to domestic corporations in respect of dividends received from other domestic corporations. Subject to applicable limitations and provided the Corporation is eligible for the benefits of the Treaty or the Offered Shares are readily tradable on an established securities market in the United States,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A dividend generally will be taxed to a U.S. Holder at ordinary income tax rates (rather than preferential rates for qualified dividend income to the extent otherwise applicable) if the Corporation is a PFIC for the tax year of such distribution or the preceding tax year. The dividend rules are complex, and each U.S. Holder should consult its own tax advisors regarding the application of such rules.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Offered Shares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the sale or other taxable disposition of the Offered Shares, a U.S. Holder generally will recognize capital gain or loss in an amount equal to the difference, if any, between (i) the U.S. dollar value of any cash received plus the fair market value of any property received and (ii) such U.S. Holder's adjusted tax basis in such Offered Shares sold or otherwise disposed of. A U.S. Holder's tax basis in Offered Shares generally will be such U.S. Holder's U.S. dollar cost for such Offered Shares. Any such gain or loss generally will be capital gain or loss, which will be long-term capital gain or loss if, at the time of the sale or other disposition, the Offered Shares have been held for longer than one year.</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amount of any distribution paid to a U.S. Holder in foreign currency, or on the sale, exchange or other taxable disposition of Offered Shares generally will be equal to the U.S. dollar value of such foreign currency based on the exchange rate applicable on the date of receipt or, if applicable, the date of settlement if the Offered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that use the accrual method of tax accounting. Each U.S. Holder should consult its own U.S. tax advisors regarding the U.S. federal income tax consequences of receiving, owning, and disposing of foreign currency.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Offered Shares will be treated as foreign-source income, and generally will be treated as "passive category income" or "general category income" for U.S. foreign tax credit purposes. Any gain or loss recognized on a sale or other disposition of Offered Shares generally will be U.S.-source gain or loss. Certain U.S. Holders that are eligible for the benefits of the Treaty may elect to treat such gain or loss as Canadian-source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 Tax Credit Regulations</w:t>
      </w:r>
      <w:r>
        <w:rPr>
          <w:rFonts w:ascii="Times New Roman" w:cs="Times New Roman" w:eastAsia="Times New Roman" w:hAnsi="Times New Roman"/>
          <w:sz w:val="22"/>
          <w:szCs w:val="22"/>
          <w:color w:val="auto"/>
        </w:rPr>
        <w:t>") impose additional requirements for Canadian withholding taxes to be eligible for a foreign tax credit, and there can be no assurance that those requirements will be satisfied. The Treasury Department has released guidance temporarily pausing the application of certain of the Foreign Tax Credit Regulations.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Offered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i w:val="1"/>
          <w:iCs w:val="1"/>
          <w:color w:val="auto"/>
        </w:rPr>
        <w:t>Information Reporting and Backup Withholding</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Offered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Payments made within the United States or by a U.S. payor or U.S. middleman, of dividends on, and proceeds arising from the sale or other taxable disposition of Offered Shares will generally be subject to information reporting and backup withholding tax, currently at a rate of 24%, if a U.S. Holder (i) fails to furnish such U.S. Holder's correct U.S. taxpayer identification number (generally on IRS Form W-9), (ii) furnishes an incorrect U.S. taxpayer identification number, (iii) is notified by the IRS that such U.S. Holder has previously failed to properly report items subject to backup withholding tax, or (iv)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OFFERED SHARES. U.S. HOLDERS SHOULD CONSULT THEIR OWN TAX ADVISORS AS TO THE TAX CONSIDERATIONS APPLICABLE TO THEM IN LIGHT OF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legal matters relating to the Offering and the validity of the Offered Shares offered hereby are being passed upon on behalf of the Corporation by Aird &amp; Berlis LLP, as Canadian counsel to the Corporation, and Dorsey &amp; Whitney LLP, as U.S. counsel to the Corporation, and on behalf of the Underwriters by Bennett Jones LLP, as Canadian counsel to the Underwriters, and Mintz, Levin, Cohn, Ferris, Glovsky and Popeo, P.C., as U.S. counsel to the Underwriters.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As of the date of this Prospectus Supplement, the "designated professionals" (as such term is defined in Form 51-102F2 - </w:t>
      </w:r>
      <w:r>
        <w:rPr>
          <w:rFonts w:ascii="Times New Roman" w:cs="Times New Roman" w:eastAsia="Times New Roman" w:hAnsi="Times New Roman"/>
          <w:sz w:val="22"/>
          <w:szCs w:val="22"/>
          <w:i w:val="1"/>
          <w:i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Information Form</w:t>
      </w:r>
      <w:r>
        <w:rPr>
          <w:rFonts w:ascii="Times New Roman" w:cs="Times New Roman" w:eastAsia="Times New Roman" w:hAnsi="Times New Roman"/>
          <w:sz w:val="22"/>
          <w:szCs w:val="22"/>
          <w:color w:val="auto"/>
        </w:rPr>
        <w:t>) of each of Aird &amp; Berlis LLP and Bennett Jones LLP beneficially own, directly or indirectly, less than 1%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outstanding securities of the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of its "designated professionals" (as such term is defined in Form 51-102F2 - </w:t>
      </w:r>
      <w:r>
        <w:rPr>
          <w:rFonts w:ascii="Times New Roman" w:cs="Times New Roman" w:eastAsia="Times New Roman" w:hAnsi="Times New Roman"/>
          <w:sz w:val="22"/>
          <w:szCs w:val="22"/>
          <w:i w:val="1"/>
          <w:iCs w:val="1"/>
          <w:color w:val="auto"/>
        </w:rPr>
        <w:t>Annual Information Form</w:t>
      </w:r>
      <w:r>
        <w:rPr>
          <w:rFonts w:ascii="Times New Roman" w:cs="Times New Roman" w:eastAsia="Times New Roman" w:hAnsi="Times New Roman"/>
          <w:sz w:val="22"/>
          <w:szCs w:val="22"/>
          <w:color w:val="auto"/>
        </w:rPr>
        <w:t>), had any registered or beneficial interest in any securities or other property of the Corporation at the time they audited the relevant financial statements incorporated by reference in this Prospectus Supplement or at any time thereafter.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16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corporation existing under the OBCA. Other than Aaron Bartlone, Chief Operating Officer, and Dr. Freda Lewis-Hall, a director of the Corporation,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Offered Shares who reside in the United States to effect service within the United States upon those directors, officers and experts who are not residents of the United States. It may also be difficult for holders of the Offered Shares who reside in the United States to realize upon judgments of courts of the United States predicated upon the Corporation's civil liability and the civil liability of its directors, officers and experts under the United States federal securities laws or "Blue Sky" laws of any state within the United States.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"Blue Sky" laws of any state within the United States.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Offered Shares under this Prospectus Supplement and the accompanying Base Shelf Prospectus.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19, 2025 to the Short Form Base Shelf Prospectus dated September 17, 2025</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dated September 17, 2025, as amended by this amendment, has been filed under legislation in each of the provinces and the territories of Canada that permits certain information about these securities to be determined after the short form prospectus dated September 17, 2025,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The short form base shelf prospectus dated September 17, 2025, as amended by this amendment, constitutes a public offering of these securities only in those jurisdictions where they may be lawfully offered for sale and therein only by persons permitted to sell such securities.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122555</wp:posOffset>
            </wp:positionV>
            <wp:extent cx="1543050" cy="899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$1,700,000,000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short form base shelf prospectus dated September 17, 2025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1 to increase the aggregate amount of Securities that may be offered from time to time under the Prospectus from $800,000,000 to $1,700,000,000. Capitalized terms used but not otherwise defined in this Amendment No. 1 have the meanings ascribed thereto in the Prospectus.</w:t>
      </w:r>
    </w:p>
    <w:p>
      <w:pPr>
        <w:spacing w:after="0" w:line="1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1.</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Note Regarding Forward-Looking Information</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32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"$800,000,000" contained on the face page of the Prospectus and substituting "$1,700,000,000" therefor. The first paragraph of the text on the face page of the Prospectus, as so amended, is deleted and replaced with the following:</w:t>
      </w:r>
    </w:p>
    <w:p>
      <w:pPr>
        <w:spacing w:after="0" w:line="12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1"/>
          <w:szCs w:val="21"/>
          <w:color w:val="auto"/>
        </w:rPr>
        <w:t>"This short form base shelf prospectus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relates to the offering for sale from time to time (each, an "</w:t>
      </w:r>
      <w:r>
        <w:rPr>
          <w:rFonts w:ascii="Times New Roman" w:cs="Times New Roman" w:eastAsia="Times New Roman" w:hAnsi="Times New Roman"/>
          <w:sz w:val="21"/>
          <w:szCs w:val="21"/>
          <w:b w:val="1"/>
          <w:bCs w:val="1"/>
          <w:color w:val="auto"/>
        </w:rPr>
        <w:t>Offering</w:t>
      </w:r>
      <w:r>
        <w:rPr>
          <w:rFonts w:ascii="Times New Roman" w:cs="Times New Roman" w:eastAsia="Times New Roman" w:hAnsi="Times New Roman"/>
          <w:sz w:val="21"/>
          <w:szCs w:val="21"/>
          <w:color w:val="auto"/>
        </w:rPr>
        <w:t>") by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during the 25-month period commencing on September 17, 2025, that this Prospectus, including any amendments thereto, remains valid, of up to $1,700,000,000 in the aggregate of:</w:t>
      </w:r>
    </w:p>
    <w:p>
      <w:pPr>
        <w:spacing w:after="0" w:line="2" w:lineRule="exact"/>
        <w:rPr>
          <w:sz w:val="20"/>
          <w:szCs w:val="20"/>
          <w:color w:val="auto"/>
        </w:rPr>
      </w:pPr>
    </w:p>
    <w:p>
      <w:pPr>
        <w:jc w:val="both"/>
        <w:ind w:left="660" w:hanging="4"/>
        <w:spacing w:after="0" w:line="232" w:lineRule="auto"/>
        <w:tabs>
          <w:tab w:leader="none" w:pos="93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comprised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fourth paragraph on page iii of the Prospectus, and replacing it with the following:</w:t>
      </w:r>
    </w:p>
    <w:p>
      <w:pPr>
        <w:spacing w:after="0" w:line="131"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commencing on September 17, 2025 that this Prospectus, including any amendments hereto, remains valid, up to $1,700,000,000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$238,407,547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Further, on October 31, 2025, the Corporation completed a registered direct offering of 22,277,750 Common Shares (the "</w:t>
      </w:r>
      <w:r>
        <w:rPr>
          <w:rFonts w:ascii="Times New Roman" w:cs="Times New Roman" w:eastAsia="Times New Roman" w:hAnsi="Times New Roman"/>
          <w:sz w:val="21"/>
          <w:szCs w:val="21"/>
          <w:b w:val="1"/>
          <w:bCs w:val="1"/>
          <w:color w:val="auto"/>
        </w:rPr>
        <w:t>Offered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and, in lieu of Common Shares to certain investors, 4,605,500 pre-funded Common Share purchase warrants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Pre-Funded Warrants</w:t>
      </w:r>
      <w:r>
        <w:rPr>
          <w:rFonts w:ascii="Times New Roman" w:cs="Times New Roman" w:eastAsia="Times New Roman" w:hAnsi="Times New Roman"/>
          <w:sz w:val="21"/>
          <w:szCs w:val="21"/>
          <w:color w:val="auto"/>
        </w:rPr>
        <w:t>") at a price of US$6.51 per Common Share and US$6.50999 per Pre-Funded Warrant (the "</w:t>
      </w:r>
      <w:r>
        <w:rPr>
          <w:rFonts w:ascii="Times New Roman" w:cs="Times New Roman" w:eastAsia="Times New Roman" w:hAnsi="Times New Roman"/>
          <w:sz w:val="21"/>
          <w:szCs w:val="21"/>
          <w:b w:val="1"/>
          <w:bCs w:val="1"/>
          <w:color w:val="auto"/>
        </w:rPr>
        <w:t>Registered Direct Offering</w:t>
      </w:r>
      <w:r>
        <w:rPr>
          <w:rFonts w:ascii="Times New Roman" w:cs="Times New Roman" w:eastAsia="Times New Roman" w:hAnsi="Times New Roman"/>
          <w:sz w:val="21"/>
          <w:szCs w:val="21"/>
          <w:color w:val="auto"/>
        </w:rPr>
        <w:t>"). Each Offered Share and Pre-Funded Warrant was accompanied by 0.35 of one Common Share purchase warrant (each whole warrant, an "</w:t>
      </w:r>
      <w:r>
        <w:rPr>
          <w:rFonts w:ascii="Times New Roman" w:cs="Times New Roman" w:eastAsia="Times New Roman" w:hAnsi="Times New Roman"/>
          <w:sz w:val="21"/>
          <w:szCs w:val="21"/>
          <w:b w:val="1"/>
          <w:bCs w:val="1"/>
          <w:color w:val="auto"/>
        </w:rPr>
        <w:t>October Warrant</w:t>
      </w:r>
      <w:r>
        <w:rPr>
          <w:rFonts w:ascii="Times New Roman" w:cs="Times New Roman" w:eastAsia="Times New Roman" w:hAnsi="Times New Roman"/>
          <w:sz w:val="21"/>
          <w:szCs w:val="21"/>
          <w:color w:val="auto"/>
        </w:rPr>
        <w:t>" and, together with the Offered Shares and Pre-Funded Warrants, the "</w:t>
      </w:r>
      <w:r>
        <w:rPr>
          <w:rFonts w:ascii="Times New Roman" w:cs="Times New Roman" w:eastAsia="Times New Roman" w:hAnsi="Times New Roman"/>
          <w:sz w:val="21"/>
          <w:szCs w:val="21"/>
          <w:b w:val="1"/>
          <w:bCs w:val="1"/>
          <w:color w:val="auto"/>
        </w:rPr>
        <w:t>Offered Securities</w:t>
      </w:r>
      <w:r>
        <w:rPr>
          <w:rFonts w:ascii="Times New Roman" w:cs="Times New Roman" w:eastAsia="Times New Roman" w:hAnsi="Times New Roman"/>
          <w:sz w:val="21"/>
          <w:szCs w:val="21"/>
          <w:color w:val="auto"/>
        </w:rPr>
        <w:t>"). Each October Warrant is exercisable to acquire one Common Share at a price of US$8.14 per Common Share. The Corporation qualified the Offered Securities in the United States pursuant to a prospectus supplement dated October 28, 2025 to the Corporation's registration statement on Form F-10, as amended (File No. 333-289139) (the "</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which was initially filed with the SEC, under the U.S. Securities Act, on July 31, 2025, as amended on September 17, 2025 concurrent with the filing of this Prospectus. Approximately $351,208,916 has been used to qualify the Offered Securities. Given the Commitment Amount and the closing of the Registered Direct Offering, as of December 19, 2025, the Corporation will have approximately $1,050,300,275 available under the Prospectus, which management of the Corporation reasonably expects to distribute during the 25-month period</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commencing on September 17, 2025 that this Prospectus, including any amendments hereto, remains valid.</w:t>
      </w:r>
      <w:r>
        <w:rPr>
          <w:rFonts w:ascii="Times New Roman" w:cs="Times New Roman" w:eastAsia="Times New Roman" w:hAnsi="Times New Roman"/>
          <w:sz w:val="35"/>
          <w:szCs w:val="3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ind w:firstLine="8"/>
        <w:spacing w:after="0" w:line="189" w:lineRule="auto"/>
        <w:tabs>
          <w:tab w:leader="none" w:pos="176"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8" w:right="339" w:bottom="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142875</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of the Common Shares underlying Warrants initially sold to, or for the account or benefit of, U.S. persons (as defined in 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w:t>
      </w:r>
    </w:p>
    <w:p>
      <w:pPr>
        <w:spacing w:after="0" w:line="143"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The Corporation's Registration Statement was filed with the SEC concurrent with the filing of this Prospectus, for the equivalent United States dollar value of this Prospectus, being US$1,234,209,379.99 (converted from $1,700,000,000 at an exchange rate of US$1.00=CAD$1.3774, which was the daily average exchange rate reported by the Bank of Canada on December 18, 2025)."</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"$800,000,000" contained in the first sentence of the first paragraph under the heading "Plan of Distribution" on page 31, so that such sentence, as so amended, reads as follows:</w:t>
      </w:r>
    </w:p>
    <w:p>
      <w:pPr>
        <w:spacing w:after="0" w:line="11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commencing on September 17, 2025, that this Prospectus, including any amendments and supplements hereto, remains valid, offer for sale and sell up to an aggregate of $1,700,000,000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55"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14" w:lineRule="exact"/>
        <w:rPr>
          <w:sz w:val="20"/>
          <w:szCs w:val="20"/>
          <w:color w:val="auto"/>
        </w:rPr>
      </w:pPr>
    </w:p>
    <w:p>
      <w:pPr>
        <w:ind w:left="1300" w:right="20" w:hanging="320"/>
        <w:spacing w:after="0" w:line="262" w:lineRule="auto"/>
        <w:tabs>
          <w:tab w:leader="none" w:pos="132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ind w:left="1300" w:hanging="320"/>
        <w:spacing w:after="0" w:line="259" w:lineRule="auto"/>
        <w:tabs>
          <w:tab w:leader="none" w:pos="1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6"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2025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relating to the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w:t>
      </w:r>
    </w:p>
    <w:p>
      <w:pPr>
        <w:spacing w:after="0" w:line="165"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7, 2025, relating to the Registered Direct Offering of the Offered Securities; and</w:t>
      </w:r>
    </w:p>
    <w:p>
      <w:pPr>
        <w:spacing w:after="0" w:line="11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1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November 12, 2025, the date of the Interim Financial Statements and Interim MD&amp;A.</w:t>
      </w:r>
    </w:p>
    <w:p>
      <w:pPr>
        <w:spacing w:after="0" w:line="133"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On December 18, 2025, the Corporation announced that it will voluntarily transfer its U.S. stock exchange listing to the Nasdaq Global Market (“Nasdaq”) from the NYSE American. The Corporation expects that its Common Shares will cease trading on the NYSE American at market close on January 4, 2026 and commence trading on the Nasdaq at market open on January 5, 2026. Concurrent with the commencement of trading on Nasdaq, the Corporation will no longer trade under the ticker symbol “CYBN” and instead will trade under the ticker symbol “HELP”. The Corporation will continue to be listed on the CBOE Canada and will also trade under the new “HELP” ticker symbol commencing on January 5, 2025.”</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"Consolidated Capitalization" and replacing it with the following:</w:t>
      </w:r>
    </w:p>
    <w:p>
      <w:pPr>
        <w:spacing w:after="0" w:line="11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1"/>
          <w:szCs w:val="21"/>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94"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December 18,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18, 2025</w:t>
            </w:r>
          </w:p>
        </w:tc>
      </w:tr>
      <w:tr>
        <w:trPr>
          <w:trHeight w:val="250"/>
        </w:trPr>
        <w:tc>
          <w:tcPr>
            <w:tcW w:w="386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40" w:type="dxa"/>
            <w:vAlign w:val="bottom"/>
            <w:tcBorders>
              <w:top w:val="single" w:sz="8" w:color="E6EFFF"/>
            </w:tcBorders>
            <w:shd w:val="clear" w:color="auto" w:fill="E6EFFF"/>
          </w:tcPr>
          <w:p>
            <w:pPr>
              <w:spacing w:after="0"/>
              <w:rPr>
                <w:sz w:val="21"/>
                <w:szCs w:val="21"/>
                <w:color w:val="auto"/>
              </w:rPr>
            </w:pPr>
          </w:p>
        </w:tc>
        <w:tc>
          <w:tcPr>
            <w:tcW w:w="3860" w:type="dxa"/>
            <w:vAlign w:val="bottom"/>
            <w:tcBorders>
              <w:top w:val="single" w:sz="8" w:color="auto"/>
            </w:tcBorders>
            <w:shd w:val="clear" w:color="auto" w:fill="E6EFFF"/>
          </w:tcPr>
          <w:p>
            <w:pPr>
              <w:jc w:val="center"/>
              <w:ind w:right="90"/>
              <w:spacing w:after="0" w:line="250" w:lineRule="exact"/>
              <w:rPr>
                <w:sz w:val="20"/>
                <w:szCs w:val="20"/>
                <w:color w:val="auto"/>
              </w:rPr>
            </w:pPr>
            <w:r>
              <w:rPr>
                <w:rFonts w:ascii="Times New Roman" w:cs="Times New Roman" w:eastAsia="Times New Roman" w:hAnsi="Times New Roman"/>
                <w:sz w:val="17"/>
                <w:szCs w:val="17"/>
                <w:color w:val="auto"/>
                <w:w w:val="91"/>
              </w:rPr>
              <w:t>Nil</w:t>
            </w:r>
            <w:r>
              <w:rPr>
                <w:rFonts w:ascii="Times New Roman" w:cs="Times New Roman" w:eastAsia="Times New Roman" w:hAnsi="Times New Roman"/>
                <w:sz w:val="28"/>
                <w:szCs w:val="28"/>
                <w:color w:val="auto"/>
                <w:w w:val="91"/>
                <w:vertAlign w:val="superscript"/>
              </w:rPr>
              <w:t>(1)</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49,894,131</w:t>
            </w:r>
          </w:p>
        </w:tc>
      </w:tr>
      <w:tr>
        <w:trPr>
          <w:trHeight w:val="256"/>
        </w:trPr>
        <w:tc>
          <w:tcPr>
            <w:tcW w:w="40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860" w:type="dxa"/>
            <w:vAlign w:val="bottom"/>
            <w:shd w:val="clear" w:color="auto" w:fill="E6EFFF"/>
          </w:tcPr>
          <w:p>
            <w:pPr>
              <w:jc w:val="center"/>
              <w:ind w:right="70"/>
              <w:spacing w:after="0" w:line="256" w:lineRule="exact"/>
              <w:rPr>
                <w:sz w:val="20"/>
                <w:szCs w:val="20"/>
                <w:color w:val="auto"/>
              </w:rPr>
            </w:pPr>
            <w:r>
              <w:rPr>
                <w:rFonts w:ascii="Times New Roman" w:cs="Times New Roman" w:eastAsia="Times New Roman" w:hAnsi="Times New Roman"/>
                <w:sz w:val="18"/>
                <w:szCs w:val="18"/>
                <w:color w:val="auto"/>
                <w:w w:val="95"/>
              </w:rPr>
              <w:t>4,171,897</w:t>
            </w:r>
            <w:r>
              <w:rPr>
                <w:rFonts w:ascii="Times New Roman" w:cs="Times New Roman" w:eastAsia="Times New Roman" w:hAnsi="Times New Roman"/>
                <w:sz w:val="29"/>
                <w:szCs w:val="29"/>
                <w:color w:val="auto"/>
                <w:w w:val="95"/>
                <w:vertAlign w:val="superscript"/>
              </w:rPr>
              <w:t>(2)</w:t>
            </w:r>
          </w:p>
        </w:tc>
      </w:tr>
      <w:tr>
        <w:trPr>
          <w:trHeight w:val="25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3860" w:type="dxa"/>
            <w:vAlign w:val="bottom"/>
          </w:tcPr>
          <w:p>
            <w:pPr>
              <w:jc w:val="center"/>
              <w:ind w:right="70"/>
              <w:spacing w:after="0" w:line="256" w:lineRule="exact"/>
              <w:rPr>
                <w:sz w:val="20"/>
                <w:szCs w:val="20"/>
                <w:color w:val="auto"/>
              </w:rPr>
            </w:pPr>
            <w:r>
              <w:rPr>
                <w:rFonts w:ascii="Times New Roman" w:cs="Times New Roman" w:eastAsia="Times New Roman" w:hAnsi="Times New Roman"/>
                <w:sz w:val="18"/>
                <w:szCs w:val="18"/>
                <w:color w:val="auto"/>
                <w:w w:val="95"/>
              </w:rPr>
              <w:t>4,164,440</w:t>
            </w:r>
            <w:r>
              <w:rPr>
                <w:rFonts w:ascii="Times New Roman" w:cs="Times New Roman" w:eastAsia="Times New Roman" w:hAnsi="Times New Roman"/>
                <w:sz w:val="29"/>
                <w:szCs w:val="29"/>
                <w:color w:val="auto"/>
                <w:w w:val="95"/>
                <w:vertAlign w:val="superscript"/>
              </w:rPr>
              <w:t>(3)</w:t>
            </w:r>
          </w:p>
        </w:tc>
      </w:tr>
      <w:tr>
        <w:trPr>
          <w:trHeight w:val="256"/>
        </w:trPr>
        <w:tc>
          <w:tcPr>
            <w:tcW w:w="40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3860" w:type="dxa"/>
            <w:vAlign w:val="bottom"/>
            <w:shd w:val="clear" w:color="auto" w:fill="E6EFFF"/>
          </w:tcPr>
          <w:p>
            <w:pPr>
              <w:jc w:val="center"/>
              <w:ind w:right="70"/>
              <w:spacing w:after="0" w:line="256" w:lineRule="exact"/>
              <w:rPr>
                <w:sz w:val="20"/>
                <w:szCs w:val="20"/>
                <w:color w:val="auto"/>
              </w:rPr>
            </w:pPr>
            <w:r>
              <w:rPr>
                <w:rFonts w:ascii="Times New Roman" w:cs="Times New Roman" w:eastAsia="Times New Roman" w:hAnsi="Times New Roman"/>
                <w:sz w:val="18"/>
                <w:szCs w:val="18"/>
                <w:color w:val="auto"/>
                <w:w w:val="94"/>
              </w:rPr>
              <w:t>12,205,334</w:t>
            </w:r>
            <w:r>
              <w:rPr>
                <w:rFonts w:ascii="Times New Roman" w:cs="Times New Roman" w:eastAsia="Times New Roman" w:hAnsi="Times New Roman"/>
                <w:sz w:val="29"/>
                <w:szCs w:val="29"/>
                <w:color w:val="auto"/>
                <w:w w:val="94"/>
                <w:vertAlign w:val="superscript"/>
              </w:rPr>
              <w:t>(4)</w:t>
            </w:r>
          </w:p>
        </w:tc>
      </w:tr>
      <w:tr>
        <w:trPr>
          <w:trHeight w:val="39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4,605,500</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70" w:lineRule="exact"/>
        <w:rPr>
          <w:sz w:val="20"/>
          <w:szCs w:val="20"/>
          <w:color w:val="auto"/>
        </w:rPr>
      </w:pPr>
    </w:p>
    <w:p>
      <w:pPr>
        <w:jc w:val="both"/>
        <w:ind w:left="960" w:hanging="304"/>
        <w:spacing w:after="0" w:line="244" w:lineRule="auto"/>
        <w:tabs>
          <w:tab w:leader="none" w:pos="100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3, 2025, the Corporation used a portion of the net proceeds of the Registered Direct Offering to repay the remaining balance outstanding under the Convertible Debentures held by High Trail of US$20,150,000 and incurred early repayment fees of US$2,615,000, resulting in a total cash repayment of US$22,765,000.</w:t>
      </w:r>
    </w:p>
    <w:p>
      <w:pPr>
        <w:sectPr>
          <w:pgSz w:w="11900" w:h="16838" w:orient="portrait"/>
          <w:cols w:equalWidth="0" w:num="1">
            <w:col w:w="11240"/>
          </w:cols>
          <w:pgMar w:left="320" w:top="112" w:right="339" w:bottom="701"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701" w:gutter="0" w:footer="0" w:header="0"/>
          <w:type w:val="continuous"/>
        </w:sectPr>
      </w:pPr>
    </w:p>
    <w:bookmarkStart w:id="51" w:name="page52"/>
    <w:bookmarkEnd w:id="51"/>
    <w:p>
      <w:pPr>
        <w:ind w:left="960" w:hanging="304"/>
        <w:spacing w:after="0" w:line="242" w:lineRule="auto"/>
        <w:tabs>
          <w:tab w:leader="none" w:pos="10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14, 2025, options to purchase an aggregate of 48,240 Common Shares at an exercise price of $8.39 per Common Share were granted under the Corporation's equity incentive plan (the "Equity Incentive Plan").</w:t>
      </w:r>
    </w:p>
    <w:p>
      <w:pPr>
        <w:ind w:left="1000" w:hanging="344"/>
        <w:spacing w:after="0" w:line="230" w:lineRule="auto"/>
        <w:tabs>
          <w:tab w:leader="none" w:pos="10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3, 2025, 3,564,440 restricted share units were granted under the Equity Incentive Plan.</w:t>
      </w:r>
    </w:p>
    <w:p>
      <w:pPr>
        <w:jc w:val="both"/>
        <w:ind w:left="960" w:hanging="304"/>
        <w:spacing w:after="0" w:line="230" w:lineRule="auto"/>
        <w:tabs>
          <w:tab w:leader="none" w:pos="100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2"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Pre-Funded Warrants were issued pursuant to the Registered Direct Offering.</w:t>
      </w:r>
    </w:p>
    <w:p>
      <w:pPr>
        <w:spacing w:after="0" w:line="142"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16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8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As at December 19, 2025, the Corporation had approximately US$202,000,000 in cash. As at December 19, 2025, the Corporation anticipates that it will require approximately US$202,000,000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3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520" w:type="dxa"/>
            <w:vAlign w:val="bottom"/>
          </w:tcPr>
          <w:p>
            <w:pPr>
              <w:jc w:val="center"/>
              <w:ind w:left="2893"/>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tcPr>
          <w:p>
            <w:pPr>
              <w:spacing w:after="0"/>
              <w:rPr>
                <w:sz w:val="19"/>
                <w:szCs w:val="19"/>
                <w:color w:val="auto"/>
              </w:rPr>
            </w:pPr>
          </w:p>
        </w:tc>
        <w:tc>
          <w:tcPr>
            <w:tcW w:w="4520" w:type="dxa"/>
            <w:vAlign w:val="bottom"/>
          </w:tcPr>
          <w:p>
            <w:pPr>
              <w:jc w:val="center"/>
              <w:ind w:left="2913"/>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8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4520" w:type="dxa"/>
            <w:vAlign w:val="bottom"/>
          </w:tcPr>
          <w:p>
            <w:pPr>
              <w:jc w:val="center"/>
              <w:ind w:left="2953"/>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60" w:type="dxa"/>
            <w:vAlign w:val="bottom"/>
            <w:vMerge w:val="continue"/>
          </w:tcPr>
          <w:p>
            <w:pPr>
              <w:spacing w:after="0"/>
              <w:rPr>
                <w:sz w:val="23"/>
                <w:szCs w:val="23"/>
                <w:color w:val="auto"/>
              </w:rPr>
            </w:pPr>
          </w:p>
        </w:tc>
        <w:tc>
          <w:tcPr>
            <w:tcW w:w="4520" w:type="dxa"/>
            <w:vAlign w:val="bottom"/>
          </w:tcPr>
          <w:p>
            <w:pPr>
              <w:jc w:val="center"/>
              <w:ind w:left="2953"/>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40" w:type="dxa"/>
            <w:vAlign w:val="bottom"/>
          </w:tcPr>
          <w:p>
            <w:pPr>
              <w:jc w:val="center"/>
              <w:ind w:left="110"/>
              <w:spacing w:after="0" w:line="271" w:lineRule="exact"/>
              <w:rPr>
                <w:sz w:val="20"/>
                <w:szCs w:val="20"/>
                <w:color w:val="auto"/>
              </w:rPr>
            </w:pPr>
            <w:r>
              <w:rPr>
                <w:rFonts w:ascii="Times New Roman" w:cs="Times New Roman" w:eastAsia="Times New Roman" w:hAnsi="Times New Roman"/>
                <w:sz w:val="18"/>
                <w:szCs w:val="18"/>
                <w:b w:val="1"/>
                <w:bCs w:val="1"/>
                <w:color w:val="auto"/>
                <w:w w:val="97"/>
              </w:rPr>
              <w:t>for Completion</w:t>
            </w:r>
            <w:r>
              <w:rPr>
                <w:rFonts w:ascii="Times New Roman" w:cs="Times New Roman" w:eastAsia="Times New Roman" w:hAnsi="Times New Roman"/>
                <w:sz w:val="29"/>
                <w:szCs w:val="29"/>
                <w:b w:val="1"/>
                <w:bCs w:val="1"/>
                <w:color w:val="auto"/>
                <w:w w:val="97"/>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72084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20840" cy="16256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ind w:left="660"/>
        <w:spacing w:after="0" w:line="184" w:lineRule="auto"/>
        <w:rPr>
          <w:sz w:val="20"/>
          <w:szCs w:val="20"/>
          <w:color w:val="auto"/>
        </w:rPr>
      </w:pPr>
      <w:r>
        <w:rPr>
          <w:rFonts w:ascii="Times New Roman" w:cs="Times New Roman" w:eastAsia="Times New Roman" w:hAnsi="Times New Roman"/>
          <w:sz w:val="18"/>
          <w:szCs w:val="18"/>
          <w:color w:val="auto"/>
        </w:rPr>
        <w:t>Deuterated Psilocin Program (CYB003)</w:t>
      </w:r>
      <w:r>
        <w:rPr>
          <w:rFonts w:ascii="Times New Roman" w:cs="Times New Roman" w:eastAsia="Times New Roman" w:hAnsi="Times New Roman"/>
          <w:sz w:val="29"/>
          <w:szCs w:val="29"/>
          <w:color w:val="auto"/>
          <w:vertAlign w:val="superscript"/>
        </w:rPr>
        <w:t>(5)</w:t>
      </w:r>
    </w:p>
    <w:p>
      <w:pPr>
        <w:spacing w:after="0" w:line="1" w:lineRule="exact"/>
        <w:rPr>
          <w:sz w:val="20"/>
          <w:szCs w:val="20"/>
          <w:color w:val="auto"/>
        </w:rPr>
      </w:pPr>
    </w:p>
    <w:p>
      <w:pPr>
        <w:ind w:left="920" w:right="680"/>
        <w:spacing w:after="0" w:line="249" w:lineRule="auto"/>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 Initiation of enrollment in the second Phase 3 study, EMBRACE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-135890</wp:posOffset>
            </wp:positionV>
            <wp:extent cx="672084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p>
      <w:pPr>
        <w:spacing w:after="0" w:line="45" w:lineRule="exact"/>
        <w:rPr>
          <w:sz w:val="20"/>
          <w:szCs w:val="20"/>
          <w:color w:val="auto"/>
        </w:rPr>
      </w:pPr>
    </w:p>
    <w:p>
      <w:pPr>
        <w:ind w:left="660" w:right="1980" w:firstLine="270"/>
        <w:spacing w:after="0" w:line="263" w:lineRule="auto"/>
        <w:rPr>
          <w:sz w:val="20"/>
          <w:szCs w:val="20"/>
          <w:color w:val="auto"/>
        </w:rPr>
      </w:pPr>
      <w:r>
        <w:rPr>
          <w:rFonts w:ascii="Times New Roman" w:cs="Times New Roman" w:eastAsia="Times New Roman" w:hAnsi="Times New Roman"/>
          <w:sz w:val="18"/>
          <w:szCs w:val="18"/>
          <w:color w:val="auto"/>
        </w:rPr>
        <w:t>Progression of the third Phase 3 study, EXTEND Deuterated Dimethyltryptamine Program (CYB004) Provide topline data readout from the Phase 2 GAD study Phenethylamine and Tryptamine Derivatives Program (CYB005)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-572135</wp:posOffset>
            </wp:positionV>
            <wp:extent cx="672084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20840" cy="16319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-272415</wp:posOffset>
            </wp:positionV>
            <wp:extent cx="672084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wp:posOffset>
            </wp:positionV>
            <wp:extent cx="67208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Deliver a drug development candidate</w:t>
      </w:r>
    </w:p>
    <w:p>
      <w:pPr>
        <w:ind w:left="660"/>
        <w:spacing w:after="0" w:line="192" w:lineRule="auto"/>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72084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16"/>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35,051,000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Q4 2026</w:t>
            </w:r>
          </w:p>
        </w:tc>
      </w:tr>
      <w:tr>
        <w:trPr>
          <w:trHeight w:val="216"/>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399,000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Q4 2025</w:t>
            </w:r>
          </w:p>
        </w:tc>
      </w:tr>
      <w:tr>
        <w:trPr>
          <w:trHeight w:val="256"/>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38,122,000</w:t>
            </w:r>
          </w:p>
        </w:tc>
        <w:tc>
          <w:tcPr>
            <w:tcW w:w="1160" w:type="dxa"/>
            <w:vAlign w:val="bottom"/>
          </w:tcPr>
          <w:p>
            <w:pPr>
              <w:jc w:val="center"/>
              <w:ind w:left="43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r>
      <w:tr>
        <w:trPr>
          <w:trHeight w:val="398"/>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25,995,000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r>
      <w:tr>
        <w:trPr>
          <w:trHeight w:val="309"/>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1,339,000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Q1 2026</w:t>
            </w:r>
          </w:p>
        </w:tc>
      </w:tr>
      <w:tr>
        <w:trPr>
          <w:trHeight w:val="414"/>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1,404,000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Q3 2026</w:t>
            </w:r>
          </w:p>
        </w:tc>
      </w:tr>
      <w:tr>
        <w:trPr>
          <w:trHeight w:val="234"/>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99,690,000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202,000,000</w:t>
      </w:r>
    </w:p>
    <w:p>
      <w:pPr>
        <w:spacing w:after="0" w:line="223" w:lineRule="exact"/>
        <w:rPr>
          <w:sz w:val="20"/>
          <w:szCs w:val="20"/>
          <w:color w:val="auto"/>
        </w:rPr>
      </w:pPr>
    </w:p>
    <w:p>
      <w:pPr>
        <w:sectPr>
          <w:pgSz w:w="11900" w:h="16838" w:orient="portrait"/>
          <w:cols w:equalWidth="0" w:num="2">
            <w:col w:w="7320" w:space="720"/>
            <w:col w:w="3200"/>
          </w:cols>
          <w:pgMar w:left="320" w:top="112" w:right="33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520" w:hanging="262"/>
        <w:spacing w:after="0" w:line="241" w:lineRule="auto"/>
        <w:tabs>
          <w:tab w:leader="none" w:pos="56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520" w:hanging="262"/>
        <w:spacing w:after="0" w:line="230" w:lineRule="auto"/>
        <w:tabs>
          <w:tab w:leader="none" w:pos="56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560" w:hanging="302"/>
        <w:spacing w:after="0" w:line="230" w:lineRule="auto"/>
        <w:tabs>
          <w:tab w:leader="none" w:pos="5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520" w:hanging="262"/>
        <w:spacing w:after="0" w:line="230" w:lineRule="auto"/>
        <w:tabs>
          <w:tab w:leader="none" w:pos="56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There is no assurance that these timelines will be met or that the programs will advance. Drug development involves long lead times, is very expensive and involves many variables of uncertainty. Anticipated spending and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6" w:lineRule="exact"/>
        <w:rPr>
          <w:rFonts w:ascii="Times New Roman" w:cs="Times New Roman" w:eastAsia="Times New Roman" w:hAnsi="Times New Roman"/>
          <w:sz w:val="22"/>
          <w:szCs w:val="22"/>
          <w:color w:val="auto"/>
        </w:rPr>
      </w:pPr>
    </w:p>
    <w:p>
      <w:pPr>
        <w:jc w:val="both"/>
        <w:ind w:left="520" w:hanging="262"/>
        <w:spacing w:after="0" w:line="230" w:lineRule="auto"/>
        <w:tabs>
          <w:tab w:leader="none" w:pos="56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520" w:right="20" w:hanging="262"/>
        <w:spacing w:after="0" w:line="230" w:lineRule="auto"/>
        <w:tabs>
          <w:tab w:leader="none" w:pos="56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2" w:lineRule="exact"/>
        <w:rPr>
          <w:rFonts w:ascii="Times New Roman" w:cs="Times New Roman" w:eastAsia="Times New Roman" w:hAnsi="Times New Roman"/>
          <w:sz w:val="22"/>
          <w:szCs w:val="22"/>
          <w:color w:val="auto"/>
        </w:rPr>
      </w:pPr>
    </w:p>
    <w:p>
      <w:pPr>
        <w:ind w:left="520" w:hanging="262"/>
        <w:spacing w:after="0" w:line="237" w:lineRule="auto"/>
        <w:tabs>
          <w:tab w:leader="none" w:pos="57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spacing w:after="0" w:line="134" w:lineRule="exact"/>
        <w:rPr>
          <w:sz w:val="20"/>
          <w:szCs w:val="20"/>
          <w:color w:val="auto"/>
        </w:rPr>
      </w:pPr>
    </w:p>
    <w:p>
      <w:pPr>
        <w:jc w:val="both"/>
        <w:ind w:left="260"/>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ectPr>
          <w:pgSz w:w="11900" w:h="16838" w:orient="portrait"/>
          <w:cols w:equalWidth="0" w:num="1">
            <w:col w:w="10980"/>
          </w:cols>
          <w:pgMar w:left="580" w:top="527" w:right="339" w:bottom="404" w:gutter="0" w:footer="0" w:header="0"/>
        </w:sectPr>
      </w:pPr>
    </w:p>
    <w:p>
      <w:pPr>
        <w:spacing w:after="0" w:line="1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151130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80"/>
          </w:cols>
          <w:pgMar w:left="580" w:top="527" w:right="339" w:bottom="404" w:gutter="0" w:footer="0" w:header="0"/>
          <w:type w:val="continuous"/>
        </w:sectPr>
      </w:pPr>
    </w:p>
    <w:bookmarkStart w:id="53" w:name="page54"/>
    <w:bookmarkEnd w:id="53"/>
    <w:p>
      <w:pPr>
        <w:jc w:val="both"/>
        <w:ind w:left="520"/>
        <w:spacing w:after="0" w:line="244" w:lineRule="auto"/>
        <w:rPr>
          <w:sz w:val="20"/>
          <w:szCs w:val="20"/>
          <w:color w:val="auto"/>
        </w:rPr>
      </w:pPr>
      <w:r>
        <w:rPr>
          <w:rFonts w:ascii="Times New Roman" w:cs="Times New Roman" w:eastAsia="Times New Roman" w:hAnsi="Times New Roman"/>
          <w:sz w:val="22"/>
          <w:szCs w:val="22"/>
          <w:color w:val="auto"/>
        </w:rPr>
        <w:t>As at December 19,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US$202,000,000.</w:t>
      </w:r>
    </w:p>
    <w:p>
      <w:pPr>
        <w:spacing w:after="0" w:line="129" w:lineRule="exact"/>
        <w:rPr>
          <w:sz w:val="20"/>
          <w:szCs w:val="20"/>
          <w:color w:val="auto"/>
        </w:rPr>
      </w:pPr>
    </w:p>
    <w:p>
      <w:pPr>
        <w:jc w:val="both"/>
        <w:ind w:left="520"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27"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or incorporated by reference in, this Prospectus.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US$537,755,000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 Negative Operating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Flow".</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19, 2025,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the Annual Information Form and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1"/>
          <w:szCs w:val="21"/>
          <w:color w:val="auto"/>
        </w:rPr>
        <w:t>Additional risk factors relating to a specific Offering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ectPr>
          <w:pgSz w:w="11900" w:h="16838" w:orient="portrait"/>
          <w:cols w:equalWidth="0" w:num="1">
            <w:col w:w="11240"/>
          </w:cols>
          <w:pgMar w:left="320" w:top="112" w:right="339" w:bottom="89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9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 REQUIRED TO BE DELIVERED TO OFFEREES OR PURCHASERS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133350</wp:posOffset>
            </wp:positionV>
            <wp:extent cx="1945640" cy="1183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456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w:t>
      </w:r>
      <w:r>
        <w:rPr>
          <w:rFonts w:ascii="Times New Roman" w:cs="Times New Roman" w:eastAsia="Times New Roman" w:hAnsi="Times New Roman"/>
          <w:sz w:val="22"/>
          <w:szCs w:val="22"/>
          <w:b w:val="1"/>
          <w:bCs w:val="1"/>
          <w:color w:val="auto"/>
        </w:rPr>
        <w:t>800,000,000</w:t>
      </w:r>
      <w:r>
        <w:rPr>
          <w:rFonts w:ascii="Times New Roman" w:cs="Times New Roman" w:eastAsia="Times New Roman" w:hAnsi="Times New Roman"/>
          <w:sz w:val="22"/>
          <w:szCs w:val="22"/>
          <w:color w:val="auto"/>
        </w:rPr>
        <w:t xml:space="preserve">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 offer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Given the Commitment Amount, the Corporation will have approximately $473,917,796 available under the Prospectus, which management of the Corporation reasonably expects to distribute during the</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25-month period that this Prospectus, including any amendments hereto, remains valid.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the Common Shares underlying Warrants initially sold to, or for the account or benefit of, U.S. persons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7" w:lineRule="exact"/>
        <w:rPr>
          <w:sz w:val="20"/>
          <w:szCs w:val="20"/>
          <w:color w:val="auto"/>
        </w:rPr>
      </w:pPr>
    </w:p>
    <w:p>
      <w:pPr>
        <w:ind w:firstLine="8"/>
        <w:spacing w:after="0" w:line="189" w:lineRule="auto"/>
        <w:tabs>
          <w:tab w:leader="none" w:pos="172"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both"/>
        <w:spacing w:after="0" w:line="239" w:lineRule="auto"/>
        <w:rPr>
          <w:sz w:val="20"/>
          <w:szCs w:val="20"/>
          <w:color w:val="auto"/>
        </w:rPr>
      </w:pPr>
      <w:r>
        <w:rPr>
          <w:rFonts w:ascii="Times New Roman" w:cs="Times New Roman" w:eastAsia="Times New Roman" w:hAnsi="Times New Roman"/>
          <w:sz w:val="22"/>
          <w:szCs w:val="22"/>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calculations are demonstrated in USD and CAD:</w:t>
      </w:r>
      <w:r>
        <w:rPr>
          <w:rFonts w:ascii="Times New Roman" w:cs="Times New Roman" w:eastAsia="Times New Roman" w:hAnsi="Times New Roman"/>
          <w:sz w:val="35"/>
          <w:szCs w:val="3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02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a Unit Distribution</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US$150,000,000</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C$207,720,000</w:t>
            </w:r>
            <w:r>
              <w:rPr>
                <w:rFonts w:ascii="Times New Roman" w:cs="Times New Roman" w:eastAsia="Times New Roman" w:hAnsi="Times New Roman"/>
                <w:sz w:val="29"/>
                <w:szCs w:val="29"/>
                <w:color w:val="auto"/>
                <w:vertAlign w:val="superscript"/>
              </w:rPr>
              <w:t>(1)</w:t>
            </w:r>
          </w:p>
        </w:tc>
      </w:tr>
      <w:tr>
        <w:trPr>
          <w:trHeight w:val="358"/>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the Underlying Warrant Shares</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US$172,500,000</w:t>
            </w:r>
            <w:r>
              <w:rPr>
                <w:rFonts w:ascii="Times New Roman" w:cs="Times New Roman" w:eastAsia="Times New Roman" w:hAnsi="Times New Roman"/>
                <w:sz w:val="29"/>
                <w:szCs w:val="29"/>
                <w:color w:val="auto"/>
                <w:vertAlign w:val="superscript"/>
              </w:rPr>
              <w:t>(2)</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C$238,878,000</w:t>
            </w:r>
          </w:p>
        </w:tc>
      </w:tr>
      <w:tr>
        <w:trPr>
          <w:trHeight w:val="263"/>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Base Shelf Amount Used</w:t>
            </w: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US$322,500,000</w:t>
            </w:r>
          </w:p>
        </w:tc>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C$446,598,000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540" w:right="80" w:hanging="208"/>
        <w:spacing w:after="0" w:line="241" w:lineRule="auto"/>
        <w:tabs>
          <w:tab w:leader="none" w:pos="5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22"/>
          <w:szCs w:val="22"/>
          <w:color w:val="auto"/>
        </w:rPr>
      </w:pPr>
    </w:p>
    <w:p>
      <w:pPr>
        <w:ind w:left="540" w:right="480" w:hanging="208"/>
        <w:spacing w:after="0" w:line="237" w:lineRule="auto"/>
        <w:tabs>
          <w:tab w:leader="none" w:pos="5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a theoretical Unit purchase price (US$150,000,000) multiplied by 115% (representing the theoretical Warrant exercise price).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3571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70" w:lineRule="exact"/>
        <w:rPr>
          <w:sz w:val="20"/>
          <w:szCs w:val="20"/>
          <w:color w:val="auto"/>
        </w:rPr>
      </w:pPr>
    </w:p>
    <w:p>
      <w:pPr>
        <w:jc w:val="both"/>
        <w:ind w:firstLine="8"/>
        <w:spacing w:after="0" w:line="217" w:lineRule="auto"/>
        <w:tabs>
          <w:tab w:leader="none" w:pos="20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Enforcement of Civil Liabilities”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1375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71"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5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gridSpan w:val="4"/>
          </w:tcPr>
          <w:p>
            <w:pPr>
              <w:ind w:left="25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GENERAL MATTERS</w:t>
            </w:r>
          </w:p>
        </w:tc>
        <w:tc>
          <w:tcPr>
            <w:tcW w:w="6660" w:type="dxa"/>
            <w:vAlign w:val="bottom"/>
            <w:gridSpan w:val="15"/>
            <w:shd w:val="clear" w:color="auto" w:fill="EEEEEE"/>
          </w:tcPr>
          <w:p>
            <w:pPr>
              <w:spacing w:after="0"/>
              <w:rPr>
                <w:sz w:val="15"/>
                <w:szCs w:val="15"/>
                <w:color w:val="auto"/>
              </w:rPr>
            </w:pPr>
          </w:p>
        </w:tc>
        <w:tc>
          <w:tcPr>
            <w:tcW w:w="286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480" w:type="dxa"/>
            <w:vAlign w:val="bottom"/>
            <w:tcBorders>
              <w:top w:val="single" w:sz="8" w:color="EEEEEE"/>
            </w:tcBorders>
            <w:shd w:val="clear" w:color="auto" w:fill="EEEEEE"/>
          </w:tcPr>
          <w:p>
            <w:pPr>
              <w:spacing w:after="0" w:line="20" w:lineRule="exact"/>
              <w:rPr>
                <w:sz w:val="1"/>
                <w:szCs w:val="1"/>
                <w:color w:val="auto"/>
              </w:rPr>
            </w:pPr>
          </w:p>
        </w:tc>
        <w:tc>
          <w:tcPr>
            <w:tcW w:w="26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86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480" w:type="dxa"/>
            <w:vAlign w:val="bottom"/>
            <w:tcBorders>
              <w:top w:val="single" w:sz="8" w:color="EEEEEE"/>
            </w:tcBorders>
            <w:shd w:val="clear" w:color="auto" w:fill="EEEEEE"/>
          </w:tcPr>
          <w:p>
            <w:pPr>
              <w:spacing w:after="0" w:line="20" w:lineRule="exact"/>
              <w:rPr>
                <w:sz w:val="1"/>
                <w:szCs w:val="1"/>
                <w:color w:val="auto"/>
              </w:rPr>
            </w:pPr>
          </w:p>
        </w:tc>
        <w:tc>
          <w:tcPr>
            <w:tcW w:w="26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5240" w:type="dxa"/>
            <w:vAlign w:val="bottom"/>
            <w:gridSpan w:val="7"/>
          </w:tcPr>
          <w:p>
            <w:pPr>
              <w:spacing w:after="0"/>
              <w:rPr>
                <w:sz w:val="15"/>
                <w:szCs w:val="15"/>
                <w:color w:val="auto"/>
              </w:rPr>
            </w:pP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5720" w:type="dxa"/>
            <w:vAlign w:val="bottom"/>
            <w:gridSpan w:val="9"/>
            <w:shd w:val="clear" w:color="auto" w:fill="EEEEEE"/>
          </w:tcPr>
          <w:p>
            <w:pPr>
              <w:spacing w:after="0"/>
              <w:rPr>
                <w:sz w:val="15"/>
                <w:szCs w:val="15"/>
                <w:color w:val="auto"/>
              </w:rPr>
            </w:pPr>
          </w:p>
        </w:tc>
        <w:tc>
          <w:tcPr>
            <w:tcW w:w="286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480" w:type="dxa"/>
            <w:vAlign w:val="bottom"/>
            <w:tcBorders>
              <w:top w:val="single" w:sz="8" w:color="EEEEEE"/>
            </w:tcBorders>
            <w:shd w:val="clear" w:color="auto" w:fill="EEEEEE"/>
          </w:tcPr>
          <w:p>
            <w:pPr>
              <w:spacing w:after="0" w:line="20" w:lineRule="exact"/>
              <w:rPr>
                <w:sz w:val="1"/>
                <w:szCs w:val="1"/>
                <w:color w:val="auto"/>
              </w:rPr>
            </w:pPr>
          </w:p>
        </w:tc>
        <w:tc>
          <w:tcPr>
            <w:tcW w:w="26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gridSpan w:val="1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2860" w:type="dxa"/>
            <w:vAlign w:val="bottom"/>
            <w:gridSpan w:val="2"/>
            <w:shd w:val="clear" w:color="auto" w:fill="EEEEEE"/>
          </w:tcPr>
          <w:p>
            <w:pPr>
              <w:spacing w:after="0"/>
              <w:rPr>
                <w:sz w:val="15"/>
                <w:szCs w:val="15"/>
                <w:color w:val="auto"/>
              </w:rPr>
            </w:pPr>
          </w:p>
        </w:tc>
        <w:tc>
          <w:tcPr>
            <w:tcW w:w="286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16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480" w:type="dxa"/>
            <w:vAlign w:val="bottom"/>
            <w:tcBorders>
              <w:top w:val="single" w:sz="8" w:color="EEEEEE"/>
            </w:tcBorders>
            <w:shd w:val="clear" w:color="auto" w:fill="EEEEEE"/>
          </w:tcPr>
          <w:p>
            <w:pPr>
              <w:spacing w:after="0" w:line="20" w:lineRule="exact"/>
              <w:rPr>
                <w:sz w:val="1"/>
                <w:szCs w:val="1"/>
                <w:color w:val="auto"/>
              </w:rPr>
            </w:pPr>
          </w:p>
        </w:tc>
        <w:tc>
          <w:tcPr>
            <w:tcW w:w="26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2860" w:type="dxa"/>
            <w:vAlign w:val="bottom"/>
            <w:gridSpan w:val="2"/>
          </w:tcPr>
          <w:p>
            <w:pPr>
              <w:spacing w:after="0"/>
              <w:rPr>
                <w:sz w:val="15"/>
                <w:szCs w:val="15"/>
                <w:color w:val="auto"/>
              </w:rPr>
            </w:pP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86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480" w:type="dxa"/>
            <w:vAlign w:val="bottom"/>
            <w:tcBorders>
              <w:top w:val="single" w:sz="8" w:color="EEEEEE"/>
            </w:tcBorders>
            <w:shd w:val="clear" w:color="auto" w:fill="EEEEEE"/>
          </w:tcPr>
          <w:p>
            <w:pPr>
              <w:spacing w:after="0" w:line="20" w:lineRule="exact"/>
              <w:rPr>
                <w:sz w:val="1"/>
                <w:szCs w:val="1"/>
                <w:color w:val="auto"/>
              </w:rPr>
            </w:pPr>
          </w:p>
        </w:tc>
        <w:tc>
          <w:tcPr>
            <w:tcW w:w="26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6200" w:type="dxa"/>
            <w:vAlign w:val="bottom"/>
            <w:gridSpan w:val="11"/>
          </w:tcPr>
          <w:p>
            <w:pPr>
              <w:spacing w:after="0"/>
              <w:rPr>
                <w:sz w:val="15"/>
                <w:szCs w:val="15"/>
                <w:color w:val="auto"/>
              </w:rPr>
            </w:pP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500" w:type="dxa"/>
            <w:vAlign w:val="bottom"/>
            <w:tcBorders>
              <w:bottom w:val="single" w:sz="8" w:color="EEEEEE"/>
            </w:tcBorders>
            <w:gridSpan w:val="8"/>
            <w:shd w:val="clear" w:color="auto" w:fill="EEEEEE"/>
          </w:tcPr>
          <w:p>
            <w:pPr>
              <w:spacing w:after="0"/>
              <w:rPr>
                <w:sz w:val="17"/>
                <w:szCs w:val="17"/>
                <w:color w:val="auto"/>
              </w:rPr>
            </w:pPr>
          </w:p>
        </w:tc>
        <w:tc>
          <w:tcPr>
            <w:tcW w:w="26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860" w:type="dxa"/>
            <w:vAlign w:val="bottom"/>
            <w:tcBorders>
              <w:bottom w:val="single" w:sz="8" w:color="EEEEEE"/>
            </w:tcBorders>
            <w:gridSpan w:val="10"/>
            <w:shd w:val="clear" w:color="auto" w:fill="EEEEEE"/>
          </w:tcPr>
          <w:p>
            <w:pPr>
              <w:spacing w:after="0"/>
              <w:rPr>
                <w:sz w:val="17"/>
                <w:szCs w:val="17"/>
                <w:color w:val="auto"/>
              </w:rPr>
            </w:pPr>
          </w:p>
        </w:tc>
        <w:tc>
          <w:tcPr>
            <w:tcW w:w="26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1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4040" w:type="dxa"/>
            <w:vAlign w:val="bottom"/>
            <w:tcBorders>
              <w:bottom w:val="single" w:sz="8" w:color="EEEEEE"/>
            </w:tcBorders>
            <w:gridSpan w:val="4"/>
            <w:shd w:val="clear" w:color="auto" w:fill="EEEEEE"/>
          </w:tcPr>
          <w:p>
            <w:pPr>
              <w:spacing w:after="0"/>
              <w:rPr>
                <w:sz w:val="17"/>
                <w:szCs w:val="17"/>
                <w:color w:val="auto"/>
              </w:rPr>
            </w:pPr>
          </w:p>
        </w:tc>
        <w:tc>
          <w:tcPr>
            <w:tcW w:w="26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tcBorders>
              <w:bottom w:val="single" w:sz="8" w:color="EEEEEE"/>
            </w:tcBorders>
            <w:gridSpan w:val="19"/>
            <w:shd w:val="clear" w:color="auto" w:fill="EEEEEE"/>
          </w:tcPr>
          <w:p>
            <w:pPr>
              <w:spacing w:after="0"/>
              <w:rPr>
                <w:sz w:val="17"/>
                <w:szCs w:val="17"/>
                <w:color w:val="auto"/>
              </w:rPr>
            </w:pPr>
          </w:p>
        </w:tc>
        <w:tc>
          <w:tcPr>
            <w:tcW w:w="26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480" w:type="dxa"/>
            <w:vAlign w:val="bottom"/>
            <w:tcBorders>
              <w:top w:val="single" w:sz="8" w:color="EEEEEE"/>
            </w:tcBorders>
            <w:shd w:val="clear" w:color="auto" w:fill="EEEEEE"/>
          </w:tcPr>
          <w:p>
            <w:pPr>
              <w:spacing w:after="0" w:line="20" w:lineRule="exact"/>
              <w:rPr>
                <w:sz w:val="1"/>
                <w:szCs w:val="1"/>
                <w:color w:val="auto"/>
              </w:rPr>
            </w:pPr>
          </w:p>
        </w:tc>
        <w:tc>
          <w:tcPr>
            <w:tcW w:w="26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80" w:type="dxa"/>
            <w:vAlign w:val="bottom"/>
            <w:shd w:val="clear" w:color="auto" w:fill="000000"/>
          </w:tcPr>
          <w:p>
            <w:pPr>
              <w:spacing w:after="0"/>
              <w:rPr>
                <w:sz w:val="6"/>
                <w:szCs w:val="6"/>
                <w:color w:val="auto"/>
              </w:rPr>
            </w:pPr>
          </w:p>
        </w:tc>
        <w:tc>
          <w:tcPr>
            <w:tcW w:w="2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auto"/>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this Prospectus, unless stated otherwise or the context requires otherwise, all dollar amounts are expressed in Canadian dollars.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Original Base Prospectus</w:t>
      </w:r>
      <w:r>
        <w:rPr>
          <w:rFonts w:ascii="Times New Roman" w:cs="Times New Roman" w:eastAsia="Times New Roman" w:hAnsi="Times New Roman"/>
          <w:sz w:val="22"/>
          <w:szCs w:val="22"/>
          <w:color w:val="auto"/>
        </w:rPr>
        <w:t>”). The Corporation does not currently have any plans to initiate additional drawdowns under the Original Base Prospectus and intends to withdraw the Original Base Prospectus when this Prospectus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3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8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tabs>
          <w:tab w:leader="none" w:pos="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left="680" w:hanging="348"/>
        <w:spacing w:after="0"/>
        <w:tabs>
          <w:tab w:leader="none" w:pos="6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27" w:lineRule="exact"/>
        <w:rPr>
          <w:sz w:val="20"/>
          <w:szCs w:val="20"/>
          <w:color w:val="auto"/>
        </w:rPr>
      </w:pPr>
    </w:p>
    <w:p>
      <w:pPr>
        <w:ind w:left="520" w:right="20" w:hanging="256"/>
        <w:spacing w:after="0" w:line="262" w:lineRule="auto"/>
        <w:tabs>
          <w:tab w:leader="none" w:pos="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520" w:hanging="256"/>
        <w:spacing w:after="0" w:line="239" w:lineRule="auto"/>
        <w:tabs>
          <w:tab w:leader="none" w:pos="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and special meeting of shareholders of the Corporation to be held on August 18,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auto"/>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Small Pharma completed a horizontal amalgamation with Cybin Corp.,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the resulting entity. As a result of this amalgamation, Cybin UK Ltd is now a wholly-owned subsidiary of Cybin Corp.</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administration.</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08" w:right="33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20"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8</w:t>
      </w:r>
    </w:p>
    <w:p>
      <w:pPr>
        <w:spacing w:after="0" w:line="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3.</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3.</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See footnote 3.</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See footnote 3.</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571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0" w:lineRule="exact"/>
        <w:rPr>
          <w:sz w:val="20"/>
          <w:szCs w:val="20"/>
          <w:color w:val="auto"/>
        </w:rPr>
      </w:pPr>
    </w:p>
    <w:p>
      <w:pPr>
        <w:ind w:left="5580" w:right="5280" w:hanging="5572"/>
        <w:spacing w:after="0" w:line="502" w:lineRule="auto"/>
        <w:tabs>
          <w:tab w:leader="none" w:pos="162"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There is no assurance that this timeline will be met. See footnote 3.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2005/387/JHA of May 10, 2005 (which applies only in certain limited situations)</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3571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8"/>
        <w:spacing w:after="0" w:line="211" w:lineRule="auto"/>
        <w:tabs>
          <w:tab w:leader="none" w:pos="278"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 "</w:t>
      </w:r>
      <w:r>
        <w:rPr>
          <w:rFonts w:ascii="Times New Roman" w:cs="Times New Roman" w:eastAsia="Times New Roman" w:hAnsi="Times New Roman"/>
          <w:sz w:val="22"/>
          <w:szCs w:val="22"/>
          <w:b w:val="1"/>
          <w:bCs w:val="1"/>
          <w:color w:val="auto"/>
        </w:rPr>
        <w:t>2010 Act</w:t>
      </w:r>
      <w:r>
        <w:rPr>
          <w:rFonts w:ascii="Times New Roman" w:cs="Times New Roman" w:eastAsia="Times New Roman" w:hAnsi="Times New Roman"/>
          <w:sz w:val="22"/>
          <w:szCs w:val="22"/>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jc w:val="both"/>
        <w:spacing w:after="0" w:line="244" w:lineRule="auto"/>
        <w:rPr>
          <w:sz w:val="20"/>
          <w:szCs w:val="20"/>
          <w:color w:val="auto"/>
        </w:rPr>
      </w:pPr>
      <w:r>
        <w:rPr>
          <w:rFonts w:ascii="Times New Roman" w:cs="Times New Roman" w:eastAsia="Times New Roman" w:hAnsi="Times New Roman"/>
          <w:sz w:val="22"/>
          <w:szCs w:val="22"/>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22"/>
          <w:szCs w:val="22"/>
          <w:i w:val="1"/>
          <w:iCs w:val="1"/>
          <w:color w:val="auto"/>
        </w:rPr>
        <w:t>substance, product, preparation, plant, fungus or natural organism</w:t>
      </w:r>
      <w:r>
        <w:rPr>
          <w:rFonts w:ascii="Times New Roman" w:cs="Times New Roman" w:eastAsia="Times New Roman" w:hAnsi="Times New Roman"/>
          <w:sz w:val="22"/>
          <w:szCs w:val="22"/>
          <w:color w:val="auto"/>
        </w:rPr>
        <w:t>" as specified in the order.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Irish Government's Legislative Programme for Summer 2025 does not contain any proposed amendments to the above-mentioned legislation which currently govern controlled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UK controlled drugs legislation is the Misuse of Drugs Act 1971 (the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(the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11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5"/>
          <w:szCs w:val="35"/>
          <w:color w:val="auto"/>
          <w:vertAlign w:val="superscript"/>
        </w:rPr>
        <w:t>12</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13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23571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26" w:lineRule="auto"/>
        <w:tabs>
          <w:tab w:leader="none" w:pos="232" w:val="left"/>
        </w:tabs>
        <w:numPr>
          <w:ilvl w:val="0"/>
          <w:numId w:val="40"/>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 w:lineRule="exact"/>
        <w:rPr>
          <w:rFonts w:ascii="Times New Roman" w:cs="Times New Roman" w:eastAsia="Times New Roman" w:hAnsi="Times New Roman"/>
          <w:sz w:val="33"/>
          <w:szCs w:val="33"/>
          <w:color w:val="auto"/>
          <w:vertAlign w:val="superscript"/>
        </w:rPr>
      </w:pPr>
    </w:p>
    <w:p>
      <w:pPr>
        <w:jc w:val="both"/>
        <w:ind w:firstLine="8"/>
        <w:spacing w:after="0" w:line="208" w:lineRule="auto"/>
        <w:tabs>
          <w:tab w:leader="none" w:pos="252" w:val="left"/>
        </w:tabs>
        <w:numPr>
          <w:ilvl w:val="0"/>
          <w:numId w:val="40"/>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spacing w:after="0" w:line="15" w:lineRule="exact"/>
        <w:rPr>
          <w:rFonts w:ascii="Times New Roman" w:cs="Times New Roman" w:eastAsia="Times New Roman" w:hAnsi="Times New Roman"/>
          <w:sz w:val="35"/>
          <w:szCs w:val="35"/>
          <w:color w:val="auto"/>
          <w:vertAlign w:val="superscript"/>
        </w:rPr>
      </w:pPr>
    </w:p>
    <w:p>
      <w:pPr>
        <w:ind w:left="140" w:hanging="132"/>
        <w:spacing w:after="0" w:line="200" w:lineRule="auto"/>
        <w:tabs>
          <w:tab w:leader="none" w:pos="711" w:val="left"/>
        </w:tabs>
        <w:numPr>
          <w:ilvl w:val="0"/>
          <w:numId w:val="4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Guidelines for Standard Operating Procedures (SOPs); https://assets.publishing.service.gov.uk/government/uploads/ system/uploads/attachment_data/file/480572/StandardOpProcedure.pdf.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u w:val="single" w:color="auto"/>
          <w:color w:val="auto"/>
        </w:rPr>
        <w:t>Pharmaceutical Products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and to hold a related licence from the MHRA.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How the API is subsequently processed will determine the licences (in addition to any applicable Home Office licenses as referred to above) that the UK-based facility must hold. In particular:</w:t>
      </w:r>
    </w:p>
    <w:p>
      <w:pPr>
        <w:spacing w:after="0" w:line="154"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if the API is just one 'ingredient' (i.e. active substance) of the investigational medicinal product (the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ectPr>
          <w:pgSz w:w="11900" w:h="16838" w:orient="portrait"/>
          <w:cols w:equalWidth="0" w:num="1">
            <w:col w:w="11240"/>
          </w:cols>
          <w:pgMar w:left="320" w:top="11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6" w:name="page77"/>
    <w:bookmarkEnd w:id="7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P. </w:t>
      </w:r>
      <w:r>
        <w:rPr>
          <w:rFonts w:ascii="Times New Roman" w:cs="Times New Roman" w:eastAsia="Times New Roman" w:hAnsi="Times New Roman"/>
          <w:sz w:val="22"/>
          <w:szCs w:val="22"/>
          <w:i w:val="1"/>
          <w:iCs w:val="1"/>
          <w:color w:val="auto"/>
        </w:rPr>
        <w:t>azurescens</w:t>
      </w:r>
      <w:r>
        <w:rPr>
          <w:rFonts w:ascii="Times New Roman" w:cs="Times New Roman" w:eastAsia="Times New Roman" w:hAnsi="Times New Roman"/>
          <w:sz w:val="22"/>
          <w:szCs w:val="22"/>
          <w:color w:val="auto"/>
        </w:rPr>
        <w:t xml:space="preserve">, P. </w:t>
      </w:r>
      <w:r>
        <w:rPr>
          <w:rFonts w:ascii="Times New Roman" w:cs="Times New Roman" w:eastAsia="Times New Roman" w:hAnsi="Times New Roman"/>
          <w:sz w:val="22"/>
          <w:szCs w:val="22"/>
          <w:i w:val="1"/>
          <w:iCs w:val="1"/>
          <w:color w:val="auto"/>
        </w:rPr>
        <w:t>semilanceata</w:t>
      </w:r>
      <w:r>
        <w:rPr>
          <w:rFonts w:ascii="Times New Roman" w:cs="Times New Roman" w:eastAsia="Times New Roman" w:hAnsi="Times New Roman"/>
          <w:sz w:val="22"/>
          <w:szCs w:val="22"/>
          <w:color w:val="auto"/>
        </w:rPr>
        <w:t xml:space="preserve">, and P. </w:t>
      </w:r>
      <w:r>
        <w:rPr>
          <w:rFonts w:ascii="Times New Roman" w:cs="Times New Roman" w:eastAsia="Times New Roman" w:hAnsi="Times New Roman"/>
          <w:sz w:val="22"/>
          <w:szCs w:val="22"/>
          <w:i w:val="1"/>
          <w:iCs w:val="1"/>
          <w:color w:val="auto"/>
        </w:rPr>
        <w:t>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psilocin are well known and well characterized. In conjunction with psychotherapy, psilocin has been utilized broadly in phase II clinical trials.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commenced research and development on the delivery of synthetic psilocin and other psychedelics through mechanisms such as sublingual film delivery, IV, and by way of inhalation.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is led by the Corporation's North American Chief Scientific Officer, Alex Nivorozhkin Ph.D., a seasoned medicinal chemist, drug delivery expert and founder of multiple biotech companies.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submission to the FDA of an IND Application, which the FDA must approve before human clinical trials may begin; approval by 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-565785</wp:posOffset>
            </wp:positionV>
            <wp:extent cx="6858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8" w:name="page79"/>
    <w:bookmarkEnd w:id="78"/>
    <w:p>
      <w:pPr>
        <w:jc w:val="both"/>
        <w:spacing w:after="0" w:line="235" w:lineRule="auto"/>
        <w:rPr>
          <w:sz w:val="20"/>
          <w:szCs w:val="20"/>
          <w:color w:val="auto"/>
        </w:rPr>
      </w:pPr>
      <w:r>
        <w:rPr>
          <w:rFonts w:ascii="Times New Roman" w:cs="Times New Roman" w:eastAsia="Times New Roman" w:hAnsi="Times New Roman"/>
          <w:sz w:val="22"/>
          <w:szCs w:val="22"/>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2"/>
          <w:szCs w:val="22"/>
          <w:i w:val="1"/>
          <w:iCs w:val="1"/>
          <w:color w:val="auto"/>
        </w:rPr>
        <w:t>False Claims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pgSz w:w="11900" w:h="16838" w:orient="portrait"/>
          <w:cols w:equalWidth="0" w:num="1">
            <w:col w:w="11240"/>
          </w:cols>
          <w:pgMar w:left="320" w:top="111" w:right="339" w:bottom="856"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856" w:gutter="0" w:footer="0" w:header="0"/>
          <w:type w:val="continuous"/>
        </w:sectPr>
      </w:pPr>
    </w:p>
    <w:bookmarkStart w:id="80" w:name="page81"/>
    <w:bookmarkEnd w:id="80"/>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 (Netherlands)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implementation of Good Clinical Practice in the conduct of clinical trials on medicinal products for human use.</w:t>
      </w:r>
      <w:r>
        <w:rPr>
          <w:rFonts w:ascii="Times New Roman" w:cs="Times New Roman" w:eastAsia="Times New Roman" w:hAnsi="Times New Roman"/>
          <w:sz w:val="35"/>
          <w:szCs w:val="35"/>
          <w:color w:val="auto"/>
          <w:vertAlign w:val="superscript"/>
        </w:rPr>
        <w:t>14</w:t>
      </w:r>
      <w:r>
        <w:rPr>
          <w:rFonts w:ascii="Times New Roman" w:cs="Times New Roman" w:eastAsia="Times New Roman" w:hAnsi="Times New Roman"/>
          <w:sz w:val="22"/>
          <w:szCs w:val="22"/>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22"/>
          <w:szCs w:val="22"/>
          <w:b w:val="1"/>
          <w:bCs w:val="1"/>
          <w:color w:val="auto"/>
        </w:rPr>
        <w:t>CTIS</w:t>
      </w:r>
      <w:r>
        <w:rPr>
          <w:rFonts w:ascii="Times New Roman" w:cs="Times New Roman" w:eastAsia="Times New Roman" w:hAnsi="Times New Roman"/>
          <w:sz w:val="22"/>
          <w:szCs w:val="22"/>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Further, the European Medicines Agency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15" w:lineRule="auto"/>
        <w:tabs>
          <w:tab w:leader="none" w:pos="269" w:val="left"/>
        </w:tabs>
        <w:numPr>
          <w:ilvl w:val="0"/>
          <w:numId w:val="41"/>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both"/>
        <w:spacing w:after="0" w:line="248" w:lineRule="auto"/>
        <w:rPr>
          <w:sz w:val="20"/>
          <w:szCs w:val="20"/>
          <w:color w:val="auto"/>
        </w:rPr>
      </w:pPr>
      <w:r>
        <w:rPr>
          <w:rFonts w:ascii="Times New Roman" w:cs="Times New Roman" w:eastAsia="Times New Roman" w:hAnsi="Times New Roman"/>
          <w:sz w:val="21"/>
          <w:szCs w:val="21"/>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1"/>
          <w:szCs w:val="21"/>
          <w:b w:val="1"/>
          <w:bCs w:val="1"/>
          <w:color w:val="auto"/>
        </w:rPr>
        <w:t>CTAG</w:t>
      </w:r>
      <w:r>
        <w:rPr>
          <w:rFonts w:ascii="Times New Roman" w:cs="Times New Roman" w:eastAsia="Times New Roman" w:hAnsi="Times New Roman"/>
          <w:sz w:val="21"/>
          <w:szCs w:val="21"/>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Investigational Medicinal Product Dossier ("</w:t>
      </w:r>
      <w:r>
        <w:rPr>
          <w:rFonts w:ascii="Times New Roman" w:cs="Times New Roman" w:eastAsia="Times New Roman" w:hAnsi="Times New Roman"/>
          <w:sz w:val="22"/>
          <w:szCs w:val="22"/>
          <w:b w:val="1"/>
          <w:bCs w:val="1"/>
          <w:color w:val="auto"/>
        </w:rPr>
        <w:t>IMPD</w:t>
      </w:r>
      <w:r>
        <w:rPr>
          <w:rFonts w:ascii="Times New Roman" w:cs="Times New Roman" w:eastAsia="Times New Roman" w:hAnsi="Times New Roman"/>
          <w:sz w:val="22"/>
          <w:szCs w:val="22"/>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2"/>
          <w:szCs w:val="22"/>
          <w:b w:val="1"/>
          <w:bCs w:val="1"/>
          <w:color w:val="auto"/>
        </w:rPr>
        <w:t>Clinical Trials Directive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87" w:orient="portrait"/>
          <w:cols w:equalWidth="0" w:num="1">
            <w:col w:w="11240"/>
          </w:cols>
          <w:pgMar w:left="320" w:top="110" w:right="339" w:bottom="0" w:gutter="0" w:footer="0" w:header="0"/>
          <w:type w:val="continuous"/>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1"/>
          <w:szCs w:val="21"/>
          <w:b w:val="1"/>
          <w:bCs w:val="1"/>
          <w:color w:val="auto"/>
        </w:rPr>
        <w:t>RMS</w:t>
      </w:r>
      <w:r>
        <w:rPr>
          <w:rFonts w:ascii="Times New Roman" w:cs="Times New Roman" w:eastAsia="Times New Roman" w:hAnsi="Times New Roman"/>
          <w:sz w:val="21"/>
          <w:szCs w:val="21"/>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tbl>
      <w:tblPr>
        <w:tblLayout w:type="fixed"/>
        <w:tblInd w:w="114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September 16, 2025</w:t>
            </w:r>
          </w:p>
        </w:tc>
      </w:tr>
      <w:tr>
        <w:trPr>
          <w:trHeight w:val="250"/>
        </w:trPr>
        <w:tc>
          <w:tcPr>
            <w:tcW w:w="432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tcBorders>
              <w:top w:val="single" w:sz="8" w:color="E6EFFF"/>
            </w:tcBorders>
            <w:shd w:val="clear" w:color="auto" w:fill="E6EFFF"/>
          </w:tcPr>
          <w:p>
            <w:pPr>
              <w:spacing w:after="0"/>
              <w:rPr>
                <w:sz w:val="21"/>
                <w:szCs w:val="21"/>
                <w:color w:val="auto"/>
              </w:rPr>
            </w:pPr>
          </w:p>
        </w:tc>
        <w:tc>
          <w:tcPr>
            <w:tcW w:w="448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$34,750,000</w:t>
            </w:r>
            <w:r>
              <w:rPr>
                <w:rFonts w:ascii="Times New Roman" w:cs="Times New Roman" w:eastAsia="Times New Roman" w:hAnsi="Times New Roman"/>
                <w:sz w:val="28"/>
                <w:szCs w:val="28"/>
                <w:color w:val="auto"/>
                <w:w w:val="99"/>
                <w:vertAlign w:val="superscript"/>
              </w:rPr>
              <w:t>(2)</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25,188,217</w:t>
            </w:r>
            <w:r>
              <w:rPr>
                <w:rFonts w:ascii="Times New Roman" w:cs="Times New Roman" w:eastAsia="Times New Roman" w:hAnsi="Times New Roman"/>
                <w:sz w:val="29"/>
                <w:szCs w:val="29"/>
                <w:color w:val="auto"/>
                <w:w w:val="94"/>
                <w:vertAlign w:val="superscript"/>
              </w:rPr>
              <w:t>(3)</w:t>
            </w:r>
          </w:p>
        </w:tc>
      </w:tr>
      <w:tr>
        <w:trPr>
          <w:trHeight w:val="257"/>
        </w:trPr>
        <w:tc>
          <w:tcPr>
            <w:tcW w:w="45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3,994,716</w:t>
            </w:r>
            <w:r>
              <w:rPr>
                <w:rFonts w:ascii="Times New Roman" w:cs="Times New Roman" w:eastAsia="Times New Roman" w:hAnsi="Times New Roman"/>
                <w:sz w:val="29"/>
                <w:szCs w:val="29"/>
                <w:color w:val="auto"/>
                <w:w w:val="95"/>
                <w:vertAlign w:val="superscript"/>
              </w:rPr>
              <w:t>(4)</w:t>
            </w:r>
          </w:p>
        </w:tc>
      </w:tr>
      <w:tr>
        <w:trPr>
          <w:trHeight w:val="39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00" w:hanging="460"/>
        <w:spacing w:after="0"/>
        <w:tabs>
          <w:tab w:leader="none" w:pos="9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amount of Convertible Debentures issued and outstanding.</w:t>
      </w:r>
    </w:p>
    <w:p>
      <w:pPr>
        <w:spacing w:after="0" w:line="14"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On August 29, 2025, options to purchase an aggregate of 15,000 Common Shares at an exercise price of $11.00 per Common Share were granted under the Equity Incentive Plan.</w:t>
      </w:r>
    </w:p>
    <w:p>
      <w:pPr>
        <w:spacing w:after="0" w:line="2" w:lineRule="exact"/>
        <w:rPr>
          <w:rFonts w:ascii="Times New Roman" w:cs="Times New Roman" w:eastAsia="Times New Roman" w:hAnsi="Times New Roman"/>
          <w:sz w:val="22"/>
          <w:szCs w:val="22"/>
          <w:color w:val="auto"/>
        </w:rPr>
      </w:pPr>
    </w:p>
    <w:p>
      <w:pPr>
        <w:jc w:val="both"/>
        <w:ind w:left="880" w:hanging="440"/>
        <w:spacing w:after="0" w:line="234" w:lineRule="auto"/>
        <w:tabs>
          <w:tab w:leader="none" w:pos="9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 The Corporation will not receive any proceeds from any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by a Selling Securityholder.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66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vMerge w:val="continue"/>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36"/>
        </w:trPr>
        <w:tc>
          <w:tcPr>
            <w:tcW w:w="7620" w:type="dxa"/>
            <w:vAlign w:val="bottom"/>
            <w:tcBorders>
              <w:top w:val="single" w:sz="8" w:color="E6EFFF"/>
            </w:tcBorders>
            <w:shd w:val="clear" w:color="auto" w:fill="E6EFFF"/>
          </w:tcPr>
          <w:p>
            <w:pPr>
              <w:spacing w:after="0" w:line="236"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7"/>
                <w:szCs w:val="27"/>
                <w:color w:val="auto"/>
                <w:vertAlign w:val="superscript"/>
              </w:rPr>
              <w:t>(5)</w:t>
            </w:r>
          </w:p>
        </w:tc>
        <w:tc>
          <w:tcPr>
            <w:tcW w:w="14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17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27,717,000</w:t>
            </w:r>
          </w:p>
        </w:tc>
        <w:tc>
          <w:tcPr>
            <w:tcW w:w="22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w w:val="98"/>
              </w:rPr>
              <w:t>24,368,000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Progression of the third Phase 3 study, EXTEND</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23,923,000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 (CYB004)</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the Phase 2 GAD study</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1,548,000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(8)</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readout from the Phase 2 GAD study</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594,000</w:t>
            </w:r>
          </w:p>
        </w:tc>
        <w:tc>
          <w:tcPr>
            <w:tcW w:w="220" w:type="dxa"/>
            <w:vAlign w:val="bottom"/>
            <w:shd w:val="clear" w:color="auto" w:fill="E6EFFF"/>
          </w:tcPr>
          <w:p>
            <w:pPr>
              <w:spacing w:after="0"/>
              <w:rPr>
                <w:sz w:val="18"/>
                <w:szCs w:val="18"/>
                <w:color w:val="auto"/>
              </w:rPr>
            </w:pPr>
          </w:p>
        </w:tc>
        <w:tc>
          <w:tcPr>
            <w:tcW w:w="196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Phenethylamine and Tryptamine Derivatives Program (CYB005)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Deliver a drug development candidate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Q3 2026</w:t>
            </w:r>
            <w:r>
              <w:rPr>
                <w:rFonts w:ascii="Times New Roman" w:cs="Times New Roman" w:eastAsia="Times New Roman" w:hAnsi="Times New Roman"/>
                <w:sz w:val="29"/>
                <w:szCs w:val="29"/>
                <w:color w:val="auto"/>
                <w:w w:val="94"/>
                <w:vertAlign w:val="superscript"/>
              </w:rPr>
              <w:t>(9)</w:t>
            </w:r>
          </w:p>
        </w:tc>
        <w:tc>
          <w:tcPr>
            <w:tcW w:w="0" w:type="dxa"/>
            <w:vAlign w:val="bottom"/>
          </w:tcPr>
          <w:p>
            <w:pPr>
              <w:spacing w:after="0"/>
              <w:rPr>
                <w:sz w:val="1"/>
                <w:szCs w:val="1"/>
                <w:color w:val="auto"/>
              </w:rPr>
            </w:pPr>
          </w:p>
        </w:tc>
      </w:tr>
      <w:tr>
        <w:trPr>
          <w:trHeight w:val="257"/>
        </w:trPr>
        <w:tc>
          <w:tcPr>
            <w:tcW w:w="7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13,704,000</w:t>
            </w:r>
          </w:p>
        </w:tc>
        <w:tc>
          <w:tcPr>
            <w:tcW w:w="2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92,200,000</w:t>
            </w: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660" w:hanging="436"/>
        <w:spacing w:after="0" w:line="241" w:lineRule="auto"/>
        <w:tabs>
          <w:tab w:leader="none" w:pos="6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660" w:hanging="436"/>
        <w:spacing w:after="0" w:line="230" w:lineRule="auto"/>
        <w:tabs>
          <w:tab w:leader="none" w:pos="6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pgSz w:w="11900" w:h="16838" w:orient="portrait"/>
          <w:cols w:equalWidth="0" w:num="1">
            <w:col w:w="11240"/>
          </w:cols>
          <w:pgMar w:left="320" w:top="360" w:right="339" w:bottom="424"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424" w:gutter="0" w:footer="0" w:header="0"/>
          <w:type w:val="continuous"/>
        </w:sectPr>
      </w:pPr>
    </w:p>
    <w:bookmarkStart w:id="88" w:name="page89"/>
    <w:bookmarkEnd w:id="88"/>
    <w:p>
      <w:pPr>
        <w:ind w:left="660" w:hanging="436"/>
        <w:spacing w:after="0" w:line="242" w:lineRule="auto"/>
        <w:tabs>
          <w:tab w:leader="none" w:pos="6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jc w:val="both"/>
        <w:ind w:left="660" w:hanging="436"/>
        <w:spacing w:after="0" w:line="230" w:lineRule="auto"/>
        <w:tabs>
          <w:tab w:leader="none" w:pos="6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3" w:lineRule="auto"/>
        <w:tabs>
          <w:tab w:leader="none" w:pos="6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Prospectus may also from time to time, relate to the Offering of Securities by way of a secondary offering (each, a "</w:t>
      </w:r>
      <w:r>
        <w:rPr>
          <w:rFonts w:ascii="Times New Roman" w:cs="Times New Roman" w:eastAsia="Times New Roman" w:hAnsi="Times New Roman"/>
          <w:sz w:val="22"/>
          <w:szCs w:val="22"/>
          <w:b w:val="1"/>
          <w:bCs w:val="1"/>
          <w:color w:val="auto"/>
        </w:rPr>
        <w:t>Secondary Offering</w:t>
      </w:r>
      <w:r>
        <w:rPr>
          <w:rFonts w:ascii="Times New Roman" w:cs="Times New Roman" w:eastAsia="Times New Roman" w:hAnsi="Times New Roman"/>
          <w:sz w:val="22"/>
          <w:szCs w:val="22"/>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79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ind w:left="540"/>
        <w:spacing w:after="0" w:line="259"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right="2460"/>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-496570</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-222250</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540" w:right="40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79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98" w:lineRule="exact"/>
        <w:rPr>
          <w:sz w:val="20"/>
          <w:szCs w:val="20"/>
          <w:color w:val="auto"/>
        </w:rPr>
      </w:pPr>
    </w:p>
    <w:p>
      <w:pPr>
        <w:ind w:left="540" w:right="60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ind w:left="540"/>
        <w:spacing w:after="0" w:line="259"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0"/>
        <w:spacing w:after="0" w:line="414"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-765810</wp:posOffset>
            </wp:positionV>
            <wp:extent cx="6858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-491490</wp:posOffset>
            </wp:positionV>
            <wp:extent cx="6858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-226060</wp:posOffset>
            </wp:positionV>
            <wp:extent cx="6858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ectPr>
          <w:pgSz w:w="11900" w:h="16838" w:orient="portrait"/>
          <w:cols w:equalWidth="0" w:num="1">
            <w:col w:w="11240"/>
          </w:cols>
          <w:pgMar w:left="320" w:top="111" w:right="339" w:bottom="923"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923" w:gutter="0" w:footer="0" w:header="0"/>
          <w:type w:val="continuous"/>
        </w:sectPr>
      </w:pPr>
    </w:p>
    <w:bookmarkStart w:id="95" w:name="page96"/>
    <w:bookmarkEnd w:id="95"/>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7" w:name="page98"/>
    <w:bookmarkEnd w:id="9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5940" w:firstLine="8"/>
        <w:spacing w:after="0" w:line="404" w:lineRule="auto"/>
        <w:tabs>
          <w:tab w:leader="none" w:pos="126" w:val="left"/>
        </w:tabs>
        <w:numPr>
          <w:ilvl w:val="0"/>
          <w:numId w:val="4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Negative Operating Cash Flow"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CBOE Canada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jc w:val="both"/>
        <w:spacing w:after="0" w:line="231" w:lineRule="auto"/>
        <w:rPr>
          <w:sz w:val="20"/>
          <w:szCs w:val="20"/>
          <w:color w:val="auto"/>
        </w:rPr>
      </w:pPr>
      <w:r>
        <w:rPr>
          <w:rFonts w:ascii="Times New Roman" w:cs="Times New Roman" w:eastAsia="Times New Roman" w:hAnsi="Times New Roman"/>
          <w:sz w:val="22"/>
          <w:szCs w:val="22"/>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 Registrable Common Shares</w:t>
      </w:r>
      <w:r>
        <w:rPr>
          <w:rFonts w:ascii="Times New Roman" w:cs="Times New Roman" w:eastAsia="Times New Roman" w:hAnsi="Times New Roman"/>
          <w:sz w:val="22"/>
          <w:szCs w:val="22"/>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pgSz w:w="11900" w:h="16838" w:orient="portrait"/>
          <w:cols w:equalWidth="0" w:num="1">
            <w:col w:w="11240"/>
          </w:cols>
          <w:pgMar w:left="320" w:top="111"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99" w:name="page100"/>
    <w:bookmarkEnd w:id="99"/>
    <w:p>
      <w:pPr>
        <w:jc w:val="both"/>
        <w:spacing w:after="0" w:line="259"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jc w:val="center"/>
        <w:ind w:right="500"/>
        <w:spacing w:after="0" w:line="424"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53275" cy="469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US$50,000,008</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10,309,280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742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Price: US$4.85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400300" cy="1491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003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CYBIN INC. DOING BUSINESS AS</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HELUS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135890</wp:posOffset>
            </wp:positionV>
            <wp:extent cx="23742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gridSpan w:val="2"/>
          </w:tcPr>
          <w:p>
            <w:pPr>
              <w:jc w:val="center"/>
              <w:ind w:right="3954"/>
              <w:spacing w:after="0"/>
              <w:rPr>
                <w:sz w:val="20"/>
                <w:szCs w:val="20"/>
                <w:color w:val="auto"/>
              </w:rPr>
            </w:pPr>
            <w:r>
              <w:rPr>
                <w:rFonts w:ascii="Times New Roman" w:cs="Times New Roman" w:eastAsia="Times New Roman" w:hAnsi="Times New Roman"/>
                <w:sz w:val="22"/>
                <w:szCs w:val="22"/>
                <w:b w:val="1"/>
                <w:bCs w:val="1"/>
                <w:color w:val="auto"/>
                <w:w w:val="98"/>
              </w:rPr>
              <w:t>PROSPECTUS SUPPLEMENT</w:t>
            </w:r>
          </w:p>
        </w:tc>
      </w:tr>
      <w:tr>
        <w:trPr>
          <w:trHeight w:val="204"/>
        </w:trPr>
        <w:tc>
          <w:tcPr>
            <w:tcW w:w="3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3800" w:type="dxa"/>
            <w:vAlign w:val="bottom"/>
          </w:tcPr>
          <w:p>
            <w:pPr>
              <w:spacing w:after="0"/>
              <w:rPr>
                <w:sz w:val="17"/>
                <w:szCs w:val="17"/>
                <w:color w:val="auto"/>
              </w:rPr>
            </w:pPr>
          </w:p>
        </w:tc>
      </w:tr>
      <w:tr>
        <w:trPr>
          <w:trHeight w:val="424"/>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gridSpan w:val="2"/>
          </w:tcPr>
          <w:p>
            <w:pPr>
              <w:jc w:val="center"/>
              <w:ind w:right="3954"/>
              <w:spacing w:after="0"/>
              <w:rPr>
                <w:sz w:val="20"/>
                <w:szCs w:val="20"/>
                <w:color w:val="auto"/>
              </w:rPr>
            </w:pPr>
            <w:r>
              <w:rPr>
                <w:rFonts w:ascii="Times New Roman" w:cs="Times New Roman" w:eastAsia="Times New Roman" w:hAnsi="Times New Roman"/>
                <w:sz w:val="22"/>
                <w:szCs w:val="22"/>
                <w:i w:val="1"/>
                <w:iCs w:val="1"/>
                <w:color w:val="auto"/>
                <w:w w:val="97"/>
              </w:rPr>
              <w:t>Joint Book Running Managers</w:t>
            </w:r>
          </w:p>
        </w:tc>
      </w:tr>
      <w:tr>
        <w:trPr>
          <w:trHeight w:val="483"/>
        </w:trPr>
        <w:tc>
          <w:tcPr>
            <w:tcW w:w="4040" w:type="dxa"/>
            <w:vAlign w:val="bottom"/>
            <w:gridSpan w:val="2"/>
          </w:tcPr>
          <w:p>
            <w:pPr>
              <w:jc w:val="center"/>
              <w:ind w:left="1474"/>
              <w:spacing w:after="0"/>
              <w:rPr>
                <w:sz w:val="20"/>
                <w:szCs w:val="20"/>
                <w:color w:val="auto"/>
              </w:rPr>
            </w:pPr>
            <w:r>
              <w:rPr>
                <w:rFonts w:ascii="Times New Roman" w:cs="Times New Roman" w:eastAsia="Times New Roman" w:hAnsi="Times New Roman"/>
                <w:sz w:val="25"/>
                <w:szCs w:val="25"/>
                <w:b w:val="1"/>
                <w:bCs w:val="1"/>
                <w:color w:val="auto"/>
                <w:w w:val="99"/>
              </w:rPr>
              <w:t>Cantor</w:t>
            </w:r>
          </w:p>
        </w:tc>
        <w:tc>
          <w:tcPr>
            <w:tcW w:w="3440" w:type="dxa"/>
            <w:vAlign w:val="bottom"/>
          </w:tcPr>
          <w:p>
            <w:pPr>
              <w:spacing w:after="0"/>
              <w:rPr>
                <w:sz w:val="24"/>
                <w:szCs w:val="24"/>
                <w:color w:val="auto"/>
              </w:rPr>
            </w:pPr>
          </w:p>
        </w:tc>
        <w:tc>
          <w:tcPr>
            <w:tcW w:w="3800" w:type="dxa"/>
            <w:vAlign w:val="bottom"/>
          </w:tcPr>
          <w:p>
            <w:pPr>
              <w:jc w:val="center"/>
              <w:ind w:right="1774"/>
              <w:spacing w:after="0"/>
              <w:rPr>
                <w:sz w:val="20"/>
                <w:szCs w:val="20"/>
                <w:color w:val="auto"/>
              </w:rPr>
            </w:pPr>
            <w:r>
              <w:rPr>
                <w:rFonts w:ascii="Times New Roman" w:cs="Times New Roman" w:eastAsia="Times New Roman" w:hAnsi="Times New Roman"/>
                <w:sz w:val="25"/>
                <w:szCs w:val="25"/>
                <w:b w:val="1"/>
                <w:bCs w:val="1"/>
                <w:color w:val="auto"/>
              </w:rPr>
              <w:t>Barclays</w:t>
            </w:r>
          </w:p>
        </w:tc>
      </w:tr>
      <w:tr>
        <w:trPr>
          <w:trHeight w:val="422"/>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gridSpan w:val="2"/>
          </w:tcPr>
          <w:p>
            <w:pPr>
              <w:jc w:val="center"/>
              <w:ind w:right="3954"/>
              <w:spacing w:after="0"/>
              <w:rPr>
                <w:sz w:val="20"/>
                <w:szCs w:val="20"/>
                <w:color w:val="auto"/>
              </w:rPr>
            </w:pPr>
            <w:r>
              <w:rPr>
                <w:rFonts w:ascii="Times New Roman" w:cs="Times New Roman" w:eastAsia="Times New Roman" w:hAnsi="Times New Roman"/>
                <w:sz w:val="22"/>
                <w:szCs w:val="22"/>
                <w:i w:val="1"/>
                <w:iCs w:val="1"/>
                <w:color w:val="auto"/>
                <w:w w:val="98"/>
              </w:rPr>
              <w:t>Lead Managers</w:t>
            </w:r>
          </w:p>
        </w:tc>
      </w:tr>
      <w:tr>
        <w:trPr>
          <w:trHeight w:val="469"/>
        </w:trPr>
        <w:tc>
          <w:tcPr>
            <w:tcW w:w="4040" w:type="dxa"/>
            <w:vAlign w:val="bottom"/>
            <w:gridSpan w:val="2"/>
          </w:tcPr>
          <w:p>
            <w:pPr>
              <w:jc w:val="center"/>
              <w:ind w:left="1474"/>
              <w:spacing w:after="0"/>
              <w:rPr>
                <w:sz w:val="20"/>
                <w:szCs w:val="20"/>
                <w:color w:val="auto"/>
              </w:rPr>
            </w:pPr>
            <w:r>
              <w:rPr>
                <w:rFonts w:ascii="Times New Roman" w:cs="Times New Roman" w:eastAsia="Times New Roman" w:hAnsi="Times New Roman"/>
                <w:sz w:val="25"/>
                <w:szCs w:val="25"/>
                <w:b w:val="1"/>
                <w:bCs w:val="1"/>
                <w:color w:val="auto"/>
              </w:rPr>
              <w:t>Bloom Burton &amp; Co.</w:t>
            </w:r>
          </w:p>
        </w:tc>
        <w:tc>
          <w:tcPr>
            <w:tcW w:w="7240" w:type="dxa"/>
            <w:vAlign w:val="bottom"/>
            <w:gridSpan w:val="2"/>
          </w:tcPr>
          <w:p>
            <w:pPr>
              <w:jc w:val="center"/>
              <w:ind w:left="1428"/>
              <w:spacing w:after="0"/>
              <w:rPr>
                <w:sz w:val="20"/>
                <w:szCs w:val="20"/>
                <w:color w:val="auto"/>
              </w:rPr>
            </w:pPr>
            <w:r>
              <w:rPr>
                <w:rFonts w:ascii="Times New Roman" w:cs="Times New Roman" w:eastAsia="Times New Roman" w:hAnsi="Times New Roman"/>
                <w:sz w:val="25"/>
                <w:szCs w:val="25"/>
                <w:b w:val="1"/>
                <w:bCs w:val="1"/>
                <w:color w:val="auto"/>
              </w:rPr>
              <w:t>Lucid Capital Markets</w:t>
            </w:r>
          </w:p>
        </w:tc>
      </w:tr>
      <w:tr>
        <w:trPr>
          <w:trHeight w:val="339"/>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74"/>
        </w:trPr>
        <w:tc>
          <w:tcPr>
            <w:tcW w:w="37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440" w:type="dxa"/>
            <w:vAlign w:val="bottom"/>
            <w:shd w:val="clear" w:color="auto" w:fill="000000"/>
          </w:tcPr>
          <w:p>
            <w:pPr>
              <w:spacing w:after="0"/>
              <w:rPr>
                <w:sz w:val="6"/>
                <w:szCs w:val="6"/>
                <w:color w:val="auto"/>
              </w:rPr>
            </w:pPr>
          </w:p>
        </w:tc>
        <w:tc>
          <w:tcPr>
            <w:tcW w:w="380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80"/>
      </w:cols>
      <w:pgMar w:left="320" w:top="1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0"/>
    </w:lvl>
  </w:abstractNum>
  <w:abstractNum w:abstractNumId="4">
    <w:nsid w:val="79838CB2"/>
    <w:multiLevelType w:val="hybridMultilevel"/>
    <w:lvl w:ilvl="0">
      <w:lvlJc w:val="left"/>
      <w:lvlText w:val="1"/>
      <w:numFmt w:val="bullet"/>
      <w:start w:val="1"/>
    </w:lvl>
  </w:abstractNum>
  <w:abstractNum w:abstractNumId="5">
    <w:nsid w:val="4353D0CD"/>
    <w:multiLevelType w:val="hybridMultilevel"/>
    <w:lvl w:ilvl="0">
      <w:lvlJc w:val="left"/>
      <w:lvlText w:val="2"/>
      <w:numFmt w:val="bullet"/>
      <w:start w:val="1"/>
    </w:lvl>
  </w:abstractNum>
  <w:abstractNum w:abstractNumId="6">
    <w:nsid w:val="B03E0C6"/>
    <w:multiLevelType w:val="hybridMultilevel"/>
    <w:lvl w:ilvl="0">
      <w:lvlJc w:val="left"/>
      <w:lvlText w:val="5"/>
      <w:numFmt w:val="bullet"/>
      <w:start w:val="1"/>
    </w:lvl>
  </w:abstractNum>
  <w:abstractNum w:abstractNumId="7">
    <w:nsid w:val="189A769B"/>
    <w:multiLevelType w:val="hybridMultilevel"/>
    <w:lvl w:ilvl="0">
      <w:lvlJc w:val="left"/>
      <w:lvlText w:val="6"/>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7"/>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upperLetter"/>
      <w:start w:val="1"/>
    </w:lvl>
    <w:lvl w:ilvl="1">
      <w:lvlJc w:val="left"/>
      <w:lvlText w:val="(%2)"/>
      <w:numFmt w:val="lowerRoman"/>
      <w:start w:val="1"/>
    </w:lvl>
  </w:abstractNum>
  <w:abstractNum w:abstractNumId="13">
    <w:nsid w:val="3A95F874"/>
    <w:multiLevelType w:val="hybridMultilevel"/>
    <w:lvl w:ilvl="0">
      <w:lvlJc w:val="left"/>
      <w:lvlText w:val="%1"/>
      <w:numFmt w:val="upperLetter"/>
      <w:start w:val="1"/>
    </w:lvl>
    <w:lvl w:ilvl="1">
      <w:lvlJc w:val="left"/>
      <w:lvlText w:val="(%2)"/>
      <w:numFmt w:val="lowerRoman"/>
      <w:start w:val="6"/>
    </w:lvl>
  </w:abstractNum>
  <w:abstractNum w:abstractNumId="14">
    <w:nsid w:val="8138641"/>
    <w:multiLevelType w:val="hybridMultilevel"/>
    <w:lvl w:ilvl="0">
      <w:lvlJc w:val="left"/>
      <w:lvlText w:val="(%1)"/>
      <w:numFmt w:val="upperLetter"/>
      <w:start w:val="2"/>
    </w:lvl>
    <w:lvl w:ilvl="1">
      <w:lvlJc w:val="left"/>
      <w:lvlText w:val="(%2)"/>
      <w:numFmt w:val="lowerRoman"/>
      <w:start w:val="1"/>
    </w:lvl>
  </w:abstractNum>
  <w:abstractNum w:abstractNumId="15">
    <w:nsid w:val="1E7FF521"/>
    <w:multiLevelType w:val="hybridMultilevel"/>
    <w:lvl w:ilvl="0">
      <w:lvlJc w:val="left"/>
      <w:lvlText w:val="(%1)"/>
      <w:numFmt w:val="lowerRoman"/>
      <w:start w:val="1"/>
    </w:lvl>
  </w:abstractNum>
  <w:abstractNum w:abstractNumId="16">
    <w:nsid w:val="7C3DBD3D"/>
    <w:multiLevelType w:val="hybridMultilevel"/>
    <w:lvl w:ilvl="0">
      <w:lvlJc w:val="left"/>
      <w:lvlText w:val="(%1)"/>
      <w:numFmt w:val="lowerRoman"/>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lowerRoman"/>
      <w:start w:val="14"/>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2"/>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2"/>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3"/>
      <w:numFmt w:val="bullet"/>
      <w:start w:val="1"/>
    </w:lvl>
  </w:abstractNum>
  <w:abstractNum w:abstractNumId="36">
    <w:nsid w:val="153EA438"/>
    <w:multiLevelType w:val="hybridMultilevel"/>
    <w:lvl w:ilvl="0">
      <w:lvlJc w:val="left"/>
      <w:lvlText w:val="5"/>
      <w:numFmt w:val="bullet"/>
      <w:start w:val="1"/>
    </w:lvl>
  </w:abstractNum>
  <w:abstractNum w:abstractNumId="37">
    <w:nsid w:val="3855585C"/>
    <w:multiLevelType w:val="hybridMultilevel"/>
    <w:lvl w:ilvl="0">
      <w:lvlJc w:val="left"/>
      <w:lvlText w:val="9"/>
      <w:numFmt w:val="bullet"/>
      <w:start w:val="1"/>
    </w:lvl>
  </w:abstractNum>
  <w:abstractNum w:abstractNumId="38">
    <w:nsid w:val="70A64E2A"/>
    <w:multiLevelType w:val="hybridMultilevel"/>
    <w:lvl w:ilvl="0">
      <w:lvlJc w:val="left"/>
      <w:lvlText w:val="%1"/>
      <w:numFmt w:val="decimal"/>
      <w:start w:val="10"/>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decimal"/>
      <w:start w:val="14"/>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7"/>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2026-06-25T05:14:28Z</dcterms:created>
  <dcterms:modified xsi:type="dcterms:W3CDTF">2026-06-25T05:14:28Z</dcterms:modified>
</cp:coreProperties>
</file>