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June, 2026.</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ind w:right="1839"/>
        <w:spacing w:after="0" w:line="26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Form 20-F or Form 40-F. 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June 11, 2026</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Greg Cavers</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Greg Cavers</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News Release dated June 11, 2026</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1006475</wp:posOffset>
            </wp:positionV>
            <wp:extent cx="1765935" cy="8655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6593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Helus Pharma to Participate in the H.C. Wainwright</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7</w:t>
      </w:r>
      <w:r>
        <w:rPr>
          <w:rFonts w:ascii="Arial" w:cs="Arial" w:eastAsia="Arial" w:hAnsi="Arial"/>
          <w:sz w:val="32"/>
          <w:szCs w:val="32"/>
          <w:b w:val="1"/>
          <w:bCs w:val="1"/>
          <w:color w:val="auto"/>
          <w:vertAlign w:val="superscript"/>
        </w:rPr>
        <w:t>th</w:t>
      </w:r>
      <w:r>
        <w:rPr>
          <w:rFonts w:ascii="Arial" w:cs="Arial" w:eastAsia="Arial" w:hAnsi="Arial"/>
          <w:sz w:val="25"/>
          <w:szCs w:val="25"/>
          <w:b w:val="1"/>
          <w:bCs w:val="1"/>
          <w:color w:val="auto"/>
        </w:rPr>
        <w:t xml:space="preserve"> Annual Neuro Perspectives Conference</w:t>
      </w:r>
    </w:p>
    <w:p>
      <w:pPr>
        <w:spacing w:after="0" w:line="20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b w:val="1"/>
          <w:bCs w:val="1"/>
          <w:color w:val="auto"/>
        </w:rPr>
        <w:t xml:space="preserve">NEW YORK &amp; TORONTO </w:t>
      </w:r>
      <w:r>
        <w:rPr>
          <w:rFonts w:ascii="Arial" w:cs="Arial" w:eastAsia="Arial" w:hAnsi="Arial"/>
          <w:sz w:val="20"/>
          <w:szCs w:val="20"/>
          <w:color w:val="auto"/>
        </w:rPr>
        <w:t>– June 11, 2026 – Helus Pharma</w:t>
      </w:r>
      <w:r>
        <w:rPr>
          <w:rFonts w:ascii="Arial" w:cs="Arial" w:eastAsia="Arial" w:hAnsi="Arial"/>
          <w:sz w:val="25"/>
          <w:szCs w:val="25"/>
          <w:color w:val="auto"/>
          <w:vertAlign w:val="superscript"/>
        </w:rPr>
        <w:t>TM</w:t>
      </w:r>
      <w:r>
        <w:rPr>
          <w:rFonts w:ascii="Arial" w:cs="Arial" w:eastAsia="Arial" w:hAnsi="Arial"/>
          <w:sz w:val="20"/>
          <w:szCs w:val="20"/>
          <w:b w:val="1"/>
          <w:bCs w:val="1"/>
          <w:color w:val="auto"/>
        </w:rPr>
        <w:t xml:space="preserve"> </w:t>
      </w:r>
      <w:r>
        <w:rPr>
          <w:rFonts w:ascii="Arial" w:cs="Arial" w:eastAsia="Arial" w:hAnsi="Arial"/>
          <w:sz w:val="20"/>
          <w:szCs w:val="20"/>
          <w:color w:val="auto"/>
        </w:rPr>
        <w:t>(Nasdaq: HELP) (Cboe CA: HELP), a clinical-stage</w:t>
      </w:r>
      <w:r>
        <w:rPr>
          <w:rFonts w:ascii="Arial" w:cs="Arial" w:eastAsia="Arial" w:hAnsi="Arial"/>
          <w:sz w:val="20"/>
          <w:szCs w:val="20"/>
          <w:b w:val="1"/>
          <w:bCs w:val="1"/>
          <w:color w:val="auto"/>
        </w:rPr>
        <w:t xml:space="preserve"> </w:t>
      </w:r>
      <w:r>
        <w:rPr>
          <w:rFonts w:ascii="Arial" w:cs="Arial" w:eastAsia="Arial" w:hAnsi="Arial"/>
          <w:sz w:val="20"/>
          <w:szCs w:val="20"/>
          <w:color w:val="auto"/>
        </w:rPr>
        <w:t>pharmaceutical company committed to helping minds heal by developing novel serotonergic agonists (“NSAs”), today announced that Amir Inamdar, Helus Pharma’s Chief Medical Officer, will participate in a fireside chat at the H.C. Wainwright 7</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Annual Neuro Perspectives Hybrid Conference taking place June 15-16, 2026.</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The fireside chat will be available on demand beginning on Monday, June 15 at 7:00 a.m. EDT.</w:t>
      </w:r>
    </w:p>
    <w:p>
      <w:pPr>
        <w:spacing w:after="0" w:line="270" w:lineRule="exact"/>
        <w:rPr>
          <w:sz w:val="20"/>
          <w:szCs w:val="20"/>
          <w:color w:val="auto"/>
        </w:rPr>
      </w:pPr>
    </w:p>
    <w:p>
      <w:pPr>
        <w:jc w:val="both"/>
        <w:spacing w:after="0" w:line="314" w:lineRule="auto"/>
        <w:rPr>
          <w:sz w:val="20"/>
          <w:szCs w:val="20"/>
          <w:color w:val="auto"/>
        </w:rPr>
      </w:pPr>
      <w:r>
        <w:rPr>
          <w:rFonts w:ascii="Arial" w:cs="Arial" w:eastAsia="Arial" w:hAnsi="Arial"/>
          <w:sz w:val="20"/>
          <w:szCs w:val="20"/>
          <w:color w:val="auto"/>
        </w:rPr>
        <w:t xml:space="preserve">To register for the webcast, </w:t>
      </w:r>
      <w:r>
        <w:rPr>
          <w:rFonts w:ascii="Arial" w:cs="Arial" w:eastAsia="Arial" w:hAnsi="Arial"/>
          <w:sz w:val="20"/>
          <w:szCs w:val="20"/>
          <w:color w:val="467886"/>
        </w:rPr>
        <w:t>click here</w:t>
      </w:r>
      <w:r>
        <w:rPr>
          <w:rFonts w:ascii="Arial" w:cs="Arial" w:eastAsia="Arial" w:hAnsi="Arial"/>
          <w:sz w:val="20"/>
          <w:szCs w:val="20"/>
          <w:color w:val="auto"/>
        </w:rPr>
        <w:t xml:space="preserve">. A replay will be available on the </w:t>
      </w:r>
      <w:r>
        <w:rPr>
          <w:rFonts w:ascii="Arial" w:cs="Arial" w:eastAsia="Arial" w:hAnsi="Arial"/>
          <w:sz w:val="20"/>
          <w:szCs w:val="20"/>
          <w:color w:val="467886"/>
        </w:rPr>
        <w:t>Events &amp; Presentations</w:t>
      </w:r>
      <w:r>
        <w:rPr>
          <w:rFonts w:ascii="Arial" w:cs="Arial" w:eastAsia="Arial" w:hAnsi="Arial"/>
          <w:sz w:val="20"/>
          <w:szCs w:val="20"/>
          <w:color w:val="auto"/>
        </w:rPr>
        <w:t xml:space="preserve"> page of Helus Pharma’s investor relations website.</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Helus Pharma</w:t>
      </w:r>
    </w:p>
    <w:p>
      <w:pPr>
        <w:spacing w:after="0" w:line="285"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Helus Pharma™, the commercial operating name of Cybin Inc. (the “Company” or “Helus Pharma”) is a clinical stage pharmaceutical company committed to helping minds heal by developing proprietary NSAs - novel serotonergic agonists: synthetic molecules designed to activate serotonin pathways that are believed to promote neuroplasticity. The Company’s proprietary NSAs are intended to address the large unmet need for people who suffer from depression, anxiety, and other mental health conditions.</w:t>
      </w:r>
    </w:p>
    <w:p>
      <w:pPr>
        <w:spacing w:after="0" w:line="201"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With class leading data, Helus Pharma aims to improve the treatment landscape through the introduction of NSAs that provide durable improvements in mental health. Helus Pharma is currently developing HLP003, a proprietary NSA, in Phase 3 clinical development for the adjunctive treatment of major depressive disorder that has received Breakthrough Therapy Designation from the U.S. Food and Drug Administration and HLP004, also a proprietary NSA in Phase 2 for generalized anxiety disorder. Additionally, Helus Pharma has an extensive research portfolio of investigational NSAs.</w:t>
      </w:r>
    </w:p>
    <w:p>
      <w:pPr>
        <w:spacing w:after="0" w:line="21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The Company operates in Canada, the United States, the United Kingdom, and Ireland. For Company updates and to learn more about Helus Pharma, visit </w:t>
      </w:r>
      <w:r>
        <w:rPr>
          <w:rFonts w:ascii="Arial" w:cs="Arial" w:eastAsia="Arial" w:hAnsi="Arial"/>
          <w:sz w:val="20"/>
          <w:szCs w:val="20"/>
          <w:color w:val="467886"/>
        </w:rPr>
        <w:t>www.helus.com</w:t>
      </w:r>
      <w:r>
        <w:rPr>
          <w:rFonts w:ascii="Arial" w:cs="Arial" w:eastAsia="Arial" w:hAnsi="Arial"/>
          <w:sz w:val="20"/>
          <w:szCs w:val="20"/>
          <w:color w:val="auto"/>
        </w:rPr>
        <w:t xml:space="preserve"> or follow the team on X, LinkedIn, YouTube and Instagram. Helus Pharma</w:t>
      </w:r>
      <w:r>
        <w:rPr>
          <w:rFonts w:ascii="Arial" w:cs="Arial" w:eastAsia="Arial" w:hAnsi="Arial"/>
          <w:sz w:val="25"/>
          <w:szCs w:val="25"/>
          <w:color w:val="auto"/>
          <w:vertAlign w:val="superscript"/>
        </w:rPr>
        <w:t>TM</w:t>
      </w:r>
      <w:r>
        <w:rPr>
          <w:rFonts w:ascii="Arial" w:cs="Arial" w:eastAsia="Arial" w:hAnsi="Arial"/>
          <w:sz w:val="20"/>
          <w:szCs w:val="20"/>
          <w:color w:val="auto"/>
        </w:rPr>
        <w:t xml:space="preserve"> is a trademark of Cybin Corp.</w:t>
      </w:r>
    </w:p>
    <w:p>
      <w:pPr>
        <w:sectPr>
          <w:pgSz w:w="11900" w:h="16838" w:orient="portrait"/>
          <w:cols w:equalWidth="0" w:num="1">
            <w:col w:w="11240"/>
          </w:cols>
          <w:pgMar w:left="320" w:top="1440" w:right="339" w:bottom="1440" w:gutter="0" w:footer="0" w:header="0"/>
        </w:sectPr>
      </w:pPr>
    </w:p>
    <w:bookmarkStart w:id="4" w:name="page5"/>
    <w:bookmarkEnd w:id="4"/>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272"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Certain statements in this news release relating to the Company are forward-looking statements or forward-looking information within the meaning of applicable securities laws (collectively,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“potential”, “possible”, “intend”, “estimate”, “plan”, “anticipate”, “expect”, “believe” or “continue”, or the negative thereof or similar variations. Forward-looking statements in this news release include statements regarding the Company’s plans to engineer proprietary drug discovery platforms, innovative drug delivery systems, novel formulation approaches and treatment regimens for mental health conditions.</w:t>
      </w:r>
    </w:p>
    <w:p>
      <w:pPr>
        <w:spacing w:after="0" w:line="221"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 xml:space="preserve">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fluctuations in general macroeconomic conditions; fluctuations in securities markets; expectations regarding the size of the NSA market; the ability of the Company to successfully achieve its business objectives; plans for growth; political, social and environmental uncertainties; employee relations; the presence of laws and regulations that may impose restrictions in the markets where the Company operates; implications of disease outbreaks on the Company's operations; and the risk factors set out in each of the Company's management's discussion and analysis for the three and nine month periods ended December 31, 2025, and the Company’s annual information form for the year ended March 31, 2025, which are available under the Company's profile on SEDAR+ at </w:t>
      </w:r>
      <w:r>
        <w:rPr>
          <w:rFonts w:ascii="Arial" w:cs="Arial" w:eastAsia="Arial" w:hAnsi="Arial"/>
          <w:sz w:val="19"/>
          <w:szCs w:val="19"/>
          <w:color w:val="467886"/>
        </w:rPr>
        <w:t>www.sedarplus.ca</w:t>
      </w:r>
      <w:r>
        <w:rPr>
          <w:rFonts w:ascii="Arial" w:cs="Arial" w:eastAsia="Arial" w:hAnsi="Arial"/>
          <w:sz w:val="19"/>
          <w:szCs w:val="19"/>
          <w:color w:val="auto"/>
        </w:rPr>
        <w:t xml:space="preserve"> and with the U.S. Securities and Exchange Commission on EDGAR at </w:t>
      </w:r>
      <w:r>
        <w:rPr>
          <w:rFonts w:ascii="Arial" w:cs="Arial" w:eastAsia="Arial" w:hAnsi="Arial"/>
          <w:sz w:val="19"/>
          <w:szCs w:val="19"/>
          <w:color w:val="467886"/>
        </w:rPr>
        <w:t>www.sec.gov/edgar</w:t>
      </w:r>
      <w:r>
        <w:rPr>
          <w:rFonts w:ascii="Arial" w:cs="Arial" w:eastAsia="Arial" w:hAnsi="Arial"/>
          <w:sz w:val="19"/>
          <w:szCs w:val="19"/>
          <w:color w:val="auto"/>
        </w:rPr>
        <w:t>.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contained in this news release. The Company assumes no obligation to update the forward-looking statements of beliefs, opinions, projections, or other factors, should they change, except as required by law.</w:t>
      </w:r>
    </w:p>
    <w:p>
      <w:pPr>
        <w:sectPr>
          <w:pgSz w:w="11900" w:h="16838" w:orient="portrait"/>
          <w:cols w:equalWidth="0" w:num="1">
            <w:col w:w="11240"/>
          </w:cols>
          <w:pgMar w:left="320" w:top="1440" w:right="339" w:bottom="1440" w:gutter="0" w:footer="0" w:header="0"/>
        </w:sectPr>
      </w:pPr>
    </w:p>
    <w:bookmarkStart w:id="5" w:name="page6"/>
    <w:bookmarkEnd w:id="5"/>
    <w:p>
      <w:pPr>
        <w:spacing w:after="0" w:line="136"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The Company makes no medical, treatment or health benefit claims about the Company’s proposed products. The U.S. Food and Drug Administration, Health Canada or other similar regulatory authorities have not evaluated claims regarding NSAs or HLP003, HLP004 and other programs of the Company. The efficacy of such products has not been confirmed by approved research. There is no assurance that the use of NSAs, HLP003, HLP004 or other programs of the Company can diagnose, treat, cure or prevent any disease or condition. Rigorous scientific research and clinical trials are needed. If Helus Pharma cannot obtain the approvals or research necessary to commercialize its business, it may have a material adverse effect on the Company’s performance and operations.</w:t>
      </w:r>
    </w:p>
    <w:p>
      <w:pPr>
        <w:spacing w:after="0" w:line="201" w:lineRule="exact"/>
        <w:rPr>
          <w:sz w:val="20"/>
          <w:szCs w:val="20"/>
          <w:color w:val="auto"/>
        </w:rPr>
      </w:pPr>
    </w:p>
    <w:p>
      <w:pPr>
        <w:jc w:val="both"/>
        <w:spacing w:after="0" w:line="314" w:lineRule="auto"/>
        <w:rPr>
          <w:sz w:val="20"/>
          <w:szCs w:val="20"/>
          <w:color w:val="auto"/>
        </w:rPr>
      </w:pPr>
      <w:r>
        <w:rPr>
          <w:rFonts w:ascii="Arial" w:cs="Arial" w:eastAsia="Arial" w:hAnsi="Arial"/>
          <w:sz w:val="20"/>
          <w:szCs w:val="20"/>
          <w:i w:val="1"/>
          <w:iCs w:val="1"/>
          <w:color w:val="auto"/>
        </w:rPr>
        <w:t>Neither Cboe Canada, nor the Nasdaq Global Market stock exchange, have approved or disapproved the contents of this news release and are not responsible for the adequacy and accuracy of the contents herein.</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color w:val="auto"/>
        </w:rPr>
        <w:t>Matthew Beck</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astr partners</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Managing Partner</w:t>
      </w:r>
    </w:p>
    <w:p>
      <w:pPr>
        <w:spacing w:after="0" w:line="31" w:lineRule="exact"/>
        <w:rPr>
          <w:sz w:val="20"/>
          <w:szCs w:val="20"/>
          <w:color w:val="auto"/>
        </w:rPr>
      </w:pPr>
    </w:p>
    <w:p>
      <w:pPr>
        <w:ind w:right="8340" w:firstLine="8"/>
        <w:spacing w:after="0" w:line="338" w:lineRule="auto"/>
        <w:tabs>
          <w:tab w:leader="none" w:pos="517" w:val="left"/>
        </w:tabs>
        <w:numPr>
          <w:ilvl w:val="0"/>
          <w:numId w:val="1"/>
        </w:numPr>
        <w:rPr>
          <w:rFonts w:ascii="Arial" w:cs="Arial" w:eastAsia="Arial" w:hAnsi="Arial"/>
          <w:sz w:val="19"/>
          <w:szCs w:val="19"/>
          <w:color w:val="auto"/>
        </w:rPr>
      </w:pPr>
      <w:r>
        <w:rPr>
          <w:rFonts w:ascii="Arial" w:cs="Arial" w:eastAsia="Arial" w:hAnsi="Arial"/>
          <w:sz w:val="19"/>
          <w:szCs w:val="19"/>
          <w:color w:val="auto"/>
        </w:rPr>
        <w:t xml:space="preserve">415-1750 </w:t>
      </w:r>
      <w:r>
        <w:rPr>
          <w:rFonts w:ascii="Arial" w:cs="Arial" w:eastAsia="Arial" w:hAnsi="Arial"/>
          <w:sz w:val="19"/>
          <w:szCs w:val="19"/>
          <w:color w:val="467886"/>
        </w:rPr>
        <w:t>Matthew.beck@astrpartners.com</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color w:val="auto"/>
        </w:rPr>
        <w:t>George Tziras</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Chief Business Officer</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Helus Pharma</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467886"/>
        </w:rPr>
        <w:t xml:space="preserve">irteam@helus.com </w:t>
      </w:r>
      <w:r>
        <w:rPr>
          <w:rFonts w:ascii="Arial" w:cs="Arial" w:eastAsia="Arial" w:hAnsi="Arial"/>
          <w:sz w:val="20"/>
          <w:szCs w:val="20"/>
          <w:color w:val="000000"/>
        </w:rPr>
        <w:t>– or –</w:t>
      </w:r>
      <w:r>
        <w:rPr>
          <w:rFonts w:ascii="Arial" w:cs="Arial" w:eastAsia="Arial" w:hAnsi="Arial"/>
          <w:sz w:val="20"/>
          <w:szCs w:val="20"/>
          <w:color w:val="467886"/>
        </w:rPr>
        <w:t xml:space="preserve"> media@helus.com</w:t>
      </w: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Johnny Tokarczyk</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RXMD</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Public Relations Director</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467886"/>
        </w:rPr>
        <w:t>jtokarczyk@rxmedyn.com</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(914) 772-7562</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917"/>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2026-06-11T13:36:07Z</dcterms:created>
  <dcterms:modified xsi:type="dcterms:W3CDTF">2026-06-11T13:36:07Z</dcterms:modified>
</cp:coreProperties>
</file>