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31,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August 31,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911860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Cybin Announces Final Adelia Milestone Achievement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31,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p>
    <w:p>
      <w:pPr>
        <w:spacing w:after="0" w:line="204" w:lineRule="auto"/>
        <w:rPr>
          <w:sz w:val="20"/>
          <w:szCs w:val="20"/>
          <w:color w:val="auto"/>
        </w:rPr>
      </w:pPr>
      <w:r>
        <w:rPr>
          <w:rFonts w:ascii="Arial" w:cs="Arial" w:eastAsia="Arial" w:hAnsi="Arial"/>
          <w:sz w:val="20"/>
          <w:szCs w:val="20"/>
          <w:color w:val="auto"/>
        </w:rPr>
        <w:t>biotechnology company focused on progressing Psychedelics to Therapeutics™, is pleased to announce that Adelia Therapeutics Inc. (“</w:t>
      </w:r>
      <w:r>
        <w:rPr>
          <w:rFonts w:ascii="Arial" w:cs="Arial" w:eastAsia="Arial" w:hAnsi="Arial"/>
          <w:sz w:val="20"/>
          <w:szCs w:val="20"/>
          <w:b w:val="1"/>
          <w:bCs w:val="1"/>
          <w:color w:val="auto"/>
        </w:rPr>
        <w:t>Adelia</w:t>
      </w:r>
      <w:r>
        <w:rPr>
          <w:rFonts w:ascii="Arial" w:cs="Arial" w:eastAsia="Arial" w:hAnsi="Arial"/>
          <w:sz w:val="20"/>
          <w:szCs w:val="20"/>
          <w:color w:val="auto"/>
        </w:rPr>
        <w:t>”), a wholly-controlled subsidiary of Cybin, has achieved the milestone identified as Y2, Q4(ii) as</w:t>
      </w:r>
    </w:p>
    <w:p>
      <w:pPr>
        <w:spacing w:after="0" w:line="223" w:lineRule="auto"/>
        <w:rPr>
          <w:sz w:val="20"/>
          <w:szCs w:val="20"/>
          <w:color w:val="auto"/>
        </w:rPr>
      </w:pPr>
      <w:r>
        <w:rPr>
          <w:rFonts w:ascii="Arial" w:cs="Arial" w:eastAsia="Arial" w:hAnsi="Arial"/>
          <w:sz w:val="19"/>
          <w:szCs w:val="19"/>
          <w:color w:val="auto"/>
        </w:rPr>
        <w:t>contemplated by the terms of a contribution agreement dated December 4, 2020 (the “</w:t>
      </w:r>
      <w:r>
        <w:rPr>
          <w:rFonts w:ascii="Arial" w:cs="Arial" w:eastAsia="Arial" w:hAnsi="Arial"/>
          <w:sz w:val="19"/>
          <w:szCs w:val="19"/>
          <w:b w:val="1"/>
          <w:bCs w:val="1"/>
          <w:color w:val="auto"/>
        </w:rPr>
        <w:t>Transaction Agreement</w:t>
      </w:r>
      <w:r>
        <w:rPr>
          <w:rFonts w:ascii="Arial" w:cs="Arial" w:eastAsia="Arial" w:hAnsi="Arial"/>
          <w:sz w:val="19"/>
          <w:szCs w:val="19"/>
          <w:color w:val="auto"/>
        </w:rPr>
        <w:t>”) among Cybin,</w:t>
      </w:r>
    </w:p>
    <w:p>
      <w:pPr>
        <w:spacing w:after="0" w:line="230" w:lineRule="auto"/>
        <w:rPr>
          <w:sz w:val="20"/>
          <w:szCs w:val="20"/>
          <w:color w:val="auto"/>
        </w:rPr>
      </w:pPr>
      <w:r>
        <w:rPr>
          <w:rFonts w:ascii="Arial" w:cs="Arial" w:eastAsia="Arial" w:hAnsi="Arial"/>
          <w:sz w:val="20"/>
          <w:szCs w:val="20"/>
          <w:color w:val="auto"/>
        </w:rPr>
        <w:t>Cybin Corp., Cybin US Holdings Inc. (the “</w:t>
      </w:r>
      <w:r>
        <w:rPr>
          <w:rFonts w:ascii="Arial" w:cs="Arial" w:eastAsia="Arial" w:hAnsi="Arial"/>
          <w:sz w:val="20"/>
          <w:szCs w:val="20"/>
          <w:b w:val="1"/>
          <w:bCs w:val="1"/>
          <w:color w:val="auto"/>
        </w:rPr>
        <w:t>Acquiror</w:t>
      </w:r>
      <w:r>
        <w:rPr>
          <w:rFonts w:ascii="Arial" w:cs="Arial" w:eastAsia="Arial" w:hAnsi="Arial"/>
          <w:sz w:val="20"/>
          <w:szCs w:val="20"/>
          <w:color w:val="auto"/>
        </w:rPr>
        <w:t>”), a wholly-controlled subsidiary of Cybin, and all of the previous shareholders of Adelia (the “</w:t>
      </w:r>
      <w:r>
        <w:rPr>
          <w:rFonts w:ascii="Arial" w:cs="Arial" w:eastAsia="Arial" w:hAnsi="Arial"/>
          <w:sz w:val="20"/>
          <w:szCs w:val="20"/>
          <w:b w:val="1"/>
          <w:bCs w:val="1"/>
          <w:color w:val="auto"/>
        </w:rPr>
        <w:t>Adelia Shareholders</w:t>
      </w:r>
      <w:r>
        <w:rPr>
          <w:rFonts w:ascii="Arial" w:cs="Arial" w:eastAsia="Arial" w:hAnsi="Arial"/>
          <w:sz w:val="20"/>
          <w:szCs w:val="20"/>
          <w:color w:val="auto"/>
        </w:rPr>
        <w:t>”).</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"This final development milestone marks the completion of a detailed series of goals set between Cybin and Adelia almost two years ago. Our combined teams have executed well, progressing multiple development programs, and transitioning Cybin into a</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clinical-stage development organization at a rapid pace,” said Doug Drysdale, Chief Executive Officer of Cybin. “While this marks the last equity-based milestone, we continue to execute our programs through the clinic, progressing our novel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psychedelics to therapeutics for patients in need."</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Pursuant to the terms of the Transaction Agreement, 33,190.1 Class B common shares in the capital of the Acquiror (the “</w:t>
      </w:r>
      <w:r>
        <w:rPr>
          <w:rFonts w:ascii="Arial" w:cs="Arial" w:eastAsia="Arial" w:hAnsi="Arial"/>
          <w:sz w:val="19"/>
          <w:szCs w:val="19"/>
          <w:b w:val="1"/>
          <w:bCs w:val="1"/>
          <w:color w:val="auto"/>
        </w:rPr>
        <w:t>Class</w:t>
      </w:r>
    </w:p>
    <w:p>
      <w:pPr>
        <w:spacing w:after="0" w:line="4" w:lineRule="exact"/>
        <w:rPr>
          <w:sz w:val="20"/>
          <w:szCs w:val="20"/>
          <w:color w:val="auto"/>
        </w:rPr>
      </w:pPr>
    </w:p>
    <w:p>
      <w:pPr>
        <w:spacing w:after="0" w:line="215" w:lineRule="auto"/>
        <w:rPr>
          <w:sz w:val="20"/>
          <w:szCs w:val="20"/>
          <w:color w:val="auto"/>
        </w:rPr>
      </w:pPr>
      <w:r>
        <w:rPr>
          <w:rFonts w:ascii="Arial" w:cs="Arial" w:eastAsia="Arial" w:hAnsi="Arial"/>
          <w:sz w:val="19"/>
          <w:szCs w:val="19"/>
          <w:b w:val="1"/>
          <w:bCs w:val="1"/>
          <w:color w:val="auto"/>
        </w:rPr>
        <w:t>B Shares</w:t>
      </w:r>
      <w:r>
        <w:rPr>
          <w:rFonts w:ascii="Arial" w:cs="Arial" w:eastAsia="Arial" w:hAnsi="Arial"/>
          <w:sz w:val="19"/>
          <w:szCs w:val="19"/>
          <w:color w:val="auto"/>
        </w:rPr>
        <w:t>”) shall be issued to the Adelia Shareholders, in satisfaction of the $ 467,982.21 (approximately US$ 357,894.01) due to</w:t>
      </w:r>
      <w:r>
        <w:rPr>
          <w:rFonts w:ascii="Arial" w:cs="Arial" w:eastAsia="Arial" w:hAnsi="Arial"/>
          <w:sz w:val="19"/>
          <w:szCs w:val="19"/>
          <w:b w:val="1"/>
          <w:bCs w:val="1"/>
          <w:color w:val="auto"/>
        </w:rPr>
        <w:t xml:space="preserve"> </w:t>
      </w:r>
      <w:r>
        <w:rPr>
          <w:rFonts w:ascii="Arial" w:cs="Arial" w:eastAsia="Arial" w:hAnsi="Arial"/>
          <w:sz w:val="19"/>
          <w:szCs w:val="19"/>
          <w:color w:val="auto"/>
        </w:rPr>
        <w:t>them on meeting the relevant milestone, at an effective issue price of $14.10 per Class B Share, determined in accordance with</w:t>
      </w:r>
    </w:p>
    <w:p>
      <w:pPr>
        <w:spacing w:after="0" w:line="222" w:lineRule="auto"/>
        <w:rPr>
          <w:sz w:val="20"/>
          <w:szCs w:val="20"/>
          <w:color w:val="auto"/>
        </w:rPr>
      </w:pPr>
      <w:r>
        <w:rPr>
          <w:rFonts w:ascii="Arial" w:cs="Arial" w:eastAsia="Arial" w:hAnsi="Arial"/>
          <w:sz w:val="19"/>
          <w:szCs w:val="19"/>
          <w:color w:val="auto"/>
        </w:rPr>
        <w:t>the Transaction Agreement and applicable securities law. The Class B Shares issued by the Acquiror to the Adelia Shareholders</w:t>
      </w:r>
    </w:p>
    <w:p>
      <w:pPr>
        <w:spacing w:after="0" w:line="204" w:lineRule="auto"/>
        <w:rPr>
          <w:sz w:val="20"/>
          <w:szCs w:val="20"/>
          <w:color w:val="auto"/>
        </w:rPr>
      </w:pPr>
      <w:r>
        <w:rPr>
          <w:rFonts w:ascii="Arial" w:cs="Arial" w:eastAsia="Arial" w:hAnsi="Arial"/>
          <w:sz w:val="20"/>
          <w:szCs w:val="20"/>
          <w:color w:val="auto"/>
        </w:rPr>
        <w:t>are exchangeable for common shares in the capital of Cybin (the “</w:t>
      </w:r>
      <w:r>
        <w:rPr>
          <w:rFonts w:ascii="Arial" w:cs="Arial" w:eastAsia="Arial" w:hAnsi="Arial"/>
          <w:sz w:val="20"/>
          <w:szCs w:val="20"/>
          <w:b w:val="1"/>
          <w:bCs w:val="1"/>
          <w:color w:val="auto"/>
        </w:rPr>
        <w:t>Cybin Shares</w:t>
      </w:r>
      <w:r>
        <w:rPr>
          <w:rFonts w:ascii="Arial" w:cs="Arial" w:eastAsia="Arial" w:hAnsi="Arial"/>
          <w:sz w:val="20"/>
          <w:szCs w:val="20"/>
          <w:color w:val="auto"/>
        </w:rPr>
        <w:t>”) on a 10 Cybin Shares for 1 Class B Share basis, at the option of the holder thereof, subject to customary adjustments. No Class B Shares were exchangeable prior to</w:t>
      </w:r>
    </w:p>
    <w:p>
      <w:pPr>
        <w:spacing w:after="0" w:line="223" w:lineRule="auto"/>
        <w:rPr>
          <w:sz w:val="20"/>
          <w:szCs w:val="20"/>
          <w:color w:val="auto"/>
        </w:rPr>
      </w:pPr>
      <w:r>
        <w:rPr>
          <w:rFonts w:ascii="Arial" w:cs="Arial" w:eastAsia="Arial" w:hAnsi="Arial"/>
          <w:sz w:val="19"/>
          <w:szCs w:val="19"/>
          <w:color w:val="auto"/>
        </w:rPr>
        <w:t>December 14, 2021, and not more than: (i) 33 1/3% of the Class B Shares will be exchangeable prior to December 14, 2022; (ii)</w:t>
      </w:r>
    </w:p>
    <w:p>
      <w:pPr>
        <w:spacing w:after="0" w:line="225" w:lineRule="auto"/>
        <w:rPr>
          <w:sz w:val="20"/>
          <w:szCs w:val="20"/>
          <w:color w:val="auto"/>
        </w:rPr>
      </w:pPr>
      <w:r>
        <w:rPr>
          <w:rFonts w:ascii="Arial" w:cs="Arial" w:eastAsia="Arial" w:hAnsi="Arial"/>
          <w:sz w:val="20"/>
          <w:szCs w:val="20"/>
          <w:color w:val="auto"/>
        </w:rPr>
        <w:t>66 2/3% of the Class B Shares will be exchangeable prior to December 14, 2023; and (iii) thereafter, 100% of the Class B Shares will be exchangeable.</w:t>
      </w:r>
    </w:p>
    <w:p>
      <w:pPr>
        <w:spacing w:after="0" w:line="11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Additional information related to the transaction is available in the Transaction Agreement, which is filed under Cybin’s profile on SEDAR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50"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Cybin is a leading ethical biotechnology company, working with a network of world-class partners and internationally recognized scientists, on a mission to create safe and effective therapeutics for patients to address a multitude of mental health issues.</w:t>
      </w:r>
    </w:p>
    <w:p>
      <w:pPr>
        <w:spacing w:after="0" w:line="213"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w:t>
      </w:r>
    </w:p>
    <w:p>
      <w:pPr>
        <w:spacing w:after="0" w:line="215" w:lineRule="auto"/>
        <w:rPr>
          <w:sz w:val="20"/>
          <w:szCs w:val="20"/>
          <w:color w:val="auto"/>
        </w:rPr>
      </w:pPr>
      <w:r>
        <w:rPr>
          <w:rFonts w:ascii="Arial" w:cs="Arial" w:eastAsia="Arial" w:hAnsi="Arial"/>
          <w:sz w:val="19"/>
          <w:szCs w:val="19"/>
          <w:color w:val="auto"/>
        </w:rPr>
        <w:t>Netherlands and Ireland. The Company is focused on progressing Psychedelics to Therapeutics by engineering proprietary drug discovery platforms, innovative drug delivery systems, novel formulation approaches and treatment regimens for mental health</w:t>
      </w:r>
    </w:p>
    <w:p>
      <w:pPr>
        <w:spacing w:after="0"/>
        <w:rPr>
          <w:sz w:val="20"/>
          <w:szCs w:val="20"/>
          <w:color w:val="auto"/>
        </w:rPr>
      </w:pPr>
      <w:r>
        <w:rPr>
          <w:rFonts w:ascii="Arial" w:cs="Arial" w:eastAsia="Arial" w:hAnsi="Arial"/>
          <w:sz w:val="20"/>
          <w:szCs w:val="20"/>
          <w:color w:val="auto"/>
        </w:rPr>
        <w:t>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Adelia</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Adelia is a wholly-controlled subsidiary of the Company, that aims to develop medicinal psychedelics with improved dosing</w:t>
      </w:r>
    </w:p>
    <w:p>
      <w:pPr>
        <w:spacing w:after="0" w:line="215" w:lineRule="auto"/>
        <w:rPr>
          <w:sz w:val="20"/>
          <w:szCs w:val="20"/>
          <w:color w:val="auto"/>
        </w:rPr>
      </w:pPr>
      <w:r>
        <w:rPr>
          <w:rFonts w:ascii="Arial" w:cs="Arial" w:eastAsia="Arial" w:hAnsi="Arial"/>
          <w:sz w:val="19"/>
          <w:szCs w:val="19"/>
          <w:color w:val="auto"/>
        </w:rPr>
        <w:t>efficacy and therapeutic indices to address unmet medical needs. Adelia’s primary focus is on the development of treatment regimens consisting of proprietary psychedelic molecules and related clinical protocols. This proprietary development strategy is</w:t>
      </w:r>
    </w:p>
    <w:p>
      <w:pPr>
        <w:spacing w:after="0" w:line="211" w:lineRule="auto"/>
        <w:rPr>
          <w:sz w:val="20"/>
          <w:szCs w:val="20"/>
          <w:color w:val="auto"/>
        </w:rPr>
      </w:pPr>
      <w:r>
        <w:rPr>
          <w:rFonts w:ascii="Arial" w:cs="Arial" w:eastAsia="Arial" w:hAnsi="Arial"/>
          <w:sz w:val="20"/>
          <w:szCs w:val="20"/>
          <w:color w:val="auto"/>
        </w:rPr>
        <w:t>based on chemical modifications to the known and well understood tryptamine derivatives that significantly modify their</w:t>
      </w:r>
    </w:p>
    <w:p>
      <w:pPr>
        <w:ind w:right="20"/>
        <w:spacing w:after="0" w:line="204" w:lineRule="auto"/>
        <w:rPr>
          <w:sz w:val="20"/>
          <w:szCs w:val="20"/>
          <w:color w:val="auto"/>
        </w:rPr>
      </w:pPr>
      <w:r>
        <w:rPr>
          <w:rFonts w:ascii="Arial" w:cs="Arial" w:eastAsia="Arial" w:hAnsi="Arial"/>
          <w:sz w:val="20"/>
          <w:szCs w:val="20"/>
          <w:color w:val="auto"/>
        </w:rPr>
        <w:t>pharmacokinetic properties without changing their therapeutic potential. These proprietary approaches seek to minimize inter-patient variability by better controlling drug metabolism without loss of efficacy that together have been shown to produce more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predictable and favorable patient outcomes.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Certain statements in this press release constitute forward-looking information. All statements other than statements of historical</w:t>
      </w:r>
    </w:p>
    <w:p>
      <w:pPr>
        <w:spacing w:after="0" w:line="2" w:lineRule="exact"/>
        <w:rPr>
          <w:sz w:val="20"/>
          <w:szCs w:val="20"/>
          <w:color w:val="auto"/>
        </w:rPr>
      </w:pPr>
    </w:p>
    <w:p>
      <w:pPr>
        <w:jc w:val="both"/>
        <w:ind w:right="20"/>
        <w:spacing w:after="0" w:line="215" w:lineRule="auto"/>
        <w:rPr>
          <w:sz w:val="20"/>
          <w:szCs w:val="20"/>
          <w:color w:val="auto"/>
        </w:rPr>
      </w:pPr>
      <w:r>
        <w:rPr>
          <w:rFonts w:ascii="Arial" w:cs="Arial" w:eastAsia="Arial" w:hAnsi="Arial"/>
          <w:sz w:val="19"/>
          <w:szCs w:val="19"/>
          <w:color w:val="auto"/>
        </w:rPr>
        <w:t>fact contained in this press release, including, without limitation, statements regarding Cybin’s future, strategy, plans, objectives, goals and targets, and any statements preceded by, followed by or that include the words “believe”, “expect”, “aim”, “intend”,</w:t>
      </w:r>
    </w:p>
    <w:p>
      <w:pPr>
        <w:spacing w:after="0" w:line="211" w:lineRule="auto"/>
        <w:rPr>
          <w:sz w:val="20"/>
          <w:szCs w:val="20"/>
          <w:color w:val="auto"/>
        </w:rPr>
      </w:pPr>
      <w:r>
        <w:rPr>
          <w:rFonts w:ascii="Arial" w:cs="Arial" w:eastAsia="Arial" w:hAnsi="Arial"/>
          <w:sz w:val="20"/>
          <w:szCs w:val="20"/>
          <w:color w:val="auto"/>
        </w:rPr>
        <w:t>“plan”, “continue”, “will”, “may”, “would”, “anticipate”, “estimate”, “forecast”, “predict”, “project”, “seek”, “should” or similar</w:t>
      </w:r>
    </w:p>
    <w:p>
      <w:pPr>
        <w:spacing w:after="0" w:line="204" w:lineRule="auto"/>
        <w:rPr>
          <w:sz w:val="20"/>
          <w:szCs w:val="20"/>
          <w:color w:val="auto"/>
        </w:rPr>
      </w:pPr>
      <w:r>
        <w:rPr>
          <w:rFonts w:ascii="Arial" w:cs="Arial" w:eastAsia="Arial" w:hAnsi="Arial"/>
          <w:sz w:val="20"/>
          <w:szCs w:val="20"/>
          <w:color w:val="auto"/>
        </w:rPr>
        <w:t>expressions or the negative thereof, are forward-looking statements. Forward looking statements in this news release include statements regarding the Company’s development of innovative drug delivery systems, novel formulation approaches and</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potential treatment regimens for psychiatric disorders and Adelia’s proprietary development strategy and development of medicinal psychedelics with improved dosing efficacy and therapeutic indices to address unmet medical needs.</w:t>
      </w:r>
    </w:p>
    <w:p>
      <w:pPr>
        <w:spacing w:after="0" w:line="118"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unknown risks, uncertainties, and other factors which may cause the actual results, performance, or achievements of the Company to materially differ from any future results, performance, or achievements expressed or implied by such forward-</w:t>
      </w:r>
    </w:p>
    <w:p>
      <w:pPr>
        <w:spacing w:after="0" w:line="211" w:lineRule="auto"/>
        <w:rPr>
          <w:sz w:val="20"/>
          <w:szCs w:val="20"/>
          <w:color w:val="auto"/>
        </w:rPr>
      </w:pPr>
      <w:r>
        <w:rPr>
          <w:rFonts w:ascii="Arial" w:cs="Arial" w:eastAsia="Arial" w:hAnsi="Arial"/>
          <w:sz w:val="20"/>
          <w:szCs w:val="20"/>
          <w:color w:val="auto"/>
        </w:rPr>
        <w:t>looking statements. Such factors, among other things, include: implications of the COVID-19 pandemic on the Company's</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operations; fluctuations in general macroeconomic conditions; fluctuations in securities markets; expectations regarding the size of the psychedelics market; the ability of the Company to successfully achieve its business objectives; plans for growth; political,</w:t>
      </w:r>
    </w:p>
    <w:p>
      <w:pPr>
        <w:spacing w:after="0" w:line="222" w:lineRule="auto"/>
        <w:rPr>
          <w:sz w:val="20"/>
          <w:szCs w:val="20"/>
          <w:color w:val="auto"/>
        </w:rPr>
      </w:pPr>
      <w:r>
        <w:rPr>
          <w:rFonts w:ascii="Arial" w:cs="Arial" w:eastAsia="Arial" w:hAnsi="Arial"/>
          <w:sz w:val="19"/>
          <w:szCs w:val="19"/>
          <w:color w:val="auto"/>
        </w:rPr>
        <w:t>social and environmental uncertainties; employee relations; the presence of laws and regulations that may impose restrictions in</w:t>
      </w:r>
    </w:p>
    <w:p>
      <w:pPr>
        <w:jc w:val="both"/>
        <w:spacing w:after="0" w:line="215" w:lineRule="auto"/>
        <w:rPr>
          <w:sz w:val="20"/>
          <w:szCs w:val="20"/>
          <w:color w:val="auto"/>
        </w:rPr>
      </w:pPr>
      <w:r>
        <w:rPr>
          <w:rFonts w:ascii="Arial" w:cs="Arial" w:eastAsia="Arial" w:hAnsi="Arial"/>
          <w:sz w:val="19"/>
          <w:szCs w:val="19"/>
          <w:color w:val="auto"/>
        </w:rPr>
        <w:t>the markets where the Company operates; and the risk factors set out in the Company's management's discussion and analysis for the three months ended June 30, 2022 and the Company's annual information form for the year ended March 31, 2022,</w:t>
      </w:r>
    </w:p>
    <w:p>
      <w:pPr>
        <w:spacing w:after="0" w:line="222" w:lineRule="auto"/>
        <w:rPr>
          <w:sz w:val="20"/>
          <w:szCs w:val="20"/>
          <w:color w:val="auto"/>
        </w:rPr>
      </w:pPr>
      <w:r>
        <w:rPr>
          <w:rFonts w:ascii="Arial" w:cs="Arial" w:eastAsia="Arial" w:hAnsi="Arial"/>
          <w:sz w:val="19"/>
          <w:szCs w:val="19"/>
          <w:color w:val="auto"/>
        </w:rPr>
        <w:t xml:space="preserve">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w:t>
      </w:r>
    </w:p>
    <w:p>
      <w:pPr>
        <w:spacing w:after="0" w:line="204" w:lineRule="auto"/>
        <w:rPr>
          <w:sz w:val="20"/>
          <w:szCs w:val="20"/>
          <w:color w:val="auto"/>
        </w:rPr>
      </w:pPr>
      <w:r>
        <w:rPr>
          <w:rFonts w:ascii="Arial" w:cs="Arial" w:eastAsia="Arial" w:hAnsi="Arial"/>
          <w:sz w:val="20"/>
          <w:szCs w:val="20"/>
          <w:color w:val="auto"/>
        </w:rPr>
        <w:t xml:space="preserve">EDGAR at </w:t>
      </w:r>
      <w:r>
        <w:rPr>
          <w:rFonts w:ascii="Arial" w:cs="Arial" w:eastAsia="Arial" w:hAnsi="Arial"/>
          <w:sz w:val="20"/>
          <w:szCs w:val="20"/>
          <w:u w:val="single" w:color="auto"/>
          <w:color w:val="0563C1"/>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w:t>
      </w:r>
    </w:p>
    <w:p>
      <w:pPr>
        <w:spacing w:after="0" w:line="211" w:lineRule="auto"/>
        <w:rPr>
          <w:sz w:val="20"/>
          <w:szCs w:val="20"/>
          <w:color w:val="auto"/>
        </w:rPr>
      </w:pPr>
      <w:r>
        <w:rPr>
          <w:rFonts w:ascii="Arial" w:cs="Arial" w:eastAsia="Arial" w:hAnsi="Arial"/>
          <w:sz w:val="20"/>
          <w:szCs w:val="20"/>
          <w:color w:val="auto"/>
        </w:rPr>
        <w:t>shareholders that actual results will be consistent with such forward-looking statements, as there may be other factors that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cause results not to be as anticipated, estimated or intended. Readers should not place undue reliance on the forward-looking statements and information contained in this news release. The Company assumes no obligation to update the forward-looking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statements of beliefs, opinions, projections, or other factors, should they change, except as required by law.</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Cybin makes no medical, treatment or health benefit claims about Cybin’s proposed products. The U.S. Food and Drug</w:t>
      </w:r>
    </w:p>
    <w:p>
      <w:pPr>
        <w:spacing w:after="0" w:line="204" w:lineRule="auto"/>
        <w:rPr>
          <w:sz w:val="20"/>
          <w:szCs w:val="20"/>
          <w:color w:val="auto"/>
        </w:rPr>
      </w:pPr>
      <w:r>
        <w:rPr>
          <w:rFonts w:ascii="Arial" w:cs="Arial" w:eastAsia="Arial" w:hAnsi="Arial"/>
          <w:sz w:val="20"/>
          <w:szCs w:val="20"/>
          <w:color w:val="auto"/>
        </w:rPr>
        <w:t>Administration, Health Canada or other similar regulatory authorities have not evaluated claims regarding psilocybin, psychedelic tryptamine, tryptamine derivatives or other psychedelic compounds or nutraceutical products. The efficacy of such</w:t>
      </w:r>
    </w:p>
    <w:p>
      <w:pPr>
        <w:spacing w:after="0" w:line="211" w:lineRule="auto"/>
        <w:rPr>
          <w:sz w:val="20"/>
          <w:szCs w:val="20"/>
          <w:color w:val="auto"/>
        </w:rPr>
      </w:pPr>
      <w:r>
        <w:rPr>
          <w:rFonts w:ascii="Arial" w:cs="Arial" w:eastAsia="Arial" w:hAnsi="Arial"/>
          <w:sz w:val="20"/>
          <w:szCs w:val="20"/>
          <w:color w:val="auto"/>
        </w:rPr>
        <w:t>products has not been confirmed by approved research. There is no assurance that the use of psilocybin, psychedelic</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tryptamine, tryptamine derivatives or other psychedelic compounds or nutraceuticals can diagnose, treat, cure or prevent any disease or condition. Vigorous scientific research and clinical trials are needed. Cybin has not conducted clinical trials for the</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use of its proposed products. Any references to quality, consistency, efficacy and safety of potential products do not imply that Cybin verified such in clinical trials or that Cybin will complete such trials. If Cybin</w:t>
      </w:r>
    </w:p>
    <w:p>
      <w:pPr>
        <w:sectPr>
          <w:pgSz w:w="11900" w:h="16838" w:orient="portrait"/>
          <w:cols w:equalWidth="0" w:num="1">
            <w:col w:w="11240"/>
          </w:cols>
          <w:pgMar w:left="320" w:top="1398" w:right="339" w:bottom="1440" w:gutter="0" w:footer="0" w:header="0"/>
        </w:sectPr>
      </w:pPr>
    </w:p>
    <w:bookmarkStart w:id="5" w:name="page6"/>
    <w:bookmarkEnd w:id="5"/>
    <w:p>
      <w:pPr>
        <w:spacing w:after="0" w:line="243" w:lineRule="auto"/>
        <w:rPr>
          <w:sz w:val="20"/>
          <w:szCs w:val="20"/>
          <w:color w:val="auto"/>
        </w:rPr>
      </w:pPr>
      <w:r>
        <w:rPr>
          <w:rFonts w:ascii="Arial" w:cs="Arial" w:eastAsia="Arial" w:hAnsi="Arial"/>
          <w:sz w:val="20"/>
          <w:szCs w:val="20"/>
          <w:color w:val="auto"/>
        </w:rPr>
        <w:t>cannot obtain the approvals or research necessary to commercialize its business, it may have a material adverse effect on Cybin’s performance and operations.</w:t>
      </w:r>
    </w:p>
    <w:p>
      <w:pPr>
        <w:spacing w:after="0" w:line="115" w:lineRule="exact"/>
        <w:rPr>
          <w:sz w:val="20"/>
          <w:szCs w:val="20"/>
          <w:color w:val="auto"/>
        </w:rPr>
      </w:pPr>
    </w:p>
    <w:p>
      <w:pPr>
        <w:spacing w:after="0" w:line="23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indicated, all dollar amounts in this news release are expressed in Canadian dollars.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40A2C"/>
        </w:rPr>
        <w:t>irteam@cybin.com</w:t>
      </w:r>
      <w:r>
        <w:rPr>
          <w:rFonts w:ascii="Arial" w:cs="Arial" w:eastAsia="Arial" w:hAnsi="Arial"/>
          <w:sz w:val="20"/>
          <w:szCs w:val="20"/>
          <w:color w:val="040A2C"/>
        </w:rPr>
        <w:t xml:space="preserve"> </w:t>
      </w:r>
      <w:r>
        <w:rPr>
          <w:rFonts w:ascii="Arial" w:cs="Arial" w:eastAsia="Arial" w:hAnsi="Arial"/>
          <w:sz w:val="20"/>
          <w:szCs w:val="20"/>
          <w:color w:val="000000"/>
        </w:rPr>
        <w:t>- or -</w:t>
      </w:r>
      <w:r>
        <w:rPr>
          <w:rFonts w:ascii="Arial" w:cs="Arial" w:eastAsia="Arial" w:hAnsi="Arial"/>
          <w:sz w:val="20"/>
          <w:szCs w:val="20"/>
          <w:color w:val="040A2C"/>
        </w:rPr>
        <w:t xml:space="preserve"> </w:t>
      </w:r>
      <w:r>
        <w:rPr>
          <w:rFonts w:ascii="Arial" w:cs="Arial" w:eastAsia="Arial" w:hAnsi="Arial"/>
          <w:sz w:val="20"/>
          <w:szCs w:val="20"/>
          <w:u w:val="single" w:color="auto"/>
          <w:color w:val="040A2C"/>
        </w:rPr>
        <w:t>media@cybin.com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11" w:lineRule="auto"/>
        <w:rPr>
          <w:sz w:val="20"/>
          <w:szCs w:val="20"/>
          <w:color w:val="auto"/>
        </w:rPr>
      </w:pPr>
      <w:r>
        <w:rPr>
          <w:rFonts w:ascii="Arial" w:cs="Arial" w:eastAsia="Arial" w:hAnsi="Arial"/>
          <w:sz w:val="20"/>
          <w:szCs w:val="20"/>
          <w:color w:val="auto"/>
        </w:rPr>
        <w:t>Chief Legal Officer</w:t>
      </w:r>
    </w:p>
    <w:p>
      <w:pPr>
        <w:spacing w:after="0" w:line="211" w:lineRule="auto"/>
        <w:rPr>
          <w:sz w:val="20"/>
          <w:szCs w:val="20"/>
          <w:color w:val="auto"/>
        </w:rPr>
      </w:pPr>
      <w:r>
        <w:rPr>
          <w:rFonts w:ascii="Arial" w:cs="Arial" w:eastAsia="Arial" w:hAnsi="Arial"/>
          <w:sz w:val="20"/>
          <w:szCs w:val="20"/>
          <w:color w:val="auto"/>
        </w:rPr>
        <w:t>Cybin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2022-08-31T09:11:21Z</dcterms:created>
  <dcterms:modified xsi:type="dcterms:W3CDTF">2022-08-31T09:11:21Z</dcterms:modified>
</cp:coreProperties>
</file>